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b/>
          <w:bCs/>
          <w:sz w:val="28"/>
          <w:szCs w:val="28"/>
        </w:rPr>
      </w:pPr>
    </w:p>
    <w:p>
      <w:pPr>
        <w:ind w:firstLine="0" w:firstLineChars="0"/>
        <w:jc w:val="center"/>
        <w:rPr>
          <w:b/>
          <w:bCs/>
          <w:sz w:val="72"/>
          <w:szCs w:val="72"/>
        </w:rPr>
      </w:pPr>
      <w:r>
        <w:rPr>
          <w:b/>
          <w:bCs/>
          <w:sz w:val="72"/>
          <w:szCs w:val="72"/>
        </w:rPr>
        <w:t>建设项目环境影响报告表</w:t>
      </w:r>
    </w:p>
    <w:p>
      <w:pPr>
        <w:ind w:firstLine="0" w:firstLineChars="0"/>
        <w:jc w:val="center"/>
        <w:rPr>
          <w:b/>
          <w:bCs/>
          <w:sz w:val="48"/>
          <w:szCs w:val="48"/>
        </w:rPr>
      </w:pPr>
      <w:r>
        <w:rPr>
          <w:b/>
          <w:bCs/>
          <w:sz w:val="48"/>
          <w:szCs w:val="48"/>
        </w:rPr>
        <w:t>（污染影响类）</w:t>
      </w:r>
    </w:p>
    <w:p>
      <w:pPr>
        <w:ind w:firstLine="0" w:firstLineChars="0"/>
        <w:jc w:val="center"/>
        <w:rPr>
          <w:b/>
          <w:bCs/>
          <w:sz w:val="48"/>
          <w:szCs w:val="48"/>
        </w:rPr>
      </w:pPr>
      <w:r>
        <w:rPr>
          <w:b/>
          <w:bCs/>
          <w:sz w:val="48"/>
          <w:szCs w:val="48"/>
        </w:rPr>
        <w:t>（</w:t>
      </w:r>
      <w:r>
        <w:rPr>
          <w:rFonts w:hint="eastAsia"/>
          <w:b/>
          <w:bCs/>
          <w:sz w:val="48"/>
          <w:szCs w:val="48"/>
          <w:lang w:val="en-US" w:eastAsia="zh-CN"/>
        </w:rPr>
        <w:t>公示本</w:t>
      </w:r>
      <w:r>
        <w:rPr>
          <w:b/>
          <w:bCs/>
          <w:sz w:val="48"/>
          <w:szCs w:val="48"/>
        </w:rPr>
        <w:t>）</w:t>
      </w:r>
    </w:p>
    <w:p>
      <w:pPr>
        <w:ind w:firstLine="480"/>
      </w:pPr>
    </w:p>
    <w:p>
      <w:pPr>
        <w:ind w:firstLine="480"/>
      </w:pPr>
    </w:p>
    <w:p>
      <w:pPr>
        <w:ind w:firstLine="0" w:firstLineChars="0"/>
      </w:pPr>
    </w:p>
    <w:p>
      <w:pPr>
        <w:ind w:firstLine="0" w:firstLineChars="0"/>
      </w:pPr>
    </w:p>
    <w:p>
      <w:pPr>
        <w:ind w:firstLine="0" w:firstLineChars="0"/>
      </w:pPr>
    </w:p>
    <w:p>
      <w:pPr>
        <w:spacing w:line="240" w:lineRule="auto"/>
        <w:ind w:firstLine="0" w:firstLineChars="0"/>
      </w:pPr>
    </w:p>
    <w:p>
      <w:pPr>
        <w:widowControl/>
        <w:spacing w:line="240" w:lineRule="auto"/>
        <w:ind w:firstLine="361" w:firstLineChars="100"/>
        <w:jc w:val="left"/>
        <w:rPr>
          <w:rFonts w:eastAsia="仿宋"/>
          <w:b/>
          <w:bCs/>
          <w:sz w:val="36"/>
          <w:szCs w:val="36"/>
          <w:u w:val="single"/>
        </w:rPr>
      </w:pPr>
      <w:r>
        <w:rPr>
          <w:rFonts w:eastAsia="仿宋"/>
          <w:b/>
          <w:bCs/>
          <w:sz w:val="36"/>
          <w:szCs w:val="36"/>
        </w:rPr>
        <w:t>项</w:t>
      </w:r>
      <w:r>
        <w:rPr>
          <w:rFonts w:hint="eastAsia" w:eastAsia="仿宋"/>
          <w:b/>
          <w:bCs/>
          <w:sz w:val="36"/>
          <w:szCs w:val="36"/>
        </w:rPr>
        <w:t xml:space="preserve">  </w:t>
      </w:r>
      <w:r>
        <w:rPr>
          <w:rFonts w:eastAsia="仿宋"/>
          <w:b/>
          <w:bCs/>
          <w:sz w:val="36"/>
          <w:szCs w:val="36"/>
        </w:rPr>
        <w:t>目</w:t>
      </w:r>
      <w:r>
        <w:rPr>
          <w:rFonts w:hint="eastAsia" w:eastAsia="仿宋"/>
          <w:b/>
          <w:bCs/>
          <w:sz w:val="36"/>
          <w:szCs w:val="36"/>
        </w:rPr>
        <w:t xml:space="preserve">  </w:t>
      </w:r>
      <w:r>
        <w:rPr>
          <w:rFonts w:eastAsia="仿宋"/>
          <w:b/>
          <w:bCs/>
          <w:sz w:val="36"/>
          <w:szCs w:val="36"/>
        </w:rPr>
        <w:t>名</w:t>
      </w:r>
      <w:r>
        <w:rPr>
          <w:rFonts w:hint="eastAsia" w:eastAsia="仿宋"/>
          <w:b/>
          <w:bCs/>
          <w:sz w:val="36"/>
          <w:szCs w:val="36"/>
        </w:rPr>
        <w:t xml:space="preserve">  </w:t>
      </w:r>
      <w:r>
        <w:rPr>
          <w:rFonts w:eastAsia="仿宋"/>
          <w:b/>
          <w:bCs/>
          <w:sz w:val="36"/>
          <w:szCs w:val="36"/>
        </w:rPr>
        <w:t>称</w:t>
      </w:r>
      <w:r>
        <w:rPr>
          <w:rFonts w:hint="eastAsia" w:eastAsia="仿宋"/>
          <w:b/>
          <w:bCs/>
          <w:sz w:val="36"/>
          <w:szCs w:val="36"/>
        </w:rPr>
        <w:t xml:space="preserve">  ：</w:t>
      </w:r>
      <w:r>
        <w:rPr>
          <w:rFonts w:hint="eastAsia" w:eastAsia="仿宋"/>
          <w:b/>
          <w:bCs/>
          <w:sz w:val="36"/>
          <w:szCs w:val="36"/>
          <w:u w:val="single"/>
        </w:rPr>
        <w:t xml:space="preserve"> 川汉子肉制品精深加工项目（一期）</w:t>
      </w:r>
    </w:p>
    <w:p>
      <w:pPr>
        <w:spacing w:line="240" w:lineRule="auto"/>
        <w:ind w:firstLine="361" w:firstLineChars="100"/>
        <w:rPr>
          <w:rFonts w:eastAsia="仿宋"/>
          <w:b/>
          <w:bCs/>
          <w:sz w:val="36"/>
          <w:szCs w:val="36"/>
        </w:rPr>
      </w:pPr>
    </w:p>
    <w:p>
      <w:pPr>
        <w:spacing w:line="240" w:lineRule="auto"/>
        <w:ind w:firstLine="361" w:firstLineChars="100"/>
        <w:rPr>
          <w:rFonts w:eastAsia="仿宋"/>
          <w:b/>
          <w:bCs/>
          <w:sz w:val="36"/>
          <w:szCs w:val="36"/>
          <w:u w:val="single"/>
        </w:rPr>
      </w:pPr>
      <w:r>
        <w:rPr>
          <w:rFonts w:eastAsia="仿宋"/>
          <w:b/>
          <w:bCs/>
          <w:sz w:val="36"/>
          <w:szCs w:val="36"/>
        </w:rPr>
        <w:t>建设单位（盖章）：</w:t>
      </w:r>
      <w:r>
        <w:rPr>
          <w:rFonts w:hint="eastAsia" w:eastAsia="仿宋"/>
          <w:b/>
          <w:bCs/>
          <w:sz w:val="36"/>
          <w:szCs w:val="36"/>
          <w:u w:val="single"/>
        </w:rPr>
        <w:t xml:space="preserve">  四川省川汉子食品实业有限公司 </w:t>
      </w:r>
      <w:r>
        <w:rPr>
          <w:rFonts w:eastAsia="仿宋"/>
          <w:b/>
          <w:bCs/>
          <w:sz w:val="36"/>
          <w:szCs w:val="36"/>
          <w:u w:val="single"/>
        </w:rPr>
        <w:t xml:space="preserve"> </w:t>
      </w:r>
      <w:r>
        <w:rPr>
          <w:rFonts w:hint="eastAsia" w:eastAsia="仿宋"/>
          <w:b/>
          <w:bCs/>
          <w:sz w:val="36"/>
          <w:szCs w:val="36"/>
          <w:u w:val="single"/>
        </w:rPr>
        <w:t xml:space="preserve"> </w:t>
      </w:r>
    </w:p>
    <w:p>
      <w:pPr>
        <w:spacing w:line="240" w:lineRule="auto"/>
        <w:ind w:firstLine="361" w:firstLineChars="100"/>
        <w:rPr>
          <w:rFonts w:eastAsia="仿宋"/>
          <w:b/>
          <w:bCs/>
          <w:sz w:val="36"/>
          <w:szCs w:val="36"/>
          <w:u w:val="single"/>
        </w:rPr>
      </w:pPr>
    </w:p>
    <w:p>
      <w:pPr>
        <w:spacing w:line="240" w:lineRule="auto"/>
        <w:ind w:firstLine="361" w:firstLineChars="100"/>
        <w:rPr>
          <w:rFonts w:eastAsia="仿宋"/>
          <w:b/>
          <w:bCs/>
          <w:sz w:val="36"/>
          <w:szCs w:val="36"/>
          <w:u w:val="single"/>
        </w:rPr>
      </w:pPr>
      <w:r>
        <w:rPr>
          <w:rFonts w:eastAsia="仿宋"/>
          <w:b/>
          <w:bCs/>
          <w:sz w:val="36"/>
          <w:szCs w:val="36"/>
        </w:rPr>
        <w:t>编</w:t>
      </w:r>
      <w:r>
        <w:rPr>
          <w:rFonts w:hint="eastAsia" w:eastAsia="仿宋"/>
          <w:b/>
          <w:bCs/>
          <w:sz w:val="36"/>
          <w:szCs w:val="36"/>
        </w:rPr>
        <w:t xml:space="preserve">  </w:t>
      </w:r>
      <w:r>
        <w:rPr>
          <w:rFonts w:eastAsia="仿宋"/>
          <w:b/>
          <w:bCs/>
          <w:sz w:val="36"/>
          <w:szCs w:val="36"/>
        </w:rPr>
        <w:t>制</w:t>
      </w:r>
      <w:r>
        <w:rPr>
          <w:rFonts w:hint="eastAsia" w:eastAsia="仿宋"/>
          <w:b/>
          <w:bCs/>
          <w:sz w:val="36"/>
          <w:szCs w:val="36"/>
        </w:rPr>
        <w:t xml:space="preserve">  </w:t>
      </w:r>
      <w:r>
        <w:rPr>
          <w:rFonts w:eastAsia="仿宋"/>
          <w:b/>
          <w:bCs/>
          <w:sz w:val="36"/>
          <w:szCs w:val="36"/>
        </w:rPr>
        <w:t>日</w:t>
      </w:r>
      <w:r>
        <w:rPr>
          <w:rFonts w:hint="eastAsia" w:eastAsia="仿宋"/>
          <w:b/>
          <w:bCs/>
          <w:sz w:val="36"/>
          <w:szCs w:val="36"/>
        </w:rPr>
        <w:t xml:space="preserve">  </w:t>
      </w:r>
      <w:r>
        <w:rPr>
          <w:rFonts w:eastAsia="仿宋"/>
          <w:b/>
          <w:bCs/>
          <w:sz w:val="36"/>
          <w:szCs w:val="36"/>
        </w:rPr>
        <w:t>期</w:t>
      </w:r>
      <w:r>
        <w:rPr>
          <w:rFonts w:hint="eastAsia" w:eastAsia="仿宋"/>
          <w:b/>
          <w:bCs/>
          <w:sz w:val="36"/>
          <w:szCs w:val="36"/>
        </w:rPr>
        <w:t xml:space="preserve">  </w:t>
      </w:r>
      <w:r>
        <w:rPr>
          <w:rFonts w:eastAsia="仿宋"/>
          <w:b/>
          <w:bCs/>
          <w:sz w:val="36"/>
          <w:szCs w:val="36"/>
        </w:rPr>
        <w:t>：</w:t>
      </w:r>
      <w:r>
        <w:rPr>
          <w:rFonts w:eastAsia="仿宋"/>
          <w:b/>
          <w:bCs/>
          <w:sz w:val="36"/>
          <w:szCs w:val="36"/>
          <w:u w:val="single"/>
        </w:rPr>
        <w:t xml:space="preserve"> </w:t>
      </w:r>
      <w:r>
        <w:rPr>
          <w:rFonts w:hint="eastAsia" w:eastAsia="仿宋"/>
          <w:b/>
          <w:bCs/>
          <w:sz w:val="36"/>
          <w:szCs w:val="36"/>
          <w:u w:val="single"/>
        </w:rPr>
        <w:t xml:space="preserve">       </w:t>
      </w:r>
      <w:r>
        <w:rPr>
          <w:rFonts w:eastAsia="仿宋"/>
          <w:b/>
          <w:bCs/>
          <w:sz w:val="36"/>
          <w:szCs w:val="36"/>
          <w:u w:val="single"/>
        </w:rPr>
        <w:t>202</w:t>
      </w:r>
      <w:r>
        <w:rPr>
          <w:rFonts w:hint="eastAsia" w:eastAsia="仿宋"/>
          <w:b/>
          <w:bCs/>
          <w:sz w:val="36"/>
          <w:szCs w:val="36"/>
          <w:u w:val="single"/>
        </w:rPr>
        <w:t>3</w:t>
      </w:r>
      <w:r>
        <w:rPr>
          <w:rFonts w:eastAsia="仿宋"/>
          <w:b/>
          <w:bCs/>
          <w:sz w:val="36"/>
          <w:szCs w:val="36"/>
          <w:u w:val="single"/>
        </w:rPr>
        <w:t>年</w:t>
      </w:r>
      <w:r>
        <w:rPr>
          <w:rFonts w:hint="eastAsia" w:eastAsia="仿宋"/>
          <w:b/>
          <w:bCs/>
          <w:sz w:val="36"/>
          <w:szCs w:val="36"/>
          <w:u w:val="single"/>
          <w:lang w:val="en-US" w:eastAsia="zh-CN"/>
        </w:rPr>
        <w:t>11</w:t>
      </w:r>
      <w:r>
        <w:rPr>
          <w:rFonts w:eastAsia="仿宋"/>
          <w:b/>
          <w:bCs/>
          <w:sz w:val="36"/>
          <w:szCs w:val="36"/>
          <w:u w:val="single"/>
        </w:rPr>
        <w:t>月</w:t>
      </w:r>
      <w:r>
        <w:rPr>
          <w:rFonts w:hint="eastAsia" w:eastAsia="仿宋"/>
          <w:b/>
          <w:bCs/>
          <w:sz w:val="36"/>
          <w:szCs w:val="36"/>
          <w:u w:val="single"/>
        </w:rPr>
        <w:t xml:space="preserve">               </w:t>
      </w:r>
    </w:p>
    <w:p>
      <w:pPr>
        <w:ind w:firstLine="0" w:firstLineChars="0"/>
      </w:pPr>
      <w:bookmarkStart w:id="0" w:name="_Hlk57884087"/>
      <w:r>
        <w:rPr>
          <w:rFonts w:hint="eastAsia"/>
        </w:rPr>
        <w:t xml:space="preserve"> </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bookmarkEnd w:id="0"/>
    <w:p>
      <w:pPr>
        <w:ind w:firstLine="0" w:firstLineChars="0"/>
        <w:jc w:val="center"/>
        <w:rPr>
          <w:rFonts w:eastAsia="楷体"/>
          <w:b/>
          <w:bCs/>
          <w:sz w:val="36"/>
          <w:szCs w:val="36"/>
        </w:rPr>
      </w:pPr>
      <w:r>
        <w:rPr>
          <w:rFonts w:eastAsia="楷体"/>
          <w:b/>
          <w:bCs/>
          <w:sz w:val="36"/>
          <w:szCs w:val="36"/>
        </w:rPr>
        <w:t>中华人民共和国生态环境部制</w:t>
      </w:r>
    </w:p>
    <w:p>
      <w:pPr>
        <w:ind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1077" w:gutter="0"/>
          <w:pgNumType w:start="3"/>
          <w:cols w:space="720" w:num="1"/>
          <w:docGrid w:linePitch="312" w:charSpace="0"/>
        </w:sectPr>
      </w:pPr>
    </w:p>
    <w:p>
      <w:pPr>
        <w:ind w:firstLine="643"/>
        <w:rPr>
          <w:sz w:val="32"/>
          <w:szCs w:val="32"/>
        </w:rPr>
      </w:pPr>
      <w:r>
        <w:rPr>
          <w:b/>
          <w:bCs/>
          <w:sz w:val="32"/>
          <w:szCs w:val="32"/>
        </w:rPr>
        <w:fldChar w:fldCharType="begin"/>
      </w:r>
      <w:r>
        <w:rPr>
          <w:b/>
          <w:bCs/>
          <w:sz w:val="32"/>
          <w:szCs w:val="32"/>
        </w:rPr>
        <w:instrText xml:space="preserve">TOC \o "1-1" \h \u </w:instrText>
      </w:r>
      <w:r>
        <w:rPr>
          <w:b/>
          <w:bCs/>
          <w:sz w:val="32"/>
          <w:szCs w:val="32"/>
        </w:rPr>
        <w:fldChar w:fldCharType="separate"/>
      </w:r>
    </w:p>
    <w:p>
      <w:pPr>
        <w:ind w:firstLine="480"/>
      </w:pPr>
      <w:r>
        <w:fldChar w:fldCharType="end"/>
      </w:r>
    </w:p>
    <w:p>
      <w:pPr>
        <w:pStyle w:val="2"/>
        <w:jc w:val="both"/>
        <w:rPr>
          <w:color w:val="auto"/>
        </w:rPr>
        <w:sectPr>
          <w:footerReference r:id="rId11" w:type="default"/>
          <w:pgSz w:w="11906" w:h="16838"/>
          <w:pgMar w:top="1440" w:right="1080" w:bottom="1440" w:left="1080" w:header="851" w:footer="1077" w:gutter="0"/>
          <w:pgNumType w:fmt="upperRoman" w:start="1"/>
          <w:cols w:space="720" w:num="1"/>
          <w:docGrid w:linePitch="312" w:charSpace="0"/>
        </w:sectPr>
      </w:pPr>
    </w:p>
    <w:p>
      <w:pPr>
        <w:pStyle w:val="2"/>
        <w:ind w:firstLineChars="0"/>
        <w:rPr>
          <w:color w:val="auto"/>
        </w:rPr>
      </w:pPr>
      <w:bookmarkStart w:id="1" w:name="_Toc30706"/>
      <w:r>
        <w:rPr>
          <w:color w:val="auto"/>
        </w:rPr>
        <w:t>一、建设项目基本情况</w:t>
      </w:r>
      <w:bookmarkEnd w:id="1"/>
    </w:p>
    <w:tbl>
      <w:tblPr>
        <w:tblStyle w:val="6"/>
        <w:tblW w:w="101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1"/>
        <w:gridCol w:w="2760"/>
        <w:gridCol w:w="2041"/>
        <w:gridCol w:w="36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建设项目名称</w:t>
            </w:r>
          </w:p>
        </w:tc>
        <w:tc>
          <w:tcPr>
            <w:tcW w:w="8459" w:type="dxa"/>
            <w:gridSpan w:val="3"/>
            <w:vAlign w:val="center"/>
          </w:tcPr>
          <w:p>
            <w:pPr>
              <w:pStyle w:val="11"/>
              <w:spacing w:line="360" w:lineRule="auto"/>
              <w:jc w:val="center"/>
              <w:rPr>
                <w:color w:val="auto"/>
                <w:sz w:val="24"/>
                <w:szCs w:val="24"/>
              </w:rPr>
            </w:pPr>
            <w:r>
              <w:rPr>
                <w:rFonts w:hint="eastAsia"/>
                <w:color w:val="auto"/>
                <w:sz w:val="24"/>
                <w:szCs w:val="24"/>
              </w:rPr>
              <w:t>川汉子肉制品精深加工项目（一期）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项目代码</w:t>
            </w:r>
          </w:p>
        </w:tc>
        <w:tc>
          <w:tcPr>
            <w:tcW w:w="8459" w:type="dxa"/>
            <w:gridSpan w:val="3"/>
            <w:vAlign w:val="center"/>
          </w:tcPr>
          <w:p>
            <w:pPr>
              <w:widowControl/>
              <w:ind w:firstLine="0" w:firstLineChars="0"/>
              <w:jc w:val="center"/>
              <w:rPr>
                <w:color w:val="auto"/>
              </w:rPr>
            </w:pPr>
            <w:r>
              <w:rPr>
                <w:rFonts w:hint="eastAsia"/>
                <w:color w:val="auto"/>
              </w:rPr>
              <w:t>2111-511702-04-01-470072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建设单位</w:t>
            </w:r>
          </w:p>
          <w:p>
            <w:pPr>
              <w:pStyle w:val="11"/>
              <w:jc w:val="center"/>
              <w:rPr>
                <w:b/>
                <w:bCs/>
                <w:color w:val="auto"/>
                <w:sz w:val="24"/>
                <w:szCs w:val="24"/>
              </w:rPr>
            </w:pPr>
            <w:r>
              <w:rPr>
                <w:rFonts w:hint="eastAsia"/>
                <w:b/>
                <w:bCs/>
                <w:color w:val="auto"/>
                <w:sz w:val="24"/>
                <w:szCs w:val="24"/>
              </w:rPr>
              <w:t>联系人</w:t>
            </w:r>
          </w:p>
        </w:tc>
        <w:tc>
          <w:tcPr>
            <w:tcW w:w="2760" w:type="dxa"/>
            <w:vAlign w:val="center"/>
          </w:tcPr>
          <w:p>
            <w:pPr>
              <w:widowControl/>
              <w:ind w:firstLine="0" w:firstLineChars="0"/>
              <w:jc w:val="center"/>
              <w:rPr>
                <w:color w:val="auto"/>
              </w:rPr>
            </w:pPr>
            <w:r>
              <w:rPr>
                <w:rFonts w:hint="eastAsia"/>
                <w:color w:val="auto"/>
              </w:rPr>
              <w:t>吴枫</w:t>
            </w:r>
          </w:p>
        </w:tc>
        <w:tc>
          <w:tcPr>
            <w:tcW w:w="2041" w:type="dxa"/>
            <w:vAlign w:val="center"/>
          </w:tcPr>
          <w:p>
            <w:pPr>
              <w:pStyle w:val="11"/>
              <w:spacing w:line="360" w:lineRule="auto"/>
              <w:jc w:val="center"/>
              <w:rPr>
                <w:color w:val="auto"/>
                <w:sz w:val="24"/>
                <w:szCs w:val="24"/>
              </w:rPr>
            </w:pPr>
            <w:r>
              <w:rPr>
                <w:b/>
                <w:bCs/>
                <w:color w:val="auto"/>
                <w:sz w:val="24"/>
                <w:szCs w:val="24"/>
              </w:rPr>
              <w:t>联系方式</w:t>
            </w:r>
          </w:p>
        </w:tc>
        <w:tc>
          <w:tcPr>
            <w:tcW w:w="3658" w:type="dxa"/>
            <w:vAlign w:val="center"/>
          </w:tcPr>
          <w:p>
            <w:pPr>
              <w:pStyle w:val="11"/>
              <w:spacing w:line="360" w:lineRule="auto"/>
              <w:jc w:val="center"/>
              <w:rPr>
                <w:color w:val="auto"/>
                <w:sz w:val="24"/>
                <w:szCs w:val="24"/>
              </w:rPr>
            </w:pPr>
            <w:r>
              <w:rPr>
                <w:rFonts w:hint="eastAsia"/>
                <w:color w:val="auto"/>
                <w:sz w:val="24"/>
                <w:szCs w:val="24"/>
              </w:rPr>
              <w:t xml:space="preserve">15082400999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建设地点</w:t>
            </w:r>
          </w:p>
        </w:tc>
        <w:tc>
          <w:tcPr>
            <w:tcW w:w="8459" w:type="dxa"/>
            <w:gridSpan w:val="3"/>
            <w:vAlign w:val="center"/>
          </w:tcPr>
          <w:p>
            <w:pPr>
              <w:pStyle w:val="11"/>
              <w:spacing w:line="360" w:lineRule="auto"/>
              <w:jc w:val="center"/>
              <w:rPr>
                <w:color w:val="auto"/>
                <w:sz w:val="24"/>
                <w:szCs w:val="24"/>
              </w:rPr>
            </w:pPr>
            <w:r>
              <w:rPr>
                <w:rFonts w:hint="eastAsia"/>
                <w:color w:val="auto"/>
                <w:sz w:val="24"/>
                <w:szCs w:val="24"/>
              </w:rPr>
              <w:t>四川省达州市通川区工业集中区食品大道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地理坐标</w:t>
            </w:r>
          </w:p>
        </w:tc>
        <w:tc>
          <w:tcPr>
            <w:tcW w:w="8459" w:type="dxa"/>
            <w:gridSpan w:val="3"/>
            <w:vAlign w:val="center"/>
          </w:tcPr>
          <w:p>
            <w:pPr>
              <w:pStyle w:val="11"/>
              <w:spacing w:line="360" w:lineRule="auto"/>
              <w:jc w:val="center"/>
              <w:rPr>
                <w:color w:val="auto"/>
                <w:sz w:val="24"/>
                <w:szCs w:val="24"/>
              </w:rPr>
            </w:pPr>
            <w:r>
              <w:rPr>
                <w:rFonts w:hint="eastAsia"/>
                <w:color w:val="auto"/>
                <w:sz w:val="24"/>
                <w:szCs w:val="24"/>
              </w:rPr>
              <w:t>经度</w:t>
            </w:r>
            <w:r>
              <w:rPr>
                <w:color w:val="auto"/>
                <w:sz w:val="24"/>
                <w:szCs w:val="24"/>
              </w:rPr>
              <w:t xml:space="preserve">：107°30′56.923″；  </w:t>
            </w:r>
            <w:r>
              <w:rPr>
                <w:rFonts w:hint="eastAsia"/>
                <w:color w:val="auto"/>
                <w:sz w:val="24"/>
                <w:szCs w:val="24"/>
              </w:rPr>
              <w:t>纬度</w:t>
            </w:r>
            <w:r>
              <w:rPr>
                <w:color w:val="auto"/>
                <w:sz w:val="24"/>
                <w:szCs w:val="24"/>
              </w:rPr>
              <w:t>：31°21′25.132″；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国民经济</w:t>
            </w:r>
          </w:p>
          <w:p>
            <w:pPr>
              <w:pStyle w:val="11"/>
              <w:jc w:val="center"/>
              <w:rPr>
                <w:b/>
                <w:bCs/>
                <w:color w:val="auto"/>
                <w:sz w:val="24"/>
                <w:szCs w:val="24"/>
              </w:rPr>
            </w:pPr>
            <w:r>
              <w:rPr>
                <w:b/>
                <w:bCs/>
                <w:color w:val="auto"/>
                <w:sz w:val="24"/>
                <w:szCs w:val="24"/>
              </w:rPr>
              <w:t>行业类别</w:t>
            </w:r>
          </w:p>
        </w:tc>
        <w:tc>
          <w:tcPr>
            <w:tcW w:w="2760" w:type="dxa"/>
            <w:vAlign w:val="center"/>
          </w:tcPr>
          <w:p>
            <w:pPr>
              <w:widowControl/>
              <w:spacing w:line="240" w:lineRule="auto"/>
              <w:ind w:firstLine="0" w:firstLineChars="0"/>
              <w:jc w:val="center"/>
              <w:rPr>
                <w:color w:val="auto"/>
              </w:rPr>
            </w:pPr>
            <w:r>
              <w:rPr>
                <w:rFonts w:hint="eastAsia"/>
                <w:color w:val="auto"/>
              </w:rPr>
              <w:t xml:space="preserve">C1353 </w:t>
            </w:r>
          </w:p>
          <w:p>
            <w:pPr>
              <w:widowControl/>
              <w:spacing w:line="240" w:lineRule="auto"/>
              <w:ind w:firstLine="0" w:firstLineChars="0"/>
              <w:jc w:val="center"/>
              <w:rPr>
                <w:color w:val="auto"/>
              </w:rPr>
            </w:pPr>
            <w:r>
              <w:rPr>
                <w:rFonts w:hint="eastAsia"/>
                <w:color w:val="auto"/>
              </w:rPr>
              <w:t>肉制品及副产品加工</w:t>
            </w:r>
          </w:p>
        </w:tc>
        <w:tc>
          <w:tcPr>
            <w:tcW w:w="2041" w:type="dxa"/>
            <w:vAlign w:val="center"/>
          </w:tcPr>
          <w:p>
            <w:pPr>
              <w:widowControl/>
              <w:spacing w:line="240" w:lineRule="auto"/>
              <w:ind w:firstLine="0" w:firstLineChars="0"/>
              <w:jc w:val="center"/>
              <w:rPr>
                <w:b/>
                <w:bCs/>
                <w:color w:val="auto"/>
              </w:rPr>
            </w:pPr>
            <w:bookmarkStart w:id="2" w:name="_Hlk49843745"/>
            <w:r>
              <w:rPr>
                <w:b/>
                <w:bCs/>
                <w:color w:val="auto"/>
              </w:rPr>
              <w:t>建设项目</w:t>
            </w:r>
          </w:p>
          <w:p>
            <w:pPr>
              <w:widowControl/>
              <w:spacing w:line="240" w:lineRule="auto"/>
              <w:ind w:firstLine="0" w:firstLineChars="0"/>
              <w:jc w:val="center"/>
              <w:rPr>
                <w:b/>
                <w:bCs/>
                <w:color w:val="auto"/>
              </w:rPr>
            </w:pPr>
            <w:r>
              <w:rPr>
                <w:b/>
                <w:bCs/>
                <w:color w:val="auto"/>
              </w:rPr>
              <w:t>行业类别</w:t>
            </w:r>
            <w:bookmarkEnd w:id="2"/>
          </w:p>
        </w:tc>
        <w:tc>
          <w:tcPr>
            <w:tcW w:w="3658" w:type="dxa"/>
            <w:vAlign w:val="center"/>
          </w:tcPr>
          <w:p>
            <w:pPr>
              <w:pStyle w:val="11"/>
              <w:spacing w:line="240" w:lineRule="auto"/>
              <w:jc w:val="center"/>
              <w:rPr>
                <w:color w:val="auto"/>
                <w:sz w:val="24"/>
                <w:szCs w:val="24"/>
              </w:rPr>
            </w:pPr>
            <w:r>
              <w:rPr>
                <w:color w:val="auto"/>
                <w:sz w:val="24"/>
                <w:szCs w:val="24"/>
              </w:rPr>
              <w:t>第十一项“食品制造业”</w:t>
            </w:r>
          </w:p>
          <w:p>
            <w:pPr>
              <w:pStyle w:val="11"/>
              <w:spacing w:line="240" w:lineRule="auto"/>
              <w:jc w:val="center"/>
              <w:rPr>
                <w:color w:val="auto"/>
                <w:sz w:val="24"/>
                <w:szCs w:val="24"/>
              </w:rPr>
            </w:pPr>
            <w:r>
              <w:rPr>
                <w:color w:val="auto"/>
                <w:sz w:val="24"/>
                <w:szCs w:val="24"/>
              </w:rPr>
              <w:t>第24条“其它食品制造”中</w:t>
            </w:r>
          </w:p>
          <w:p>
            <w:pPr>
              <w:pStyle w:val="11"/>
              <w:spacing w:line="240" w:lineRule="auto"/>
              <w:jc w:val="center"/>
              <w:rPr>
                <w:color w:val="auto"/>
                <w:sz w:val="24"/>
                <w:szCs w:val="24"/>
              </w:rPr>
            </w:pPr>
            <w:r>
              <w:rPr>
                <w:color w:val="auto"/>
                <w:sz w:val="24"/>
                <w:szCs w:val="24"/>
              </w:rPr>
              <w:t>“其他未列明食品制造”类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建设性质</w:t>
            </w:r>
          </w:p>
        </w:tc>
        <w:tc>
          <w:tcPr>
            <w:tcW w:w="2760" w:type="dxa"/>
            <w:vAlign w:val="center"/>
          </w:tcPr>
          <w:p>
            <w:pPr>
              <w:widowControl/>
              <w:spacing w:line="240" w:lineRule="auto"/>
              <w:ind w:firstLine="0" w:firstLineChars="0"/>
              <w:jc w:val="left"/>
              <w:rPr>
                <w:color w:val="auto"/>
              </w:rPr>
            </w:pPr>
            <w:r>
              <w:rPr>
                <w:color w:val="auto"/>
              </w:rPr>
              <w:t>☑新建（迁建）</w:t>
            </w:r>
          </w:p>
          <w:p>
            <w:pPr>
              <w:widowControl/>
              <w:spacing w:line="240" w:lineRule="auto"/>
              <w:ind w:firstLine="0" w:firstLineChars="0"/>
              <w:jc w:val="left"/>
              <w:rPr>
                <w:color w:val="auto"/>
              </w:rPr>
            </w:pPr>
            <w:r>
              <w:rPr>
                <w:color w:val="auto"/>
              </w:rPr>
              <w:t>□改建</w:t>
            </w:r>
          </w:p>
          <w:p>
            <w:pPr>
              <w:widowControl/>
              <w:spacing w:line="240" w:lineRule="auto"/>
              <w:ind w:firstLine="0" w:firstLineChars="0"/>
              <w:jc w:val="left"/>
              <w:rPr>
                <w:color w:val="auto"/>
              </w:rPr>
            </w:pPr>
            <w:r>
              <w:rPr>
                <w:color w:val="auto"/>
              </w:rPr>
              <w:t>□扩建</w:t>
            </w:r>
          </w:p>
          <w:p>
            <w:pPr>
              <w:widowControl/>
              <w:spacing w:line="240" w:lineRule="auto"/>
              <w:ind w:firstLine="0" w:firstLineChars="0"/>
              <w:jc w:val="left"/>
              <w:rPr>
                <w:color w:val="auto"/>
              </w:rPr>
            </w:pPr>
            <w:r>
              <w:rPr>
                <w:color w:val="auto"/>
              </w:rPr>
              <w:t>□技术改造</w:t>
            </w:r>
          </w:p>
        </w:tc>
        <w:tc>
          <w:tcPr>
            <w:tcW w:w="2041" w:type="dxa"/>
            <w:vAlign w:val="center"/>
          </w:tcPr>
          <w:p>
            <w:pPr>
              <w:widowControl/>
              <w:spacing w:line="240" w:lineRule="auto"/>
              <w:ind w:firstLine="0" w:firstLineChars="0"/>
              <w:jc w:val="center"/>
              <w:rPr>
                <w:b/>
                <w:bCs/>
                <w:color w:val="auto"/>
              </w:rPr>
            </w:pPr>
            <w:r>
              <w:rPr>
                <w:b/>
                <w:bCs/>
                <w:color w:val="auto"/>
              </w:rPr>
              <w:t>建设项目</w:t>
            </w:r>
          </w:p>
          <w:p>
            <w:pPr>
              <w:widowControl/>
              <w:spacing w:line="240" w:lineRule="auto"/>
              <w:ind w:firstLine="0" w:firstLineChars="0"/>
              <w:jc w:val="center"/>
              <w:rPr>
                <w:b/>
                <w:bCs/>
                <w:color w:val="auto"/>
              </w:rPr>
            </w:pPr>
            <w:r>
              <w:rPr>
                <w:b/>
                <w:bCs/>
                <w:color w:val="auto"/>
              </w:rPr>
              <w:t>申报情形</w:t>
            </w:r>
          </w:p>
        </w:tc>
        <w:tc>
          <w:tcPr>
            <w:tcW w:w="3658" w:type="dxa"/>
            <w:vAlign w:val="center"/>
          </w:tcPr>
          <w:p>
            <w:pPr>
              <w:pStyle w:val="11"/>
              <w:rPr>
                <w:color w:val="auto"/>
                <w:sz w:val="24"/>
                <w:szCs w:val="24"/>
              </w:rPr>
            </w:pPr>
            <w:r>
              <w:rPr>
                <w:color w:val="auto"/>
                <w:sz w:val="24"/>
                <w:szCs w:val="24"/>
              </w:rPr>
              <w:t xml:space="preserve">☑首次申报项目             </w:t>
            </w:r>
          </w:p>
          <w:p>
            <w:pPr>
              <w:pStyle w:val="11"/>
              <w:rPr>
                <w:color w:val="auto"/>
                <w:sz w:val="24"/>
                <w:szCs w:val="24"/>
              </w:rPr>
            </w:pPr>
            <w:r>
              <w:rPr>
                <w:color w:val="auto"/>
                <w:sz w:val="24"/>
                <w:szCs w:val="24"/>
              </w:rPr>
              <w:t>□不予批准后再次申报项目</w:t>
            </w:r>
          </w:p>
          <w:p>
            <w:pPr>
              <w:pStyle w:val="11"/>
              <w:rPr>
                <w:color w:val="auto"/>
                <w:sz w:val="24"/>
                <w:szCs w:val="24"/>
              </w:rPr>
            </w:pPr>
            <w:r>
              <w:rPr>
                <w:color w:val="auto"/>
                <w:sz w:val="24"/>
                <w:szCs w:val="24"/>
              </w:rPr>
              <w:t xml:space="preserve">□超五年重新审核项目     </w:t>
            </w:r>
          </w:p>
          <w:p>
            <w:pPr>
              <w:pStyle w:val="11"/>
              <w:rPr>
                <w:color w:val="auto"/>
                <w:sz w:val="24"/>
                <w:szCs w:val="24"/>
              </w:rPr>
            </w:pPr>
            <w:r>
              <w:rPr>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项目审批</w:t>
            </w:r>
          </w:p>
          <w:p>
            <w:pPr>
              <w:pStyle w:val="11"/>
              <w:jc w:val="center"/>
              <w:rPr>
                <w:b/>
                <w:bCs/>
                <w:color w:val="auto"/>
                <w:sz w:val="24"/>
                <w:szCs w:val="24"/>
              </w:rPr>
            </w:pPr>
            <w:r>
              <w:rPr>
                <w:b/>
                <w:bCs/>
                <w:color w:val="auto"/>
                <w:sz w:val="24"/>
                <w:szCs w:val="24"/>
              </w:rPr>
              <w:t>（核准/备案）</w:t>
            </w:r>
          </w:p>
          <w:p>
            <w:pPr>
              <w:pStyle w:val="11"/>
              <w:jc w:val="center"/>
              <w:rPr>
                <w:b/>
                <w:bCs/>
                <w:color w:val="auto"/>
                <w:sz w:val="24"/>
                <w:szCs w:val="24"/>
              </w:rPr>
            </w:pPr>
            <w:r>
              <w:rPr>
                <w:b/>
                <w:bCs/>
                <w:color w:val="auto"/>
                <w:sz w:val="24"/>
                <w:szCs w:val="24"/>
              </w:rPr>
              <w:t>部门（选填）</w:t>
            </w:r>
          </w:p>
        </w:tc>
        <w:tc>
          <w:tcPr>
            <w:tcW w:w="2760" w:type="dxa"/>
            <w:vAlign w:val="center"/>
          </w:tcPr>
          <w:p>
            <w:pPr>
              <w:pStyle w:val="11"/>
              <w:jc w:val="center"/>
              <w:rPr>
                <w:color w:val="auto"/>
                <w:sz w:val="24"/>
                <w:szCs w:val="24"/>
              </w:rPr>
            </w:pPr>
            <w:r>
              <w:rPr>
                <w:rFonts w:hint="eastAsia"/>
                <w:color w:val="auto"/>
                <w:sz w:val="24"/>
                <w:szCs w:val="24"/>
              </w:rPr>
              <w:t>通川区发展和改革局</w:t>
            </w:r>
          </w:p>
        </w:tc>
        <w:tc>
          <w:tcPr>
            <w:tcW w:w="2041" w:type="dxa"/>
            <w:vAlign w:val="center"/>
          </w:tcPr>
          <w:p>
            <w:pPr>
              <w:widowControl/>
              <w:spacing w:line="240" w:lineRule="auto"/>
              <w:ind w:firstLine="0" w:firstLineChars="0"/>
              <w:jc w:val="center"/>
              <w:rPr>
                <w:b/>
                <w:bCs/>
                <w:color w:val="auto"/>
              </w:rPr>
            </w:pPr>
            <w:r>
              <w:rPr>
                <w:b/>
                <w:bCs/>
                <w:color w:val="auto"/>
              </w:rPr>
              <w:t>项目审批（核准/</w:t>
            </w:r>
          </w:p>
          <w:p>
            <w:pPr>
              <w:widowControl/>
              <w:spacing w:line="240" w:lineRule="auto"/>
              <w:ind w:firstLine="0" w:firstLineChars="0"/>
              <w:jc w:val="center"/>
              <w:rPr>
                <w:b/>
                <w:bCs/>
                <w:color w:val="auto"/>
              </w:rPr>
            </w:pPr>
            <w:r>
              <w:rPr>
                <w:b/>
                <w:bCs/>
                <w:color w:val="auto"/>
              </w:rPr>
              <w:t>备案）文号（选填）</w:t>
            </w:r>
          </w:p>
        </w:tc>
        <w:tc>
          <w:tcPr>
            <w:tcW w:w="3658" w:type="dxa"/>
            <w:vAlign w:val="center"/>
          </w:tcPr>
          <w:p>
            <w:pPr>
              <w:widowControl/>
              <w:spacing w:line="240" w:lineRule="auto"/>
              <w:ind w:firstLine="0" w:firstLineChars="0"/>
              <w:jc w:val="center"/>
              <w:rPr>
                <w:color w:val="auto"/>
              </w:rPr>
            </w:pPr>
            <w:r>
              <w:rPr>
                <w:color w:val="auto"/>
              </w:rPr>
              <w:t>川投资备[</w:t>
            </w:r>
            <w:r>
              <w:rPr>
                <w:rFonts w:hint="eastAsia"/>
                <w:color w:val="auto"/>
              </w:rPr>
              <w:t>2111-511702-04-01-470072</w:t>
            </w:r>
            <w:r>
              <w:rPr>
                <w:color w:val="auto"/>
              </w:rPr>
              <w:t>]</w:t>
            </w:r>
          </w:p>
          <w:p>
            <w:pPr>
              <w:widowControl/>
              <w:spacing w:line="240" w:lineRule="auto"/>
              <w:ind w:firstLine="0" w:firstLineChars="0"/>
              <w:jc w:val="center"/>
              <w:rPr>
                <w:color w:val="auto"/>
              </w:rPr>
            </w:pPr>
            <w:r>
              <w:rPr>
                <w:color w:val="auto"/>
              </w:rPr>
              <w:t>FGQB</w:t>
            </w:r>
            <w:r>
              <w:rPr>
                <w:rFonts w:hint="eastAsia"/>
                <w:color w:val="auto"/>
              </w:rPr>
              <w:t>-0186</w:t>
            </w:r>
            <w:r>
              <w:rPr>
                <w:color w:val="auto"/>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总投资（万元）</w:t>
            </w:r>
          </w:p>
        </w:tc>
        <w:tc>
          <w:tcPr>
            <w:tcW w:w="2760" w:type="dxa"/>
            <w:vAlign w:val="center"/>
          </w:tcPr>
          <w:p>
            <w:pPr>
              <w:widowControl/>
              <w:ind w:firstLine="0" w:firstLineChars="0"/>
              <w:jc w:val="center"/>
              <w:rPr>
                <w:color w:val="auto"/>
              </w:rPr>
            </w:pPr>
            <w:r>
              <w:rPr>
                <w:rFonts w:hint="eastAsia"/>
                <w:color w:val="auto"/>
              </w:rPr>
              <w:t>9000</w:t>
            </w:r>
          </w:p>
        </w:tc>
        <w:tc>
          <w:tcPr>
            <w:tcW w:w="2041" w:type="dxa"/>
            <w:tcMar>
              <w:top w:w="16" w:type="dxa"/>
              <w:left w:w="16" w:type="dxa"/>
              <w:right w:w="16" w:type="dxa"/>
            </w:tcMar>
            <w:vAlign w:val="center"/>
          </w:tcPr>
          <w:p>
            <w:pPr>
              <w:widowControl/>
              <w:ind w:firstLine="0" w:firstLineChars="0"/>
              <w:jc w:val="center"/>
              <w:rPr>
                <w:b/>
                <w:bCs/>
                <w:color w:val="auto"/>
              </w:rPr>
            </w:pPr>
            <w:r>
              <w:rPr>
                <w:b/>
                <w:bCs/>
                <w:color w:val="auto"/>
              </w:rPr>
              <w:t>环保投资（万元）</w:t>
            </w:r>
          </w:p>
        </w:tc>
        <w:tc>
          <w:tcPr>
            <w:tcW w:w="3658" w:type="dxa"/>
            <w:vAlign w:val="center"/>
          </w:tcPr>
          <w:p>
            <w:pPr>
              <w:pStyle w:val="11"/>
              <w:spacing w:line="360" w:lineRule="auto"/>
              <w:jc w:val="center"/>
              <w:rPr>
                <w:rFonts w:hint="default" w:eastAsia="宋体"/>
                <w:color w:val="auto"/>
                <w:sz w:val="24"/>
                <w:szCs w:val="24"/>
                <w:lang w:val="en-US" w:eastAsia="zh-CN"/>
              </w:rPr>
            </w:pPr>
            <w:r>
              <w:rPr>
                <w:rFonts w:hint="eastAsia"/>
                <w:color w:val="auto"/>
                <w:sz w:val="24"/>
                <w:szCs w:val="24"/>
                <w:lang w:val="en-US" w:eastAsia="zh-CN"/>
              </w:rPr>
              <w:t>336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环保投资占比（%）</w:t>
            </w:r>
          </w:p>
        </w:tc>
        <w:tc>
          <w:tcPr>
            <w:tcW w:w="2760" w:type="dxa"/>
            <w:vAlign w:val="center"/>
          </w:tcPr>
          <w:p>
            <w:pPr>
              <w:widowControl/>
              <w:ind w:firstLine="0" w:firstLineChars="0"/>
              <w:jc w:val="center"/>
              <w:rPr>
                <w:rFonts w:hint="default" w:eastAsia="宋体"/>
                <w:color w:val="auto"/>
                <w:lang w:val="en-US" w:eastAsia="zh-CN"/>
              </w:rPr>
            </w:pPr>
            <w:r>
              <w:rPr>
                <w:rFonts w:hint="eastAsia"/>
                <w:color w:val="auto"/>
                <w:lang w:val="en-US" w:eastAsia="zh-CN"/>
              </w:rPr>
              <w:t>3.7</w:t>
            </w:r>
          </w:p>
        </w:tc>
        <w:tc>
          <w:tcPr>
            <w:tcW w:w="2041" w:type="dxa"/>
            <w:tcMar>
              <w:top w:w="16" w:type="dxa"/>
              <w:left w:w="16" w:type="dxa"/>
              <w:right w:w="16" w:type="dxa"/>
            </w:tcMar>
            <w:vAlign w:val="center"/>
          </w:tcPr>
          <w:p>
            <w:pPr>
              <w:widowControl/>
              <w:ind w:firstLine="0" w:firstLineChars="0"/>
              <w:jc w:val="center"/>
              <w:rPr>
                <w:b/>
                <w:bCs/>
                <w:color w:val="auto"/>
              </w:rPr>
            </w:pPr>
            <w:r>
              <w:rPr>
                <w:b/>
                <w:bCs/>
                <w:color w:val="auto"/>
              </w:rPr>
              <w:t>施工工期</w:t>
            </w:r>
          </w:p>
        </w:tc>
        <w:tc>
          <w:tcPr>
            <w:tcW w:w="3658" w:type="dxa"/>
            <w:vAlign w:val="center"/>
          </w:tcPr>
          <w:p>
            <w:pPr>
              <w:pStyle w:val="11"/>
              <w:spacing w:line="360" w:lineRule="auto"/>
              <w:jc w:val="center"/>
              <w:rPr>
                <w:color w:val="auto"/>
                <w:sz w:val="24"/>
                <w:szCs w:val="24"/>
              </w:rPr>
            </w:pPr>
            <w:r>
              <w:rPr>
                <w:rFonts w:hint="eastAsia"/>
                <w:color w:val="auto"/>
                <w:sz w:val="24"/>
                <w:szCs w:val="24"/>
              </w:rPr>
              <w:t>12</w:t>
            </w:r>
            <w:r>
              <w:rPr>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是否开工建设</w:t>
            </w:r>
          </w:p>
        </w:tc>
        <w:tc>
          <w:tcPr>
            <w:tcW w:w="2760" w:type="dxa"/>
            <w:vAlign w:val="center"/>
          </w:tcPr>
          <w:p>
            <w:pPr>
              <w:widowControl/>
              <w:ind w:firstLine="0" w:firstLineChars="0"/>
              <w:rPr>
                <w:color w:val="auto"/>
              </w:rPr>
            </w:pPr>
            <w:r>
              <w:rPr>
                <w:rFonts w:hint="eastAsia"/>
                <w:color w:val="auto"/>
                <w:lang w:eastAsia="zh-CN"/>
              </w:rPr>
              <w:t>□</w:t>
            </w:r>
            <w:r>
              <w:rPr>
                <w:color w:val="auto"/>
              </w:rPr>
              <w:t>否</w:t>
            </w:r>
          </w:p>
          <w:p>
            <w:pPr>
              <w:widowControl/>
              <w:spacing w:line="240" w:lineRule="auto"/>
              <w:ind w:firstLine="0" w:firstLineChars="0"/>
              <w:rPr>
                <w:rFonts w:hint="eastAsia" w:eastAsia="宋体"/>
                <w:color w:val="auto"/>
                <w:lang w:eastAsia="zh-CN"/>
              </w:rPr>
            </w:pPr>
            <w:r>
              <w:rPr>
                <w:rFonts w:hint="eastAsia"/>
                <w:color w:val="auto"/>
                <w:lang w:eastAsia="zh-CN"/>
              </w:rPr>
              <w:t>☑</w:t>
            </w:r>
            <w:r>
              <w:rPr>
                <w:color w:val="auto"/>
              </w:rPr>
              <w:t>是：</w:t>
            </w:r>
            <w:r>
              <w:rPr>
                <w:color w:val="auto"/>
                <w:sz w:val="24"/>
                <w:szCs w:val="24"/>
                <w:u w:val="single"/>
              </w:rPr>
              <w:t xml:space="preserve"> </w:t>
            </w:r>
            <w:r>
              <w:rPr>
                <w:rFonts w:hint="eastAsia"/>
                <w:color w:val="auto"/>
                <w:sz w:val="24"/>
                <w:szCs w:val="24"/>
                <w:u w:val="single"/>
                <w:lang w:val="en-US" w:eastAsia="zh-CN"/>
              </w:rPr>
              <w:t xml:space="preserve"> 项目于2022年3月开始标准厂房及生产线的建设，由于周边市场的需求，于2023年4月停止项目建设，至今尚未实现项目投运； </w:t>
            </w:r>
          </w:p>
        </w:tc>
        <w:tc>
          <w:tcPr>
            <w:tcW w:w="2041" w:type="dxa"/>
            <w:tcMar>
              <w:top w:w="16" w:type="dxa"/>
              <w:left w:w="16" w:type="dxa"/>
              <w:right w:w="16" w:type="dxa"/>
            </w:tcMar>
            <w:vAlign w:val="center"/>
          </w:tcPr>
          <w:p>
            <w:pPr>
              <w:widowControl/>
              <w:spacing w:line="240" w:lineRule="auto"/>
              <w:ind w:firstLine="0" w:firstLineChars="0"/>
              <w:jc w:val="center"/>
              <w:rPr>
                <w:b/>
                <w:bCs/>
                <w:color w:val="auto"/>
                <w:spacing w:val="-6"/>
              </w:rPr>
            </w:pPr>
            <w:r>
              <w:rPr>
                <w:b/>
                <w:bCs/>
                <w:color w:val="auto"/>
                <w:spacing w:val="-6"/>
              </w:rPr>
              <w:t>用地（用海）</w:t>
            </w:r>
          </w:p>
          <w:p>
            <w:pPr>
              <w:widowControl/>
              <w:spacing w:line="240" w:lineRule="auto"/>
              <w:ind w:firstLine="0" w:firstLineChars="0"/>
              <w:jc w:val="center"/>
              <w:rPr>
                <w:b/>
                <w:bCs/>
                <w:color w:val="auto"/>
              </w:rPr>
            </w:pPr>
            <w:r>
              <w:rPr>
                <w:b/>
                <w:bCs/>
                <w:color w:val="auto"/>
                <w:spacing w:val="-6"/>
              </w:rPr>
              <w:t>面积（m</w:t>
            </w:r>
            <w:r>
              <w:rPr>
                <w:b/>
                <w:bCs/>
                <w:color w:val="auto"/>
                <w:spacing w:val="-6"/>
                <w:vertAlign w:val="superscript"/>
              </w:rPr>
              <w:t>2</w:t>
            </w:r>
            <w:r>
              <w:rPr>
                <w:b/>
                <w:bCs/>
                <w:color w:val="auto"/>
                <w:spacing w:val="-6"/>
              </w:rPr>
              <w:t>）</w:t>
            </w:r>
          </w:p>
        </w:tc>
        <w:tc>
          <w:tcPr>
            <w:tcW w:w="3658" w:type="dxa"/>
            <w:vAlign w:val="center"/>
          </w:tcPr>
          <w:p>
            <w:pPr>
              <w:pStyle w:val="11"/>
              <w:spacing w:line="360" w:lineRule="auto"/>
              <w:jc w:val="center"/>
              <w:rPr>
                <w:color w:val="auto"/>
                <w:sz w:val="24"/>
                <w:szCs w:val="24"/>
              </w:rPr>
            </w:pPr>
            <w:r>
              <w:rPr>
                <w:rFonts w:hint="eastAsia"/>
                <w:color w:val="auto"/>
                <w:sz w:val="24"/>
                <w:szCs w:val="24"/>
              </w:rPr>
              <w:t>53360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jc w:val="center"/>
              <w:rPr>
                <w:b/>
                <w:bCs/>
                <w:color w:val="auto"/>
                <w:sz w:val="24"/>
                <w:szCs w:val="24"/>
              </w:rPr>
            </w:pPr>
            <w:r>
              <w:rPr>
                <w:b/>
                <w:bCs/>
                <w:color w:val="auto"/>
                <w:sz w:val="24"/>
                <w:szCs w:val="24"/>
              </w:rPr>
              <w:t>专项评价</w:t>
            </w:r>
          </w:p>
          <w:p>
            <w:pPr>
              <w:pStyle w:val="11"/>
              <w:jc w:val="center"/>
              <w:rPr>
                <w:b/>
                <w:bCs/>
                <w:color w:val="auto"/>
                <w:sz w:val="24"/>
                <w:szCs w:val="24"/>
              </w:rPr>
            </w:pPr>
            <w:r>
              <w:rPr>
                <w:b/>
                <w:bCs/>
                <w:color w:val="auto"/>
                <w:sz w:val="24"/>
                <w:szCs w:val="24"/>
              </w:rPr>
              <w:t>设置情况</w:t>
            </w:r>
          </w:p>
        </w:tc>
        <w:tc>
          <w:tcPr>
            <w:tcW w:w="8459" w:type="dxa"/>
            <w:gridSpan w:val="3"/>
            <w:vAlign w:val="center"/>
          </w:tcPr>
          <w:p>
            <w:pPr>
              <w:pStyle w:val="11"/>
              <w:jc w:val="center"/>
              <w:rPr>
                <w:b/>
                <w:bCs/>
                <w:color w:val="auto"/>
                <w:sz w:val="21"/>
                <w:szCs w:val="21"/>
              </w:rPr>
            </w:pPr>
            <w:r>
              <w:rPr>
                <w:b/>
                <w:bCs/>
                <w:color w:val="auto"/>
                <w:sz w:val="21"/>
                <w:szCs w:val="21"/>
              </w:rPr>
              <w:t>表</w:t>
            </w:r>
            <w:r>
              <w:rPr>
                <w:b/>
                <w:bCs/>
                <w:color w:val="auto"/>
                <w:sz w:val="21"/>
                <w:szCs w:val="21"/>
                <w:lang w:val="zh-TW" w:eastAsia="zh-TW"/>
              </w:rPr>
              <w:t>1-</w:t>
            </w:r>
            <w:r>
              <w:rPr>
                <w:b/>
                <w:bCs/>
                <w:color w:val="auto"/>
                <w:sz w:val="21"/>
                <w:szCs w:val="21"/>
              </w:rPr>
              <w:t>1</w:t>
            </w:r>
            <w:r>
              <w:rPr>
                <w:b/>
                <w:bCs/>
                <w:color w:val="auto"/>
                <w:sz w:val="21"/>
                <w:szCs w:val="21"/>
                <w:lang w:val="zh-TW" w:eastAsia="zh-TW"/>
              </w:rPr>
              <w:t xml:space="preserve">   </w:t>
            </w:r>
            <w:r>
              <w:rPr>
                <w:b/>
                <w:bCs/>
                <w:color w:val="auto"/>
                <w:sz w:val="21"/>
                <w:szCs w:val="21"/>
              </w:rPr>
              <w:t xml:space="preserve"> 专项评价设置</w:t>
            </w:r>
            <w:r>
              <w:rPr>
                <w:rFonts w:hint="eastAsia"/>
                <w:b/>
                <w:bCs/>
                <w:color w:val="auto"/>
                <w:sz w:val="21"/>
                <w:szCs w:val="21"/>
              </w:rPr>
              <w:t>情况对照表</w:t>
            </w:r>
          </w:p>
          <w:tbl>
            <w:tblPr>
              <w:tblStyle w:val="6"/>
              <w:tblW w:w="83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6"/>
              <w:gridCol w:w="3902"/>
              <w:gridCol w:w="3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b/>
                      <w:bCs/>
                      <w:color w:val="auto"/>
                      <w:sz w:val="21"/>
                      <w:szCs w:val="21"/>
                    </w:rPr>
                  </w:pPr>
                  <w:r>
                    <w:rPr>
                      <w:b/>
                      <w:bCs/>
                      <w:color w:val="auto"/>
                      <w:sz w:val="21"/>
                      <w:szCs w:val="21"/>
                      <w:lang w:val="zh-TW" w:eastAsia="zh-TW"/>
                    </w:rPr>
                    <w:t>内容</w:t>
                  </w:r>
                </w:p>
              </w:tc>
              <w:tc>
                <w:tcPr>
                  <w:tcW w:w="3902" w:type="dxa"/>
                  <w:tcBorders>
                    <w:tl2br w:val="nil"/>
                    <w:tr2bl w:val="nil"/>
                  </w:tcBorders>
                  <w:shd w:val="clear" w:color="auto" w:fill="FFFFFF"/>
                  <w:vAlign w:val="center"/>
                </w:tcPr>
                <w:p>
                  <w:pPr>
                    <w:pStyle w:val="11"/>
                    <w:jc w:val="center"/>
                    <w:rPr>
                      <w:b/>
                      <w:bCs/>
                      <w:color w:val="auto"/>
                      <w:sz w:val="21"/>
                      <w:szCs w:val="21"/>
                    </w:rPr>
                  </w:pPr>
                  <w:r>
                    <w:rPr>
                      <w:b/>
                      <w:bCs/>
                      <w:color w:val="auto"/>
                      <w:sz w:val="21"/>
                      <w:szCs w:val="21"/>
                    </w:rPr>
                    <w:t>设置原则</w:t>
                  </w:r>
                </w:p>
              </w:tc>
              <w:tc>
                <w:tcPr>
                  <w:tcW w:w="3645" w:type="dxa"/>
                  <w:tcBorders>
                    <w:tl2br w:val="nil"/>
                    <w:tr2bl w:val="nil"/>
                  </w:tcBorders>
                  <w:shd w:val="clear" w:color="auto" w:fill="FFFFFF"/>
                  <w:vAlign w:val="center"/>
                </w:tcPr>
                <w:p>
                  <w:pPr>
                    <w:pStyle w:val="11"/>
                    <w:jc w:val="center"/>
                    <w:rPr>
                      <w:b/>
                      <w:bCs/>
                      <w:color w:val="auto"/>
                      <w:sz w:val="21"/>
                      <w:szCs w:val="21"/>
                    </w:rPr>
                  </w:pPr>
                  <w:r>
                    <w:rPr>
                      <w:b/>
                      <w:bCs/>
                      <w:color w:val="auto"/>
                      <w:sz w:val="21"/>
                      <w:szCs w:val="21"/>
                      <w:lang w:val="zh-TW" w:eastAsia="zh-TW"/>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sz w:val="21"/>
                      <w:szCs w:val="21"/>
                    </w:rPr>
                  </w:pPr>
                  <w:r>
                    <w:rPr>
                      <w:color w:val="auto"/>
                      <w:sz w:val="21"/>
                      <w:szCs w:val="21"/>
                    </w:rPr>
                    <w:t>大气</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排放废气含有毒有害污染物、二噁英、苯并</w:t>
                  </w:r>
                  <w:r>
                    <w:rPr>
                      <w:color w:val="auto"/>
                      <w:kern w:val="0"/>
                      <w:sz w:val="21"/>
                      <w:szCs w:val="21"/>
                      <w:vertAlign w:val="superscript"/>
                      <w:lang w:bidi="ar"/>
                    </w:rPr>
                    <w:t>[</w:t>
                  </w:r>
                  <w:r>
                    <w:rPr>
                      <w:i/>
                      <w:iCs/>
                      <w:color w:val="auto"/>
                      <w:kern w:val="0"/>
                      <w:sz w:val="21"/>
                      <w:szCs w:val="21"/>
                      <w:vertAlign w:val="superscript"/>
                      <w:lang w:bidi="ar"/>
                    </w:rPr>
                    <w:t>a</w:t>
                  </w:r>
                  <w:r>
                    <w:rPr>
                      <w:color w:val="auto"/>
                      <w:kern w:val="0"/>
                      <w:sz w:val="21"/>
                      <w:szCs w:val="21"/>
                      <w:vertAlign w:val="superscript"/>
                      <w:lang w:bidi="ar"/>
                    </w:rPr>
                    <w:t>]</w:t>
                  </w:r>
                  <w:r>
                    <w:rPr>
                      <w:color w:val="auto"/>
                      <w:kern w:val="0"/>
                      <w:sz w:val="21"/>
                      <w:szCs w:val="21"/>
                      <w:lang w:bidi="ar"/>
                    </w:rPr>
                    <w:t>芘、氰化物、氯气且厂界外500米范围内有环境空气保护目标的建设项目</w:t>
                  </w:r>
                </w:p>
              </w:tc>
              <w:tc>
                <w:tcPr>
                  <w:tcW w:w="3645" w:type="dxa"/>
                  <w:tcBorders>
                    <w:tl2br w:val="nil"/>
                    <w:tr2bl w:val="nil"/>
                  </w:tcBorders>
                  <w:shd w:val="clear" w:color="auto" w:fill="FFFFFF"/>
                  <w:vAlign w:val="center"/>
                </w:tcPr>
                <w:p>
                  <w:pPr>
                    <w:pStyle w:val="11"/>
                    <w:jc w:val="both"/>
                    <w:rPr>
                      <w:b/>
                      <w:bCs/>
                      <w:color w:val="auto"/>
                      <w:sz w:val="21"/>
                      <w:szCs w:val="21"/>
                      <w:lang w:val="zh-TW" w:eastAsia="zh-TW"/>
                    </w:rPr>
                  </w:pPr>
                  <w:r>
                    <w:rPr>
                      <w:color w:val="auto"/>
                      <w:sz w:val="21"/>
                      <w:szCs w:val="21"/>
                    </w:rPr>
                    <w:t>本项目排放的</w:t>
                  </w:r>
                  <w:r>
                    <w:rPr>
                      <w:rFonts w:hint="eastAsia"/>
                      <w:color w:val="auto"/>
                      <w:sz w:val="21"/>
                      <w:szCs w:val="21"/>
                    </w:rPr>
                    <w:t>大气</w:t>
                  </w:r>
                  <w:r>
                    <w:rPr>
                      <w:color w:val="auto"/>
                      <w:sz w:val="21"/>
                      <w:szCs w:val="21"/>
                    </w:rPr>
                    <w:t>污染物未纳入《有毒有害大气污染物名录》（公告2019第4号），故不需设置大气专项评价。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sz w:val="21"/>
                      <w:szCs w:val="21"/>
                    </w:rPr>
                  </w:pPr>
                  <w:r>
                    <w:rPr>
                      <w:color w:val="auto"/>
                      <w:sz w:val="21"/>
                      <w:szCs w:val="21"/>
                    </w:rPr>
                    <w:t>地</w:t>
                  </w:r>
                </w:p>
                <w:p>
                  <w:pPr>
                    <w:pStyle w:val="11"/>
                    <w:jc w:val="center"/>
                    <w:rPr>
                      <w:color w:val="auto"/>
                      <w:sz w:val="21"/>
                      <w:szCs w:val="21"/>
                    </w:rPr>
                  </w:pPr>
                  <w:r>
                    <w:rPr>
                      <w:color w:val="auto"/>
                      <w:sz w:val="21"/>
                      <w:szCs w:val="21"/>
                    </w:rPr>
                    <w:t>表水</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新增工业废水直排建设项目（槽罐车外送污水处理厂的除外）</w:t>
                  </w:r>
                  <w:r>
                    <w:rPr>
                      <w:rFonts w:hint="eastAsia"/>
                      <w:color w:val="auto"/>
                      <w:kern w:val="0"/>
                      <w:sz w:val="21"/>
                      <w:szCs w:val="21"/>
                      <w:lang w:bidi="ar"/>
                    </w:rPr>
                    <w:t>；</w:t>
                  </w:r>
                  <w:r>
                    <w:rPr>
                      <w:color w:val="auto"/>
                      <w:kern w:val="0"/>
                      <w:sz w:val="21"/>
                      <w:szCs w:val="21"/>
                      <w:lang w:bidi="ar"/>
                    </w:rPr>
                    <w:t>新增废水直排的污水集中处理厂</w:t>
                  </w:r>
                </w:p>
              </w:tc>
              <w:tc>
                <w:tcPr>
                  <w:tcW w:w="3645" w:type="dxa"/>
                  <w:tcBorders>
                    <w:tl2br w:val="nil"/>
                    <w:tr2bl w:val="nil"/>
                  </w:tcBorders>
                  <w:shd w:val="clear" w:color="auto" w:fill="FFFFFF"/>
                  <w:vAlign w:val="center"/>
                </w:tcPr>
                <w:p>
                  <w:pPr>
                    <w:spacing w:line="240" w:lineRule="auto"/>
                    <w:ind w:firstLine="0" w:firstLineChars="0"/>
                    <w:rPr>
                      <w:b/>
                      <w:bCs/>
                      <w:color w:val="auto"/>
                      <w:sz w:val="21"/>
                      <w:szCs w:val="21"/>
                      <w:lang w:val="zh-TW"/>
                    </w:rPr>
                  </w:pPr>
                  <w:r>
                    <w:rPr>
                      <w:rFonts w:hint="eastAsia"/>
                      <w:color w:val="auto"/>
                      <w:sz w:val="21"/>
                      <w:szCs w:val="21"/>
                    </w:rPr>
                    <w:t>本项目的污水经污水处理设备处理后排入园区管网</w:t>
                  </w:r>
                  <w:r>
                    <w:rPr>
                      <w:rFonts w:hint="eastAsia"/>
                      <w:color w:val="auto"/>
                      <w:sz w:val="21"/>
                      <w:szCs w:val="21"/>
                      <w:lang w:eastAsia="zh-CN"/>
                    </w:rPr>
                    <w:t>，</w:t>
                  </w:r>
                  <w:r>
                    <w:rPr>
                      <w:rFonts w:hint="eastAsia"/>
                      <w:color w:val="auto"/>
                      <w:sz w:val="21"/>
                      <w:szCs w:val="21"/>
                      <w:lang w:val="en-US" w:eastAsia="zh-CN"/>
                    </w:rPr>
                    <w:t>不直接外排</w:t>
                  </w:r>
                  <w:r>
                    <w:rPr>
                      <w:rFonts w:hint="eastAsia"/>
                      <w:color w:val="auto"/>
                      <w:sz w:val="21"/>
                      <w:szCs w:val="21"/>
                    </w:rPr>
                    <w:t>，</w:t>
                  </w:r>
                  <w:r>
                    <w:rPr>
                      <w:color w:val="auto"/>
                      <w:sz w:val="21"/>
                      <w:szCs w:val="21"/>
                    </w:rPr>
                    <w:t>故不需设置</w:t>
                  </w:r>
                  <w:r>
                    <w:rPr>
                      <w:rFonts w:hint="eastAsia"/>
                      <w:color w:val="auto"/>
                      <w:sz w:val="21"/>
                      <w:szCs w:val="21"/>
                    </w:rPr>
                    <w:t>地表水</w:t>
                  </w:r>
                  <w:r>
                    <w:rPr>
                      <w:color w:val="auto"/>
                      <w:sz w:val="21"/>
                      <w:szCs w:val="21"/>
                    </w:rPr>
                    <w:t>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sz w:val="21"/>
                      <w:szCs w:val="21"/>
                    </w:rPr>
                  </w:pPr>
                  <w:r>
                    <w:rPr>
                      <w:color w:val="auto"/>
                      <w:sz w:val="21"/>
                      <w:szCs w:val="21"/>
                    </w:rPr>
                    <w:t>环境</w:t>
                  </w:r>
                </w:p>
                <w:p>
                  <w:pPr>
                    <w:pStyle w:val="11"/>
                    <w:jc w:val="center"/>
                    <w:rPr>
                      <w:color w:val="auto"/>
                      <w:sz w:val="21"/>
                      <w:szCs w:val="21"/>
                    </w:rPr>
                  </w:pPr>
                  <w:r>
                    <w:rPr>
                      <w:color w:val="auto"/>
                      <w:sz w:val="21"/>
                      <w:szCs w:val="21"/>
                    </w:rPr>
                    <w:t>风险</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有毒有害和易燃易爆危险物质存储量超过临界量的建设项目</w:t>
                  </w:r>
                </w:p>
              </w:tc>
              <w:tc>
                <w:tcPr>
                  <w:tcW w:w="3645" w:type="dxa"/>
                  <w:tcBorders>
                    <w:tl2br w:val="nil"/>
                    <w:tr2bl w:val="nil"/>
                  </w:tcBorders>
                  <w:shd w:val="clear" w:color="auto" w:fill="FFFFFF"/>
                  <w:vAlign w:val="center"/>
                </w:tcPr>
                <w:p>
                  <w:pPr>
                    <w:pStyle w:val="11"/>
                    <w:jc w:val="both"/>
                    <w:rPr>
                      <w:color w:val="auto"/>
                      <w:sz w:val="21"/>
                      <w:szCs w:val="21"/>
                    </w:rPr>
                  </w:pPr>
                  <w:r>
                    <w:rPr>
                      <w:rFonts w:hint="eastAsia"/>
                      <w:color w:val="auto"/>
                      <w:sz w:val="21"/>
                      <w:szCs w:val="21"/>
                    </w:rPr>
                    <w:t>本项目不属于储存易燃易爆、有毒有害物质的建设项目，</w:t>
                  </w:r>
                  <w:r>
                    <w:rPr>
                      <w:color w:val="auto"/>
                      <w:sz w:val="21"/>
                      <w:szCs w:val="21"/>
                    </w:rPr>
                    <w:t>故不需要设置</w:t>
                  </w:r>
                  <w:r>
                    <w:rPr>
                      <w:rFonts w:hint="eastAsia"/>
                      <w:color w:val="auto"/>
                      <w:sz w:val="21"/>
                      <w:szCs w:val="21"/>
                    </w:rPr>
                    <w:t>环境风险</w:t>
                  </w:r>
                  <w:r>
                    <w:rPr>
                      <w:color w:val="auto"/>
                      <w:sz w:val="21"/>
                      <w:szCs w:val="21"/>
                    </w:rPr>
                    <w:t>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sz w:val="21"/>
                      <w:szCs w:val="21"/>
                    </w:rPr>
                  </w:pPr>
                  <w:r>
                    <w:rPr>
                      <w:color w:val="auto"/>
                      <w:sz w:val="21"/>
                      <w:szCs w:val="21"/>
                    </w:rPr>
                    <w:t>生态</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取水口下游 500 米范围内有重要水生生物的自然产卵场、索饵场、越冬场和洄游通道的新增河道取水的污染类建设项目</w:t>
                  </w:r>
                </w:p>
              </w:tc>
              <w:tc>
                <w:tcPr>
                  <w:tcW w:w="3645" w:type="dxa"/>
                  <w:tcBorders>
                    <w:tl2br w:val="nil"/>
                    <w:tr2bl w:val="nil"/>
                  </w:tcBorders>
                  <w:shd w:val="clear" w:color="auto" w:fill="FFFFFF"/>
                  <w:vAlign w:val="center"/>
                </w:tcPr>
                <w:p>
                  <w:pPr>
                    <w:pStyle w:val="11"/>
                    <w:jc w:val="both"/>
                    <w:rPr>
                      <w:color w:val="auto"/>
                      <w:sz w:val="21"/>
                      <w:szCs w:val="21"/>
                      <w:lang w:val="zh-TW" w:eastAsia="zh-TW"/>
                    </w:rPr>
                  </w:pPr>
                  <w:r>
                    <w:rPr>
                      <w:rFonts w:hint="eastAsia"/>
                      <w:color w:val="auto"/>
                      <w:sz w:val="21"/>
                      <w:szCs w:val="21"/>
                    </w:rPr>
                    <w:t>本项目不属于</w:t>
                  </w:r>
                  <w:r>
                    <w:rPr>
                      <w:color w:val="auto"/>
                      <w:sz w:val="21"/>
                      <w:szCs w:val="21"/>
                      <w:lang w:bidi="ar"/>
                    </w:rPr>
                    <w:t>新增河道取水</w:t>
                  </w:r>
                  <w:r>
                    <w:rPr>
                      <w:rFonts w:hint="eastAsia"/>
                      <w:color w:val="auto"/>
                      <w:sz w:val="21"/>
                      <w:szCs w:val="21"/>
                    </w:rPr>
                    <w:t>的建设项目，</w:t>
                  </w:r>
                  <w:r>
                    <w:rPr>
                      <w:color w:val="auto"/>
                      <w:sz w:val="21"/>
                      <w:szCs w:val="21"/>
                    </w:rPr>
                    <w:t>故不需要设置</w:t>
                  </w:r>
                  <w:r>
                    <w:rPr>
                      <w:rFonts w:hint="eastAsia"/>
                      <w:color w:val="auto"/>
                      <w:sz w:val="21"/>
                      <w:szCs w:val="21"/>
                    </w:rPr>
                    <w:t>生态</w:t>
                  </w:r>
                  <w:r>
                    <w:rPr>
                      <w:color w:val="auto"/>
                      <w:sz w:val="21"/>
                      <w:szCs w:val="21"/>
                    </w:rPr>
                    <w:t>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sz w:val="21"/>
                      <w:szCs w:val="21"/>
                    </w:rPr>
                  </w:pPr>
                  <w:r>
                    <w:rPr>
                      <w:color w:val="auto"/>
                      <w:sz w:val="21"/>
                      <w:szCs w:val="21"/>
                    </w:rPr>
                    <w:t>海洋</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直接向海排放污染物的海洋工程建设项目</w:t>
                  </w:r>
                </w:p>
              </w:tc>
              <w:tc>
                <w:tcPr>
                  <w:tcW w:w="3645" w:type="dxa"/>
                  <w:tcBorders>
                    <w:tl2br w:val="nil"/>
                    <w:tr2bl w:val="nil"/>
                  </w:tcBorders>
                  <w:shd w:val="clear" w:color="auto" w:fill="FFFFFF"/>
                  <w:vAlign w:val="center"/>
                </w:tcPr>
                <w:p>
                  <w:pPr>
                    <w:pStyle w:val="11"/>
                    <w:jc w:val="both"/>
                    <w:rPr>
                      <w:color w:val="auto"/>
                      <w:sz w:val="21"/>
                      <w:szCs w:val="21"/>
                    </w:rPr>
                  </w:pPr>
                  <w:r>
                    <w:rPr>
                      <w:rFonts w:hint="eastAsia"/>
                      <w:color w:val="auto"/>
                      <w:sz w:val="21"/>
                      <w:szCs w:val="21"/>
                    </w:rPr>
                    <w:t>本项目不属于</w:t>
                  </w:r>
                  <w:r>
                    <w:rPr>
                      <w:color w:val="auto"/>
                      <w:sz w:val="21"/>
                      <w:szCs w:val="21"/>
                      <w:lang w:bidi="ar"/>
                    </w:rPr>
                    <w:t>海洋工程</w:t>
                  </w:r>
                  <w:r>
                    <w:rPr>
                      <w:rFonts w:hint="eastAsia"/>
                      <w:color w:val="auto"/>
                      <w:sz w:val="21"/>
                      <w:szCs w:val="21"/>
                    </w:rPr>
                    <w:t>的建设项目，</w:t>
                  </w:r>
                  <w:r>
                    <w:rPr>
                      <w:color w:val="auto"/>
                      <w:sz w:val="21"/>
                      <w:szCs w:val="21"/>
                    </w:rPr>
                    <w:t>故不需要设置</w:t>
                  </w:r>
                  <w:r>
                    <w:rPr>
                      <w:rFonts w:hint="eastAsia"/>
                      <w:color w:val="auto"/>
                      <w:sz w:val="21"/>
                      <w:szCs w:val="21"/>
                    </w:rPr>
                    <w:t>海洋</w:t>
                  </w:r>
                  <w:r>
                    <w:rPr>
                      <w:color w:val="auto"/>
                      <w:sz w:val="21"/>
                      <w:szCs w:val="21"/>
                    </w:rPr>
                    <w:t>专项评价。</w:t>
                  </w:r>
                </w:p>
              </w:tc>
            </w:tr>
          </w:tbl>
          <w:p>
            <w:pPr>
              <w:spacing w:line="240" w:lineRule="auto"/>
              <w:ind w:firstLine="0" w:firstLineChars="0"/>
              <w:rPr>
                <w:color w:val="auto"/>
                <w:sz w:val="21"/>
                <w:szCs w:val="21"/>
              </w:rPr>
            </w:pPr>
          </w:p>
          <w:p>
            <w:pPr>
              <w:spacing w:line="240" w:lineRule="auto"/>
              <w:ind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spacing w:line="360" w:lineRule="auto"/>
              <w:jc w:val="center"/>
              <w:rPr>
                <w:b/>
                <w:bCs/>
                <w:color w:val="auto"/>
                <w:sz w:val="24"/>
                <w:szCs w:val="24"/>
              </w:rPr>
            </w:pPr>
            <w:r>
              <w:rPr>
                <w:b/>
                <w:bCs/>
                <w:color w:val="auto"/>
                <w:sz w:val="24"/>
                <w:szCs w:val="24"/>
              </w:rPr>
              <w:t>规划情况</w:t>
            </w:r>
          </w:p>
        </w:tc>
        <w:tc>
          <w:tcPr>
            <w:tcW w:w="8459" w:type="dxa"/>
            <w:gridSpan w:val="3"/>
          </w:tcPr>
          <w:p>
            <w:pPr>
              <w:bidi w:val="0"/>
              <w:rPr>
                <w:rFonts w:hint="default" w:eastAsia="宋体"/>
                <w:color w:val="auto"/>
                <w:lang w:val="en-US" w:eastAsia="zh-CN"/>
              </w:rPr>
            </w:pPr>
            <w:r>
              <w:rPr>
                <w:color w:val="auto"/>
              </w:rPr>
              <w:t>规划名称：达州市通川区工业集中区</w:t>
            </w:r>
            <w:r>
              <w:rPr>
                <w:rFonts w:hint="eastAsia"/>
                <w:color w:val="auto"/>
                <w:lang w:val="en-US" w:eastAsia="zh-CN"/>
              </w:rPr>
              <w:t>控制性详细规划</w:t>
            </w:r>
          </w:p>
          <w:p>
            <w:pPr>
              <w:bidi w:val="0"/>
              <w:rPr>
                <w:color w:val="auto"/>
              </w:rPr>
            </w:pPr>
            <w:r>
              <w:rPr>
                <w:color w:val="auto"/>
              </w:rPr>
              <w:t>审查机关：达州市人民政府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color w:val="auto"/>
                <w:lang w:val="en-US" w:eastAsia="zh-CN"/>
              </w:rPr>
            </w:pPr>
            <w:r>
              <w:rPr>
                <w:color w:val="auto"/>
              </w:rPr>
              <w:t>审批</w:t>
            </w:r>
            <w:r>
              <w:rPr>
                <w:rFonts w:hint="eastAsia"/>
                <w:color w:val="auto"/>
                <w:lang w:val="en-US" w:eastAsia="zh-CN"/>
              </w:rPr>
              <w:t>文件名称</w:t>
            </w:r>
            <w:r>
              <w:rPr>
                <w:color w:val="auto"/>
              </w:rPr>
              <w:t>文号：</w:t>
            </w:r>
            <w:r>
              <w:rPr>
                <w:rFonts w:hint="eastAsia"/>
                <w:color w:val="auto"/>
              </w:rPr>
              <w:t>达州市人民政府关于</w:t>
            </w:r>
            <w:r>
              <w:rPr>
                <w:color w:val="auto"/>
              </w:rPr>
              <w:t>达州市通川区工业集中区</w:t>
            </w:r>
            <w:r>
              <w:rPr>
                <w:rFonts w:hint="eastAsia"/>
                <w:color w:val="auto"/>
                <w:lang w:val="en-US" w:eastAsia="zh-CN"/>
              </w:rPr>
              <w:t>控制性详细规划</w:t>
            </w:r>
            <w:r>
              <w:rPr>
                <w:rFonts w:hint="eastAsia"/>
                <w:color w:val="auto"/>
              </w:rPr>
              <w:t>的批复</w:t>
            </w:r>
            <w:r>
              <w:rPr>
                <w:rFonts w:hint="eastAsia"/>
                <w:color w:val="auto"/>
                <w:lang w:eastAsia="zh-CN"/>
              </w:rPr>
              <w:t>（</w:t>
            </w:r>
            <w:r>
              <w:rPr>
                <w:color w:val="auto"/>
              </w:rPr>
              <w:t>达市府函[2014]25</w:t>
            </w:r>
            <w:r>
              <w:rPr>
                <w:rFonts w:hint="eastAsia"/>
                <w:color w:val="auto"/>
                <w:lang w:val="en-US" w:eastAsia="zh-CN"/>
              </w:rPr>
              <w:t>7</w:t>
            </w:r>
            <w:r>
              <w:rPr>
                <w:color w:val="auto"/>
              </w:rPr>
              <w:t>号</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spacing w:line="360" w:lineRule="auto"/>
              <w:jc w:val="center"/>
              <w:rPr>
                <w:b/>
                <w:bCs/>
                <w:color w:val="auto"/>
                <w:sz w:val="24"/>
                <w:szCs w:val="24"/>
              </w:rPr>
            </w:pPr>
          </w:p>
          <w:p>
            <w:pPr>
              <w:pStyle w:val="11"/>
              <w:spacing w:line="360" w:lineRule="auto"/>
              <w:jc w:val="center"/>
              <w:rPr>
                <w:b/>
                <w:bCs/>
                <w:color w:val="auto"/>
                <w:sz w:val="24"/>
                <w:szCs w:val="24"/>
              </w:rPr>
            </w:pPr>
            <w:r>
              <w:rPr>
                <w:b/>
                <w:bCs/>
                <w:color w:val="auto"/>
                <w:sz w:val="24"/>
                <w:szCs w:val="24"/>
              </w:rPr>
              <w:t>规划环境影响</w:t>
            </w:r>
          </w:p>
          <w:p>
            <w:pPr>
              <w:pStyle w:val="11"/>
              <w:spacing w:line="360" w:lineRule="auto"/>
              <w:jc w:val="center"/>
              <w:rPr>
                <w:b/>
                <w:bCs/>
                <w:color w:val="auto"/>
                <w:sz w:val="24"/>
                <w:szCs w:val="24"/>
              </w:rPr>
            </w:pPr>
            <w:r>
              <w:rPr>
                <w:b/>
                <w:bCs/>
                <w:color w:val="auto"/>
                <w:sz w:val="24"/>
                <w:szCs w:val="24"/>
              </w:rPr>
              <w:t>评价情况</w:t>
            </w:r>
          </w:p>
          <w:p>
            <w:pPr>
              <w:pStyle w:val="11"/>
              <w:spacing w:line="360" w:lineRule="auto"/>
              <w:jc w:val="center"/>
              <w:rPr>
                <w:b/>
                <w:bCs/>
                <w:color w:val="auto"/>
                <w:sz w:val="24"/>
                <w:szCs w:val="24"/>
              </w:rPr>
            </w:pPr>
          </w:p>
        </w:tc>
        <w:tc>
          <w:tcPr>
            <w:tcW w:w="8459" w:type="dxa"/>
            <w:gridSpan w:val="3"/>
          </w:tcPr>
          <w:p>
            <w:pPr>
              <w:ind w:firstLine="480"/>
              <w:rPr>
                <w:color w:val="auto"/>
              </w:rPr>
            </w:pPr>
            <w:r>
              <w:rPr>
                <w:color w:val="auto"/>
              </w:rPr>
              <w:t>规划环评名称：《达州市农产品加工集中区规划环境影响报告书》</w:t>
            </w:r>
          </w:p>
          <w:p>
            <w:pPr>
              <w:ind w:firstLine="480"/>
              <w:rPr>
                <w:color w:val="auto"/>
              </w:rPr>
            </w:pPr>
            <w:r>
              <w:rPr>
                <w:color w:val="auto"/>
              </w:rPr>
              <w:t>审查机关：四川省环境保护厅</w:t>
            </w:r>
          </w:p>
          <w:p>
            <w:pPr>
              <w:ind w:firstLine="480"/>
              <w:rPr>
                <w:color w:val="auto"/>
              </w:rPr>
            </w:pPr>
            <w:r>
              <w:rPr>
                <w:color w:val="auto"/>
              </w:rPr>
              <w:t>审查文件</w:t>
            </w:r>
            <w:r>
              <w:rPr>
                <w:rFonts w:hint="eastAsia"/>
                <w:color w:val="auto"/>
                <w:lang w:val="en-US" w:eastAsia="zh-CN"/>
              </w:rPr>
              <w:t>名称</w:t>
            </w:r>
            <w:r>
              <w:rPr>
                <w:color w:val="auto"/>
              </w:rPr>
              <w:t>及文号：《四川省环境保护厅关于印发&lt;</w:t>
            </w:r>
            <w:r>
              <w:rPr>
                <w:rFonts w:hint="eastAsia"/>
                <w:color w:val="auto"/>
              </w:rPr>
              <w:t>达州市农业加工集中区规划环境</w:t>
            </w:r>
            <w:r>
              <w:rPr>
                <w:color w:val="auto"/>
              </w:rPr>
              <w:t>影响报告书&gt;审查意见的函》（川环建函</w:t>
            </w:r>
            <w:r>
              <w:rPr>
                <w:rFonts w:hint="eastAsia"/>
                <w:color w:val="auto"/>
              </w:rPr>
              <w:t>[</w:t>
            </w:r>
            <w:r>
              <w:rPr>
                <w:color w:val="auto"/>
              </w:rPr>
              <w:t>2013</w:t>
            </w:r>
            <w:r>
              <w:rPr>
                <w:rFonts w:hint="eastAsia"/>
                <w:color w:val="auto"/>
              </w:rPr>
              <w:t>]</w:t>
            </w:r>
            <w:r>
              <w:rPr>
                <w:color w:val="auto"/>
              </w:rPr>
              <w:t>66号</w:t>
            </w:r>
            <w:r>
              <w:rPr>
                <w:rFonts w:hint="eastAsia"/>
                <w:color w:val="auto"/>
              </w:rPr>
              <w:t>）</w:t>
            </w:r>
          </w:p>
          <w:p>
            <w:pPr>
              <w:ind w:firstLine="480"/>
              <w:rPr>
                <w:color w:val="auto"/>
              </w:rPr>
            </w:pPr>
            <w:r>
              <w:rPr>
                <w:color w:val="auto"/>
              </w:rPr>
              <w:t>规划环评名称：《达州市农产品加工集中区规划环境影响跟踪评价报告书》</w:t>
            </w:r>
          </w:p>
          <w:p>
            <w:pPr>
              <w:ind w:firstLine="480"/>
              <w:rPr>
                <w:color w:val="auto"/>
              </w:rPr>
            </w:pPr>
            <w:r>
              <w:rPr>
                <w:color w:val="auto"/>
              </w:rPr>
              <w:t>审查文件</w:t>
            </w:r>
            <w:r>
              <w:rPr>
                <w:rFonts w:hint="eastAsia"/>
                <w:color w:val="auto"/>
                <w:lang w:val="en-US" w:eastAsia="zh-CN"/>
              </w:rPr>
              <w:t>名称</w:t>
            </w:r>
            <w:r>
              <w:rPr>
                <w:color w:val="auto"/>
              </w:rPr>
              <w:t>：《达州市农产品加工集中区规划环境影响跟踪评价报告书》专家论证意见(2021年3月31日)</w:t>
            </w:r>
          </w:p>
          <w:p>
            <w:pPr>
              <w:ind w:firstLine="480"/>
              <w:rPr>
                <w:color w:val="auto"/>
              </w:rPr>
            </w:pPr>
            <w:r>
              <w:rPr>
                <w:color w:val="auto"/>
              </w:rPr>
              <w:t xml:space="preserve"> (</w:t>
            </w:r>
            <w:r>
              <w:rPr>
                <w:rFonts w:hint="eastAsia"/>
                <w:color w:val="auto"/>
                <w:lang w:val="en-US" w:eastAsia="zh-CN"/>
              </w:rPr>
              <w:t>注：2010年，根据达州市人民政府《关于加快园区（集中区）的指导意见》和《常务会议纪要》（112期）等文件的相关内容，达州市通川区工业集中区与达州市农产品加工集中区为“两园合一、市区共建、以区为主”的同一园区，具体内容见附件8。</w:t>
            </w: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r>
              <w:rPr>
                <w:b/>
                <w:bCs/>
                <w:color w:val="auto"/>
                <w:sz w:val="24"/>
                <w:szCs w:val="24"/>
              </w:rPr>
              <w:t>规划及</w:t>
            </w:r>
          </w:p>
          <w:p>
            <w:pPr>
              <w:pStyle w:val="11"/>
              <w:jc w:val="center"/>
              <w:rPr>
                <w:b/>
                <w:bCs/>
                <w:color w:val="auto"/>
                <w:sz w:val="24"/>
                <w:szCs w:val="24"/>
              </w:rPr>
            </w:pPr>
            <w:r>
              <w:rPr>
                <w:b/>
                <w:bCs/>
                <w:color w:val="auto"/>
                <w:sz w:val="24"/>
                <w:szCs w:val="24"/>
              </w:rPr>
              <w:t>规划环境</w:t>
            </w:r>
          </w:p>
          <w:p>
            <w:pPr>
              <w:pStyle w:val="11"/>
              <w:jc w:val="center"/>
              <w:rPr>
                <w:b/>
                <w:bCs/>
                <w:color w:val="auto"/>
                <w:sz w:val="24"/>
                <w:szCs w:val="24"/>
              </w:rPr>
            </w:pPr>
            <w:r>
              <w:rPr>
                <w:b/>
                <w:bCs/>
                <w:color w:val="auto"/>
                <w:sz w:val="24"/>
                <w:szCs w:val="24"/>
              </w:rPr>
              <w:t>影响评价</w:t>
            </w:r>
          </w:p>
          <w:p>
            <w:pPr>
              <w:pStyle w:val="11"/>
              <w:jc w:val="center"/>
              <w:rPr>
                <w:b/>
                <w:bCs/>
                <w:color w:val="auto"/>
                <w:sz w:val="24"/>
                <w:szCs w:val="24"/>
              </w:rPr>
            </w:pPr>
            <w:r>
              <w:rPr>
                <w:b/>
                <w:bCs/>
                <w:color w:val="auto"/>
                <w:sz w:val="24"/>
                <w:szCs w:val="24"/>
              </w:rPr>
              <w:t>符合性分析</w:t>
            </w:r>
          </w:p>
        </w:tc>
        <w:tc>
          <w:tcPr>
            <w:tcW w:w="8459" w:type="dxa"/>
            <w:gridSpan w:val="3"/>
            <w:vAlign w:val="center"/>
          </w:tcPr>
          <w:p>
            <w:pPr>
              <w:ind w:firstLine="482"/>
              <w:rPr>
                <w:b/>
                <w:bCs/>
                <w:color w:val="auto"/>
              </w:rPr>
            </w:pPr>
            <w:r>
              <w:rPr>
                <w:rFonts w:hint="eastAsia"/>
                <w:b/>
                <w:bCs/>
                <w:color w:val="auto"/>
              </w:rPr>
              <w:t>1、</w:t>
            </w:r>
            <w:r>
              <w:rPr>
                <w:b/>
                <w:bCs/>
                <w:color w:val="auto"/>
              </w:rPr>
              <w:t>与</w:t>
            </w:r>
            <w:r>
              <w:rPr>
                <w:rFonts w:hint="eastAsia"/>
                <w:b/>
                <w:bCs/>
                <w:color w:val="auto"/>
              </w:rPr>
              <w:t>达州市农产品加工集中区规划及规划环评符合性分析</w:t>
            </w:r>
          </w:p>
          <w:p>
            <w:pPr>
              <w:ind w:firstLine="480"/>
              <w:rPr>
                <w:color w:val="auto"/>
              </w:rPr>
            </w:pPr>
            <w:r>
              <w:rPr>
                <w:rFonts w:hint="eastAsia"/>
                <w:color w:val="auto"/>
              </w:rPr>
              <w:t>达州市农产品加工集中区位于达州市城市西北部，规划用地东南以达陕高速以东郭家梁为界，北至蒲家、龙滩、独寨一线，西至襄渝铁路及复线，南部以凤凰山为界，总用地面积为13.8km</w:t>
            </w:r>
            <w:r>
              <w:rPr>
                <w:rFonts w:hint="eastAsia"/>
                <w:color w:val="auto"/>
                <w:vertAlign w:val="superscript"/>
              </w:rPr>
              <w:t>2</w:t>
            </w:r>
            <w:r>
              <w:rPr>
                <w:rFonts w:hint="eastAsia"/>
                <w:color w:val="auto"/>
              </w:rPr>
              <w:t>，根据</w:t>
            </w:r>
            <w:r>
              <w:rPr>
                <w:rFonts w:hint="eastAsia"/>
                <w:color w:val="auto"/>
                <w:lang w:val="en-US" w:eastAsia="zh-CN"/>
              </w:rPr>
              <w:t>《</w:t>
            </w:r>
            <w:r>
              <w:rPr>
                <w:color w:val="auto"/>
              </w:rPr>
              <w:t>达州市通川区工业集中区</w:t>
            </w:r>
            <w:r>
              <w:rPr>
                <w:rFonts w:hint="eastAsia"/>
                <w:color w:val="auto"/>
                <w:lang w:val="en-US" w:eastAsia="zh-CN"/>
              </w:rPr>
              <w:t>控制性详细规划》相关内容</w:t>
            </w:r>
            <w:r>
              <w:rPr>
                <w:rFonts w:hint="eastAsia"/>
                <w:color w:val="auto"/>
              </w:rPr>
              <w:t>，确定达州市农产品加工集中区产业定位为三大类：农产品加工、食品、医药，配套发展物流。</w:t>
            </w:r>
          </w:p>
          <w:p>
            <w:pPr>
              <w:ind w:firstLine="480"/>
              <w:rPr>
                <w:color w:val="auto"/>
              </w:rPr>
            </w:pPr>
            <w:r>
              <w:rPr>
                <w:rFonts w:hint="eastAsia"/>
                <w:color w:val="auto"/>
              </w:rPr>
              <w:t>（1）规划定位</w:t>
            </w:r>
          </w:p>
          <w:p>
            <w:pPr>
              <w:ind w:firstLine="480"/>
              <w:rPr>
                <w:color w:val="auto"/>
              </w:rPr>
            </w:pPr>
            <w:r>
              <w:rPr>
                <w:rFonts w:hint="eastAsia"/>
                <w:color w:val="auto"/>
              </w:rPr>
              <w:t>达州市农产品加工集中区定位为以农产品加工、食品、医药为主导，配套发展物流的现代工业规划区，达州城市北部重要产业增长极，达州市级城市化、工业化两化互动示范区域，宜业、宜居的“双宜”之城。“宜业之城”：通过产业组合优化、政策改善等方式形成良好的工业发展氛围，吸引更多的现代工业产业落户；“宜居之城”：结合魏兴镇的城镇化发展，以工业化带动城市化，城市化为工业化提供良好的生活服务功能，从而实现产业发展与城市发展相得益彰的良好局面。现代工业与吸纳带居住模式相结合，形成以工业社区为主要模式的新都市，改变以往工业区环境恶劣的缺点，形成环境优美、居住舒适的田园城市。</w:t>
            </w:r>
          </w:p>
          <w:p>
            <w:pPr>
              <w:ind w:firstLine="480"/>
              <w:rPr>
                <w:color w:val="auto"/>
              </w:rPr>
            </w:pPr>
            <w:r>
              <w:rPr>
                <w:rFonts w:hint="eastAsia"/>
                <w:color w:val="auto"/>
              </w:rPr>
              <w:t>（2）功能分区</w:t>
            </w:r>
          </w:p>
          <w:p>
            <w:pPr>
              <w:ind w:firstLine="480"/>
              <w:rPr>
                <w:color w:val="auto"/>
              </w:rPr>
            </w:pPr>
            <w:r>
              <w:rPr>
                <w:rFonts w:hint="eastAsia"/>
                <w:color w:val="auto"/>
              </w:rPr>
              <w:t>达州市农产品加工集中区功能分区包括公共服务功能区、科技研发组团、居住组团、仓储物流组团、农产品加工组团、食品组团和医药组团。</w:t>
            </w:r>
          </w:p>
          <w:p>
            <w:pPr>
              <w:ind w:firstLine="480"/>
              <w:rPr>
                <w:color w:val="auto"/>
              </w:rPr>
            </w:pPr>
            <w:r>
              <w:rPr>
                <w:rFonts w:hint="eastAsia"/>
                <w:color w:val="auto"/>
              </w:rPr>
              <w:t>A、公共服务功能区：位于规划区中部，南接景观湖，北至大坪村澄子盖，涵盖了行政办公、商贸服务、信息咨询等若干公共服务功能，形成整个工业集中区的公共功能集中区，较易发挥聚集经济。</w:t>
            </w:r>
          </w:p>
          <w:p>
            <w:pPr>
              <w:ind w:firstLine="480"/>
              <w:rPr>
                <w:color w:val="auto"/>
              </w:rPr>
            </w:pPr>
            <w:r>
              <w:rPr>
                <w:rFonts w:hint="eastAsia"/>
                <w:color w:val="auto"/>
              </w:rPr>
              <w:t>B、科技研发组团：位于基地中北部，大坪村石庙、龚家湾片区，结合南部水系布置滨水景观，并引入组团内部，形成良好的工作办公环境。</w:t>
            </w:r>
          </w:p>
          <w:p>
            <w:pPr>
              <w:ind w:firstLine="480"/>
              <w:rPr>
                <w:color w:val="auto"/>
              </w:rPr>
            </w:pPr>
            <w:r>
              <w:rPr>
                <w:rFonts w:hint="eastAsia"/>
                <w:color w:val="auto"/>
              </w:rPr>
              <w:t>C、西侧居住组团、东侧居住组团：位于基地中、东部，包括汉渝公路东侧现状保留建筑。区内景观良好，生态优越，具有集中建设生活居住区的优良条件。</w:t>
            </w:r>
          </w:p>
          <w:p>
            <w:pPr>
              <w:ind w:firstLine="480"/>
              <w:rPr>
                <w:color w:val="auto"/>
              </w:rPr>
            </w:pPr>
            <w:r>
              <w:rPr>
                <w:rFonts w:hint="eastAsia"/>
                <w:color w:val="auto"/>
              </w:rPr>
              <w:t>D、仓储物流组团：位于基地西南部，紧靠达陕高速下道口及魏复路，交通条件极为优越，地势较高，适宜集中布置仓储物流用地。</w:t>
            </w:r>
          </w:p>
          <w:p>
            <w:pPr>
              <w:ind w:firstLine="480"/>
              <w:rPr>
                <w:color w:val="auto"/>
              </w:rPr>
            </w:pPr>
            <w:r>
              <w:rPr>
                <w:rFonts w:hint="eastAsia"/>
                <w:color w:val="auto"/>
              </w:rPr>
              <w:t>E、农产品加工组团：位于基地西北部和东南部，西北部区域北靠山体，南临居住组团，用地条件较为平坦高爽，适于农产品加工区产业发展。并且南靠达陕达巴高速，西部有襄渝铁路及复线，北靠蒲家镇，用地条件较好，交通较为便利。</w:t>
            </w:r>
          </w:p>
          <w:p>
            <w:pPr>
              <w:ind w:firstLine="480"/>
              <w:rPr>
                <w:color w:val="auto"/>
              </w:rPr>
            </w:pPr>
            <w:r>
              <w:rPr>
                <w:rFonts w:hint="eastAsia"/>
                <w:color w:val="auto"/>
              </w:rPr>
              <w:t>F、食品组团：位于基地东北部，用地条件平坦高爽，适于食品产业发展。</w:t>
            </w:r>
          </w:p>
          <w:p>
            <w:pPr>
              <w:ind w:firstLine="480"/>
              <w:rPr>
                <w:color w:val="auto"/>
              </w:rPr>
            </w:pPr>
            <w:r>
              <w:rPr>
                <w:rFonts w:hint="eastAsia"/>
                <w:color w:val="auto"/>
              </w:rPr>
              <w:t>G、医药组团：位于基地南部，南靠凤凰山森林公园，西接仓储物流园区，北陕达巴高速，用地局部坡度较大，靠近仓储物流园区，物资储运较为方便。</w:t>
            </w:r>
          </w:p>
          <w:p>
            <w:pPr>
              <w:ind w:firstLine="480"/>
              <w:rPr>
                <w:color w:val="auto"/>
              </w:rPr>
            </w:pPr>
            <w:r>
              <w:rPr>
                <w:rFonts w:hint="eastAsia"/>
                <w:color w:val="auto"/>
              </w:rPr>
              <w:t>（3）清洁生产门槛</w:t>
            </w:r>
          </w:p>
          <w:p>
            <w:pPr>
              <w:ind w:firstLine="480"/>
              <w:rPr>
                <w:color w:val="auto"/>
              </w:rPr>
            </w:pPr>
            <w:r>
              <w:rPr>
                <w:rFonts w:hint="eastAsia"/>
                <w:color w:val="auto"/>
              </w:rPr>
              <w:t>规划区入驻企业必须采用国际、国内先进水平的生产工艺、设备及污染治理技术，能耗、物耗、水耗等各项指标均应达到清洁生产二级水平或国内先进水平。</w:t>
            </w:r>
          </w:p>
          <w:p>
            <w:pPr>
              <w:ind w:firstLine="480"/>
              <w:rPr>
                <w:color w:val="auto"/>
              </w:rPr>
            </w:pPr>
            <w:r>
              <w:rPr>
                <w:rFonts w:hint="eastAsia"/>
                <w:color w:val="auto"/>
              </w:rPr>
              <w:t>（4）产业准入要求</w:t>
            </w:r>
          </w:p>
          <w:p>
            <w:pPr>
              <w:ind w:firstLine="480"/>
              <w:rPr>
                <w:color w:val="auto"/>
              </w:rPr>
            </w:pPr>
            <w:r>
              <w:rPr>
                <w:rFonts w:hint="eastAsia"/>
                <w:color w:val="auto"/>
              </w:rPr>
              <w:t>根据《达州市农产品加工集中区规划环境影响报告书》《达州市农产品加工集中区规划环境影响跟踪评价报告书》</w:t>
            </w:r>
            <w:r>
              <w:rPr>
                <w:rFonts w:hint="eastAsia"/>
                <w:color w:val="auto"/>
                <w:lang w:val="en-US" w:eastAsia="zh-CN"/>
              </w:rPr>
              <w:t>及其</w:t>
            </w:r>
            <w:r>
              <w:rPr>
                <w:rFonts w:hint="eastAsia"/>
                <w:color w:val="auto"/>
              </w:rPr>
              <w:t>审查意见</w:t>
            </w:r>
            <w:r>
              <w:rPr>
                <w:rFonts w:hint="eastAsia"/>
                <w:color w:val="auto"/>
                <w:lang w:eastAsia="zh-CN"/>
              </w:rPr>
              <w:t>、</w:t>
            </w:r>
            <w:r>
              <w:rPr>
                <w:rFonts w:hint="eastAsia"/>
                <w:color w:val="auto"/>
                <w:lang w:val="en-US" w:eastAsia="zh-CN"/>
              </w:rPr>
              <w:t>专家论证意见相关内容，</w:t>
            </w:r>
            <w:r>
              <w:rPr>
                <w:rFonts w:hint="eastAsia"/>
                <w:color w:val="auto"/>
              </w:rPr>
              <w:t>禁止以下产业入驻园区：</w:t>
            </w:r>
          </w:p>
          <w:p>
            <w:pPr>
              <w:ind w:firstLine="480"/>
              <w:rPr>
                <w:color w:val="auto"/>
              </w:rPr>
            </w:pPr>
            <w:r>
              <w:rPr>
                <w:rFonts w:hint="eastAsia"/>
                <w:color w:val="auto"/>
              </w:rPr>
              <w:t>◆不符合国家产业政策和行业准入条件的项目；</w:t>
            </w:r>
          </w:p>
          <w:p>
            <w:pPr>
              <w:ind w:firstLine="480"/>
              <w:rPr>
                <w:color w:val="auto"/>
              </w:rPr>
            </w:pPr>
            <w:r>
              <w:rPr>
                <w:rFonts w:hint="eastAsia"/>
                <w:color w:val="auto"/>
              </w:rPr>
              <w:t>◆农产品加工业禁止发展屠宰和白酒酿造，医药产业禁止引入合成制药和发酵制药，现代物流业禁止引入化工物流；</w:t>
            </w:r>
          </w:p>
          <w:p>
            <w:pPr>
              <w:ind w:firstLine="480"/>
              <w:rPr>
                <w:color w:val="auto"/>
              </w:rPr>
            </w:pPr>
            <w:r>
              <w:rPr>
                <w:rFonts w:hint="eastAsia"/>
                <w:color w:val="auto"/>
              </w:rPr>
              <w:t>◆与园区主导产业不相容的项目。</w:t>
            </w:r>
          </w:p>
          <w:p>
            <w:pPr>
              <w:ind w:firstLine="480"/>
              <w:rPr>
                <w:color w:val="auto"/>
              </w:rPr>
            </w:pPr>
            <w:r>
              <w:rPr>
                <w:rFonts w:hint="eastAsia"/>
                <w:color w:val="auto"/>
              </w:rPr>
              <w:t>鼓励以下产业入驻园区：</w:t>
            </w:r>
          </w:p>
          <w:p>
            <w:pPr>
              <w:ind w:firstLine="480"/>
              <w:rPr>
                <w:color w:val="auto"/>
              </w:rPr>
            </w:pPr>
            <w:r>
              <w:rPr>
                <w:rFonts w:hint="eastAsia"/>
                <w:color w:val="auto"/>
              </w:rPr>
              <w:t>◆符合园区主导产业的项目；</w:t>
            </w:r>
          </w:p>
          <w:p>
            <w:pPr>
              <w:ind w:firstLine="480"/>
              <w:rPr>
                <w:color w:val="auto"/>
              </w:rPr>
            </w:pPr>
            <w:r>
              <w:rPr>
                <w:rFonts w:hint="eastAsia"/>
                <w:color w:val="auto"/>
              </w:rPr>
              <w:t>◆与园区主导产业相配套，企业效益明显，对区域不造成明显污染，遵循清洁生产及循环经济的项目。</w:t>
            </w:r>
          </w:p>
          <w:p>
            <w:pPr>
              <w:ind w:firstLine="480"/>
              <w:rPr>
                <w:color w:val="auto"/>
              </w:rPr>
            </w:pPr>
            <w:r>
              <w:rPr>
                <w:rFonts w:hint="eastAsia"/>
                <w:color w:val="auto"/>
              </w:rPr>
              <w:t>允许以下产业入驻园区：</w:t>
            </w:r>
          </w:p>
          <w:p>
            <w:pPr>
              <w:ind w:firstLine="480"/>
              <w:rPr>
                <w:color w:val="auto"/>
              </w:rPr>
            </w:pPr>
            <w:r>
              <w:rPr>
                <w:rFonts w:hint="eastAsia"/>
                <w:color w:val="auto"/>
              </w:rPr>
              <w:t>◆不属于上述鼓励类、禁止类，与园区主导产业不相排斥和不矛盾、不形成交叉影响的，符合产业政策、选址与周围环境相容的其他项目。</w:t>
            </w:r>
          </w:p>
          <w:p>
            <w:pPr>
              <w:ind w:firstLine="480"/>
              <w:rPr>
                <w:color w:val="auto"/>
              </w:rPr>
            </w:pPr>
            <w:r>
              <w:rPr>
                <w:rFonts w:hint="eastAsia"/>
                <w:color w:val="auto"/>
              </w:rPr>
              <w:t>本项目位于达州市农产品加工集中区内食品加工组团，</w:t>
            </w:r>
            <w:r>
              <w:rPr>
                <w:rFonts w:hint="eastAsia"/>
                <w:color w:val="auto"/>
                <w:lang w:val="en-US" w:eastAsia="zh-CN"/>
              </w:rPr>
              <w:t>项目</w:t>
            </w:r>
            <w:r>
              <w:rPr>
                <w:rFonts w:hint="eastAsia"/>
                <w:color w:val="auto"/>
              </w:rPr>
              <w:t>主要进行食品生产加工。因此，项目</w:t>
            </w:r>
            <w:r>
              <w:rPr>
                <w:rFonts w:hint="eastAsia"/>
                <w:color w:val="auto"/>
                <w:lang w:val="en-US" w:eastAsia="zh-CN"/>
              </w:rPr>
              <w:t>符合</w:t>
            </w:r>
            <w:r>
              <w:rPr>
                <w:rFonts w:hint="eastAsia"/>
                <w:color w:val="auto"/>
              </w:rPr>
              <w:t>《达州市农产品加工集中区规划》鼓励入驻园区企业要求。</w:t>
            </w:r>
          </w:p>
          <w:p>
            <w:pPr>
              <w:ind w:firstLine="480"/>
              <w:rPr>
                <w:color w:val="auto"/>
              </w:rPr>
            </w:pPr>
            <w:r>
              <w:rPr>
                <w:rFonts w:hint="eastAsia"/>
                <w:color w:val="auto"/>
              </w:rPr>
              <w:t>（</w:t>
            </w:r>
            <w:r>
              <w:rPr>
                <w:color w:val="auto"/>
              </w:rPr>
              <w:t>5</w:t>
            </w:r>
            <w:r>
              <w:rPr>
                <w:rFonts w:hint="eastAsia"/>
                <w:color w:val="auto"/>
              </w:rPr>
              <w:t>）项目与达州市农产品加工集中区规划环评及跟踪环评的符合性分析</w:t>
            </w:r>
          </w:p>
          <w:p>
            <w:pPr>
              <w:pStyle w:val="11"/>
              <w:jc w:val="center"/>
              <w:rPr>
                <w:b/>
                <w:bCs/>
                <w:color w:val="auto"/>
              </w:rPr>
            </w:pPr>
            <w:r>
              <w:rPr>
                <w:rFonts w:hint="eastAsia"/>
                <w:b/>
                <w:bCs/>
                <w:color w:val="auto"/>
                <w:lang w:val="zh-TW" w:eastAsia="zh-TW"/>
              </w:rPr>
              <w:t>表</w:t>
            </w:r>
            <w:r>
              <w:rPr>
                <w:b/>
                <w:bCs/>
                <w:color w:val="auto"/>
              </w:rPr>
              <w:t>1-</w:t>
            </w:r>
            <w:r>
              <w:rPr>
                <w:rFonts w:hint="eastAsia"/>
                <w:b/>
                <w:bCs/>
                <w:color w:val="auto"/>
              </w:rPr>
              <w:t xml:space="preserve">2  </w:t>
            </w:r>
            <w:r>
              <w:rPr>
                <w:rFonts w:hint="eastAsia"/>
                <w:b/>
                <w:bCs/>
                <w:color w:val="auto"/>
                <w:lang w:val="zh-TW" w:eastAsia="zh-TW"/>
              </w:rPr>
              <w:t>与产业园鼓励、允许和禁止引入行业名录</w:t>
            </w:r>
            <w:r>
              <w:rPr>
                <w:rFonts w:hint="eastAsia"/>
                <w:b/>
                <w:bCs/>
                <w:color w:val="auto"/>
              </w:rPr>
              <w:t>符合性</w:t>
            </w:r>
            <w:r>
              <w:rPr>
                <w:rFonts w:hint="eastAsia"/>
                <w:b/>
                <w:bCs/>
                <w:color w:val="auto"/>
                <w:lang w:val="zh-TW" w:eastAsia="zh-TW"/>
              </w:rPr>
              <w:t>分析</w:t>
            </w:r>
          </w:p>
          <w:tbl>
            <w:tblPr>
              <w:tblStyle w:val="6"/>
              <w:tblW w:w="814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1"/>
              <w:gridCol w:w="4036"/>
              <w:gridCol w:w="2084"/>
              <w:gridCol w:w="9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1" w:type="dxa"/>
                  <w:tcBorders>
                    <w:tl2br w:val="nil"/>
                    <w:tr2bl w:val="nil"/>
                  </w:tcBorders>
                  <w:shd w:val="clear" w:color="auto" w:fill="FFFFFF"/>
                  <w:vAlign w:val="bottom"/>
                </w:tcPr>
                <w:p>
                  <w:pPr>
                    <w:pStyle w:val="11"/>
                    <w:jc w:val="center"/>
                    <w:rPr>
                      <w:b/>
                      <w:bCs/>
                      <w:color w:val="auto"/>
                    </w:rPr>
                  </w:pPr>
                  <w:r>
                    <w:rPr>
                      <w:b/>
                      <w:bCs/>
                      <w:color w:val="auto"/>
                      <w:lang w:val="zh-TW" w:eastAsia="zh-TW"/>
                    </w:rPr>
                    <w:t>功能区</w:t>
                  </w:r>
                </w:p>
              </w:tc>
              <w:tc>
                <w:tcPr>
                  <w:tcW w:w="4036" w:type="dxa"/>
                  <w:tcBorders>
                    <w:tl2br w:val="nil"/>
                    <w:tr2bl w:val="nil"/>
                  </w:tcBorders>
                  <w:shd w:val="clear" w:color="auto" w:fill="FFFFFF"/>
                  <w:vAlign w:val="bottom"/>
                </w:tcPr>
                <w:p>
                  <w:pPr>
                    <w:pStyle w:val="11"/>
                    <w:jc w:val="center"/>
                    <w:rPr>
                      <w:b/>
                      <w:bCs/>
                      <w:color w:val="auto"/>
                    </w:rPr>
                  </w:pPr>
                  <w:r>
                    <w:rPr>
                      <w:b/>
                      <w:bCs/>
                      <w:color w:val="auto"/>
                      <w:lang w:val="zh-TW" w:eastAsia="zh-TW"/>
                    </w:rPr>
                    <w:t>禁止准入</w:t>
                  </w:r>
                </w:p>
              </w:tc>
              <w:tc>
                <w:tcPr>
                  <w:tcW w:w="2084" w:type="dxa"/>
                  <w:tcBorders>
                    <w:tl2br w:val="nil"/>
                    <w:tr2bl w:val="nil"/>
                  </w:tcBorders>
                  <w:shd w:val="clear" w:color="auto" w:fill="FFFFFF"/>
                  <w:vAlign w:val="bottom"/>
                </w:tcPr>
                <w:p>
                  <w:pPr>
                    <w:pStyle w:val="11"/>
                    <w:jc w:val="center"/>
                    <w:rPr>
                      <w:b/>
                      <w:bCs/>
                      <w:color w:val="auto"/>
                    </w:rPr>
                  </w:pPr>
                  <w:r>
                    <w:rPr>
                      <w:b/>
                      <w:bCs/>
                      <w:color w:val="auto"/>
                      <w:lang w:val="zh-TW" w:eastAsia="zh-TW"/>
                    </w:rPr>
                    <w:t>本项目</w:t>
                  </w:r>
                </w:p>
              </w:tc>
              <w:tc>
                <w:tcPr>
                  <w:tcW w:w="921" w:type="dxa"/>
                  <w:tcBorders>
                    <w:tl2br w:val="nil"/>
                    <w:tr2bl w:val="nil"/>
                  </w:tcBorders>
                  <w:shd w:val="clear" w:color="auto" w:fill="FFFFFF"/>
                  <w:vAlign w:val="bottom"/>
                </w:tcPr>
                <w:p>
                  <w:pPr>
                    <w:pStyle w:val="11"/>
                    <w:jc w:val="center"/>
                    <w:rPr>
                      <w:b/>
                      <w:bCs/>
                      <w:color w:val="auto"/>
                    </w:rPr>
                  </w:pPr>
                  <w:r>
                    <w:rPr>
                      <w:b/>
                      <w:bCs/>
                      <w:color w:val="auto"/>
                      <w:lang w:val="zh-TW" w:eastAsia="zh-TW"/>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1" w:type="dxa"/>
                  <w:vMerge w:val="restart"/>
                  <w:tcBorders>
                    <w:tl2br w:val="nil"/>
                    <w:tr2bl w:val="nil"/>
                  </w:tcBorders>
                  <w:shd w:val="clear" w:color="auto" w:fill="FFFFFF"/>
                  <w:vAlign w:val="center"/>
                </w:tcPr>
                <w:p>
                  <w:pPr>
                    <w:pStyle w:val="11"/>
                    <w:jc w:val="center"/>
                    <w:rPr>
                      <w:color w:val="auto"/>
                    </w:rPr>
                  </w:pPr>
                  <w:r>
                    <w:rPr>
                      <w:color w:val="auto"/>
                    </w:rPr>
                    <w:t>鼓励类</w:t>
                  </w:r>
                </w:p>
              </w:tc>
              <w:tc>
                <w:tcPr>
                  <w:tcW w:w="4036" w:type="dxa"/>
                  <w:tcBorders>
                    <w:tl2br w:val="nil"/>
                    <w:tr2bl w:val="nil"/>
                  </w:tcBorders>
                  <w:shd w:val="clear" w:color="auto" w:fill="FFFFFF"/>
                  <w:vAlign w:val="center"/>
                </w:tcPr>
                <w:p>
                  <w:pPr>
                    <w:pStyle w:val="11"/>
                    <w:jc w:val="both"/>
                    <w:rPr>
                      <w:color w:val="auto"/>
                    </w:rPr>
                  </w:pPr>
                  <w:r>
                    <w:rPr>
                      <w:color w:val="auto"/>
                    </w:rPr>
                    <w:t>符合园区主导产业的项目</w:t>
                  </w:r>
                  <w:r>
                    <w:rPr>
                      <w:rFonts w:hint="eastAsia"/>
                      <w:color w:val="auto"/>
                    </w:rPr>
                    <w:t>；</w:t>
                  </w:r>
                </w:p>
              </w:tc>
              <w:tc>
                <w:tcPr>
                  <w:tcW w:w="2084" w:type="dxa"/>
                  <w:vMerge w:val="restart"/>
                  <w:tcBorders>
                    <w:tl2br w:val="nil"/>
                    <w:tr2bl w:val="nil"/>
                  </w:tcBorders>
                  <w:shd w:val="clear" w:color="auto" w:fill="FFFFFF"/>
                  <w:vAlign w:val="center"/>
                </w:tcPr>
                <w:p>
                  <w:pPr>
                    <w:pStyle w:val="11"/>
                    <w:rPr>
                      <w:color w:val="auto"/>
                    </w:rPr>
                  </w:pPr>
                  <w:r>
                    <w:rPr>
                      <w:color w:val="auto"/>
                    </w:rPr>
                    <w:t>本项目</w:t>
                  </w:r>
                  <w:r>
                    <w:rPr>
                      <w:rFonts w:hint="eastAsia"/>
                      <w:color w:val="auto"/>
                    </w:rPr>
                    <w:t>主要进行</w:t>
                  </w:r>
                  <w:r>
                    <w:rPr>
                      <w:rFonts w:hint="eastAsia"/>
                      <w:color w:val="auto"/>
                      <w:lang w:eastAsia="zh-CN"/>
                    </w:rPr>
                    <w:t>食品生产加工</w:t>
                  </w:r>
                  <w:r>
                    <w:rPr>
                      <w:rFonts w:hint="eastAsia"/>
                      <w:color w:val="auto"/>
                    </w:rPr>
                    <w:t>，不涉及牲畜屠宰，属于园区主导产业，</w:t>
                  </w:r>
                  <w:r>
                    <w:rPr>
                      <w:color w:val="auto"/>
                    </w:rPr>
                    <w:t>企业效益明显，对区域不造成明显污染，</w:t>
                  </w:r>
                  <w:r>
                    <w:rPr>
                      <w:rFonts w:hint="eastAsia"/>
                      <w:color w:val="auto"/>
                    </w:rPr>
                    <w:t>属于“鼓励类”项目。</w:t>
                  </w:r>
                </w:p>
                <w:p>
                  <w:pPr>
                    <w:pStyle w:val="11"/>
                    <w:rPr>
                      <w:color w:val="auto"/>
                    </w:rPr>
                  </w:pPr>
                </w:p>
              </w:tc>
              <w:tc>
                <w:tcPr>
                  <w:tcW w:w="921" w:type="dxa"/>
                  <w:tcBorders>
                    <w:tl2br w:val="nil"/>
                    <w:tr2bl w:val="nil"/>
                  </w:tcBorders>
                  <w:shd w:val="clear" w:color="auto" w:fill="FFFFFF"/>
                  <w:vAlign w:val="center"/>
                </w:tcPr>
                <w:p>
                  <w:pPr>
                    <w:pStyle w:val="11"/>
                    <w:jc w:val="center"/>
                    <w:rPr>
                      <w:color w:val="auto"/>
                    </w:rPr>
                  </w:pPr>
                  <w:r>
                    <w:rPr>
                      <w:color w:val="auto"/>
                      <w:lang w:val="zh-TW" w:eastAsia="zh-TW"/>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1" w:type="dxa"/>
                  <w:vMerge w:val="continue"/>
                  <w:tcBorders>
                    <w:tl2br w:val="nil"/>
                    <w:tr2bl w:val="nil"/>
                  </w:tcBorders>
                  <w:shd w:val="clear" w:color="auto" w:fill="FFFFFF"/>
                  <w:vAlign w:val="center"/>
                </w:tcPr>
                <w:p>
                  <w:pPr>
                    <w:pStyle w:val="11"/>
                    <w:jc w:val="center"/>
                    <w:rPr>
                      <w:color w:val="auto"/>
                      <w:lang w:val="zh-TW" w:eastAsia="zh-TW"/>
                    </w:rPr>
                  </w:pPr>
                </w:p>
              </w:tc>
              <w:tc>
                <w:tcPr>
                  <w:tcW w:w="4036" w:type="dxa"/>
                  <w:tcBorders>
                    <w:tl2br w:val="nil"/>
                    <w:tr2bl w:val="nil"/>
                  </w:tcBorders>
                  <w:shd w:val="clear" w:color="auto" w:fill="FFFFFF"/>
                  <w:vAlign w:val="center"/>
                </w:tcPr>
                <w:p>
                  <w:pPr>
                    <w:pStyle w:val="11"/>
                    <w:jc w:val="both"/>
                    <w:rPr>
                      <w:color w:val="auto"/>
                    </w:rPr>
                  </w:pPr>
                  <w:r>
                    <w:rPr>
                      <w:color w:val="auto"/>
                    </w:rPr>
                    <w:t xml:space="preserve">与园区主导产业相配套产业，企业效益明 </w:t>
                  </w:r>
                </w:p>
                <w:p>
                  <w:pPr>
                    <w:pStyle w:val="11"/>
                    <w:jc w:val="both"/>
                    <w:rPr>
                      <w:color w:val="auto"/>
                    </w:rPr>
                  </w:pPr>
                  <w:r>
                    <w:rPr>
                      <w:color w:val="auto"/>
                    </w:rPr>
                    <w:t>显，对区域不造成明显污染，准许清洁生产及循环经济的项目</w:t>
                  </w:r>
                  <w:r>
                    <w:rPr>
                      <w:rFonts w:hint="eastAsia"/>
                      <w:color w:val="auto"/>
                    </w:rPr>
                    <w:t>；</w:t>
                  </w:r>
                </w:p>
              </w:tc>
              <w:tc>
                <w:tcPr>
                  <w:tcW w:w="2084" w:type="dxa"/>
                  <w:vMerge w:val="continue"/>
                  <w:tcBorders>
                    <w:tl2br w:val="nil"/>
                    <w:tr2bl w:val="nil"/>
                  </w:tcBorders>
                  <w:shd w:val="clear" w:color="auto" w:fill="FFFFFF"/>
                  <w:vAlign w:val="center"/>
                </w:tcPr>
                <w:p>
                  <w:pPr>
                    <w:pStyle w:val="11"/>
                    <w:rPr>
                      <w:color w:val="auto"/>
                    </w:rPr>
                  </w:pPr>
                </w:p>
              </w:tc>
              <w:tc>
                <w:tcPr>
                  <w:tcW w:w="921"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1" w:type="dxa"/>
                  <w:tcBorders>
                    <w:tl2br w:val="nil"/>
                    <w:tr2bl w:val="nil"/>
                  </w:tcBorders>
                  <w:shd w:val="clear" w:color="auto" w:fill="FFFFFF"/>
                  <w:vAlign w:val="center"/>
                </w:tcPr>
                <w:p>
                  <w:pPr>
                    <w:pStyle w:val="11"/>
                    <w:jc w:val="center"/>
                    <w:rPr>
                      <w:color w:val="auto"/>
                      <w:lang w:val="zh-TW" w:eastAsia="zh-TW"/>
                    </w:rPr>
                  </w:pPr>
                  <w:r>
                    <w:rPr>
                      <w:color w:val="auto"/>
                    </w:rPr>
                    <w:t>允许类</w:t>
                  </w:r>
                </w:p>
              </w:tc>
              <w:tc>
                <w:tcPr>
                  <w:tcW w:w="4036" w:type="dxa"/>
                  <w:tcBorders>
                    <w:tl2br w:val="nil"/>
                    <w:tr2bl w:val="nil"/>
                  </w:tcBorders>
                  <w:shd w:val="clear" w:color="auto" w:fill="FFFFFF"/>
                  <w:vAlign w:val="center"/>
                </w:tcPr>
                <w:p>
                  <w:pPr>
                    <w:pStyle w:val="11"/>
                    <w:jc w:val="both"/>
                    <w:rPr>
                      <w:color w:val="auto"/>
                    </w:rPr>
                  </w:pPr>
                  <w:r>
                    <w:rPr>
                      <w:color w:val="auto"/>
                    </w:rPr>
                    <w:t>不属于上述鼓励类、禁止类，与园区主导产业不相排和不矛盾、不形成交叉影响的，符合产业政策、选址与周围环境相符的其他项目</w:t>
                  </w:r>
                  <w:r>
                    <w:rPr>
                      <w:rFonts w:hint="eastAsia"/>
                      <w:color w:val="auto"/>
                    </w:rPr>
                    <w:t>；</w:t>
                  </w:r>
                </w:p>
              </w:tc>
              <w:tc>
                <w:tcPr>
                  <w:tcW w:w="2084" w:type="dxa"/>
                  <w:vMerge w:val="continue"/>
                  <w:tcBorders>
                    <w:tl2br w:val="nil"/>
                    <w:tr2bl w:val="nil"/>
                  </w:tcBorders>
                  <w:shd w:val="clear" w:color="auto" w:fill="FFFFFF"/>
                  <w:vAlign w:val="center"/>
                </w:tcPr>
                <w:p>
                  <w:pPr>
                    <w:pStyle w:val="11"/>
                    <w:rPr>
                      <w:color w:val="auto"/>
                    </w:rPr>
                  </w:pPr>
                </w:p>
              </w:tc>
              <w:tc>
                <w:tcPr>
                  <w:tcW w:w="921"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1" w:type="dxa"/>
                  <w:vMerge w:val="restart"/>
                  <w:tcBorders>
                    <w:tl2br w:val="nil"/>
                    <w:tr2bl w:val="nil"/>
                  </w:tcBorders>
                  <w:shd w:val="clear" w:color="auto" w:fill="FFFFFF"/>
                  <w:vAlign w:val="center"/>
                </w:tcPr>
                <w:p>
                  <w:pPr>
                    <w:pStyle w:val="11"/>
                    <w:jc w:val="center"/>
                    <w:rPr>
                      <w:color w:val="auto"/>
                    </w:rPr>
                  </w:pPr>
                  <w:r>
                    <w:rPr>
                      <w:color w:val="auto"/>
                    </w:rPr>
                    <w:t>禁止类</w:t>
                  </w:r>
                </w:p>
              </w:tc>
              <w:tc>
                <w:tcPr>
                  <w:tcW w:w="4036" w:type="dxa"/>
                  <w:tcBorders>
                    <w:tl2br w:val="nil"/>
                    <w:tr2bl w:val="nil"/>
                  </w:tcBorders>
                  <w:shd w:val="clear" w:color="auto" w:fill="FFFFFF"/>
                  <w:vAlign w:val="center"/>
                </w:tcPr>
                <w:p>
                  <w:pPr>
                    <w:pStyle w:val="11"/>
                    <w:jc w:val="both"/>
                    <w:rPr>
                      <w:color w:val="auto"/>
                    </w:rPr>
                  </w:pPr>
                  <w:r>
                    <w:rPr>
                      <w:color w:val="auto"/>
                    </w:rPr>
                    <w:t>不符合国家产业政策和行业准入条件的项目</w:t>
                  </w:r>
                </w:p>
              </w:tc>
              <w:tc>
                <w:tcPr>
                  <w:tcW w:w="2084" w:type="dxa"/>
                  <w:vMerge w:val="continue"/>
                  <w:tcBorders>
                    <w:tl2br w:val="nil"/>
                    <w:tr2bl w:val="nil"/>
                  </w:tcBorders>
                  <w:shd w:val="clear" w:color="auto" w:fill="FFFFFF"/>
                  <w:vAlign w:val="center"/>
                </w:tcPr>
                <w:p>
                  <w:pPr>
                    <w:pStyle w:val="11"/>
                    <w:rPr>
                      <w:color w:val="auto"/>
                    </w:rPr>
                  </w:pPr>
                </w:p>
              </w:tc>
              <w:tc>
                <w:tcPr>
                  <w:tcW w:w="921"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1" w:type="dxa"/>
                  <w:vMerge w:val="continue"/>
                  <w:tcBorders>
                    <w:tl2br w:val="nil"/>
                    <w:tr2bl w:val="nil"/>
                  </w:tcBorders>
                  <w:shd w:val="clear" w:color="auto" w:fill="FFFFFF"/>
                  <w:vAlign w:val="center"/>
                </w:tcPr>
                <w:p>
                  <w:pPr>
                    <w:pStyle w:val="11"/>
                    <w:jc w:val="center"/>
                    <w:rPr>
                      <w:color w:val="auto"/>
                      <w:lang w:val="zh-TW" w:eastAsia="zh-TW"/>
                    </w:rPr>
                  </w:pPr>
                </w:p>
              </w:tc>
              <w:tc>
                <w:tcPr>
                  <w:tcW w:w="4036" w:type="dxa"/>
                  <w:tcBorders>
                    <w:tl2br w:val="nil"/>
                    <w:tr2bl w:val="nil"/>
                  </w:tcBorders>
                  <w:shd w:val="clear" w:color="auto" w:fill="FFFFFF"/>
                  <w:vAlign w:val="center"/>
                </w:tcPr>
                <w:p>
                  <w:pPr>
                    <w:pStyle w:val="11"/>
                    <w:jc w:val="both"/>
                    <w:rPr>
                      <w:color w:val="auto"/>
                    </w:rPr>
                  </w:pPr>
                  <w:r>
                    <w:rPr>
                      <w:color w:val="auto"/>
                    </w:rPr>
                    <w:t>农产品加工企业禁止发展屠宰和白酒酿造，医药产业禁止引入合成制药和发酵制药，现代物流业禁止引入化工物流</w:t>
                  </w:r>
                  <w:r>
                    <w:rPr>
                      <w:rFonts w:hint="eastAsia"/>
                      <w:color w:val="auto"/>
                    </w:rPr>
                    <w:t>；</w:t>
                  </w:r>
                </w:p>
              </w:tc>
              <w:tc>
                <w:tcPr>
                  <w:tcW w:w="2084" w:type="dxa"/>
                  <w:vMerge w:val="continue"/>
                  <w:tcBorders>
                    <w:tl2br w:val="nil"/>
                    <w:tr2bl w:val="nil"/>
                  </w:tcBorders>
                  <w:shd w:val="clear" w:color="auto" w:fill="FFFFFF"/>
                  <w:vAlign w:val="center"/>
                </w:tcPr>
                <w:p>
                  <w:pPr>
                    <w:pStyle w:val="11"/>
                    <w:rPr>
                      <w:color w:val="auto"/>
                    </w:rPr>
                  </w:pPr>
                </w:p>
              </w:tc>
              <w:tc>
                <w:tcPr>
                  <w:tcW w:w="921"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1" w:type="dxa"/>
                  <w:vMerge w:val="continue"/>
                  <w:tcBorders>
                    <w:tl2br w:val="nil"/>
                    <w:tr2bl w:val="nil"/>
                  </w:tcBorders>
                  <w:shd w:val="clear" w:color="auto" w:fill="FFFFFF"/>
                  <w:vAlign w:val="center"/>
                </w:tcPr>
                <w:p>
                  <w:pPr>
                    <w:pStyle w:val="11"/>
                    <w:jc w:val="center"/>
                    <w:rPr>
                      <w:color w:val="auto"/>
                      <w:lang w:val="zh-TW" w:eastAsia="zh-TW"/>
                    </w:rPr>
                  </w:pPr>
                </w:p>
              </w:tc>
              <w:tc>
                <w:tcPr>
                  <w:tcW w:w="4036" w:type="dxa"/>
                  <w:tcBorders>
                    <w:tl2br w:val="nil"/>
                    <w:tr2bl w:val="nil"/>
                  </w:tcBorders>
                  <w:shd w:val="clear" w:color="auto" w:fill="FFFFFF"/>
                  <w:vAlign w:val="center"/>
                </w:tcPr>
                <w:p>
                  <w:pPr>
                    <w:pStyle w:val="11"/>
                    <w:jc w:val="both"/>
                    <w:rPr>
                      <w:color w:val="auto"/>
                    </w:rPr>
                  </w:pPr>
                  <w:r>
                    <w:rPr>
                      <w:color w:val="auto"/>
                    </w:rPr>
                    <w:t>与园区主要产业不相容的项目</w:t>
                  </w:r>
                  <w:r>
                    <w:rPr>
                      <w:rFonts w:hint="eastAsia"/>
                      <w:color w:val="auto"/>
                    </w:rPr>
                    <w:t>；</w:t>
                  </w:r>
                </w:p>
              </w:tc>
              <w:tc>
                <w:tcPr>
                  <w:tcW w:w="2084" w:type="dxa"/>
                  <w:vMerge w:val="continue"/>
                  <w:tcBorders>
                    <w:tl2br w:val="nil"/>
                    <w:tr2bl w:val="nil"/>
                  </w:tcBorders>
                  <w:shd w:val="clear" w:color="auto" w:fill="FFFFFF"/>
                  <w:vAlign w:val="center"/>
                </w:tcPr>
                <w:p>
                  <w:pPr>
                    <w:pStyle w:val="11"/>
                    <w:rPr>
                      <w:color w:val="auto"/>
                    </w:rPr>
                  </w:pPr>
                </w:p>
              </w:tc>
              <w:tc>
                <w:tcPr>
                  <w:tcW w:w="921"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1" w:type="dxa"/>
                  <w:tcBorders>
                    <w:tl2br w:val="nil"/>
                    <w:tr2bl w:val="nil"/>
                  </w:tcBorders>
                  <w:shd w:val="clear" w:color="auto" w:fill="FFFFFF"/>
                  <w:vAlign w:val="center"/>
                </w:tcPr>
                <w:p>
                  <w:pPr>
                    <w:pStyle w:val="11"/>
                    <w:jc w:val="center"/>
                    <w:rPr>
                      <w:color w:val="auto"/>
                    </w:rPr>
                  </w:pPr>
                  <w:r>
                    <w:rPr>
                      <w:color w:val="auto"/>
                    </w:rPr>
                    <w:t>清洁</w:t>
                  </w:r>
                </w:p>
                <w:p>
                  <w:pPr>
                    <w:pStyle w:val="11"/>
                    <w:jc w:val="center"/>
                    <w:rPr>
                      <w:color w:val="auto"/>
                    </w:rPr>
                  </w:pPr>
                  <w:r>
                    <w:rPr>
                      <w:color w:val="auto"/>
                    </w:rPr>
                    <w:t>生产水平</w:t>
                  </w:r>
                </w:p>
              </w:tc>
              <w:tc>
                <w:tcPr>
                  <w:tcW w:w="4036" w:type="dxa"/>
                  <w:tcBorders>
                    <w:tl2br w:val="nil"/>
                    <w:tr2bl w:val="nil"/>
                  </w:tcBorders>
                  <w:shd w:val="clear" w:color="auto" w:fill="FFFFFF"/>
                  <w:vAlign w:val="center"/>
                </w:tcPr>
                <w:p>
                  <w:pPr>
                    <w:pStyle w:val="11"/>
                    <w:jc w:val="both"/>
                    <w:rPr>
                      <w:color w:val="auto"/>
                    </w:rPr>
                  </w:pPr>
                  <w:r>
                    <w:rPr>
                      <w:color w:val="auto"/>
                    </w:rPr>
                    <w:t xml:space="preserve">规划区入驻企业必须采用国际、国内先进 </w:t>
                  </w:r>
                </w:p>
                <w:p>
                  <w:pPr>
                    <w:pStyle w:val="11"/>
                    <w:jc w:val="both"/>
                    <w:rPr>
                      <w:color w:val="auto"/>
                    </w:rPr>
                  </w:pPr>
                  <w:r>
                    <w:rPr>
                      <w:color w:val="auto"/>
                    </w:rPr>
                    <w:t xml:space="preserve">水平的生产工艺、设备及污染治理技术， </w:t>
                  </w:r>
                </w:p>
                <w:p>
                  <w:pPr>
                    <w:pStyle w:val="11"/>
                    <w:jc w:val="both"/>
                    <w:rPr>
                      <w:color w:val="auto"/>
                    </w:rPr>
                  </w:pPr>
                  <w:r>
                    <w:rPr>
                      <w:color w:val="auto"/>
                    </w:rPr>
                    <w:t xml:space="preserve">能耗、物耗、水耗等各项指标均应达到清 </w:t>
                  </w:r>
                </w:p>
                <w:p>
                  <w:pPr>
                    <w:pStyle w:val="11"/>
                    <w:jc w:val="both"/>
                    <w:rPr>
                      <w:color w:val="auto"/>
                    </w:rPr>
                  </w:pPr>
                  <w:r>
                    <w:rPr>
                      <w:color w:val="auto"/>
                    </w:rPr>
                    <w:t>洁生产二级水平或国内先进水平</w:t>
                  </w:r>
                  <w:r>
                    <w:rPr>
                      <w:rFonts w:hint="eastAsia"/>
                      <w:color w:val="auto"/>
                    </w:rPr>
                    <w:t>；</w:t>
                  </w:r>
                </w:p>
              </w:tc>
              <w:tc>
                <w:tcPr>
                  <w:tcW w:w="2084" w:type="dxa"/>
                  <w:tcBorders>
                    <w:tl2br w:val="nil"/>
                    <w:tr2bl w:val="nil"/>
                  </w:tcBorders>
                  <w:shd w:val="clear" w:color="auto" w:fill="FFFFFF"/>
                  <w:vAlign w:val="center"/>
                </w:tcPr>
                <w:p>
                  <w:pPr>
                    <w:pStyle w:val="11"/>
                    <w:rPr>
                      <w:color w:val="auto"/>
                    </w:rPr>
                  </w:pPr>
                  <w:r>
                    <w:rPr>
                      <w:color w:val="auto"/>
                    </w:rPr>
                    <w:t>本项目符合国家产业政策及行业准入条件，采用国内先进自动化生产工艺、设备。</w:t>
                  </w:r>
                </w:p>
              </w:tc>
              <w:tc>
                <w:tcPr>
                  <w:tcW w:w="921"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bl>
          <w:p>
            <w:pPr>
              <w:autoSpaceDE w:val="0"/>
              <w:autoSpaceDN w:val="0"/>
              <w:adjustRightInd w:val="0"/>
              <w:snapToGrid w:val="0"/>
              <w:ind w:firstLine="480"/>
              <w:jc w:val="left"/>
              <w:rPr>
                <w:color w:val="auto"/>
                <w:kern w:val="0"/>
                <w:szCs w:val="21"/>
              </w:rPr>
            </w:pPr>
            <w:r>
              <w:rPr>
                <w:rFonts w:hint="eastAsia"/>
                <w:color w:val="auto"/>
              </w:rPr>
              <w:t>综上所述，本项目符合达州市农产品加工集中区规划环评及跟踪环评的相关要求。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jc w:val="center"/>
              <w:rPr>
                <w:b/>
                <w:bCs/>
                <w:color w:val="auto"/>
                <w:sz w:val="24"/>
                <w:szCs w:val="24"/>
              </w:rPr>
            </w:pPr>
            <w:r>
              <w:rPr>
                <w:b/>
                <w:bCs/>
                <w:color w:val="auto"/>
                <w:sz w:val="24"/>
                <w:szCs w:val="24"/>
              </w:rPr>
              <w:t>其他</w:t>
            </w:r>
          </w:p>
          <w:p>
            <w:pPr>
              <w:pStyle w:val="11"/>
              <w:jc w:val="center"/>
              <w:rPr>
                <w:b/>
                <w:bCs/>
                <w:color w:val="auto"/>
                <w:sz w:val="24"/>
                <w:szCs w:val="24"/>
              </w:rPr>
            </w:pPr>
            <w:r>
              <w:rPr>
                <w:b/>
                <w:bCs/>
                <w:color w:val="auto"/>
                <w:sz w:val="24"/>
                <w:szCs w:val="24"/>
              </w:rPr>
              <w:t>符合性分析</w:t>
            </w:r>
          </w:p>
        </w:tc>
        <w:tc>
          <w:tcPr>
            <w:tcW w:w="8459" w:type="dxa"/>
            <w:gridSpan w:val="3"/>
            <w:vAlign w:val="center"/>
          </w:tcPr>
          <w:p>
            <w:pPr>
              <w:autoSpaceDE w:val="0"/>
              <w:autoSpaceDN w:val="0"/>
              <w:adjustRightInd w:val="0"/>
              <w:snapToGrid w:val="0"/>
              <w:ind w:firstLine="482"/>
              <w:rPr>
                <w:b/>
                <w:bCs/>
                <w:color w:val="auto"/>
                <w:kern w:val="0"/>
                <w:szCs w:val="21"/>
              </w:rPr>
            </w:pPr>
            <w:bookmarkStart w:id="3" w:name="bookmark19"/>
            <w:r>
              <w:rPr>
                <w:b/>
                <w:bCs/>
                <w:color w:val="auto"/>
                <w:kern w:val="0"/>
                <w:szCs w:val="21"/>
              </w:rPr>
              <w:t>1、产业政策符合性分析</w:t>
            </w:r>
          </w:p>
          <w:p>
            <w:pPr>
              <w:ind w:firstLine="480"/>
              <w:rPr>
                <w:color w:val="auto"/>
              </w:rPr>
            </w:pPr>
            <w:r>
              <w:rPr>
                <w:rFonts w:hint="eastAsia"/>
                <w:color w:val="auto"/>
              </w:rPr>
              <w:t>本项目主要进行</w:t>
            </w:r>
            <w:r>
              <w:rPr>
                <w:rFonts w:hint="eastAsia"/>
                <w:color w:val="auto"/>
                <w:lang w:eastAsia="zh-CN"/>
              </w:rPr>
              <w:t>食品生产加工</w:t>
            </w:r>
            <w:r>
              <w:rPr>
                <w:rFonts w:hint="eastAsia"/>
                <w:color w:val="auto"/>
              </w:rPr>
              <w:t>，</w:t>
            </w:r>
            <w:r>
              <w:rPr>
                <w:color w:val="auto"/>
              </w:rPr>
              <w:t>根据《国民经济行业分类》（GB/T4754-2017）</w:t>
            </w:r>
            <w:r>
              <w:rPr>
                <w:rFonts w:hint="eastAsia"/>
                <w:color w:val="auto"/>
              </w:rPr>
              <w:t>及第1号修改单的</w:t>
            </w:r>
            <w:r>
              <w:rPr>
                <w:color w:val="auto"/>
              </w:rPr>
              <w:t>相关内容，本项目属于</w:t>
            </w:r>
            <w:r>
              <w:rPr>
                <w:rFonts w:hint="eastAsia"/>
                <w:color w:val="auto"/>
              </w:rPr>
              <w:t>C1353 肉制品及副产品加工的范畴</w:t>
            </w:r>
            <w:r>
              <w:rPr>
                <w:color w:val="auto"/>
              </w:rPr>
              <w:t>，根据中华人民共和国国家发展和改革委员会令第29号《产业结构调整指导目录（</w:t>
            </w:r>
            <w:r>
              <w:rPr>
                <w:rFonts w:hint="eastAsia"/>
                <w:color w:val="auto"/>
              </w:rPr>
              <w:t>2019年本，2021年修订</w:t>
            </w:r>
            <w:r>
              <w:rPr>
                <w:color w:val="auto"/>
              </w:rPr>
              <w:t>）》</w:t>
            </w:r>
            <w:r>
              <w:rPr>
                <w:rFonts w:hint="eastAsia"/>
                <w:color w:val="auto"/>
              </w:rPr>
              <w:t>相关内容：本项目不属于其中规定的“鼓励类、限制类及淘汰类建设项目”，根据中华人民共和国国务院《促进产业结构调整暂行规定》（国发〔2005〕40号）中的第十三条可知，“不属于鼓励类、限制类和淘汰类，且符合国家有关法律、法规和政策规定的，为允许类”。</w:t>
            </w:r>
          </w:p>
          <w:p>
            <w:pPr>
              <w:ind w:firstLine="480"/>
              <w:rPr>
                <w:color w:val="auto"/>
                <w:kern w:val="0"/>
                <w:szCs w:val="21"/>
              </w:rPr>
            </w:pPr>
            <w:r>
              <w:rPr>
                <w:rFonts w:hint="eastAsia"/>
                <w:color w:val="auto"/>
              </w:rPr>
              <w:t>因此，本项目为允许类建设项目，其中，本项目不涉及使用《产业结构调整指导目录（2019年本，2021年修订）》中“淘汰类”所提及的落后生产工艺装备。</w:t>
            </w:r>
            <w:r>
              <w:rPr>
                <w:color w:val="auto"/>
              </w:rPr>
              <w:t>据此，</w:t>
            </w:r>
            <w:r>
              <w:rPr>
                <w:rFonts w:hint="eastAsia"/>
                <w:color w:val="auto"/>
              </w:rPr>
              <w:t>通川区发展和改革局</w:t>
            </w:r>
            <w:r>
              <w:rPr>
                <w:color w:val="auto"/>
              </w:rPr>
              <w:t>以</w:t>
            </w:r>
            <w:r>
              <w:rPr>
                <w:rFonts w:hint="eastAsia"/>
                <w:color w:val="auto"/>
              </w:rPr>
              <w:t>“</w:t>
            </w:r>
            <w:r>
              <w:rPr>
                <w:color w:val="auto"/>
              </w:rPr>
              <w:t>川投资备[</w:t>
            </w:r>
            <w:r>
              <w:rPr>
                <w:rFonts w:hint="eastAsia"/>
                <w:color w:val="auto"/>
              </w:rPr>
              <w:t>2111-511702-04-01-470072</w:t>
            </w:r>
            <w:r>
              <w:rPr>
                <w:color w:val="auto"/>
              </w:rPr>
              <w:t>]</w:t>
            </w:r>
            <w:r>
              <w:rPr>
                <w:rFonts w:hint="eastAsia"/>
                <w:color w:val="auto"/>
              </w:rPr>
              <w:t xml:space="preserve"> </w:t>
            </w:r>
            <w:r>
              <w:rPr>
                <w:color w:val="auto"/>
              </w:rPr>
              <w:t>FGQB</w:t>
            </w:r>
            <w:r>
              <w:rPr>
                <w:rFonts w:hint="eastAsia"/>
                <w:color w:val="auto"/>
              </w:rPr>
              <w:t>-0186</w:t>
            </w:r>
            <w:r>
              <w:rPr>
                <w:color w:val="auto"/>
                <w:kern w:val="0"/>
                <w:szCs w:val="21"/>
              </w:rPr>
              <w:t>号</w:t>
            </w:r>
            <w:r>
              <w:rPr>
                <w:rFonts w:hint="eastAsia"/>
                <w:color w:val="auto"/>
              </w:rPr>
              <w:t>”</w:t>
            </w:r>
            <w:r>
              <w:rPr>
                <w:color w:val="auto"/>
                <w:kern w:val="0"/>
                <w:szCs w:val="21"/>
              </w:rPr>
              <w:t>文件予以项目备案。</w:t>
            </w:r>
          </w:p>
          <w:p>
            <w:pPr>
              <w:autoSpaceDE w:val="0"/>
              <w:autoSpaceDN w:val="0"/>
              <w:adjustRightInd w:val="0"/>
              <w:snapToGrid w:val="0"/>
              <w:ind w:firstLine="480"/>
              <w:rPr>
                <w:color w:val="auto"/>
                <w:kern w:val="0"/>
                <w:szCs w:val="21"/>
              </w:rPr>
            </w:pPr>
            <w:r>
              <w:rPr>
                <w:color w:val="auto"/>
                <w:kern w:val="0"/>
                <w:szCs w:val="21"/>
              </w:rPr>
              <w:t>综上所述，本项目符合国家产业政策。</w:t>
            </w:r>
          </w:p>
          <w:p>
            <w:pPr>
              <w:adjustRightInd w:val="0"/>
              <w:snapToGrid w:val="0"/>
              <w:ind w:firstLine="482"/>
              <w:rPr>
                <w:b/>
                <w:bCs/>
                <w:color w:val="auto"/>
                <w:kern w:val="0"/>
                <w:szCs w:val="21"/>
              </w:rPr>
            </w:pPr>
            <w:r>
              <w:rPr>
                <w:rFonts w:hint="eastAsia"/>
                <w:b/>
                <w:bCs/>
                <w:color w:val="auto"/>
                <w:kern w:val="0"/>
                <w:szCs w:val="21"/>
              </w:rPr>
              <w:t>2</w:t>
            </w:r>
            <w:r>
              <w:rPr>
                <w:b/>
                <w:bCs/>
                <w:color w:val="auto"/>
                <w:kern w:val="0"/>
                <w:szCs w:val="21"/>
              </w:rPr>
              <w:t>、本项目与外环境相容性分析</w:t>
            </w:r>
          </w:p>
          <w:p>
            <w:pPr>
              <w:ind w:firstLine="480"/>
              <w:rPr>
                <w:color w:val="auto"/>
              </w:rPr>
            </w:pPr>
            <w:r>
              <w:rPr>
                <w:color w:val="auto"/>
                <w:kern w:val="0"/>
                <w:szCs w:val="21"/>
                <w:lang w:val="zh-TW" w:eastAsia="zh-TW"/>
              </w:rPr>
              <w:t>本项目位于</w:t>
            </w:r>
            <w:r>
              <w:rPr>
                <w:rFonts w:hint="eastAsia"/>
                <w:color w:val="auto"/>
                <w:kern w:val="0"/>
                <w:szCs w:val="21"/>
                <w:lang w:val="zh-TW"/>
              </w:rPr>
              <w:t>达州市通川区工业集中区食品大道</w:t>
            </w:r>
            <w:r>
              <w:rPr>
                <w:rFonts w:hint="eastAsia"/>
                <w:color w:val="auto"/>
                <w:kern w:val="0"/>
                <w:szCs w:val="21"/>
              </w:rPr>
              <w:t>，根据现场实际调查，周边多为食品加工、冷链物流相关企业，</w:t>
            </w:r>
            <w:r>
              <w:rPr>
                <w:color w:val="auto"/>
                <w:kern w:val="0"/>
                <w:szCs w:val="21"/>
              </w:rPr>
              <w:t>其它区域为园区规划用地</w:t>
            </w:r>
            <w:r>
              <w:rPr>
                <w:rFonts w:hint="eastAsia"/>
                <w:color w:val="auto"/>
                <w:kern w:val="0"/>
                <w:szCs w:val="21"/>
              </w:rPr>
              <w:t>（待建空地），</w:t>
            </w:r>
            <w:r>
              <w:rPr>
                <w:rFonts w:hint="eastAsia"/>
                <w:color w:val="auto"/>
              </w:rPr>
              <w:t>本项目主要外环境关系为：</w:t>
            </w:r>
          </w:p>
          <w:p>
            <w:pPr>
              <w:ind w:firstLine="480"/>
              <w:rPr>
                <w:color w:val="auto"/>
              </w:rPr>
            </w:pPr>
            <w:r>
              <w:rPr>
                <w:rFonts w:hint="eastAsia"/>
                <w:color w:val="auto"/>
              </w:rPr>
              <w:t>东侧50m处为魏家河（州河支流，其主要水体功能为行洪、纳污及城市景观），70m处为国道G210（满防线），</w:t>
            </w:r>
            <w:r>
              <w:rPr>
                <w:rFonts w:hint="eastAsia"/>
                <w:color w:val="auto"/>
                <w:lang w:val="en-US" w:eastAsia="zh-CN"/>
              </w:rPr>
              <w:t>12</w:t>
            </w:r>
            <w:r>
              <w:rPr>
                <w:rFonts w:hint="eastAsia"/>
                <w:color w:val="auto"/>
                <w:lang w:eastAsia="zh-CN"/>
              </w:rPr>
              <w:t>0m</w:t>
            </w:r>
            <w:r>
              <w:rPr>
                <w:rFonts w:hint="eastAsia"/>
                <w:color w:val="auto"/>
              </w:rPr>
              <w:t>处为G210沿街商铺；</w:t>
            </w:r>
          </w:p>
          <w:p>
            <w:pPr>
              <w:ind w:firstLine="480"/>
              <w:rPr>
                <w:color w:val="auto"/>
              </w:rPr>
            </w:pPr>
            <w:r>
              <w:rPr>
                <w:rFonts w:hint="eastAsia"/>
                <w:color w:val="auto"/>
              </w:rPr>
              <w:t>南侧30m处为园区规划用地（待建空地）；</w:t>
            </w:r>
          </w:p>
          <w:p>
            <w:pPr>
              <w:ind w:firstLine="480"/>
              <w:rPr>
                <w:color w:val="auto"/>
              </w:rPr>
            </w:pPr>
            <w:r>
              <w:rPr>
                <w:rFonts w:hint="eastAsia"/>
                <w:color w:val="auto"/>
              </w:rPr>
              <w:t>西侧30m处为达州源美冷链物流集团有限公司（从事仓储服务，不含化学品）；</w:t>
            </w:r>
          </w:p>
          <w:p>
            <w:pPr>
              <w:ind w:firstLine="480"/>
              <w:rPr>
                <w:color w:val="auto"/>
              </w:rPr>
            </w:pPr>
            <w:r>
              <w:rPr>
                <w:rFonts w:hint="eastAsia"/>
                <w:color w:val="auto"/>
              </w:rPr>
              <w:t>北侧30m处为四川后山人食品有限公司（从事熟肉制品生产）、达州市精彩食品股份有限公司（从事熟肉制品生产），70m处为四川三圣宫食品有限公司（从事卤煮制品生产）。</w:t>
            </w:r>
          </w:p>
          <w:p>
            <w:pPr>
              <w:ind w:firstLine="480"/>
              <w:rPr>
                <w:color w:val="auto"/>
              </w:rPr>
            </w:pPr>
            <w:r>
              <w:rPr>
                <w:rFonts w:hint="eastAsia"/>
                <w:color w:val="auto"/>
              </w:rPr>
              <w:t>项目主要外环境关系见下表。</w:t>
            </w:r>
          </w:p>
          <w:p>
            <w:pPr>
              <w:pStyle w:val="11"/>
              <w:jc w:val="center"/>
              <w:rPr>
                <w:b/>
                <w:bCs/>
                <w:color w:val="auto"/>
              </w:rPr>
            </w:pPr>
          </w:p>
          <w:p>
            <w:pPr>
              <w:pStyle w:val="11"/>
              <w:jc w:val="center"/>
              <w:rPr>
                <w:b/>
                <w:bCs/>
                <w:color w:val="auto"/>
              </w:rPr>
            </w:pPr>
          </w:p>
          <w:p>
            <w:pPr>
              <w:pStyle w:val="11"/>
              <w:jc w:val="center"/>
              <w:rPr>
                <w:b/>
                <w:bCs/>
                <w:color w:val="auto"/>
              </w:rPr>
            </w:pPr>
          </w:p>
          <w:p>
            <w:pPr>
              <w:pStyle w:val="11"/>
              <w:jc w:val="center"/>
              <w:rPr>
                <w:b/>
                <w:bCs/>
                <w:color w:val="auto"/>
              </w:rPr>
            </w:pPr>
            <w:r>
              <w:rPr>
                <w:rFonts w:hint="eastAsia"/>
                <w:b/>
                <w:bCs/>
                <w:color w:val="auto"/>
              </w:rPr>
              <w:t>表1-3   项目</w:t>
            </w:r>
            <w:r>
              <w:rPr>
                <w:rFonts w:hint="eastAsia"/>
                <w:b/>
                <w:bCs/>
                <w:color w:val="auto"/>
                <w:lang w:val="en-US" w:eastAsia="zh-CN"/>
              </w:rPr>
              <w:t>周边</w:t>
            </w:r>
            <w:r>
              <w:rPr>
                <w:rFonts w:hint="eastAsia"/>
                <w:b/>
                <w:bCs/>
                <w:color w:val="auto"/>
              </w:rPr>
              <w:t>外环境关系</w:t>
            </w:r>
            <w:r>
              <w:rPr>
                <w:rFonts w:hint="eastAsia"/>
                <w:b/>
                <w:bCs/>
                <w:color w:val="auto"/>
                <w:lang w:val="en-US" w:eastAsia="zh-CN"/>
              </w:rPr>
              <w:t>情况</w:t>
            </w:r>
            <w:r>
              <w:rPr>
                <w:rFonts w:hint="eastAsia"/>
                <w:b/>
                <w:bCs/>
                <w:color w:val="auto"/>
              </w:rPr>
              <w:t>一览表     单位：m</w:t>
            </w:r>
          </w:p>
          <w:tbl>
            <w:tblPr>
              <w:tblStyle w:val="6"/>
              <w:tblW w:w="831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280"/>
              <w:gridCol w:w="932"/>
              <w:gridCol w:w="742"/>
              <w:gridCol w:w="26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b/>
                      <w:bCs/>
                      <w:color w:val="auto"/>
                    </w:rPr>
                  </w:pPr>
                  <w:r>
                    <w:rPr>
                      <w:rFonts w:hint="eastAsia"/>
                      <w:b/>
                      <w:bCs/>
                      <w:color w:val="auto"/>
                    </w:rPr>
                    <w:t>序号</w:t>
                  </w:r>
                </w:p>
              </w:tc>
              <w:tc>
                <w:tcPr>
                  <w:tcW w:w="3280" w:type="dxa"/>
                  <w:vAlign w:val="center"/>
                </w:tcPr>
                <w:p>
                  <w:pPr>
                    <w:pStyle w:val="11"/>
                    <w:jc w:val="center"/>
                    <w:rPr>
                      <w:b/>
                      <w:bCs/>
                      <w:color w:val="auto"/>
                    </w:rPr>
                  </w:pPr>
                  <w:r>
                    <w:rPr>
                      <w:rFonts w:hint="eastAsia"/>
                      <w:b/>
                      <w:bCs/>
                      <w:color w:val="auto"/>
                    </w:rPr>
                    <w:t>名称</w:t>
                  </w:r>
                </w:p>
              </w:tc>
              <w:tc>
                <w:tcPr>
                  <w:tcW w:w="932" w:type="dxa"/>
                  <w:vAlign w:val="center"/>
                </w:tcPr>
                <w:p>
                  <w:pPr>
                    <w:pStyle w:val="11"/>
                    <w:jc w:val="center"/>
                    <w:rPr>
                      <w:b/>
                      <w:bCs/>
                      <w:color w:val="auto"/>
                    </w:rPr>
                  </w:pPr>
                  <w:r>
                    <w:rPr>
                      <w:rFonts w:hint="eastAsia"/>
                      <w:b/>
                      <w:bCs/>
                      <w:color w:val="auto"/>
                    </w:rPr>
                    <w:t>方位</w:t>
                  </w:r>
                </w:p>
              </w:tc>
              <w:tc>
                <w:tcPr>
                  <w:tcW w:w="742" w:type="dxa"/>
                  <w:vAlign w:val="center"/>
                </w:tcPr>
                <w:p>
                  <w:pPr>
                    <w:pStyle w:val="11"/>
                    <w:jc w:val="center"/>
                    <w:rPr>
                      <w:b/>
                      <w:bCs/>
                      <w:color w:val="auto"/>
                    </w:rPr>
                  </w:pPr>
                  <w:r>
                    <w:rPr>
                      <w:rFonts w:hint="eastAsia"/>
                      <w:b/>
                      <w:bCs/>
                      <w:color w:val="auto"/>
                    </w:rPr>
                    <w:t>距离</w:t>
                  </w:r>
                </w:p>
              </w:tc>
              <w:tc>
                <w:tcPr>
                  <w:tcW w:w="2668" w:type="dxa"/>
                  <w:vAlign w:val="center"/>
                </w:tcPr>
                <w:p>
                  <w:pPr>
                    <w:pStyle w:val="11"/>
                    <w:jc w:val="center"/>
                    <w:rPr>
                      <w:rFonts w:hint="eastAsia" w:eastAsia="宋体"/>
                      <w:b/>
                      <w:bCs/>
                      <w:color w:val="auto"/>
                      <w:lang w:val="en-US" w:eastAsia="zh-CN"/>
                    </w:rPr>
                  </w:pPr>
                  <w:r>
                    <w:rPr>
                      <w:rFonts w:hint="eastAsia"/>
                      <w:b/>
                      <w:bCs/>
                      <w:color w:val="auto"/>
                    </w:rPr>
                    <w:t>项目</w:t>
                  </w:r>
                  <w:r>
                    <w:rPr>
                      <w:rFonts w:hint="eastAsia"/>
                      <w:b/>
                      <w:bCs/>
                      <w:color w:val="auto"/>
                      <w:lang w:val="en-US" w:eastAsia="zh-CN"/>
                    </w:rPr>
                    <w:t>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color w:val="auto"/>
                    </w:rPr>
                  </w:pPr>
                  <w:r>
                    <w:rPr>
                      <w:rFonts w:hint="eastAsia"/>
                      <w:color w:val="auto"/>
                    </w:rPr>
                    <w:t>1</w:t>
                  </w:r>
                </w:p>
              </w:tc>
              <w:tc>
                <w:tcPr>
                  <w:tcW w:w="3280" w:type="dxa"/>
                  <w:vAlign w:val="center"/>
                </w:tcPr>
                <w:p>
                  <w:pPr>
                    <w:pStyle w:val="11"/>
                    <w:jc w:val="center"/>
                    <w:rPr>
                      <w:color w:val="auto"/>
                    </w:rPr>
                  </w:pPr>
                  <w:r>
                    <w:rPr>
                      <w:rFonts w:hint="eastAsia"/>
                      <w:color w:val="auto"/>
                    </w:rPr>
                    <w:t>达州源美冷链物流集团有限公司</w:t>
                  </w:r>
                </w:p>
              </w:tc>
              <w:tc>
                <w:tcPr>
                  <w:tcW w:w="932" w:type="dxa"/>
                  <w:vAlign w:val="center"/>
                </w:tcPr>
                <w:p>
                  <w:pPr>
                    <w:pStyle w:val="11"/>
                    <w:jc w:val="center"/>
                    <w:rPr>
                      <w:color w:val="auto"/>
                    </w:rPr>
                  </w:pPr>
                  <w:r>
                    <w:rPr>
                      <w:rFonts w:hint="eastAsia"/>
                      <w:color w:val="auto"/>
                    </w:rPr>
                    <w:t>西侧</w:t>
                  </w:r>
                </w:p>
              </w:tc>
              <w:tc>
                <w:tcPr>
                  <w:tcW w:w="742" w:type="dxa"/>
                  <w:vAlign w:val="center"/>
                </w:tcPr>
                <w:p>
                  <w:pPr>
                    <w:pStyle w:val="11"/>
                    <w:jc w:val="center"/>
                    <w:rPr>
                      <w:color w:val="auto"/>
                    </w:rPr>
                  </w:pPr>
                  <w:r>
                    <w:rPr>
                      <w:rFonts w:hint="eastAsia"/>
                      <w:color w:val="auto"/>
                    </w:rPr>
                    <w:t>30</w:t>
                  </w:r>
                </w:p>
              </w:tc>
              <w:tc>
                <w:tcPr>
                  <w:tcW w:w="2668" w:type="dxa"/>
                  <w:vAlign w:val="center"/>
                </w:tcPr>
                <w:p>
                  <w:pPr>
                    <w:pStyle w:val="11"/>
                    <w:jc w:val="center"/>
                    <w:rPr>
                      <w:color w:val="auto"/>
                    </w:rPr>
                  </w:pPr>
                  <w:r>
                    <w:rPr>
                      <w:rFonts w:hint="eastAsia"/>
                      <w:color w:val="auto"/>
                    </w:rPr>
                    <w:t>仓储服务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color w:val="auto"/>
                    </w:rPr>
                  </w:pPr>
                  <w:r>
                    <w:rPr>
                      <w:rFonts w:hint="eastAsia"/>
                      <w:color w:val="auto"/>
                    </w:rPr>
                    <w:t>2</w:t>
                  </w:r>
                </w:p>
              </w:tc>
              <w:tc>
                <w:tcPr>
                  <w:tcW w:w="3280" w:type="dxa"/>
                  <w:vAlign w:val="center"/>
                </w:tcPr>
                <w:p>
                  <w:pPr>
                    <w:pStyle w:val="11"/>
                    <w:jc w:val="center"/>
                    <w:rPr>
                      <w:color w:val="auto"/>
                    </w:rPr>
                  </w:pPr>
                  <w:r>
                    <w:rPr>
                      <w:rFonts w:hint="eastAsia"/>
                      <w:color w:val="auto"/>
                    </w:rPr>
                    <w:t>四川后山人食品有限公司</w:t>
                  </w:r>
                </w:p>
              </w:tc>
              <w:tc>
                <w:tcPr>
                  <w:tcW w:w="932" w:type="dxa"/>
                  <w:vAlign w:val="center"/>
                </w:tcPr>
                <w:p>
                  <w:pPr>
                    <w:pStyle w:val="11"/>
                    <w:jc w:val="center"/>
                    <w:rPr>
                      <w:color w:val="auto"/>
                    </w:rPr>
                  </w:pPr>
                  <w:r>
                    <w:rPr>
                      <w:rFonts w:hint="eastAsia"/>
                      <w:color w:val="auto"/>
                    </w:rPr>
                    <w:t>北侧</w:t>
                  </w:r>
                </w:p>
              </w:tc>
              <w:tc>
                <w:tcPr>
                  <w:tcW w:w="742" w:type="dxa"/>
                  <w:vAlign w:val="center"/>
                </w:tcPr>
                <w:p>
                  <w:pPr>
                    <w:pStyle w:val="11"/>
                    <w:jc w:val="center"/>
                    <w:rPr>
                      <w:color w:val="auto"/>
                    </w:rPr>
                  </w:pPr>
                  <w:r>
                    <w:rPr>
                      <w:rFonts w:hint="eastAsia"/>
                      <w:color w:val="auto"/>
                    </w:rPr>
                    <w:t>30</w:t>
                  </w:r>
                </w:p>
              </w:tc>
              <w:tc>
                <w:tcPr>
                  <w:tcW w:w="2668" w:type="dxa"/>
                  <w:vAlign w:val="center"/>
                </w:tcPr>
                <w:p>
                  <w:pPr>
                    <w:pStyle w:val="11"/>
                    <w:jc w:val="center"/>
                    <w:rPr>
                      <w:color w:val="auto"/>
                    </w:rPr>
                  </w:pPr>
                  <w:r>
                    <w:rPr>
                      <w:rFonts w:hint="eastAsia"/>
                      <w:color w:val="auto"/>
                    </w:rPr>
                    <w:t>熟肉制品生产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color w:val="auto"/>
                    </w:rPr>
                  </w:pPr>
                  <w:r>
                    <w:rPr>
                      <w:rFonts w:hint="eastAsia"/>
                      <w:color w:val="auto"/>
                    </w:rPr>
                    <w:t>3</w:t>
                  </w:r>
                </w:p>
              </w:tc>
              <w:tc>
                <w:tcPr>
                  <w:tcW w:w="3280" w:type="dxa"/>
                  <w:vAlign w:val="center"/>
                </w:tcPr>
                <w:p>
                  <w:pPr>
                    <w:pStyle w:val="11"/>
                    <w:jc w:val="center"/>
                    <w:rPr>
                      <w:color w:val="auto"/>
                    </w:rPr>
                  </w:pPr>
                  <w:r>
                    <w:rPr>
                      <w:rFonts w:hint="eastAsia"/>
                      <w:color w:val="auto"/>
                    </w:rPr>
                    <w:t>达州市精彩食品股份有限公司</w:t>
                  </w:r>
                </w:p>
              </w:tc>
              <w:tc>
                <w:tcPr>
                  <w:tcW w:w="932" w:type="dxa"/>
                  <w:vAlign w:val="center"/>
                </w:tcPr>
                <w:p>
                  <w:pPr>
                    <w:pStyle w:val="11"/>
                    <w:jc w:val="center"/>
                    <w:rPr>
                      <w:color w:val="auto"/>
                    </w:rPr>
                  </w:pPr>
                  <w:r>
                    <w:rPr>
                      <w:rFonts w:hint="eastAsia"/>
                      <w:color w:val="auto"/>
                    </w:rPr>
                    <w:t>北侧</w:t>
                  </w:r>
                </w:p>
              </w:tc>
              <w:tc>
                <w:tcPr>
                  <w:tcW w:w="742" w:type="dxa"/>
                  <w:vAlign w:val="center"/>
                </w:tcPr>
                <w:p>
                  <w:pPr>
                    <w:pStyle w:val="11"/>
                    <w:jc w:val="center"/>
                    <w:rPr>
                      <w:color w:val="auto"/>
                    </w:rPr>
                  </w:pPr>
                  <w:r>
                    <w:rPr>
                      <w:rFonts w:hint="eastAsia"/>
                      <w:color w:val="auto"/>
                    </w:rPr>
                    <w:t>30</w:t>
                  </w:r>
                </w:p>
              </w:tc>
              <w:tc>
                <w:tcPr>
                  <w:tcW w:w="2668" w:type="dxa"/>
                  <w:vAlign w:val="center"/>
                </w:tcPr>
                <w:p>
                  <w:pPr>
                    <w:pStyle w:val="11"/>
                    <w:jc w:val="center"/>
                    <w:rPr>
                      <w:color w:val="auto"/>
                    </w:rPr>
                  </w:pPr>
                  <w:r>
                    <w:rPr>
                      <w:rFonts w:hint="eastAsia"/>
                      <w:color w:val="auto"/>
                    </w:rPr>
                    <w:t>熟肉制品生产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color w:val="auto"/>
                    </w:rPr>
                  </w:pPr>
                  <w:r>
                    <w:rPr>
                      <w:rFonts w:hint="eastAsia"/>
                      <w:color w:val="auto"/>
                    </w:rPr>
                    <w:t>4</w:t>
                  </w:r>
                </w:p>
              </w:tc>
              <w:tc>
                <w:tcPr>
                  <w:tcW w:w="3280" w:type="dxa"/>
                  <w:vAlign w:val="center"/>
                </w:tcPr>
                <w:p>
                  <w:pPr>
                    <w:pStyle w:val="11"/>
                    <w:jc w:val="center"/>
                    <w:rPr>
                      <w:color w:val="auto"/>
                    </w:rPr>
                  </w:pPr>
                  <w:r>
                    <w:rPr>
                      <w:rFonts w:hint="eastAsia"/>
                      <w:color w:val="auto"/>
                    </w:rPr>
                    <w:t>四川三圣宫食品有限公司</w:t>
                  </w:r>
                </w:p>
              </w:tc>
              <w:tc>
                <w:tcPr>
                  <w:tcW w:w="932" w:type="dxa"/>
                  <w:vAlign w:val="center"/>
                </w:tcPr>
                <w:p>
                  <w:pPr>
                    <w:pStyle w:val="11"/>
                    <w:jc w:val="center"/>
                    <w:rPr>
                      <w:color w:val="auto"/>
                    </w:rPr>
                  </w:pPr>
                  <w:r>
                    <w:rPr>
                      <w:rFonts w:hint="eastAsia"/>
                      <w:color w:val="auto"/>
                    </w:rPr>
                    <w:t>北侧</w:t>
                  </w:r>
                </w:p>
              </w:tc>
              <w:tc>
                <w:tcPr>
                  <w:tcW w:w="742" w:type="dxa"/>
                  <w:vAlign w:val="center"/>
                </w:tcPr>
                <w:p>
                  <w:pPr>
                    <w:pStyle w:val="11"/>
                    <w:jc w:val="center"/>
                    <w:rPr>
                      <w:color w:val="auto"/>
                    </w:rPr>
                  </w:pPr>
                  <w:r>
                    <w:rPr>
                      <w:rFonts w:hint="eastAsia"/>
                      <w:color w:val="auto"/>
                    </w:rPr>
                    <w:t>70</w:t>
                  </w:r>
                </w:p>
              </w:tc>
              <w:tc>
                <w:tcPr>
                  <w:tcW w:w="2668" w:type="dxa"/>
                  <w:vAlign w:val="center"/>
                </w:tcPr>
                <w:p>
                  <w:pPr>
                    <w:pStyle w:val="11"/>
                    <w:jc w:val="center"/>
                    <w:rPr>
                      <w:color w:val="auto"/>
                    </w:rPr>
                  </w:pPr>
                  <w:r>
                    <w:rPr>
                      <w:rFonts w:hint="eastAsia"/>
                      <w:color w:val="auto"/>
                    </w:rPr>
                    <w:t>卤煮制品生产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rFonts w:hint="eastAsia" w:eastAsia="宋体"/>
                      <w:color w:val="auto"/>
                      <w:lang w:val="en-US" w:eastAsia="zh-CN"/>
                    </w:rPr>
                  </w:pPr>
                  <w:r>
                    <w:rPr>
                      <w:rFonts w:hint="eastAsia"/>
                      <w:color w:val="auto"/>
                      <w:lang w:val="en-US" w:eastAsia="zh-CN"/>
                    </w:rPr>
                    <w:t>5</w:t>
                  </w:r>
                </w:p>
              </w:tc>
              <w:tc>
                <w:tcPr>
                  <w:tcW w:w="3280" w:type="dxa"/>
                  <w:vAlign w:val="center"/>
                </w:tcPr>
                <w:p>
                  <w:pPr>
                    <w:pStyle w:val="11"/>
                    <w:jc w:val="center"/>
                    <w:rPr>
                      <w:rFonts w:hint="default" w:eastAsia="宋体"/>
                      <w:color w:val="auto"/>
                      <w:lang w:val="en-US" w:eastAsia="zh-CN"/>
                    </w:rPr>
                  </w:pPr>
                  <w:r>
                    <w:rPr>
                      <w:rFonts w:hint="eastAsia"/>
                      <w:color w:val="auto"/>
                      <w:lang w:val="en-US" w:eastAsia="zh-CN"/>
                    </w:rPr>
                    <w:t>国道G210沿街商铺</w:t>
                  </w:r>
                </w:p>
              </w:tc>
              <w:tc>
                <w:tcPr>
                  <w:tcW w:w="932" w:type="dxa"/>
                  <w:vAlign w:val="center"/>
                </w:tcPr>
                <w:p>
                  <w:pPr>
                    <w:pStyle w:val="11"/>
                    <w:jc w:val="center"/>
                    <w:rPr>
                      <w:rFonts w:hint="eastAsia" w:eastAsia="宋体"/>
                      <w:color w:val="auto"/>
                      <w:lang w:val="en-US" w:eastAsia="zh-CN"/>
                    </w:rPr>
                  </w:pPr>
                  <w:r>
                    <w:rPr>
                      <w:rFonts w:hint="eastAsia"/>
                      <w:color w:val="auto"/>
                      <w:lang w:val="en-US" w:eastAsia="zh-CN"/>
                    </w:rPr>
                    <w:t>东侧</w:t>
                  </w:r>
                </w:p>
              </w:tc>
              <w:tc>
                <w:tcPr>
                  <w:tcW w:w="742" w:type="dxa"/>
                  <w:vAlign w:val="center"/>
                </w:tcPr>
                <w:p>
                  <w:pPr>
                    <w:pStyle w:val="11"/>
                    <w:jc w:val="center"/>
                    <w:rPr>
                      <w:rFonts w:hint="default" w:eastAsia="宋体"/>
                      <w:color w:val="auto"/>
                      <w:lang w:val="en-US" w:eastAsia="zh-CN"/>
                    </w:rPr>
                  </w:pPr>
                  <w:r>
                    <w:rPr>
                      <w:rFonts w:hint="eastAsia"/>
                      <w:color w:val="auto"/>
                      <w:lang w:val="en-US" w:eastAsia="zh-CN"/>
                    </w:rPr>
                    <w:t>120</w:t>
                  </w:r>
                </w:p>
              </w:tc>
              <w:tc>
                <w:tcPr>
                  <w:tcW w:w="2668" w:type="dxa"/>
                  <w:vAlign w:val="center"/>
                </w:tcPr>
                <w:p>
                  <w:pPr>
                    <w:pStyle w:val="11"/>
                    <w:jc w:val="center"/>
                    <w:rPr>
                      <w:rFonts w:hint="default" w:eastAsia="宋体"/>
                      <w:color w:val="auto"/>
                      <w:lang w:val="en-US" w:eastAsia="zh-CN"/>
                    </w:rPr>
                  </w:pPr>
                  <w:r>
                    <w:rPr>
                      <w:rFonts w:hint="eastAsia"/>
                      <w:color w:val="auto"/>
                      <w:lang w:val="en-US" w:eastAsia="zh-CN"/>
                    </w:rPr>
                    <w:t>零售、餐饮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6</w:t>
                  </w:r>
                </w:p>
              </w:tc>
              <w:tc>
                <w:tcPr>
                  <w:tcW w:w="3280"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杨家村居民散户</w:t>
                  </w:r>
                </w:p>
              </w:tc>
              <w:tc>
                <w:tcPr>
                  <w:tcW w:w="932"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东侧</w:t>
                  </w:r>
                </w:p>
              </w:tc>
              <w:tc>
                <w:tcPr>
                  <w:tcW w:w="742"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eastAsia"/>
                      <w:color w:val="auto"/>
                      <w:lang w:val="en-US" w:eastAsia="zh-CN"/>
                    </w:rPr>
                    <w:t>450</w:t>
                  </w:r>
                </w:p>
              </w:tc>
              <w:tc>
                <w:tcPr>
                  <w:tcW w:w="2668"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住宅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7</w:t>
                  </w:r>
                </w:p>
              </w:tc>
              <w:tc>
                <w:tcPr>
                  <w:tcW w:w="3280"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国道G210沿街商铺</w:t>
                  </w:r>
                </w:p>
              </w:tc>
              <w:tc>
                <w:tcPr>
                  <w:tcW w:w="932"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东南侧</w:t>
                  </w:r>
                </w:p>
              </w:tc>
              <w:tc>
                <w:tcPr>
                  <w:tcW w:w="742"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eastAsia"/>
                      <w:color w:val="auto"/>
                      <w:lang w:val="en-US" w:eastAsia="zh-CN"/>
                    </w:rPr>
                    <w:t>220</w:t>
                  </w:r>
                </w:p>
              </w:tc>
              <w:tc>
                <w:tcPr>
                  <w:tcW w:w="2668"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零售、餐饮</w:t>
                  </w:r>
                </w:p>
              </w:tc>
            </w:tr>
          </w:tbl>
          <w:p>
            <w:pPr>
              <w:ind w:firstLine="480"/>
              <w:rPr>
                <w:color w:val="auto"/>
                <w:kern w:val="0"/>
                <w:szCs w:val="21"/>
              </w:rPr>
            </w:pPr>
            <w:r>
              <w:rPr>
                <w:rFonts w:hint="eastAsia"/>
                <w:color w:val="auto"/>
                <w:kern w:val="0"/>
                <w:szCs w:val="21"/>
              </w:rPr>
              <w:t>由上表知，项目所在区域周边主要为园区工业企业，本项目生产过程中产生的废气主要为</w:t>
            </w:r>
            <w:r>
              <w:rPr>
                <w:rFonts w:hint="eastAsia"/>
                <w:color w:val="auto"/>
                <w:kern w:val="0"/>
                <w:szCs w:val="21"/>
                <w:lang w:val="en-US" w:eastAsia="zh-CN"/>
              </w:rPr>
              <w:t>油烟废气</w:t>
            </w:r>
            <w:r>
              <w:rPr>
                <w:rFonts w:hint="eastAsia"/>
                <w:color w:val="auto"/>
                <w:kern w:val="0"/>
                <w:szCs w:val="21"/>
              </w:rPr>
              <w:t>，无其它有毒、有害气体排放，项目生产过程中应注重废气和废水对周边外环境的影响，并采取相应的防治措施，在做好自身环防护的前提下对周边基本不会产生影响。</w:t>
            </w:r>
          </w:p>
          <w:p>
            <w:pPr>
              <w:ind w:firstLine="480"/>
              <w:rPr>
                <w:color w:val="auto"/>
                <w:kern w:val="0"/>
                <w:szCs w:val="21"/>
              </w:rPr>
            </w:pPr>
            <w:r>
              <w:rPr>
                <w:color w:val="auto"/>
                <w:kern w:val="0"/>
                <w:szCs w:val="21"/>
              </w:rPr>
              <w:t>综上，本项目所在地地理位置优越，交通便利，能够满足本项目生产及生活需要。因此，项目外环境不存在明显的环境制约因素，项目选址合理。</w:t>
            </w:r>
          </w:p>
          <w:p>
            <w:pPr>
              <w:autoSpaceDE w:val="0"/>
              <w:autoSpaceDN w:val="0"/>
              <w:adjustRightInd w:val="0"/>
              <w:snapToGrid w:val="0"/>
              <w:ind w:firstLine="482"/>
              <w:rPr>
                <w:b/>
                <w:bCs/>
                <w:color w:val="auto"/>
                <w:kern w:val="0"/>
                <w:szCs w:val="21"/>
              </w:rPr>
            </w:pPr>
            <w:r>
              <w:rPr>
                <w:rFonts w:hint="eastAsia"/>
                <w:b/>
                <w:bCs/>
                <w:color w:val="auto"/>
                <w:kern w:val="0"/>
                <w:szCs w:val="21"/>
              </w:rPr>
              <w:t>3</w:t>
            </w:r>
            <w:r>
              <w:rPr>
                <w:b/>
                <w:bCs/>
                <w:color w:val="auto"/>
                <w:kern w:val="0"/>
                <w:szCs w:val="21"/>
              </w:rPr>
              <w:t>、用地规划符合性分析</w:t>
            </w:r>
          </w:p>
          <w:p>
            <w:pPr>
              <w:autoSpaceDE w:val="0"/>
              <w:autoSpaceDN w:val="0"/>
              <w:adjustRightInd w:val="0"/>
              <w:snapToGrid w:val="0"/>
              <w:ind w:firstLine="480"/>
              <w:rPr>
                <w:color w:val="auto"/>
                <w:kern w:val="0"/>
                <w:lang w:bidi="ar"/>
              </w:rPr>
            </w:pPr>
            <w:r>
              <w:rPr>
                <w:color w:val="auto"/>
                <w:kern w:val="0"/>
                <w:szCs w:val="21"/>
                <w:lang w:val="zh-TW" w:eastAsia="zh-TW"/>
              </w:rPr>
              <w:t>本项目位于</w:t>
            </w:r>
            <w:r>
              <w:rPr>
                <w:rFonts w:hint="eastAsia"/>
                <w:color w:val="auto"/>
                <w:kern w:val="0"/>
                <w:szCs w:val="21"/>
                <w:lang w:val="zh-TW"/>
              </w:rPr>
              <w:t>达州市通川区工业集中区食品大道，</w:t>
            </w:r>
            <w:r>
              <w:rPr>
                <w:color w:val="auto"/>
                <w:kern w:val="0"/>
                <w:szCs w:val="21"/>
              </w:rPr>
              <w:t>根据</w:t>
            </w:r>
            <w:r>
              <w:rPr>
                <w:rFonts w:hint="eastAsia"/>
                <w:color w:val="auto"/>
                <w:kern w:val="0"/>
                <w:szCs w:val="21"/>
              </w:rPr>
              <w:t>最新用地规划图，项目所在地用地性质为工业用地。</w:t>
            </w:r>
            <w:r>
              <w:rPr>
                <w:color w:val="auto"/>
                <w:kern w:val="0"/>
                <w:szCs w:val="21"/>
              </w:rPr>
              <w:t>根据</w:t>
            </w:r>
            <w:r>
              <w:rPr>
                <w:rFonts w:hint="eastAsia"/>
                <w:color w:val="auto"/>
                <w:kern w:val="0"/>
                <w:szCs w:val="21"/>
              </w:rPr>
              <w:t>建设单位和</w:t>
            </w:r>
            <w:r>
              <w:rPr>
                <w:color w:val="auto"/>
                <w:kern w:val="0"/>
                <w:lang w:bidi="ar"/>
              </w:rPr>
              <w:t>达州市</w:t>
            </w:r>
            <w:r>
              <w:rPr>
                <w:rFonts w:hint="eastAsia"/>
                <w:color w:val="auto"/>
                <w:kern w:val="0"/>
                <w:lang w:bidi="ar"/>
              </w:rPr>
              <w:t>通川区人民政府2021年11月10日签订的“川汉子肉制品精深加工项目建设投资协议”、达州市通川区城乡规划建设专业咨询委员会2021年12月9日的会议纪要等相关内容，明确项目土地用途为工业用地，原则上同意项目的选址位置。</w:t>
            </w:r>
          </w:p>
          <w:p>
            <w:pPr>
              <w:autoSpaceDE w:val="0"/>
              <w:autoSpaceDN w:val="0"/>
              <w:adjustRightInd w:val="0"/>
              <w:snapToGrid w:val="0"/>
              <w:ind w:firstLine="480"/>
              <w:rPr>
                <w:rFonts w:hint="default" w:eastAsia="宋体"/>
                <w:color w:val="auto"/>
                <w:kern w:val="0"/>
                <w:szCs w:val="21"/>
                <w:lang w:val="en-US" w:eastAsia="zh-CN"/>
              </w:rPr>
            </w:pPr>
            <w:r>
              <w:rPr>
                <w:rFonts w:hint="eastAsia"/>
                <w:color w:val="auto"/>
                <w:kern w:val="0"/>
                <w:szCs w:val="21"/>
              </w:rPr>
              <w:t>综上所述，</w:t>
            </w:r>
            <w:r>
              <w:rPr>
                <w:color w:val="auto"/>
                <w:kern w:val="0"/>
                <w:szCs w:val="21"/>
              </w:rPr>
              <w:t>项目符合</w:t>
            </w:r>
            <w:r>
              <w:rPr>
                <w:rFonts w:hint="eastAsia"/>
                <w:color w:val="auto"/>
                <w:kern w:val="0"/>
                <w:szCs w:val="21"/>
              </w:rPr>
              <w:t>相关</w:t>
            </w:r>
            <w:r>
              <w:rPr>
                <w:color w:val="auto"/>
                <w:kern w:val="0"/>
                <w:szCs w:val="21"/>
              </w:rPr>
              <w:t>用地规划。</w:t>
            </w:r>
            <w:r>
              <w:rPr>
                <w:rFonts w:hint="eastAsia"/>
                <w:color w:val="auto"/>
                <w:kern w:val="0"/>
                <w:szCs w:val="21"/>
                <w:lang w:val="en-US" w:eastAsia="zh-CN"/>
              </w:rPr>
              <w:t xml:space="preserve">                                                                                                                                                                                                                                                                                                                                                                                                                                                              </w:t>
            </w:r>
          </w:p>
          <w:p>
            <w:pPr>
              <w:autoSpaceDE w:val="0"/>
              <w:autoSpaceDN w:val="0"/>
              <w:adjustRightInd w:val="0"/>
              <w:snapToGrid w:val="0"/>
              <w:ind w:firstLine="482"/>
              <w:rPr>
                <w:b/>
                <w:bCs/>
                <w:color w:val="auto"/>
                <w:kern w:val="0"/>
                <w:szCs w:val="21"/>
                <w:lang w:val="zh-TW" w:eastAsia="zh-TW"/>
              </w:rPr>
            </w:pPr>
            <w:r>
              <w:rPr>
                <w:rFonts w:hint="eastAsia"/>
                <w:b/>
                <w:bCs/>
                <w:color w:val="auto"/>
                <w:kern w:val="0"/>
                <w:szCs w:val="21"/>
              </w:rPr>
              <w:t>4</w:t>
            </w:r>
            <w:r>
              <w:rPr>
                <w:b/>
                <w:bCs/>
                <w:color w:val="auto"/>
                <w:kern w:val="0"/>
                <w:szCs w:val="21"/>
              </w:rPr>
              <w:t>、</w:t>
            </w:r>
            <w:r>
              <w:rPr>
                <w:b/>
                <w:bCs/>
                <w:color w:val="auto"/>
                <w:kern w:val="0"/>
                <w:szCs w:val="21"/>
                <w:lang w:val="zh-TW" w:eastAsia="zh-TW"/>
              </w:rPr>
              <w:t>项目与《四川省</w:t>
            </w:r>
            <w:r>
              <w:rPr>
                <w:rFonts w:hint="eastAsia"/>
                <w:b/>
                <w:bCs/>
                <w:color w:val="auto"/>
                <w:kern w:val="0"/>
                <w:szCs w:val="21"/>
                <w:lang w:val="zh-TW"/>
              </w:rPr>
              <w:t>、</w:t>
            </w:r>
            <w:r>
              <w:rPr>
                <w:rFonts w:hint="eastAsia"/>
                <w:b/>
                <w:bCs/>
                <w:color w:val="auto"/>
                <w:kern w:val="0"/>
                <w:szCs w:val="21"/>
              </w:rPr>
              <w:t>重庆市</w:t>
            </w:r>
            <w:r>
              <w:rPr>
                <w:b/>
                <w:bCs/>
                <w:color w:val="auto"/>
                <w:kern w:val="0"/>
                <w:szCs w:val="21"/>
                <w:lang w:val="zh-TW" w:eastAsia="zh-TW"/>
              </w:rPr>
              <w:t>长江经济带发展负面清单实施细则（试行</w:t>
            </w:r>
            <w:r>
              <w:rPr>
                <w:rFonts w:hint="eastAsia"/>
                <w:b/>
                <w:bCs/>
                <w:color w:val="auto"/>
                <w:kern w:val="0"/>
                <w:szCs w:val="21"/>
                <w:lang w:val="zh-TW" w:eastAsia="zh-TW"/>
              </w:rPr>
              <w:t>，2022年版</w:t>
            </w:r>
            <w:r>
              <w:rPr>
                <w:b/>
                <w:bCs/>
                <w:color w:val="auto"/>
                <w:kern w:val="0"/>
                <w:szCs w:val="21"/>
                <w:lang w:val="zh-TW" w:eastAsia="zh-TW"/>
              </w:rPr>
              <w:t>）》符合性分析</w:t>
            </w:r>
          </w:p>
          <w:p>
            <w:pPr>
              <w:autoSpaceDE w:val="0"/>
              <w:autoSpaceDN w:val="0"/>
              <w:adjustRightInd w:val="0"/>
              <w:snapToGrid w:val="0"/>
              <w:ind w:firstLine="480"/>
              <w:rPr>
                <w:color w:val="auto"/>
                <w:kern w:val="0"/>
                <w:szCs w:val="21"/>
                <w:lang w:val="zh-TW" w:eastAsia="zh-TW"/>
              </w:rPr>
            </w:pPr>
            <w:r>
              <w:rPr>
                <w:color w:val="auto"/>
                <w:kern w:val="0"/>
                <w:szCs w:val="21"/>
                <w:lang w:val="zh-TW" w:eastAsia="zh-TW"/>
              </w:rPr>
              <w:t>本项目位于</w:t>
            </w:r>
            <w:r>
              <w:rPr>
                <w:rFonts w:hint="eastAsia"/>
                <w:color w:val="auto"/>
                <w:kern w:val="0"/>
                <w:szCs w:val="21"/>
                <w:lang w:val="zh-TW"/>
              </w:rPr>
              <w:t>达州市通川区工业集中区食品大道</w:t>
            </w:r>
            <w:r>
              <w:rPr>
                <w:color w:val="auto"/>
                <w:kern w:val="0"/>
                <w:szCs w:val="21"/>
                <w:lang w:val="zh-TW" w:eastAsia="zh-TW"/>
              </w:rPr>
              <w:t>，根据《四川省</w:t>
            </w:r>
            <w:r>
              <w:rPr>
                <w:rFonts w:hint="eastAsia"/>
                <w:color w:val="auto"/>
                <w:kern w:val="0"/>
                <w:szCs w:val="21"/>
                <w:lang w:val="zh-TW"/>
              </w:rPr>
              <w:t>、</w:t>
            </w:r>
            <w:r>
              <w:rPr>
                <w:rFonts w:hint="eastAsia"/>
                <w:color w:val="auto"/>
                <w:kern w:val="0"/>
                <w:szCs w:val="21"/>
              </w:rPr>
              <w:t>重庆市</w:t>
            </w:r>
            <w:r>
              <w:rPr>
                <w:color w:val="auto"/>
                <w:kern w:val="0"/>
                <w:szCs w:val="21"/>
                <w:lang w:val="zh-TW" w:eastAsia="zh-TW"/>
              </w:rPr>
              <w:t>长江经济带发展负面清单实施细则（试行</w:t>
            </w:r>
            <w:r>
              <w:rPr>
                <w:rFonts w:hint="eastAsia"/>
                <w:color w:val="auto"/>
                <w:kern w:val="0"/>
                <w:szCs w:val="21"/>
                <w:lang w:val="zh-TW" w:eastAsia="zh-TW"/>
              </w:rPr>
              <w:t>，2022年版</w:t>
            </w:r>
            <w:r>
              <w:rPr>
                <w:color w:val="auto"/>
                <w:kern w:val="0"/>
                <w:szCs w:val="21"/>
                <w:lang w:val="zh-TW" w:eastAsia="zh-TW"/>
              </w:rPr>
              <w:t>）》相关内容，本项目不涉及饮用水源、自然保护区和基本农田及林地占用，不属于文件中禁止建设的项目，符合《四川省</w:t>
            </w:r>
            <w:r>
              <w:rPr>
                <w:rFonts w:hint="eastAsia"/>
                <w:color w:val="auto"/>
                <w:kern w:val="0"/>
                <w:szCs w:val="21"/>
                <w:lang w:val="zh-TW"/>
              </w:rPr>
              <w:t>、</w:t>
            </w:r>
            <w:r>
              <w:rPr>
                <w:rFonts w:hint="eastAsia"/>
                <w:color w:val="auto"/>
                <w:kern w:val="0"/>
                <w:szCs w:val="21"/>
              </w:rPr>
              <w:t>重庆市</w:t>
            </w:r>
            <w:r>
              <w:rPr>
                <w:color w:val="auto"/>
                <w:kern w:val="0"/>
                <w:szCs w:val="21"/>
                <w:lang w:val="zh-TW" w:eastAsia="zh-TW"/>
              </w:rPr>
              <w:t>长江经济带发展负面清单实施细则（试行</w:t>
            </w:r>
            <w:r>
              <w:rPr>
                <w:rFonts w:hint="eastAsia"/>
                <w:color w:val="auto"/>
                <w:kern w:val="0"/>
                <w:szCs w:val="21"/>
                <w:lang w:val="zh-TW" w:eastAsia="zh-TW"/>
              </w:rPr>
              <w:t>，2022年版</w:t>
            </w:r>
            <w:r>
              <w:rPr>
                <w:color w:val="auto"/>
                <w:kern w:val="0"/>
                <w:szCs w:val="21"/>
                <w:lang w:val="zh-TW" w:eastAsia="zh-TW"/>
              </w:rPr>
              <w:t>）》相关内容的要求。</w:t>
            </w:r>
          </w:p>
          <w:p>
            <w:pPr>
              <w:pStyle w:val="11"/>
              <w:jc w:val="center"/>
              <w:rPr>
                <w:b/>
                <w:bCs/>
                <w:color w:val="auto"/>
              </w:rPr>
            </w:pPr>
            <w:r>
              <w:rPr>
                <w:b/>
                <w:bCs/>
                <w:color w:val="auto"/>
              </w:rPr>
              <w:t>表1-</w:t>
            </w:r>
            <w:r>
              <w:rPr>
                <w:rFonts w:hint="eastAsia"/>
                <w:b/>
                <w:bCs/>
                <w:color w:val="auto"/>
              </w:rPr>
              <w:t xml:space="preserve">4  </w:t>
            </w:r>
            <w:r>
              <w:rPr>
                <w:b/>
                <w:bCs/>
                <w:color w:val="auto"/>
              </w:rPr>
              <w:t>与《四川省</w:t>
            </w:r>
            <w:r>
              <w:rPr>
                <w:rFonts w:hint="eastAsia"/>
                <w:b/>
                <w:bCs/>
                <w:color w:val="auto"/>
                <w:lang w:val="zh-TW"/>
              </w:rPr>
              <w:t>、</w:t>
            </w:r>
            <w:r>
              <w:rPr>
                <w:rFonts w:hint="eastAsia"/>
                <w:b/>
                <w:bCs/>
                <w:color w:val="auto"/>
              </w:rPr>
              <w:t>重庆市</w:t>
            </w:r>
            <w:r>
              <w:rPr>
                <w:b/>
                <w:bCs/>
                <w:color w:val="auto"/>
              </w:rPr>
              <w:t>长江经济带发展负面清单实施细则</w:t>
            </w:r>
          </w:p>
          <w:p>
            <w:pPr>
              <w:pStyle w:val="11"/>
              <w:jc w:val="center"/>
              <w:rPr>
                <w:b/>
                <w:bCs/>
                <w:color w:val="auto"/>
              </w:rPr>
            </w:pPr>
            <w:r>
              <w:rPr>
                <w:b/>
                <w:bCs/>
                <w:color w:val="auto"/>
                <w:lang w:val="zh-TW" w:eastAsia="zh-TW"/>
              </w:rPr>
              <w:t>（试行</w:t>
            </w:r>
            <w:r>
              <w:rPr>
                <w:rFonts w:hint="eastAsia"/>
                <w:b/>
                <w:bCs/>
                <w:color w:val="auto"/>
                <w:lang w:val="zh-TW" w:eastAsia="zh-TW"/>
              </w:rPr>
              <w:t>，2022年版</w:t>
            </w:r>
            <w:r>
              <w:rPr>
                <w:b/>
                <w:bCs/>
                <w:color w:val="auto"/>
                <w:lang w:val="zh-TW" w:eastAsia="zh-TW"/>
              </w:rPr>
              <w:t>）</w:t>
            </w:r>
            <w:r>
              <w:rPr>
                <w:b/>
                <w:bCs/>
                <w:color w:val="auto"/>
              </w:rPr>
              <w:t>》符合性分析</w:t>
            </w:r>
          </w:p>
          <w:tbl>
            <w:tblPr>
              <w:tblStyle w:val="6"/>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4539"/>
              <w:gridCol w:w="1832"/>
              <w:gridCol w:w="8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Align w:val="center"/>
                </w:tcPr>
                <w:p>
                  <w:pPr>
                    <w:pStyle w:val="11"/>
                    <w:jc w:val="center"/>
                    <w:rPr>
                      <w:b/>
                      <w:bCs/>
                      <w:color w:val="auto"/>
                    </w:rPr>
                  </w:pPr>
                  <w:r>
                    <w:rPr>
                      <w:rFonts w:hint="eastAsia"/>
                      <w:b/>
                      <w:bCs/>
                      <w:color w:val="auto"/>
                    </w:rPr>
                    <w:t>文件名称</w:t>
                  </w:r>
                </w:p>
              </w:tc>
              <w:tc>
                <w:tcPr>
                  <w:tcW w:w="4539" w:type="dxa"/>
                  <w:vAlign w:val="center"/>
                </w:tcPr>
                <w:p>
                  <w:pPr>
                    <w:pStyle w:val="11"/>
                    <w:jc w:val="center"/>
                    <w:rPr>
                      <w:b/>
                      <w:bCs/>
                      <w:color w:val="auto"/>
                    </w:rPr>
                  </w:pPr>
                  <w:r>
                    <w:rPr>
                      <w:rFonts w:hint="eastAsia"/>
                      <w:b/>
                      <w:bCs/>
                      <w:color w:val="auto"/>
                    </w:rPr>
                    <w:t>方案（规划要求）</w:t>
                  </w:r>
                </w:p>
              </w:tc>
              <w:tc>
                <w:tcPr>
                  <w:tcW w:w="1832" w:type="dxa"/>
                  <w:vAlign w:val="center"/>
                </w:tcPr>
                <w:p>
                  <w:pPr>
                    <w:pStyle w:val="11"/>
                    <w:jc w:val="center"/>
                    <w:rPr>
                      <w:b/>
                      <w:bCs/>
                      <w:color w:val="auto"/>
                    </w:rPr>
                  </w:pPr>
                  <w:r>
                    <w:rPr>
                      <w:rFonts w:hint="eastAsia"/>
                      <w:b/>
                      <w:bCs/>
                      <w:color w:val="auto"/>
                    </w:rPr>
                    <w:t>本项目情况</w:t>
                  </w:r>
                </w:p>
              </w:tc>
              <w:tc>
                <w:tcPr>
                  <w:tcW w:w="856" w:type="dxa"/>
                  <w:vAlign w:val="center"/>
                </w:tcPr>
                <w:p>
                  <w:pPr>
                    <w:pStyle w:val="11"/>
                    <w:jc w:val="center"/>
                    <w:rPr>
                      <w:b/>
                      <w:bCs/>
                      <w:color w:val="auto"/>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restart"/>
                  <w:vAlign w:val="center"/>
                </w:tcPr>
                <w:p>
                  <w:pPr>
                    <w:pStyle w:val="11"/>
                    <w:rPr>
                      <w:color w:val="auto"/>
                    </w:rPr>
                  </w:pPr>
                  <w:r>
                    <w:rPr>
                      <w:rFonts w:hint="eastAsia"/>
                      <w:color w:val="auto"/>
                    </w:rPr>
                    <w:t>《四川省、重庆市长江经济带发展负面清单实施细则</w:t>
                  </w:r>
                  <w:r>
                    <w:rPr>
                      <w:rFonts w:hint="eastAsia"/>
                      <w:color w:val="auto"/>
                      <w:lang w:val="zh-TW" w:eastAsia="zh-TW"/>
                    </w:rPr>
                    <w:t>（试行，2022年版）</w:t>
                  </w:r>
                  <w:r>
                    <w:rPr>
                      <w:rFonts w:hint="eastAsia"/>
                      <w:color w:val="auto"/>
                    </w:rPr>
                    <w:t>》</w:t>
                  </w:r>
                </w:p>
              </w:tc>
              <w:tc>
                <w:tcPr>
                  <w:tcW w:w="4539" w:type="dxa"/>
                  <w:vAlign w:val="center"/>
                </w:tcPr>
                <w:p>
                  <w:pPr>
                    <w:pStyle w:val="11"/>
                    <w:jc w:val="both"/>
                    <w:rPr>
                      <w:color w:val="auto"/>
                    </w:rPr>
                  </w:pPr>
                  <w:r>
                    <w:rPr>
                      <w:rFonts w:hint="eastAsia"/>
                      <w:color w:val="auto"/>
                    </w:rPr>
                    <w:t>禁止新建、改建和扩建不符合《全国内河航道与港口布局规划》等全国港口规划，以及《四川省内河水运发展规划》《泸州—宜宾—乐山港口群布局规划》《重庆港总体规划（2035年）》等省级港口布局规划及市级港口总体规划的码头项目</w:t>
                  </w:r>
                </w:p>
              </w:tc>
              <w:tc>
                <w:tcPr>
                  <w:tcW w:w="1832" w:type="dxa"/>
                  <w:vAlign w:val="center"/>
                </w:tcPr>
                <w:p>
                  <w:pPr>
                    <w:pStyle w:val="11"/>
                    <w:jc w:val="center"/>
                    <w:rPr>
                      <w:color w:val="auto"/>
                    </w:rPr>
                  </w:pPr>
                  <w:r>
                    <w:rPr>
                      <w:rFonts w:hint="eastAsia"/>
                      <w:color w:val="auto"/>
                    </w:rPr>
                    <w:t>本</w:t>
                  </w:r>
                  <w:r>
                    <w:rPr>
                      <w:color w:val="auto"/>
                    </w:rPr>
                    <w:t>项目不属于码头项目</w:t>
                  </w:r>
                  <w:r>
                    <w:rPr>
                      <w:rFonts w:hint="eastAsia"/>
                      <w:color w:val="auto"/>
                    </w:rPr>
                    <w:t>。</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禁止在自然保护区核心区、缓冲区的岸线和河段范围内投资建设旅游和生产经营项目。自然保护区的内部未分区的，依照本实施细则核心区和缓冲区的规定管控。</w:t>
                  </w:r>
                </w:p>
              </w:tc>
              <w:tc>
                <w:tcPr>
                  <w:tcW w:w="1832" w:type="dxa"/>
                  <w:vAlign w:val="center"/>
                </w:tcPr>
                <w:p>
                  <w:pPr>
                    <w:pStyle w:val="11"/>
                    <w:jc w:val="center"/>
                    <w:rPr>
                      <w:color w:val="auto"/>
                    </w:rPr>
                  </w:pPr>
                  <w:r>
                    <w:rPr>
                      <w:rFonts w:hint="eastAsia"/>
                      <w:color w:val="auto"/>
                    </w:rPr>
                    <w:t>本</w:t>
                  </w:r>
                  <w:r>
                    <w:rPr>
                      <w:color w:val="auto"/>
                    </w:rPr>
                    <w:t>项目选址不在自然保护区</w:t>
                  </w:r>
                  <w:r>
                    <w:rPr>
                      <w:rFonts w:hint="eastAsia"/>
                      <w:color w:val="auto"/>
                    </w:rPr>
                    <w:t>核心区、缓冲区</w:t>
                  </w:r>
                  <w:r>
                    <w:rPr>
                      <w:color w:val="auto"/>
                    </w:rPr>
                    <w:t>范围内</w:t>
                  </w:r>
                  <w:r>
                    <w:rPr>
                      <w:rFonts w:hint="eastAsia"/>
                      <w:color w:val="auto"/>
                    </w:rPr>
                    <w:t>。</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自然保护区核心区、缓冲区的岸线和河段范围内投资建设旅游和生产经营项目。自然保护区的内部未分区的，依照本实施细则核心区和缓冲区禁止违反风景名胜区规划，在风景名胜区内设立各类开发区。禁止在风景名胜区核心景区的岸线和河段范围内建设宾馆、招待所、培训中心、疗养院以及与风景名胜资源保护无关的项目。规定管控。</w:t>
                  </w:r>
                </w:p>
              </w:tc>
              <w:tc>
                <w:tcPr>
                  <w:tcW w:w="1832" w:type="dxa"/>
                  <w:vAlign w:val="center"/>
                </w:tcPr>
                <w:p>
                  <w:pPr>
                    <w:pStyle w:val="11"/>
                    <w:jc w:val="center"/>
                    <w:rPr>
                      <w:color w:val="auto"/>
                    </w:rPr>
                  </w:pPr>
                  <w:r>
                    <w:rPr>
                      <w:rFonts w:hint="eastAsia"/>
                      <w:color w:val="auto"/>
                    </w:rPr>
                    <w:t>本</w:t>
                  </w:r>
                  <w:r>
                    <w:rPr>
                      <w:color w:val="auto"/>
                    </w:rPr>
                    <w:t>项目选址不在风景名胜区</w:t>
                  </w:r>
                  <w:r>
                    <w:rPr>
                      <w:rFonts w:hint="eastAsia"/>
                      <w:color w:val="auto"/>
                    </w:rPr>
                    <w:t>核心景区</w:t>
                  </w:r>
                  <w:r>
                    <w:rPr>
                      <w:color w:val="auto"/>
                    </w:rPr>
                    <w:t>内</w:t>
                  </w:r>
                  <w:r>
                    <w:rPr>
                      <w:rFonts w:hint="eastAsia"/>
                      <w:color w:val="auto"/>
                    </w:rPr>
                    <w:t>。</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饮用水水源一级保护区的岸线和河段范围内，除应遵守二级保护区规定外，禁止新建、改建、扩建与供（取）水设施和保护水源无关的项目，以及网箱养殖、畜禽养殖、旅游等投资建设项目。</w:t>
                  </w:r>
                </w:p>
                <w:p>
                  <w:pPr>
                    <w:pStyle w:val="11"/>
                    <w:jc w:val="both"/>
                    <w:rPr>
                      <w:color w:val="auto"/>
                    </w:rPr>
                  </w:pPr>
                  <w:r>
                    <w:rPr>
                      <w:rFonts w:hint="eastAsia"/>
                      <w:color w:val="auto"/>
                    </w:rPr>
                    <w:t>饮用水水源二级保护区的岸线和河段范围内，除应遵守准保护区规定外，禁止新建、改建、扩建排放污染物的投资建设项目；禁止从事采石（砂）、对水体有污染的水产养殖等活动。</w:t>
                  </w:r>
                </w:p>
              </w:tc>
              <w:tc>
                <w:tcPr>
                  <w:tcW w:w="1832" w:type="dxa"/>
                  <w:vAlign w:val="center"/>
                </w:tcPr>
                <w:p>
                  <w:pPr>
                    <w:pStyle w:val="11"/>
                    <w:jc w:val="center"/>
                    <w:rPr>
                      <w:color w:val="auto"/>
                    </w:rPr>
                  </w:pPr>
                  <w:r>
                    <w:rPr>
                      <w:rFonts w:hint="eastAsia"/>
                      <w:color w:val="auto"/>
                    </w:rPr>
                    <w:t>本</w:t>
                  </w:r>
                  <w:r>
                    <w:rPr>
                      <w:color w:val="auto"/>
                    </w:rPr>
                    <w:t>项目选址不在饮用水保护区</w:t>
                  </w:r>
                  <w:r>
                    <w:rPr>
                      <w:rFonts w:hint="eastAsia"/>
                      <w:color w:val="auto"/>
                    </w:rPr>
                    <w:t>岸线和河段范围内。</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禁止在饮用水水源准保护区的岸线和河段范围内新建、扩建对水体污染严重的建设项目，禁止改建增加排污量的建设项目</w:t>
                  </w:r>
                </w:p>
              </w:tc>
              <w:tc>
                <w:tcPr>
                  <w:tcW w:w="1832" w:type="dxa"/>
                  <w:vAlign w:val="center"/>
                </w:tcPr>
                <w:p>
                  <w:pPr>
                    <w:pStyle w:val="11"/>
                    <w:jc w:val="center"/>
                    <w:rPr>
                      <w:color w:val="auto"/>
                    </w:rPr>
                  </w:pPr>
                  <w:r>
                    <w:rPr>
                      <w:rFonts w:hint="eastAsia"/>
                      <w:color w:val="auto"/>
                    </w:rPr>
                    <w:t>本项目不在饮用水水源准保护区岸线和河段范围内。</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p>
                  <w:pPr>
                    <w:pStyle w:val="11"/>
                    <w:jc w:val="both"/>
                    <w:rPr>
                      <w:color w:val="auto"/>
                    </w:rPr>
                  </w:pPr>
                  <w:r>
                    <w:rPr>
                      <w:rFonts w:hint="eastAsia"/>
                      <w:color w:val="auto"/>
                    </w:rPr>
                    <w:t>禁止在《全国重要江河湖泊水功能区划》划定的河段及湖泊保护区、保留区内投资建设不利于水资源及自然生态保护的项目。</w:t>
                  </w:r>
                </w:p>
              </w:tc>
              <w:tc>
                <w:tcPr>
                  <w:tcW w:w="1832" w:type="dxa"/>
                  <w:vAlign w:val="center"/>
                </w:tcPr>
                <w:p>
                  <w:pPr>
                    <w:pStyle w:val="11"/>
                    <w:jc w:val="center"/>
                    <w:rPr>
                      <w:color w:val="auto"/>
                    </w:rPr>
                  </w:pPr>
                  <w:r>
                    <w:rPr>
                      <w:rFonts w:hint="eastAsia"/>
                      <w:color w:val="auto"/>
                    </w:rPr>
                    <w:t>本项目不属于《长江岸线保护和开发利用总体规划》划定的岸线保护区。</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禁止在长江干支流、重要湖泊岸线一公里范围内新建、扩建化工园区和化工项目。</w:t>
                  </w:r>
                </w:p>
              </w:tc>
              <w:tc>
                <w:tcPr>
                  <w:tcW w:w="1832" w:type="dxa"/>
                  <w:vAlign w:val="center"/>
                </w:tcPr>
                <w:p>
                  <w:pPr>
                    <w:pStyle w:val="11"/>
                    <w:jc w:val="center"/>
                    <w:rPr>
                      <w:color w:val="auto"/>
                    </w:rPr>
                  </w:pPr>
                  <w:r>
                    <w:rPr>
                      <w:rFonts w:hint="eastAsia"/>
                      <w:color w:val="auto"/>
                    </w:rPr>
                    <w:t>本项目不属于化工行业。</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禁止在合规园区外新建、扩建钢铁、石化、化工、焦化、建材、有色、制浆造纸等高污染项目。</w:t>
                  </w:r>
                </w:p>
              </w:tc>
              <w:tc>
                <w:tcPr>
                  <w:tcW w:w="1832" w:type="dxa"/>
                  <w:vAlign w:val="center"/>
                </w:tcPr>
                <w:p>
                  <w:pPr>
                    <w:pStyle w:val="11"/>
                    <w:jc w:val="center"/>
                    <w:rPr>
                      <w:color w:val="auto"/>
                    </w:rPr>
                  </w:pPr>
                  <w:r>
                    <w:rPr>
                      <w:rFonts w:hint="eastAsia"/>
                      <w:color w:val="auto"/>
                    </w:rPr>
                    <w:t>本项目位于工业园区内。</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32" w:type="dxa"/>
                  <w:vAlign w:val="center"/>
                </w:tcPr>
                <w:p>
                  <w:pPr>
                    <w:pStyle w:val="11"/>
                    <w:jc w:val="center"/>
                    <w:rPr>
                      <w:color w:val="auto"/>
                    </w:rPr>
                  </w:pPr>
                  <w:r>
                    <w:rPr>
                      <w:rFonts w:hint="eastAsia"/>
                      <w:color w:val="auto"/>
                    </w:rPr>
                    <w:t>本项目的非金属废料和碎屑加工处理属于鼓励类。</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禁止新建、扩建不符合国家产能置换要求的严重过剩产能行业的项目。对于不符合国家产能置换要求的严重过剩产能行业，不得以其他任何名义、任何方式备案新增产能项目</w:t>
                  </w:r>
                </w:p>
              </w:tc>
              <w:tc>
                <w:tcPr>
                  <w:tcW w:w="1832" w:type="dxa"/>
                  <w:vAlign w:val="center"/>
                </w:tcPr>
                <w:p>
                  <w:pPr>
                    <w:pStyle w:val="11"/>
                    <w:jc w:val="center"/>
                    <w:rPr>
                      <w:color w:val="auto"/>
                    </w:rPr>
                  </w:pPr>
                  <w:r>
                    <w:rPr>
                      <w:rFonts w:hint="eastAsia"/>
                      <w:color w:val="auto"/>
                    </w:rPr>
                    <w:t>本项目不属于过剩产能行业的项目。</w:t>
                  </w:r>
                </w:p>
              </w:tc>
              <w:tc>
                <w:tcPr>
                  <w:tcW w:w="856" w:type="dxa"/>
                  <w:vAlign w:val="center"/>
                </w:tcPr>
                <w:p>
                  <w:pPr>
                    <w:pStyle w:val="11"/>
                    <w:jc w:val="center"/>
                    <w:rPr>
                      <w:color w:val="auto"/>
                    </w:rPr>
                  </w:pPr>
                  <w:r>
                    <w:rPr>
                      <w:rFonts w:hint="eastAsia"/>
                      <w:color w:val="auto"/>
                    </w:rPr>
                    <w:t>符合</w:t>
                  </w:r>
                </w:p>
              </w:tc>
            </w:tr>
            <w:bookmarkEnd w:id="3"/>
          </w:tbl>
          <w:p>
            <w:pPr>
              <w:autoSpaceDE w:val="0"/>
              <w:autoSpaceDN w:val="0"/>
              <w:adjustRightInd w:val="0"/>
              <w:snapToGrid w:val="0"/>
              <w:ind w:firstLine="482"/>
              <w:rPr>
                <w:b/>
                <w:bCs/>
                <w:color w:val="auto"/>
                <w:kern w:val="0"/>
                <w:szCs w:val="21"/>
                <w:lang w:val="zh-TW" w:eastAsia="zh-TW"/>
              </w:rPr>
            </w:pPr>
            <w:r>
              <w:rPr>
                <w:rFonts w:hint="eastAsia"/>
                <w:b/>
                <w:bCs/>
                <w:color w:val="auto"/>
                <w:kern w:val="0"/>
                <w:szCs w:val="21"/>
              </w:rPr>
              <w:t>5</w:t>
            </w:r>
            <w:r>
              <w:rPr>
                <w:b/>
                <w:bCs/>
                <w:color w:val="auto"/>
                <w:kern w:val="0"/>
                <w:szCs w:val="21"/>
              </w:rPr>
              <w:t>、</w:t>
            </w:r>
            <w:r>
              <w:rPr>
                <w:b/>
                <w:bCs/>
                <w:color w:val="auto"/>
                <w:kern w:val="0"/>
                <w:szCs w:val="21"/>
                <w:lang w:val="zh-TW" w:eastAsia="zh-TW"/>
              </w:rPr>
              <w:t>项目与《四川省人民政府关于落实生态保护红线、环境质量底线、资源利用上线制定生态环境准入清单实施生态环境分区管控的通知》</w:t>
            </w:r>
            <w:r>
              <w:rPr>
                <w:rFonts w:hint="eastAsia"/>
                <w:b/>
                <w:bCs/>
                <w:color w:val="auto"/>
                <w:kern w:val="0"/>
                <w:szCs w:val="21"/>
                <w:lang w:val="zh-TW" w:eastAsia="zh-TW"/>
              </w:rPr>
              <w:t>（川府发〔2020〕9号）</w:t>
            </w:r>
            <w:r>
              <w:rPr>
                <w:b/>
                <w:bCs/>
                <w:color w:val="auto"/>
                <w:kern w:val="0"/>
                <w:szCs w:val="21"/>
                <w:lang w:val="zh-TW" w:eastAsia="zh-TW"/>
              </w:rPr>
              <w:t>符合性分析</w:t>
            </w:r>
          </w:p>
          <w:p>
            <w:pPr>
              <w:ind w:firstLine="480"/>
              <w:rPr>
                <w:color w:val="auto"/>
                <w:kern w:val="0"/>
                <w:szCs w:val="21"/>
                <w:lang w:val="zh-TW" w:eastAsia="zh-TW"/>
              </w:rPr>
            </w:pPr>
            <w:r>
              <w:rPr>
                <w:color w:val="auto"/>
                <w:kern w:val="0"/>
                <w:szCs w:val="21"/>
                <w:lang w:val="zh-TW" w:eastAsia="zh-TW"/>
              </w:rPr>
              <w:t>本项目位于</w:t>
            </w:r>
            <w:r>
              <w:rPr>
                <w:rFonts w:hint="eastAsia"/>
                <w:color w:val="auto"/>
                <w:kern w:val="0"/>
                <w:szCs w:val="21"/>
                <w:lang w:val="zh-TW"/>
              </w:rPr>
              <w:t>达州市通川区工业集中区食品大道</w:t>
            </w:r>
            <w:r>
              <w:rPr>
                <w:color w:val="auto"/>
                <w:kern w:val="0"/>
                <w:szCs w:val="21"/>
                <w:lang w:val="zh-TW" w:eastAsia="zh-TW"/>
              </w:rPr>
              <w:t>，根据《四川省人民政府关于落实生态保护红线、环境质量底线、资源利用上线制定生态环境准入清单实施生态环境分区管控的通知》</w:t>
            </w:r>
            <w:r>
              <w:rPr>
                <w:rFonts w:hint="eastAsia"/>
                <w:color w:val="auto"/>
                <w:kern w:val="0"/>
                <w:szCs w:val="21"/>
                <w:lang w:val="zh-TW" w:eastAsia="zh-TW"/>
              </w:rPr>
              <w:t>（川府发〔2020〕9号）</w:t>
            </w:r>
            <w:r>
              <w:rPr>
                <w:color w:val="auto"/>
                <w:kern w:val="0"/>
                <w:szCs w:val="21"/>
                <w:lang w:val="zh-TW" w:eastAsia="zh-TW"/>
              </w:rPr>
              <w:t>中的相关内容及</w:t>
            </w:r>
            <w:r>
              <w:rPr>
                <w:rFonts w:hint="eastAsia"/>
                <w:color w:val="auto"/>
                <w:kern w:val="0"/>
                <w:szCs w:val="21"/>
                <w:lang w:val="zh-TW" w:eastAsia="zh-TW"/>
              </w:rPr>
              <w:t>四川省生态环境</w:t>
            </w:r>
            <w:r>
              <w:rPr>
                <w:color w:val="auto"/>
                <w:kern w:val="0"/>
                <w:szCs w:val="21"/>
                <w:lang w:val="zh-TW" w:eastAsia="zh-TW"/>
              </w:rPr>
              <w:t>厅“三线一单”数据分析系统查询结果</w:t>
            </w:r>
            <w:r>
              <w:rPr>
                <w:color w:val="auto"/>
                <w:kern w:val="0"/>
                <w:szCs w:val="21"/>
                <w:lang w:val="zh-TW"/>
              </w:rPr>
              <w:t>（</w:t>
            </w:r>
            <w:r>
              <w:rPr>
                <w:color w:val="auto"/>
                <w:kern w:val="0"/>
                <w:szCs w:val="21"/>
              </w:rPr>
              <w:t>见</w:t>
            </w:r>
            <w:r>
              <w:rPr>
                <w:rFonts w:hint="eastAsia"/>
                <w:color w:val="auto"/>
                <w:kern w:val="0"/>
                <w:szCs w:val="21"/>
              </w:rPr>
              <w:t>表1-5，</w:t>
            </w:r>
            <w:r>
              <w:rPr>
                <w:color w:val="auto"/>
                <w:kern w:val="0"/>
                <w:szCs w:val="21"/>
              </w:rPr>
              <w:t>图1-1</w:t>
            </w:r>
            <w:r>
              <w:rPr>
                <w:rFonts w:hint="eastAsia"/>
                <w:color w:val="auto"/>
                <w:kern w:val="0"/>
                <w:szCs w:val="21"/>
              </w:rPr>
              <w:t>，</w:t>
            </w:r>
            <w:r>
              <w:rPr>
                <w:color w:val="auto"/>
                <w:kern w:val="0"/>
                <w:szCs w:val="21"/>
              </w:rPr>
              <w:t>图1-</w:t>
            </w:r>
            <w:r>
              <w:rPr>
                <w:rFonts w:hint="eastAsia"/>
                <w:color w:val="auto"/>
                <w:kern w:val="0"/>
                <w:szCs w:val="21"/>
              </w:rPr>
              <w:t>2</w:t>
            </w:r>
            <w:r>
              <w:rPr>
                <w:color w:val="auto"/>
                <w:kern w:val="0"/>
                <w:szCs w:val="21"/>
                <w:lang w:val="zh-TW"/>
              </w:rPr>
              <w:t>）</w:t>
            </w:r>
            <w:r>
              <w:rPr>
                <w:color w:val="auto"/>
                <w:kern w:val="0"/>
                <w:szCs w:val="21"/>
                <w:lang w:val="zh-TW" w:eastAsia="zh-TW"/>
              </w:rPr>
              <w:t>：</w:t>
            </w:r>
            <w:r>
              <w:rPr>
                <w:rFonts w:hint="eastAsia"/>
                <w:color w:val="auto"/>
              </w:rPr>
              <w:t>川汉子肉制品精深加工项目（一期）</w:t>
            </w:r>
            <w:r>
              <w:rPr>
                <w:color w:val="auto"/>
              </w:rPr>
              <w:t>位于达州市通川区环境综合管控单元工业重点管控单元（管控单元名称：达州市农产品加工集中区，管控单元编号：ZH51170220002）</w:t>
            </w:r>
            <w:r>
              <w:rPr>
                <w:color w:val="auto"/>
                <w:kern w:val="0"/>
                <w:szCs w:val="21"/>
                <w:lang w:val="zh-TW"/>
              </w:rPr>
              <w:t>，</w:t>
            </w:r>
            <w:r>
              <w:rPr>
                <w:color w:val="auto"/>
                <w:kern w:val="0"/>
                <w:szCs w:val="21"/>
                <w:lang w:val="zh-TW" w:eastAsia="zh-TW"/>
              </w:rPr>
              <w:t>其中，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pStyle w:val="11"/>
              <w:jc w:val="center"/>
              <w:rPr>
                <w:b/>
                <w:bCs/>
                <w:color w:val="auto"/>
                <w:sz w:val="21"/>
                <w:szCs w:val="21"/>
              </w:rPr>
            </w:pPr>
            <w:r>
              <w:rPr>
                <w:rFonts w:hint="eastAsia"/>
                <w:b/>
                <w:bCs/>
                <w:color w:val="auto"/>
                <w:sz w:val="21"/>
                <w:szCs w:val="21"/>
              </w:rPr>
              <w:t>表</w:t>
            </w:r>
            <w:r>
              <w:rPr>
                <w:b/>
                <w:bCs/>
                <w:color w:val="auto"/>
                <w:sz w:val="21"/>
                <w:szCs w:val="21"/>
                <w:lang w:val="zh-TW" w:eastAsia="zh-TW"/>
              </w:rPr>
              <w:t>1-</w:t>
            </w:r>
            <w:r>
              <w:rPr>
                <w:rFonts w:hint="eastAsia"/>
                <w:b/>
                <w:bCs/>
                <w:color w:val="auto"/>
                <w:sz w:val="21"/>
                <w:szCs w:val="21"/>
              </w:rPr>
              <w:t>5</w:t>
            </w:r>
            <w:r>
              <w:rPr>
                <w:b/>
                <w:bCs/>
                <w:color w:val="auto"/>
                <w:sz w:val="21"/>
                <w:szCs w:val="21"/>
                <w:lang w:val="zh-TW" w:eastAsia="zh-TW"/>
              </w:rPr>
              <w:t xml:space="preserve">   </w:t>
            </w:r>
            <w:r>
              <w:rPr>
                <w:rFonts w:hint="eastAsia"/>
                <w:b/>
                <w:bCs/>
                <w:color w:val="auto"/>
                <w:sz w:val="21"/>
                <w:szCs w:val="21"/>
                <w:lang w:val="zh-TW" w:eastAsia="zh-TW"/>
              </w:rPr>
              <w:t>四川省生态环境</w:t>
            </w:r>
            <w:r>
              <w:rPr>
                <w:b/>
                <w:bCs/>
                <w:color w:val="auto"/>
                <w:sz w:val="21"/>
                <w:szCs w:val="21"/>
                <w:lang w:val="zh-TW" w:eastAsia="zh-TW"/>
              </w:rPr>
              <w:t>厅“三线一单”数据分析系统查询</w:t>
            </w:r>
            <w:r>
              <w:rPr>
                <w:rFonts w:hint="eastAsia"/>
                <w:b/>
                <w:bCs/>
                <w:color w:val="auto"/>
                <w:sz w:val="21"/>
                <w:szCs w:val="21"/>
              </w:rPr>
              <w:t>表</w:t>
            </w:r>
          </w:p>
          <w:tbl>
            <w:tblPr>
              <w:tblStyle w:val="7"/>
              <w:tblW w:w="830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2836"/>
              <w:gridCol w:w="967"/>
              <w:gridCol w:w="1042"/>
              <w:gridCol w:w="1200"/>
              <w:gridCol w:w="11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环境管控</w:t>
                  </w:r>
                </w:p>
                <w:p>
                  <w:pPr>
                    <w:widowControl/>
                    <w:spacing w:line="240" w:lineRule="auto"/>
                    <w:ind w:firstLine="0" w:firstLineChars="0"/>
                    <w:jc w:val="center"/>
                    <w:rPr>
                      <w:color w:val="auto"/>
                      <w:kern w:val="0"/>
                      <w:sz w:val="21"/>
                      <w:szCs w:val="21"/>
                      <w:lang w:val="zh-TW" w:eastAsia="zh-TW"/>
                    </w:rPr>
                  </w:pPr>
                  <w:r>
                    <w:rPr>
                      <w:b/>
                      <w:bCs/>
                      <w:color w:val="auto"/>
                      <w:kern w:val="0"/>
                      <w:sz w:val="21"/>
                      <w:szCs w:val="21"/>
                    </w:rPr>
                    <w:t>单元编码</w:t>
                  </w:r>
                </w:p>
              </w:tc>
              <w:tc>
                <w:tcPr>
                  <w:tcW w:w="2836" w:type="dxa"/>
                  <w:tcBorders>
                    <w:tl2br w:val="nil"/>
                    <w:tr2bl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环境管控</w:t>
                  </w:r>
                </w:p>
                <w:p>
                  <w:pPr>
                    <w:widowControl/>
                    <w:spacing w:line="240" w:lineRule="auto"/>
                    <w:ind w:firstLine="0" w:firstLineChars="0"/>
                    <w:jc w:val="center"/>
                    <w:rPr>
                      <w:color w:val="auto"/>
                      <w:kern w:val="0"/>
                      <w:sz w:val="21"/>
                      <w:szCs w:val="21"/>
                      <w:lang w:val="zh-TW" w:eastAsia="zh-TW"/>
                    </w:rPr>
                  </w:pPr>
                  <w:r>
                    <w:rPr>
                      <w:b/>
                      <w:bCs/>
                      <w:color w:val="auto"/>
                      <w:kern w:val="0"/>
                      <w:sz w:val="21"/>
                      <w:szCs w:val="21"/>
                    </w:rPr>
                    <w:t>单元名称</w:t>
                  </w:r>
                </w:p>
              </w:tc>
              <w:tc>
                <w:tcPr>
                  <w:tcW w:w="967" w:type="dxa"/>
                  <w:tcBorders>
                    <w:tl2br w:val="nil"/>
                    <w:tr2bl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所属</w:t>
                  </w:r>
                </w:p>
                <w:p>
                  <w:pPr>
                    <w:widowControl/>
                    <w:spacing w:line="240" w:lineRule="auto"/>
                    <w:ind w:firstLine="0" w:firstLineChars="0"/>
                    <w:jc w:val="center"/>
                    <w:rPr>
                      <w:color w:val="auto"/>
                      <w:kern w:val="0"/>
                      <w:sz w:val="21"/>
                      <w:szCs w:val="21"/>
                      <w:lang w:val="zh-TW" w:eastAsia="zh-TW"/>
                    </w:rPr>
                  </w:pPr>
                  <w:r>
                    <w:rPr>
                      <w:b/>
                      <w:bCs/>
                      <w:color w:val="auto"/>
                      <w:kern w:val="0"/>
                      <w:sz w:val="21"/>
                      <w:szCs w:val="21"/>
                    </w:rPr>
                    <w:t>市（州）</w:t>
                  </w:r>
                </w:p>
              </w:tc>
              <w:tc>
                <w:tcPr>
                  <w:tcW w:w="1042" w:type="dxa"/>
                  <w:tcBorders>
                    <w:tl2br w:val="nil"/>
                    <w:tr2bl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所属</w:t>
                  </w:r>
                </w:p>
                <w:p>
                  <w:pPr>
                    <w:widowControl/>
                    <w:spacing w:line="240" w:lineRule="auto"/>
                    <w:ind w:firstLine="0" w:firstLineChars="0"/>
                    <w:jc w:val="center"/>
                    <w:rPr>
                      <w:color w:val="auto"/>
                      <w:kern w:val="0"/>
                      <w:sz w:val="21"/>
                      <w:szCs w:val="21"/>
                      <w:lang w:val="zh-TW" w:eastAsia="zh-TW"/>
                    </w:rPr>
                  </w:pPr>
                  <w:r>
                    <w:rPr>
                      <w:b/>
                      <w:bCs/>
                      <w:color w:val="auto"/>
                      <w:kern w:val="0"/>
                      <w:sz w:val="21"/>
                      <w:szCs w:val="21"/>
                    </w:rPr>
                    <w:t>区县</w:t>
                  </w:r>
                </w:p>
              </w:tc>
              <w:tc>
                <w:tcPr>
                  <w:tcW w:w="1200"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b/>
                      <w:bCs/>
                      <w:color w:val="auto"/>
                      <w:kern w:val="0"/>
                      <w:sz w:val="21"/>
                      <w:szCs w:val="21"/>
                    </w:rPr>
                    <w:t>准入清单类型</w:t>
                  </w:r>
                </w:p>
              </w:tc>
              <w:tc>
                <w:tcPr>
                  <w:tcW w:w="1102" w:type="dxa"/>
                  <w:tcBorders>
                    <w:tl2br w:val="nil"/>
                    <w:tr2bl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管控</w:t>
                  </w:r>
                </w:p>
                <w:p>
                  <w:pPr>
                    <w:widowControl/>
                    <w:spacing w:line="240" w:lineRule="auto"/>
                    <w:ind w:firstLine="0" w:firstLineChars="0"/>
                    <w:jc w:val="center"/>
                    <w:rPr>
                      <w:color w:val="auto"/>
                      <w:kern w:val="0"/>
                      <w:sz w:val="21"/>
                      <w:szCs w:val="21"/>
                      <w:lang w:val="zh-TW" w:eastAsia="zh-TW"/>
                    </w:rPr>
                  </w:pPr>
                  <w:r>
                    <w:rPr>
                      <w:b/>
                      <w:bCs/>
                      <w:color w:val="auto"/>
                      <w:kern w:val="0"/>
                      <w:sz w:val="21"/>
                      <w:szCs w:val="21"/>
                    </w:rPr>
                    <w:t>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ZH51170220002</w:t>
                  </w:r>
                </w:p>
              </w:tc>
              <w:tc>
                <w:tcPr>
                  <w:tcW w:w="2836"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达州市农产品加工集中区</w:t>
                  </w:r>
                </w:p>
              </w:tc>
              <w:tc>
                <w:tcPr>
                  <w:tcW w:w="967"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达州市</w:t>
                  </w:r>
                </w:p>
              </w:tc>
              <w:tc>
                <w:tcPr>
                  <w:tcW w:w="1042"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通川区</w:t>
                  </w:r>
                </w:p>
              </w:tc>
              <w:tc>
                <w:tcPr>
                  <w:tcW w:w="1200"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环境管控单元</w:t>
                  </w:r>
                </w:p>
              </w:tc>
              <w:tc>
                <w:tcPr>
                  <w:tcW w:w="1102"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环境综合管控单元工业重点管控单元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YS5117022210001</w:t>
                  </w:r>
                </w:p>
              </w:tc>
              <w:tc>
                <w:tcPr>
                  <w:tcW w:w="2836"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州河通川区车家河控制单元</w:t>
                  </w:r>
                </w:p>
              </w:tc>
              <w:tc>
                <w:tcPr>
                  <w:tcW w:w="967"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达州市</w:t>
                  </w:r>
                </w:p>
              </w:tc>
              <w:tc>
                <w:tcPr>
                  <w:tcW w:w="1042"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通川区</w:t>
                  </w:r>
                </w:p>
              </w:tc>
              <w:tc>
                <w:tcPr>
                  <w:tcW w:w="1200"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水环境管控分区</w:t>
                  </w:r>
                </w:p>
              </w:tc>
              <w:tc>
                <w:tcPr>
                  <w:tcW w:w="1102"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水环境工业污染重点管控区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YS5117022310001</w:t>
                  </w:r>
                </w:p>
              </w:tc>
              <w:tc>
                <w:tcPr>
                  <w:tcW w:w="2836"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达州市农产品加工集中区</w:t>
                  </w:r>
                </w:p>
              </w:tc>
              <w:tc>
                <w:tcPr>
                  <w:tcW w:w="967"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达州市</w:t>
                  </w:r>
                </w:p>
              </w:tc>
              <w:tc>
                <w:tcPr>
                  <w:tcW w:w="1042"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通川区</w:t>
                  </w:r>
                </w:p>
              </w:tc>
              <w:tc>
                <w:tcPr>
                  <w:tcW w:w="1200"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大气环境管控分区</w:t>
                  </w:r>
                </w:p>
              </w:tc>
              <w:tc>
                <w:tcPr>
                  <w:tcW w:w="1102" w:type="dxa"/>
                  <w:tcBorders>
                    <w:tl2br w:val="nil"/>
                    <w:tr2bl w:val="nil"/>
                  </w:tcBorders>
                  <w:vAlign w:val="center"/>
                </w:tcPr>
                <w:p>
                  <w:pPr>
                    <w:widowControl/>
                    <w:spacing w:line="240" w:lineRule="auto"/>
                    <w:ind w:firstLine="0" w:firstLineChars="0"/>
                    <w:jc w:val="center"/>
                    <w:rPr>
                      <w:color w:val="auto"/>
                      <w:kern w:val="0"/>
                      <w:sz w:val="21"/>
                      <w:szCs w:val="21"/>
                      <w:lang w:val="zh-TW" w:eastAsia="zh-TW"/>
                    </w:rPr>
                  </w:pPr>
                  <w:r>
                    <w:rPr>
                      <w:color w:val="auto"/>
                      <w:sz w:val="21"/>
                      <w:szCs w:val="21"/>
                    </w:rPr>
                    <w:t>大气环境高排放重点管控区</w:t>
                  </w:r>
                </w:p>
              </w:tc>
            </w:tr>
          </w:tbl>
          <w:p>
            <w:pPr>
              <w:ind w:firstLine="480"/>
              <w:rPr>
                <w:color w:val="auto"/>
                <w:kern w:val="0"/>
                <w:szCs w:val="21"/>
                <w:lang w:val="zh-TW" w:eastAsia="zh-TW"/>
              </w:rPr>
            </w:pPr>
          </w:p>
          <w:p>
            <w:pPr>
              <w:ind w:firstLine="480"/>
              <w:rPr>
                <w:color w:val="auto"/>
                <w:kern w:val="0"/>
                <w:szCs w:val="21"/>
                <w:lang w:val="zh-TW" w:eastAsia="zh-TW"/>
              </w:rPr>
            </w:pPr>
          </w:p>
          <w:p>
            <w:pPr>
              <w:ind w:firstLine="480"/>
              <w:rPr>
                <w:color w:val="auto"/>
                <w:kern w:val="0"/>
                <w:szCs w:val="21"/>
                <w:lang w:val="zh-TW" w:eastAsia="zh-TW"/>
              </w:rPr>
            </w:pPr>
          </w:p>
          <w:p>
            <w:pPr>
              <w:ind w:firstLine="480"/>
              <w:rPr>
                <w:color w:val="auto"/>
                <w:kern w:val="0"/>
                <w:szCs w:val="21"/>
                <w:lang w:val="zh-TW" w:eastAsia="zh-TW"/>
              </w:rPr>
            </w:pPr>
          </w:p>
          <w:p>
            <w:pPr>
              <w:ind w:firstLine="480"/>
              <w:rPr>
                <w:color w:val="auto"/>
                <w:kern w:val="0"/>
                <w:szCs w:val="21"/>
                <w:lang w:val="zh-TW" w:eastAsia="zh-TW"/>
              </w:rPr>
            </w:pPr>
          </w:p>
          <w:p>
            <w:pPr>
              <w:ind w:firstLine="480"/>
              <w:rPr>
                <w:color w:val="auto"/>
                <w:kern w:val="0"/>
                <w:szCs w:val="21"/>
                <w:lang w:val="zh-TW" w:eastAsia="zh-TW"/>
              </w:rPr>
            </w:pPr>
          </w:p>
          <w:p>
            <w:pPr>
              <w:ind w:firstLine="480"/>
              <w:rPr>
                <w:color w:val="auto"/>
                <w:kern w:val="0"/>
                <w:szCs w:val="21"/>
                <w:lang w:val="zh-TW" w:eastAsia="zh-TW"/>
              </w:rPr>
            </w:pPr>
          </w:p>
          <w:p>
            <w:pPr>
              <w:ind w:firstLine="480"/>
              <w:rPr>
                <w:color w:val="auto"/>
                <w:kern w:val="0"/>
                <w:szCs w:val="21"/>
                <w:lang w:val="zh-TW" w:eastAsia="zh-TW"/>
              </w:rPr>
            </w:pPr>
          </w:p>
          <w:tbl>
            <w:tblPr>
              <w:tblStyle w:val="7"/>
              <w:tblW w:w="83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30" w:type="dxa"/>
                  <w:tcBorders>
                    <w:tl2br w:val="nil"/>
                    <w:tr2bl w:val="nil"/>
                  </w:tcBorders>
                </w:tcPr>
                <w:p>
                  <w:pPr>
                    <w:pStyle w:val="11"/>
                    <w:jc w:val="center"/>
                    <w:rPr>
                      <w:rFonts w:eastAsia="Helvetica"/>
                      <w:color w:val="auto"/>
                      <w:sz w:val="28"/>
                    </w:rPr>
                  </w:pPr>
                  <w:r>
                    <w:rPr>
                      <w:rFonts w:eastAsia="Helvetica"/>
                      <w:color w:val="auto"/>
                      <w:sz w:val="28"/>
                    </w:rPr>
                    <w:drawing>
                      <wp:inline distT="0" distB="0" distL="114300" distR="114300">
                        <wp:extent cx="5024755" cy="3429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rcRect t="5011" b="6566"/>
                                <a:stretch>
                                  <a:fillRect/>
                                </a:stretch>
                              </pic:blipFill>
                              <pic:spPr>
                                <a:xfrm>
                                  <a:off x="0" y="0"/>
                                  <a:ext cx="5024755" cy="3429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30" w:type="dxa"/>
                  <w:tcBorders>
                    <w:tl2br w:val="nil"/>
                    <w:tr2bl w:val="nil"/>
                  </w:tcBorders>
                </w:tcPr>
                <w:p>
                  <w:pPr>
                    <w:pStyle w:val="11"/>
                    <w:jc w:val="center"/>
                    <w:rPr>
                      <w:color w:val="auto"/>
                      <w:sz w:val="28"/>
                    </w:rPr>
                  </w:pPr>
                  <w:r>
                    <w:rPr>
                      <w:b/>
                      <w:bCs/>
                      <w:color w:val="auto"/>
                    </w:rPr>
                    <w:t>图1-1</w:t>
                  </w:r>
                  <w:r>
                    <w:rPr>
                      <w:rFonts w:hint="eastAsia"/>
                      <w:b/>
                      <w:bCs/>
                      <w:color w:val="auto"/>
                    </w:rPr>
                    <w:t>项目所在区域“三线一单”符合性分析查询结果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30" w:type="dxa"/>
                  <w:tcBorders>
                    <w:tl2br w:val="nil"/>
                    <w:tr2bl w:val="nil"/>
                  </w:tcBorders>
                </w:tcPr>
                <w:p>
                  <w:pPr>
                    <w:pStyle w:val="11"/>
                    <w:jc w:val="center"/>
                    <w:rPr>
                      <w:rFonts w:eastAsia="Helvetica"/>
                      <w:color w:val="auto"/>
                      <w:sz w:val="28"/>
                    </w:rPr>
                  </w:pPr>
                  <w:r>
                    <w:rPr>
                      <w:rFonts w:eastAsia="Helvetica"/>
                      <w:color w:val="auto"/>
                      <w:sz w:val="28"/>
                    </w:rPr>
                    <w:drawing>
                      <wp:inline distT="0" distB="0" distL="114300" distR="114300">
                        <wp:extent cx="5039360" cy="3023870"/>
                        <wp:effectExtent l="0" t="0" r="8890"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5039360" cy="30238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130" w:type="dxa"/>
                  <w:tcBorders>
                    <w:tl2br w:val="nil"/>
                    <w:tr2bl w:val="nil"/>
                  </w:tcBorders>
                </w:tcPr>
                <w:p>
                  <w:pPr>
                    <w:pStyle w:val="11"/>
                    <w:jc w:val="center"/>
                    <w:rPr>
                      <w:color w:val="auto"/>
                    </w:rPr>
                  </w:pPr>
                  <w:r>
                    <w:rPr>
                      <w:b/>
                      <w:bCs/>
                      <w:color w:val="auto"/>
                    </w:rPr>
                    <w:t>图1-</w:t>
                  </w:r>
                  <w:r>
                    <w:rPr>
                      <w:rFonts w:hint="eastAsia"/>
                      <w:b/>
                      <w:bCs/>
                      <w:color w:val="auto"/>
                    </w:rPr>
                    <w:t>2项目所在区域环境管控单元的位置关系图</w:t>
                  </w:r>
                </w:p>
              </w:tc>
            </w:tr>
          </w:tbl>
          <w:p>
            <w:pPr>
              <w:autoSpaceDE w:val="0"/>
              <w:autoSpaceDN w:val="0"/>
              <w:adjustRightInd w:val="0"/>
              <w:snapToGrid w:val="0"/>
              <w:ind w:firstLine="480"/>
              <w:rPr>
                <w:color w:val="auto"/>
                <w:kern w:val="0"/>
                <w:szCs w:val="21"/>
                <w:lang w:val="zh-TW" w:eastAsia="zh-TW"/>
              </w:rPr>
            </w:pPr>
            <w:r>
              <w:rPr>
                <w:rFonts w:hint="eastAsia"/>
                <w:color w:val="auto"/>
                <w:kern w:val="0"/>
                <w:szCs w:val="21"/>
                <w:lang w:val="zh-TW"/>
              </w:rPr>
              <w:t>本项目主要进行</w:t>
            </w:r>
            <w:r>
              <w:rPr>
                <w:rFonts w:hint="eastAsia"/>
                <w:color w:val="auto"/>
                <w:kern w:val="0"/>
                <w:szCs w:val="21"/>
                <w:lang w:val="zh-TW" w:eastAsia="zh-CN"/>
              </w:rPr>
              <w:t>食品生产加工</w:t>
            </w:r>
            <w:r>
              <w:rPr>
                <w:color w:val="auto"/>
                <w:kern w:val="0"/>
                <w:szCs w:val="21"/>
                <w:lang w:val="zh-TW" w:eastAsia="zh-TW"/>
              </w:rPr>
              <w:t>，项目针对废气等污染物的排放、环境风险管理和防控方面采取了有效的措施，因此，符合《四川省人民政府关于落实生态保护红线、环境质量底线、资源利用上线制定生态环境准入清单实施生态环境分区管控的通知》中相关内容的要求。</w:t>
            </w:r>
          </w:p>
          <w:p>
            <w:pPr>
              <w:pStyle w:val="11"/>
              <w:jc w:val="center"/>
              <w:rPr>
                <w:b/>
                <w:bCs/>
                <w:color w:val="auto"/>
                <w:lang w:val="zh-TW" w:eastAsia="zh-TW"/>
              </w:rPr>
            </w:pPr>
            <w:r>
              <w:rPr>
                <w:rFonts w:hint="eastAsia"/>
                <w:b/>
                <w:bCs/>
                <w:color w:val="auto"/>
              </w:rPr>
              <w:t>表</w:t>
            </w:r>
            <w:r>
              <w:rPr>
                <w:b/>
                <w:bCs/>
                <w:color w:val="auto"/>
                <w:lang w:val="zh-TW" w:eastAsia="zh-TW"/>
              </w:rPr>
              <w:t>1-</w:t>
            </w:r>
            <w:r>
              <w:rPr>
                <w:rFonts w:hint="eastAsia"/>
                <w:b/>
                <w:bCs/>
                <w:color w:val="auto"/>
              </w:rPr>
              <w:t>6</w:t>
            </w:r>
            <w:r>
              <w:rPr>
                <w:b/>
                <w:bCs/>
                <w:color w:val="auto"/>
                <w:lang w:val="zh-TW" w:eastAsia="zh-TW"/>
              </w:rPr>
              <w:t xml:space="preserve">  </w:t>
            </w:r>
            <w:r>
              <w:rPr>
                <w:rFonts w:hint="eastAsia"/>
                <w:b/>
                <w:bCs/>
                <w:color w:val="auto"/>
              </w:rPr>
              <w:t xml:space="preserve"> </w:t>
            </w:r>
            <w:r>
              <w:rPr>
                <w:b/>
                <w:bCs/>
                <w:color w:val="auto"/>
                <w:lang w:val="zh-TW" w:eastAsia="zh-TW"/>
              </w:rPr>
              <w:t>与</w:t>
            </w:r>
            <w:r>
              <w:rPr>
                <w:b/>
                <w:bCs/>
                <w:color w:val="auto"/>
              </w:rPr>
              <w:t>“三线一单”等</w:t>
            </w:r>
            <w:r>
              <w:rPr>
                <w:b/>
                <w:bCs/>
                <w:color w:val="auto"/>
                <w:lang w:val="zh-TW" w:eastAsia="zh-TW"/>
              </w:rPr>
              <w:t>相关规划符合性分析</w:t>
            </w:r>
          </w:p>
          <w:tbl>
            <w:tblPr>
              <w:tblStyle w:val="6"/>
              <w:tblW w:w="83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2"/>
              <w:gridCol w:w="567"/>
              <w:gridCol w:w="4681"/>
              <w:gridCol w:w="1836"/>
              <w:gridCol w:w="758"/>
              <w:gridCol w:w="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9" w:type="dxa"/>
                  <w:gridSpan w:val="2"/>
                  <w:tcBorders>
                    <w:tl2br w:val="nil"/>
                    <w:tr2bl w:val="nil"/>
                  </w:tcBorders>
                  <w:shd w:val="clear" w:color="auto" w:fill="FFFFFF"/>
                  <w:vAlign w:val="center"/>
                </w:tcPr>
                <w:p>
                  <w:pPr>
                    <w:pStyle w:val="11"/>
                    <w:jc w:val="center"/>
                    <w:rPr>
                      <w:b/>
                      <w:bCs/>
                      <w:color w:val="auto"/>
                      <w:sz w:val="21"/>
                      <w:szCs w:val="21"/>
                    </w:rPr>
                  </w:pPr>
                  <w:r>
                    <w:rPr>
                      <w:b/>
                      <w:bCs/>
                      <w:color w:val="auto"/>
                      <w:sz w:val="21"/>
                      <w:szCs w:val="21"/>
                      <w:lang w:val="zh-TW" w:eastAsia="zh-TW"/>
                    </w:rPr>
                    <w:t>内容</w:t>
                  </w:r>
                </w:p>
              </w:tc>
              <w:tc>
                <w:tcPr>
                  <w:tcW w:w="4681" w:type="dxa"/>
                  <w:tcBorders>
                    <w:tl2br w:val="nil"/>
                    <w:tr2bl w:val="nil"/>
                  </w:tcBorders>
                  <w:shd w:val="clear" w:color="auto" w:fill="FFFFFF"/>
                  <w:vAlign w:val="center"/>
                </w:tcPr>
                <w:p>
                  <w:pPr>
                    <w:pStyle w:val="11"/>
                    <w:jc w:val="center"/>
                    <w:rPr>
                      <w:b/>
                      <w:bCs/>
                      <w:color w:val="auto"/>
                      <w:sz w:val="21"/>
                      <w:szCs w:val="21"/>
                    </w:rPr>
                  </w:pPr>
                  <w:r>
                    <w:rPr>
                      <w:b/>
                      <w:bCs/>
                      <w:color w:val="auto"/>
                      <w:sz w:val="21"/>
                      <w:szCs w:val="21"/>
                      <w:lang w:val="zh-TW" w:eastAsia="zh-TW"/>
                    </w:rPr>
                    <w:t>相关要求</w:t>
                  </w:r>
                </w:p>
              </w:tc>
              <w:tc>
                <w:tcPr>
                  <w:tcW w:w="1836" w:type="dxa"/>
                  <w:tcBorders>
                    <w:tl2br w:val="nil"/>
                    <w:tr2bl w:val="nil"/>
                  </w:tcBorders>
                  <w:shd w:val="clear" w:color="auto" w:fill="FFFFFF"/>
                  <w:vAlign w:val="center"/>
                </w:tcPr>
                <w:p>
                  <w:pPr>
                    <w:pStyle w:val="11"/>
                    <w:jc w:val="center"/>
                    <w:rPr>
                      <w:b/>
                      <w:bCs/>
                      <w:color w:val="auto"/>
                      <w:sz w:val="21"/>
                      <w:szCs w:val="21"/>
                    </w:rPr>
                  </w:pPr>
                  <w:r>
                    <w:rPr>
                      <w:b/>
                      <w:bCs/>
                      <w:color w:val="auto"/>
                      <w:sz w:val="21"/>
                      <w:szCs w:val="21"/>
                      <w:lang w:val="zh-TW" w:eastAsia="zh-TW"/>
                    </w:rPr>
                    <w:t>本项目情况</w:t>
                  </w:r>
                </w:p>
              </w:tc>
              <w:tc>
                <w:tcPr>
                  <w:tcW w:w="825" w:type="dxa"/>
                  <w:gridSpan w:val="2"/>
                  <w:tcBorders>
                    <w:tl2br w:val="nil"/>
                    <w:tr2bl w:val="nil"/>
                  </w:tcBorders>
                  <w:shd w:val="clear" w:color="auto" w:fill="FFFFFF"/>
                  <w:vAlign w:val="center"/>
                </w:tcPr>
                <w:p>
                  <w:pPr>
                    <w:pStyle w:val="11"/>
                    <w:jc w:val="center"/>
                    <w:rPr>
                      <w:b/>
                      <w:bCs/>
                      <w:color w:val="auto"/>
                      <w:sz w:val="21"/>
                      <w:szCs w:val="21"/>
                    </w:rPr>
                  </w:pPr>
                  <w:r>
                    <w:rPr>
                      <w:b/>
                      <w:bCs/>
                      <w:color w:val="auto"/>
                      <w:sz w:val="21"/>
                      <w:szCs w:val="21"/>
                      <w:lang w:val="zh-TW" w:eastAsia="zh-TW"/>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restart"/>
                  <w:tcBorders>
                    <w:tl2br w:val="nil"/>
                    <w:tr2bl w:val="nil"/>
                  </w:tcBorders>
                  <w:shd w:val="clear" w:color="auto" w:fill="FFFFFF"/>
                  <w:vAlign w:val="center"/>
                </w:tcPr>
                <w:p>
                  <w:pPr>
                    <w:pStyle w:val="11"/>
                    <w:jc w:val="center"/>
                    <w:rPr>
                      <w:color w:val="auto"/>
                      <w:sz w:val="21"/>
                      <w:szCs w:val="21"/>
                    </w:rPr>
                  </w:pPr>
                </w:p>
                <w:p>
                  <w:pPr>
                    <w:pStyle w:val="11"/>
                    <w:jc w:val="center"/>
                    <w:rPr>
                      <w:color w:val="auto"/>
                      <w:sz w:val="21"/>
                      <w:szCs w:val="21"/>
                    </w:rPr>
                  </w:pPr>
                </w:p>
                <w:p>
                  <w:pPr>
                    <w:pStyle w:val="11"/>
                    <w:jc w:val="center"/>
                    <w:rPr>
                      <w:color w:val="auto"/>
                      <w:sz w:val="21"/>
                      <w:szCs w:val="21"/>
                    </w:rPr>
                  </w:pPr>
                </w:p>
                <w:p>
                  <w:pPr>
                    <w:pStyle w:val="11"/>
                    <w:jc w:val="center"/>
                    <w:rPr>
                      <w:color w:val="auto"/>
                      <w:sz w:val="21"/>
                      <w:szCs w:val="21"/>
                    </w:rPr>
                  </w:pPr>
                </w:p>
                <w:p>
                  <w:pPr>
                    <w:pStyle w:val="11"/>
                    <w:jc w:val="center"/>
                    <w:rPr>
                      <w:color w:val="auto"/>
                      <w:sz w:val="21"/>
                      <w:szCs w:val="21"/>
                    </w:rPr>
                  </w:pPr>
                </w:p>
                <w:p>
                  <w:pPr>
                    <w:pStyle w:val="11"/>
                    <w:jc w:val="center"/>
                    <w:rPr>
                      <w:color w:val="auto"/>
                      <w:sz w:val="21"/>
                      <w:szCs w:val="21"/>
                    </w:rPr>
                  </w:pPr>
                </w:p>
                <w:p>
                  <w:pPr>
                    <w:pStyle w:val="11"/>
                    <w:jc w:val="center"/>
                    <w:rPr>
                      <w:color w:val="auto"/>
                      <w:sz w:val="21"/>
                      <w:szCs w:val="21"/>
                    </w:rPr>
                  </w:pPr>
                </w:p>
                <w:p>
                  <w:pPr>
                    <w:pStyle w:val="11"/>
                    <w:jc w:val="center"/>
                    <w:rPr>
                      <w:color w:val="auto"/>
                      <w:sz w:val="21"/>
                      <w:szCs w:val="21"/>
                    </w:rPr>
                  </w:pPr>
                  <w:r>
                    <w:rPr>
                      <w:rFonts w:hint="eastAsia"/>
                      <w:color w:val="auto"/>
                      <w:sz w:val="21"/>
                      <w:szCs w:val="21"/>
                    </w:rPr>
                    <w:t>四川省</w:t>
                  </w:r>
                </w:p>
              </w:tc>
              <w:tc>
                <w:tcPr>
                  <w:tcW w:w="567" w:type="dxa"/>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优先保护单元</w:t>
                  </w:r>
                </w:p>
              </w:tc>
              <w:tc>
                <w:tcPr>
                  <w:tcW w:w="4681" w:type="dxa"/>
                  <w:tcBorders>
                    <w:tl2br w:val="nil"/>
                    <w:tr2bl w:val="nil"/>
                  </w:tcBorders>
                  <w:shd w:val="clear" w:color="auto" w:fill="FFFFFF"/>
                  <w:vAlign w:val="center"/>
                </w:tcPr>
                <w:p>
                  <w:pPr>
                    <w:pStyle w:val="11"/>
                    <w:jc w:val="both"/>
                    <w:rPr>
                      <w:color w:val="auto"/>
                      <w:sz w:val="21"/>
                      <w:szCs w:val="21"/>
                      <w:lang w:val="zh-TW"/>
                    </w:rPr>
                  </w:pPr>
                  <w:r>
                    <w:rPr>
                      <w:color w:val="auto"/>
                      <w:sz w:val="21"/>
                      <w:szCs w:val="21"/>
                      <w:lang w:val="zh-TW" w:eastAsia="zh-TW"/>
                    </w:rPr>
                    <w:t>优先保护单元中，应以生态环境保护优先为原则，严格执行相关法律、法规要求，严守生态环境质量底线，确保生态环境功能不降低</w:t>
                  </w:r>
                  <w:r>
                    <w:rPr>
                      <w:rFonts w:hint="eastAsia"/>
                      <w:color w:val="auto"/>
                      <w:sz w:val="21"/>
                      <w:szCs w:val="21"/>
                      <w:lang w:val="zh-TW"/>
                    </w:rPr>
                    <w:t>。</w:t>
                  </w:r>
                </w:p>
              </w:tc>
              <w:tc>
                <w:tcPr>
                  <w:tcW w:w="1836" w:type="dxa"/>
                  <w:tcBorders>
                    <w:tl2br w:val="nil"/>
                    <w:tr2bl w:val="nil"/>
                  </w:tcBorders>
                  <w:shd w:val="clear" w:color="auto" w:fill="FFFFFF"/>
                  <w:vAlign w:val="center"/>
                </w:tcPr>
                <w:p>
                  <w:pPr>
                    <w:pStyle w:val="11"/>
                    <w:jc w:val="center"/>
                    <w:rPr>
                      <w:color w:val="auto"/>
                      <w:sz w:val="21"/>
                      <w:szCs w:val="21"/>
                    </w:rPr>
                  </w:pPr>
                </w:p>
                <w:p>
                  <w:pPr>
                    <w:pStyle w:val="11"/>
                    <w:jc w:val="center"/>
                    <w:rPr>
                      <w:color w:val="auto"/>
                      <w:sz w:val="21"/>
                      <w:szCs w:val="21"/>
                      <w:lang w:val="zh-TW" w:eastAsia="zh-TW"/>
                    </w:rPr>
                  </w:pPr>
                  <w:r>
                    <w:rPr>
                      <w:rFonts w:hint="eastAsia"/>
                      <w:color w:val="auto"/>
                      <w:sz w:val="21"/>
                      <w:szCs w:val="21"/>
                    </w:rPr>
                    <w:t>本项目</w:t>
                  </w:r>
                  <w:r>
                    <w:rPr>
                      <w:color w:val="auto"/>
                      <w:sz w:val="21"/>
                      <w:szCs w:val="21"/>
                      <w:lang w:val="zh-TW" w:eastAsia="zh-TW"/>
                    </w:rPr>
                    <w:t>不在</w:t>
                  </w:r>
                  <w:r>
                    <w:rPr>
                      <w:rFonts w:hint="eastAsia"/>
                      <w:color w:val="auto"/>
                      <w:sz w:val="21"/>
                      <w:szCs w:val="21"/>
                    </w:rPr>
                    <w:t>优先保护</w:t>
                  </w:r>
                  <w:r>
                    <w:rPr>
                      <w:color w:val="auto"/>
                      <w:sz w:val="21"/>
                      <w:szCs w:val="21"/>
                      <w:lang w:val="zh-TW" w:eastAsia="zh-TW"/>
                    </w:rPr>
                    <w:t>单元内。</w:t>
                  </w:r>
                </w:p>
              </w:tc>
              <w:tc>
                <w:tcPr>
                  <w:tcW w:w="825" w:type="dxa"/>
                  <w:gridSpan w:val="2"/>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continue"/>
                  <w:tcBorders>
                    <w:tl2br w:val="nil"/>
                    <w:tr2bl w:val="nil"/>
                  </w:tcBorders>
                  <w:shd w:val="clear" w:color="auto" w:fill="FFFFFF"/>
                  <w:vAlign w:val="center"/>
                </w:tcPr>
                <w:p>
                  <w:pPr>
                    <w:pStyle w:val="11"/>
                    <w:jc w:val="center"/>
                    <w:rPr>
                      <w:color w:val="auto"/>
                      <w:sz w:val="21"/>
                      <w:szCs w:val="21"/>
                    </w:rPr>
                  </w:pPr>
                </w:p>
              </w:tc>
              <w:tc>
                <w:tcPr>
                  <w:tcW w:w="567" w:type="dxa"/>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重点管控单元</w:t>
                  </w:r>
                </w:p>
              </w:tc>
              <w:tc>
                <w:tcPr>
                  <w:tcW w:w="4681" w:type="dxa"/>
                  <w:tcBorders>
                    <w:tl2br w:val="nil"/>
                    <w:tr2bl w:val="nil"/>
                  </w:tcBorders>
                  <w:shd w:val="clear" w:color="auto" w:fill="FFFFFF"/>
                  <w:vAlign w:val="center"/>
                </w:tcPr>
                <w:p>
                  <w:pPr>
                    <w:pStyle w:val="11"/>
                    <w:jc w:val="both"/>
                    <w:rPr>
                      <w:color w:val="auto"/>
                      <w:sz w:val="21"/>
                      <w:szCs w:val="21"/>
                      <w:lang w:val="zh-TW" w:eastAsia="zh-TW"/>
                    </w:rPr>
                  </w:pPr>
                  <w:r>
                    <w:rPr>
                      <w:color w:val="auto"/>
                      <w:sz w:val="21"/>
                      <w:szCs w:val="21"/>
                      <w:lang w:val="zh-TW" w:eastAsia="zh-TW"/>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1836" w:type="dxa"/>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本项目</w:t>
                  </w:r>
                  <w:r>
                    <w:rPr>
                      <w:rFonts w:hint="eastAsia"/>
                      <w:color w:val="auto"/>
                      <w:sz w:val="21"/>
                      <w:szCs w:val="21"/>
                    </w:rPr>
                    <w:t>符合环境准入要求，</w:t>
                  </w:r>
                  <w:r>
                    <w:rPr>
                      <w:color w:val="auto"/>
                      <w:sz w:val="21"/>
                      <w:szCs w:val="21"/>
                    </w:rPr>
                    <w:t>并采取了有效的污染防治措施。</w:t>
                  </w:r>
                </w:p>
              </w:tc>
              <w:tc>
                <w:tcPr>
                  <w:tcW w:w="825" w:type="dxa"/>
                  <w:gridSpan w:val="2"/>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continue"/>
                  <w:tcBorders>
                    <w:tl2br w:val="nil"/>
                    <w:tr2bl w:val="nil"/>
                  </w:tcBorders>
                  <w:shd w:val="clear" w:color="auto" w:fill="FFFFFF"/>
                  <w:vAlign w:val="center"/>
                </w:tcPr>
                <w:p>
                  <w:pPr>
                    <w:pStyle w:val="11"/>
                    <w:jc w:val="center"/>
                    <w:rPr>
                      <w:color w:val="auto"/>
                      <w:sz w:val="21"/>
                      <w:szCs w:val="21"/>
                    </w:rPr>
                  </w:pPr>
                </w:p>
              </w:tc>
              <w:tc>
                <w:tcPr>
                  <w:tcW w:w="567" w:type="dxa"/>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一般管控单元</w:t>
                  </w:r>
                </w:p>
              </w:tc>
              <w:tc>
                <w:tcPr>
                  <w:tcW w:w="4681" w:type="dxa"/>
                  <w:tcBorders>
                    <w:tl2br w:val="nil"/>
                    <w:tr2bl w:val="nil"/>
                  </w:tcBorders>
                  <w:shd w:val="clear" w:color="auto" w:fill="FFFFFF"/>
                  <w:vAlign w:val="center"/>
                </w:tcPr>
                <w:p>
                  <w:pPr>
                    <w:pStyle w:val="11"/>
                    <w:jc w:val="both"/>
                    <w:rPr>
                      <w:color w:val="auto"/>
                      <w:sz w:val="21"/>
                      <w:szCs w:val="21"/>
                      <w:lang w:val="zh-TW" w:eastAsia="zh-TW"/>
                    </w:rPr>
                  </w:pPr>
                  <w:r>
                    <w:rPr>
                      <w:color w:val="auto"/>
                      <w:sz w:val="21"/>
                      <w:szCs w:val="21"/>
                      <w:lang w:val="zh-TW" w:eastAsia="zh-TW"/>
                    </w:rPr>
                    <w:t>一般管控单元中，执行区域生态环境保护的基本要求，重点加强农业、生活等领域污染治理。</w:t>
                  </w:r>
                </w:p>
              </w:tc>
              <w:tc>
                <w:tcPr>
                  <w:tcW w:w="1836" w:type="dxa"/>
                  <w:tcBorders>
                    <w:tl2br w:val="nil"/>
                    <w:tr2bl w:val="nil"/>
                  </w:tcBorders>
                  <w:shd w:val="clear" w:color="auto" w:fill="FFFFFF"/>
                  <w:vAlign w:val="center"/>
                </w:tcPr>
                <w:p>
                  <w:pPr>
                    <w:pStyle w:val="11"/>
                    <w:jc w:val="center"/>
                    <w:rPr>
                      <w:color w:val="auto"/>
                      <w:sz w:val="21"/>
                      <w:szCs w:val="21"/>
                      <w:lang w:val="zh-TW" w:eastAsia="zh-TW"/>
                    </w:rPr>
                  </w:pPr>
                  <w:r>
                    <w:rPr>
                      <w:rFonts w:hint="eastAsia"/>
                      <w:color w:val="auto"/>
                      <w:sz w:val="21"/>
                      <w:szCs w:val="21"/>
                    </w:rPr>
                    <w:t>本项目</w:t>
                  </w:r>
                  <w:r>
                    <w:rPr>
                      <w:color w:val="auto"/>
                      <w:sz w:val="21"/>
                      <w:szCs w:val="21"/>
                      <w:lang w:val="zh-TW" w:eastAsia="zh-TW"/>
                    </w:rPr>
                    <w:t>不在一般管控单元内。</w:t>
                  </w:r>
                </w:p>
              </w:tc>
              <w:tc>
                <w:tcPr>
                  <w:tcW w:w="825" w:type="dxa"/>
                  <w:gridSpan w:val="2"/>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continue"/>
                  <w:tcBorders>
                    <w:tl2br w:val="nil"/>
                    <w:tr2bl w:val="nil"/>
                  </w:tcBorders>
                  <w:shd w:val="clear" w:color="auto" w:fill="FFFFFF"/>
                  <w:vAlign w:val="center"/>
                </w:tcPr>
                <w:p>
                  <w:pPr>
                    <w:pStyle w:val="11"/>
                    <w:jc w:val="center"/>
                    <w:rPr>
                      <w:color w:val="auto"/>
                      <w:sz w:val="21"/>
                      <w:szCs w:val="21"/>
                    </w:rPr>
                  </w:pPr>
                </w:p>
              </w:tc>
              <w:tc>
                <w:tcPr>
                  <w:tcW w:w="567" w:type="dxa"/>
                  <w:tcBorders>
                    <w:tl2br w:val="nil"/>
                    <w:tr2bl w:val="nil"/>
                  </w:tcBorders>
                  <w:shd w:val="clear" w:color="auto" w:fill="FFFFFF"/>
                  <w:vAlign w:val="center"/>
                </w:tcPr>
                <w:p>
                  <w:pPr>
                    <w:pStyle w:val="11"/>
                    <w:jc w:val="center"/>
                    <w:rPr>
                      <w:color w:val="auto"/>
                      <w:sz w:val="21"/>
                      <w:szCs w:val="21"/>
                    </w:rPr>
                  </w:pPr>
                  <w:r>
                    <w:rPr>
                      <w:rFonts w:hint="eastAsia"/>
                      <w:color w:val="auto"/>
                      <w:sz w:val="21"/>
                      <w:szCs w:val="21"/>
                    </w:rPr>
                    <w:t>川东经济区总体管控要求</w:t>
                  </w:r>
                </w:p>
              </w:tc>
              <w:tc>
                <w:tcPr>
                  <w:tcW w:w="4681" w:type="dxa"/>
                  <w:tcBorders>
                    <w:tl2br w:val="nil"/>
                    <w:tr2bl w:val="nil"/>
                  </w:tcBorders>
                  <w:shd w:val="clear" w:color="auto" w:fill="FFFFFF"/>
                  <w:vAlign w:val="center"/>
                </w:tcPr>
                <w:p>
                  <w:pPr>
                    <w:pStyle w:val="11"/>
                    <w:rPr>
                      <w:color w:val="auto"/>
                      <w:sz w:val="21"/>
                      <w:szCs w:val="21"/>
                      <w:lang w:val="zh-TW" w:eastAsia="zh-TW"/>
                    </w:rPr>
                  </w:pPr>
                  <w:r>
                    <w:rPr>
                      <w:rFonts w:hint="eastAsia"/>
                      <w:color w:val="auto"/>
                      <w:sz w:val="21"/>
                      <w:szCs w:val="21"/>
                    </w:rPr>
                    <w:t>①控制农村面源污染，提高污水收集处理率，加快乡镇污水处理基础设施建设。②建设流域水环境风险联防联控体系。③提高大气污染治理水平。</w:t>
                  </w:r>
                </w:p>
              </w:tc>
              <w:tc>
                <w:tcPr>
                  <w:tcW w:w="1836" w:type="dxa"/>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本项目</w:t>
                  </w:r>
                  <w:r>
                    <w:rPr>
                      <w:rFonts w:hint="eastAsia"/>
                      <w:color w:val="auto"/>
                      <w:sz w:val="21"/>
                      <w:szCs w:val="21"/>
                    </w:rPr>
                    <w:t>符合环境准入要求，</w:t>
                  </w:r>
                  <w:r>
                    <w:rPr>
                      <w:color w:val="auto"/>
                      <w:sz w:val="21"/>
                      <w:szCs w:val="21"/>
                    </w:rPr>
                    <w:t>并采取了有效的污染防治措施。</w:t>
                  </w:r>
                </w:p>
              </w:tc>
              <w:tc>
                <w:tcPr>
                  <w:tcW w:w="825" w:type="dxa"/>
                  <w:gridSpan w:val="2"/>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restart"/>
                  <w:tcBorders>
                    <w:tl2br w:val="nil"/>
                    <w:tr2bl w:val="nil"/>
                  </w:tcBorders>
                  <w:shd w:val="clear" w:color="auto" w:fill="FFFFFF"/>
                  <w:vAlign w:val="center"/>
                </w:tcPr>
                <w:p>
                  <w:pPr>
                    <w:pStyle w:val="11"/>
                    <w:jc w:val="center"/>
                    <w:rPr>
                      <w:color w:val="auto"/>
                      <w:sz w:val="21"/>
                      <w:szCs w:val="21"/>
                    </w:rPr>
                  </w:pPr>
                  <w:r>
                    <w:rPr>
                      <w:rFonts w:hint="eastAsia"/>
                      <w:color w:val="auto"/>
                      <w:sz w:val="21"/>
                      <w:szCs w:val="21"/>
                    </w:rPr>
                    <w:t>达州市</w:t>
                  </w:r>
                </w:p>
              </w:tc>
              <w:tc>
                <w:tcPr>
                  <w:tcW w:w="567" w:type="dxa"/>
                  <w:tcBorders>
                    <w:tl2br w:val="nil"/>
                    <w:tr2bl w:val="nil"/>
                  </w:tcBorders>
                  <w:shd w:val="clear" w:color="auto" w:fill="FFFFFF"/>
                  <w:vAlign w:val="center"/>
                </w:tcPr>
                <w:p>
                  <w:pPr>
                    <w:pStyle w:val="11"/>
                    <w:jc w:val="center"/>
                    <w:rPr>
                      <w:color w:val="auto"/>
                      <w:sz w:val="21"/>
                      <w:szCs w:val="21"/>
                    </w:rPr>
                  </w:pPr>
                  <w:r>
                    <w:rPr>
                      <w:color w:val="auto"/>
                      <w:sz w:val="21"/>
                      <w:szCs w:val="21"/>
                      <w:lang w:val="zh-TW" w:eastAsia="zh-TW"/>
                    </w:rPr>
                    <w:t>优先保护单元</w:t>
                  </w:r>
                </w:p>
              </w:tc>
              <w:tc>
                <w:tcPr>
                  <w:tcW w:w="4681" w:type="dxa"/>
                  <w:tcBorders>
                    <w:tl2br w:val="nil"/>
                    <w:tr2bl w:val="nil"/>
                  </w:tcBorders>
                  <w:shd w:val="clear" w:color="auto" w:fill="FFFFFF"/>
                  <w:vAlign w:val="center"/>
                </w:tcPr>
                <w:p>
                  <w:pPr>
                    <w:pStyle w:val="11"/>
                    <w:jc w:val="both"/>
                    <w:rPr>
                      <w:color w:val="auto"/>
                      <w:sz w:val="21"/>
                      <w:szCs w:val="21"/>
                    </w:rPr>
                  </w:pPr>
                  <w:r>
                    <w:rPr>
                      <w:rFonts w:hint="eastAsia"/>
                      <w:color w:val="auto"/>
                      <w:sz w:val="21"/>
                      <w:szCs w:val="21"/>
                      <w:lang w:val="zh-TW"/>
                    </w:rPr>
                    <w:t>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tc>
              <w:tc>
                <w:tcPr>
                  <w:tcW w:w="1836" w:type="dxa"/>
                  <w:tcBorders>
                    <w:tl2br w:val="nil"/>
                    <w:tr2bl w:val="nil"/>
                  </w:tcBorders>
                  <w:shd w:val="clear" w:color="auto" w:fill="FFFFFF"/>
                  <w:vAlign w:val="center"/>
                </w:tcPr>
                <w:p>
                  <w:pPr>
                    <w:pStyle w:val="11"/>
                    <w:jc w:val="center"/>
                    <w:rPr>
                      <w:color w:val="auto"/>
                      <w:sz w:val="21"/>
                      <w:szCs w:val="21"/>
                    </w:rPr>
                  </w:pPr>
                </w:p>
                <w:p>
                  <w:pPr>
                    <w:pStyle w:val="11"/>
                    <w:jc w:val="center"/>
                    <w:rPr>
                      <w:color w:val="auto"/>
                      <w:sz w:val="21"/>
                      <w:szCs w:val="21"/>
                      <w:lang w:val="zh-TW" w:eastAsia="zh-TW"/>
                    </w:rPr>
                  </w:pPr>
                  <w:r>
                    <w:rPr>
                      <w:rFonts w:hint="eastAsia"/>
                      <w:color w:val="auto"/>
                      <w:sz w:val="21"/>
                      <w:szCs w:val="21"/>
                    </w:rPr>
                    <w:t>本项目</w:t>
                  </w:r>
                  <w:r>
                    <w:rPr>
                      <w:color w:val="auto"/>
                      <w:sz w:val="21"/>
                      <w:szCs w:val="21"/>
                      <w:lang w:val="zh-TW" w:eastAsia="zh-TW"/>
                    </w:rPr>
                    <w:t>不在</w:t>
                  </w:r>
                  <w:r>
                    <w:rPr>
                      <w:rFonts w:hint="eastAsia"/>
                      <w:color w:val="auto"/>
                      <w:sz w:val="21"/>
                      <w:szCs w:val="21"/>
                    </w:rPr>
                    <w:t>优先保护</w:t>
                  </w:r>
                  <w:r>
                    <w:rPr>
                      <w:color w:val="auto"/>
                      <w:sz w:val="21"/>
                      <w:szCs w:val="21"/>
                      <w:lang w:val="zh-TW" w:eastAsia="zh-TW"/>
                    </w:rPr>
                    <w:t>单元内。</w:t>
                  </w:r>
                </w:p>
              </w:tc>
              <w:tc>
                <w:tcPr>
                  <w:tcW w:w="825" w:type="dxa"/>
                  <w:gridSpan w:val="2"/>
                  <w:tcBorders>
                    <w:tl2br w:val="nil"/>
                    <w:tr2bl w:val="nil"/>
                  </w:tcBorders>
                  <w:shd w:val="clear" w:color="auto" w:fill="FFFFFF"/>
                  <w:vAlign w:val="center"/>
                </w:tcPr>
                <w:p>
                  <w:pPr>
                    <w:pStyle w:val="11"/>
                    <w:jc w:val="center"/>
                    <w:rPr>
                      <w:color w:val="auto"/>
                      <w:sz w:val="21"/>
                      <w:szCs w:val="21"/>
                    </w:rPr>
                  </w:pPr>
                  <w:r>
                    <w:rPr>
                      <w:color w:val="auto"/>
                      <w:sz w:val="21"/>
                      <w:szCs w:val="21"/>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67" w:type="dxa"/>
                <w:trHeight w:val="1592" w:hRule="atLeast"/>
                <w:jc w:val="center"/>
              </w:trPr>
              <w:tc>
                <w:tcPr>
                  <w:tcW w:w="422" w:type="dxa"/>
                  <w:vMerge w:val="continue"/>
                  <w:tcBorders>
                    <w:tl2br w:val="nil"/>
                    <w:tr2bl w:val="nil"/>
                  </w:tcBorders>
                  <w:shd w:val="clear" w:color="auto" w:fill="FFFFFF"/>
                  <w:vAlign w:val="center"/>
                </w:tcPr>
                <w:p>
                  <w:pPr>
                    <w:pStyle w:val="11"/>
                    <w:jc w:val="center"/>
                    <w:rPr>
                      <w:color w:val="auto"/>
                      <w:sz w:val="21"/>
                      <w:szCs w:val="21"/>
                    </w:rPr>
                  </w:pPr>
                </w:p>
              </w:tc>
              <w:tc>
                <w:tcPr>
                  <w:tcW w:w="567" w:type="dxa"/>
                  <w:tcBorders>
                    <w:tl2br w:val="nil"/>
                    <w:tr2bl w:val="nil"/>
                  </w:tcBorders>
                  <w:shd w:val="clear" w:color="auto" w:fill="FFFFFF"/>
                  <w:vAlign w:val="center"/>
                </w:tcPr>
                <w:p>
                  <w:pPr>
                    <w:pStyle w:val="11"/>
                    <w:jc w:val="center"/>
                    <w:rPr>
                      <w:color w:val="auto"/>
                      <w:sz w:val="21"/>
                      <w:szCs w:val="21"/>
                    </w:rPr>
                  </w:pPr>
                  <w:r>
                    <w:rPr>
                      <w:color w:val="auto"/>
                      <w:sz w:val="21"/>
                      <w:szCs w:val="21"/>
                    </w:rPr>
                    <w:t>重点</w:t>
                  </w:r>
                </w:p>
                <w:p>
                  <w:pPr>
                    <w:pStyle w:val="11"/>
                    <w:jc w:val="center"/>
                    <w:rPr>
                      <w:color w:val="auto"/>
                      <w:sz w:val="21"/>
                      <w:szCs w:val="21"/>
                    </w:rPr>
                  </w:pPr>
                  <w:r>
                    <w:rPr>
                      <w:color w:val="auto"/>
                      <w:sz w:val="21"/>
                      <w:szCs w:val="21"/>
                    </w:rPr>
                    <w:t>管控</w:t>
                  </w:r>
                </w:p>
                <w:p>
                  <w:pPr>
                    <w:pStyle w:val="11"/>
                    <w:jc w:val="center"/>
                    <w:rPr>
                      <w:color w:val="auto"/>
                      <w:sz w:val="21"/>
                      <w:szCs w:val="21"/>
                    </w:rPr>
                  </w:pPr>
                  <w:r>
                    <w:rPr>
                      <w:color w:val="auto"/>
                      <w:sz w:val="21"/>
                      <w:szCs w:val="21"/>
                    </w:rPr>
                    <w:t>单元</w:t>
                  </w:r>
                </w:p>
              </w:tc>
              <w:tc>
                <w:tcPr>
                  <w:tcW w:w="4681" w:type="dxa"/>
                  <w:tcBorders>
                    <w:tl2br w:val="nil"/>
                    <w:tr2bl w:val="nil"/>
                  </w:tcBorders>
                  <w:shd w:val="clear" w:color="auto" w:fill="FFFFFF"/>
                  <w:vAlign w:val="center"/>
                </w:tcPr>
                <w:p>
                  <w:pPr>
                    <w:pStyle w:val="11"/>
                    <w:rPr>
                      <w:color w:val="auto"/>
                      <w:sz w:val="21"/>
                      <w:szCs w:val="21"/>
                    </w:rPr>
                  </w:pPr>
                  <w:r>
                    <w:rPr>
                      <w:color w:val="auto"/>
                      <w:sz w:val="21"/>
                      <w:szCs w:val="21"/>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836" w:type="dxa"/>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本项目</w:t>
                  </w:r>
                  <w:r>
                    <w:rPr>
                      <w:rFonts w:hint="eastAsia"/>
                      <w:color w:val="auto"/>
                      <w:sz w:val="21"/>
                      <w:szCs w:val="21"/>
                    </w:rPr>
                    <w:t>符合环境准入要求，</w:t>
                  </w:r>
                  <w:r>
                    <w:rPr>
                      <w:color w:val="auto"/>
                      <w:sz w:val="21"/>
                      <w:szCs w:val="21"/>
                    </w:rPr>
                    <w:t>并采取了有效的污染防治措施。</w:t>
                  </w:r>
                </w:p>
              </w:tc>
              <w:tc>
                <w:tcPr>
                  <w:tcW w:w="758" w:type="dxa"/>
                  <w:tcBorders>
                    <w:tl2br w:val="nil"/>
                    <w:tr2bl w:val="nil"/>
                  </w:tcBorders>
                  <w:shd w:val="clear" w:color="auto" w:fill="FFFFFF"/>
                  <w:vAlign w:val="center"/>
                </w:tcPr>
                <w:p>
                  <w:pPr>
                    <w:pStyle w:val="11"/>
                    <w:jc w:val="center"/>
                    <w:rPr>
                      <w:color w:val="auto"/>
                      <w:sz w:val="21"/>
                      <w:szCs w:val="21"/>
                    </w:rPr>
                  </w:pPr>
                  <w:r>
                    <w:rPr>
                      <w:color w:val="auto"/>
                      <w:sz w:val="21"/>
                      <w:szCs w:val="21"/>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4" w:hRule="atLeast"/>
                <w:jc w:val="center"/>
              </w:trPr>
              <w:tc>
                <w:tcPr>
                  <w:tcW w:w="422" w:type="dxa"/>
                  <w:vMerge w:val="continue"/>
                  <w:tcBorders>
                    <w:tl2br w:val="nil"/>
                    <w:tr2bl w:val="nil"/>
                  </w:tcBorders>
                  <w:shd w:val="clear" w:color="auto" w:fill="FFFFFF"/>
                  <w:vAlign w:val="center"/>
                </w:tcPr>
                <w:p>
                  <w:pPr>
                    <w:pStyle w:val="11"/>
                    <w:jc w:val="center"/>
                    <w:rPr>
                      <w:color w:val="auto"/>
                      <w:sz w:val="21"/>
                      <w:szCs w:val="21"/>
                      <w:lang w:val="zh-TW" w:eastAsia="zh-TW"/>
                    </w:rPr>
                  </w:pPr>
                </w:p>
              </w:tc>
              <w:tc>
                <w:tcPr>
                  <w:tcW w:w="567" w:type="dxa"/>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一般</w:t>
                  </w:r>
                </w:p>
                <w:p>
                  <w:pPr>
                    <w:pStyle w:val="11"/>
                    <w:jc w:val="center"/>
                    <w:rPr>
                      <w:color w:val="auto"/>
                      <w:sz w:val="21"/>
                      <w:szCs w:val="21"/>
                      <w:lang w:val="zh-TW"/>
                    </w:rPr>
                  </w:pPr>
                  <w:r>
                    <w:rPr>
                      <w:color w:val="auto"/>
                      <w:sz w:val="21"/>
                      <w:szCs w:val="21"/>
                      <w:lang w:val="zh-TW" w:eastAsia="zh-TW"/>
                    </w:rPr>
                    <w:t>管控</w:t>
                  </w:r>
                </w:p>
                <w:p>
                  <w:pPr>
                    <w:pStyle w:val="11"/>
                    <w:jc w:val="center"/>
                    <w:rPr>
                      <w:color w:val="auto"/>
                      <w:sz w:val="21"/>
                      <w:szCs w:val="21"/>
                      <w:lang w:val="zh-TW" w:eastAsia="zh-TW"/>
                    </w:rPr>
                  </w:pPr>
                  <w:r>
                    <w:rPr>
                      <w:color w:val="auto"/>
                      <w:sz w:val="21"/>
                      <w:szCs w:val="21"/>
                      <w:lang w:val="zh-TW" w:eastAsia="zh-TW"/>
                    </w:rPr>
                    <w:t>单元</w:t>
                  </w:r>
                </w:p>
              </w:tc>
              <w:tc>
                <w:tcPr>
                  <w:tcW w:w="4681" w:type="dxa"/>
                  <w:tcBorders>
                    <w:tl2br w:val="nil"/>
                    <w:tr2bl w:val="nil"/>
                  </w:tcBorders>
                  <w:shd w:val="clear" w:color="auto" w:fill="FFFFFF"/>
                  <w:vAlign w:val="center"/>
                </w:tcPr>
                <w:p>
                  <w:pPr>
                    <w:pStyle w:val="11"/>
                    <w:jc w:val="both"/>
                    <w:rPr>
                      <w:color w:val="auto"/>
                      <w:sz w:val="21"/>
                      <w:szCs w:val="21"/>
                    </w:rPr>
                  </w:pPr>
                  <w:r>
                    <w:rPr>
                      <w:rFonts w:hint="eastAsia"/>
                      <w:color w:val="auto"/>
                      <w:sz w:val="21"/>
                      <w:szCs w:val="21"/>
                      <w:lang w:val="zh-TW"/>
                    </w:rPr>
                    <w:t>除优先保护单元和重点管控单元之外的其他区域，全市共划分一般管控单元7个。执行区域生态环境保护的基本要求，重点加强农业、生活等领域污染治理。</w:t>
                  </w:r>
                </w:p>
              </w:tc>
              <w:tc>
                <w:tcPr>
                  <w:tcW w:w="1836" w:type="dxa"/>
                  <w:tcBorders>
                    <w:tl2br w:val="nil"/>
                    <w:tr2bl w:val="nil"/>
                  </w:tcBorders>
                  <w:shd w:val="clear" w:color="auto" w:fill="FFFFFF"/>
                  <w:vAlign w:val="center"/>
                </w:tcPr>
                <w:p>
                  <w:pPr>
                    <w:pStyle w:val="11"/>
                    <w:jc w:val="center"/>
                    <w:rPr>
                      <w:color w:val="auto"/>
                      <w:sz w:val="21"/>
                      <w:szCs w:val="21"/>
                      <w:lang w:val="zh-TW" w:eastAsia="zh-TW"/>
                    </w:rPr>
                  </w:pPr>
                  <w:r>
                    <w:rPr>
                      <w:rFonts w:hint="eastAsia"/>
                      <w:color w:val="auto"/>
                      <w:sz w:val="21"/>
                      <w:szCs w:val="21"/>
                    </w:rPr>
                    <w:t>本项目</w:t>
                  </w:r>
                  <w:r>
                    <w:rPr>
                      <w:color w:val="auto"/>
                      <w:sz w:val="21"/>
                      <w:szCs w:val="21"/>
                      <w:lang w:val="zh-TW" w:eastAsia="zh-TW"/>
                    </w:rPr>
                    <w:t>不在一般管控单元内。</w:t>
                  </w:r>
                </w:p>
              </w:tc>
              <w:tc>
                <w:tcPr>
                  <w:tcW w:w="825" w:type="dxa"/>
                  <w:gridSpan w:val="2"/>
                  <w:tcBorders>
                    <w:tl2br w:val="nil"/>
                    <w:tr2bl w:val="nil"/>
                  </w:tcBorders>
                  <w:shd w:val="clear" w:color="auto" w:fill="FFFFFF"/>
                  <w:vAlign w:val="center"/>
                </w:tcPr>
                <w:p>
                  <w:pPr>
                    <w:pStyle w:val="11"/>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422" w:type="dxa"/>
                  <w:vMerge w:val="continue"/>
                  <w:tcBorders>
                    <w:tl2br w:val="nil"/>
                    <w:tr2bl w:val="nil"/>
                  </w:tcBorders>
                  <w:shd w:val="clear" w:color="auto" w:fill="FFFFFF"/>
                  <w:vAlign w:val="center"/>
                </w:tcPr>
                <w:p>
                  <w:pPr>
                    <w:pStyle w:val="11"/>
                    <w:jc w:val="center"/>
                    <w:rPr>
                      <w:color w:val="auto"/>
                      <w:sz w:val="21"/>
                      <w:szCs w:val="21"/>
                    </w:rPr>
                  </w:pPr>
                </w:p>
              </w:tc>
              <w:tc>
                <w:tcPr>
                  <w:tcW w:w="567" w:type="dxa"/>
                  <w:tcBorders>
                    <w:tl2br w:val="nil"/>
                    <w:tr2bl w:val="nil"/>
                  </w:tcBorders>
                  <w:shd w:val="clear" w:color="auto" w:fill="FFFFFF"/>
                  <w:vAlign w:val="center"/>
                </w:tcPr>
                <w:p>
                  <w:pPr>
                    <w:pStyle w:val="11"/>
                    <w:jc w:val="center"/>
                    <w:rPr>
                      <w:color w:val="auto"/>
                      <w:sz w:val="21"/>
                      <w:szCs w:val="21"/>
                      <w:lang w:val="zh-TW" w:eastAsia="zh-TW"/>
                    </w:rPr>
                  </w:pPr>
                  <w:r>
                    <w:rPr>
                      <w:rFonts w:hint="eastAsia"/>
                      <w:color w:val="auto"/>
                      <w:sz w:val="21"/>
                      <w:szCs w:val="21"/>
                    </w:rPr>
                    <w:t>生态环境准入要求</w:t>
                  </w:r>
                </w:p>
              </w:tc>
              <w:tc>
                <w:tcPr>
                  <w:tcW w:w="4681" w:type="dxa"/>
                  <w:tcBorders>
                    <w:tl2br w:val="nil"/>
                    <w:tr2bl w:val="nil"/>
                  </w:tcBorders>
                  <w:shd w:val="clear" w:color="auto" w:fill="FFFFFF"/>
                  <w:vAlign w:val="center"/>
                </w:tcPr>
                <w:p>
                  <w:pPr>
                    <w:pStyle w:val="11"/>
                    <w:rPr>
                      <w:color w:val="auto"/>
                      <w:sz w:val="21"/>
                      <w:szCs w:val="21"/>
                    </w:rPr>
                  </w:pPr>
                  <w:r>
                    <w:rPr>
                      <w:color w:val="auto"/>
                      <w:sz w:val="21"/>
                      <w:szCs w:val="21"/>
                    </w:rPr>
                    <w:t>①对钢铁行业提出严格资源环境绩效水平要求；</w:t>
                  </w:r>
                  <w:r>
                    <w:rPr>
                      <w:rFonts w:hint="eastAsia"/>
                      <w:color w:val="auto"/>
                      <w:sz w:val="21"/>
                      <w:szCs w:val="21"/>
                    </w:rPr>
                    <w:t>②</w:t>
                  </w:r>
                  <w:r>
                    <w:rPr>
                      <w:color w:val="auto"/>
                      <w:sz w:val="21"/>
                      <w:szCs w:val="21"/>
                    </w:rPr>
                    <w:t>高污染企业限期退城入园；</w:t>
                  </w:r>
                  <w:r>
                    <w:rPr>
                      <w:rFonts w:hint="eastAsia"/>
                      <w:color w:val="auto"/>
                      <w:sz w:val="21"/>
                      <w:szCs w:val="21"/>
                    </w:rPr>
                    <w:t>③</w:t>
                  </w:r>
                  <w:r>
                    <w:rPr>
                      <w:color w:val="auto"/>
                      <w:sz w:val="21"/>
                      <w:szCs w:val="21"/>
                    </w:rPr>
                    <w:t>普光气田开发污染防治和环境管理等方面要达到国内先进水平；</w:t>
                  </w:r>
                  <w:r>
                    <w:rPr>
                      <w:rFonts w:hint="eastAsia"/>
                      <w:color w:val="auto"/>
                      <w:sz w:val="21"/>
                      <w:szCs w:val="21"/>
                    </w:rPr>
                    <w:t>④</w:t>
                  </w:r>
                  <w:r>
                    <w:rPr>
                      <w:color w:val="auto"/>
                      <w:sz w:val="21"/>
                      <w:szCs w:val="21"/>
                    </w:rPr>
                    <w:t>引进项目应符合园区规划环评和区域产业准入清单要求；</w:t>
                  </w:r>
                  <w:r>
                    <w:rPr>
                      <w:rFonts w:hint="eastAsia"/>
                      <w:color w:val="auto"/>
                      <w:sz w:val="21"/>
                      <w:szCs w:val="21"/>
                    </w:rPr>
                    <w:t>⑤</w:t>
                  </w:r>
                  <w:r>
                    <w:rPr>
                      <w:color w:val="auto"/>
                      <w:sz w:val="21"/>
                      <w:szCs w:val="21"/>
                    </w:rPr>
                    <w:t>长江干支流岸线1km范围内，不得新建、扩建化工园区和化工项目；</w:t>
                  </w:r>
                  <w:r>
                    <w:rPr>
                      <w:rFonts w:hint="eastAsia"/>
                      <w:color w:val="auto"/>
                      <w:sz w:val="21"/>
                      <w:szCs w:val="21"/>
                    </w:rPr>
                    <w:t>⑥</w:t>
                  </w:r>
                  <w:r>
                    <w:rPr>
                      <w:color w:val="auto"/>
                      <w:sz w:val="21"/>
                      <w:szCs w:val="21"/>
                    </w:rPr>
                    <w:t>严控产业转移环境准入；</w:t>
                  </w:r>
                  <w:r>
                    <w:rPr>
                      <w:rFonts w:hint="eastAsia"/>
                      <w:color w:val="auto"/>
                      <w:sz w:val="21"/>
                      <w:szCs w:val="21"/>
                    </w:rPr>
                    <w:t>⑦</w:t>
                  </w:r>
                  <w:r>
                    <w:rPr>
                      <w:color w:val="auto"/>
                      <w:sz w:val="21"/>
                      <w:szCs w:val="21"/>
                    </w:rPr>
                    <w:t>造纸等产业污染治理和环境管理应达到国内先进水平。优化制浆造纸产业布局，提升行业清洁生产水平，推动制浆造纸工业向节能、环保、绿色方向发展。</w:t>
                  </w:r>
                </w:p>
              </w:tc>
              <w:tc>
                <w:tcPr>
                  <w:tcW w:w="1836" w:type="dxa"/>
                  <w:tcBorders>
                    <w:tl2br w:val="nil"/>
                    <w:tr2bl w:val="nil"/>
                  </w:tcBorders>
                  <w:shd w:val="clear" w:color="auto" w:fill="FFFFFF"/>
                  <w:vAlign w:val="center"/>
                </w:tcPr>
                <w:p>
                  <w:pPr>
                    <w:pStyle w:val="11"/>
                    <w:jc w:val="center"/>
                    <w:rPr>
                      <w:color w:val="auto"/>
                      <w:sz w:val="21"/>
                      <w:szCs w:val="21"/>
                    </w:rPr>
                  </w:pPr>
                  <w:r>
                    <w:rPr>
                      <w:color w:val="auto"/>
                      <w:sz w:val="21"/>
                      <w:szCs w:val="21"/>
                      <w:lang w:val="zh-TW" w:eastAsia="zh-TW"/>
                    </w:rPr>
                    <w:t>本项目不属于对居住和公共设施等环境有严重干扰和污染的工业（化学工业、造纸工业、制革工业、建材工业等）</w:t>
                  </w:r>
                  <w:r>
                    <w:rPr>
                      <w:color w:val="auto"/>
                      <w:sz w:val="21"/>
                      <w:szCs w:val="21"/>
                      <w:lang w:val="zh-TW"/>
                    </w:rPr>
                    <w:t>。</w:t>
                  </w:r>
                </w:p>
              </w:tc>
              <w:tc>
                <w:tcPr>
                  <w:tcW w:w="825" w:type="dxa"/>
                  <w:gridSpan w:val="2"/>
                  <w:tcBorders>
                    <w:tl2br w:val="nil"/>
                    <w:tr2bl w:val="nil"/>
                  </w:tcBorders>
                  <w:shd w:val="clear" w:color="auto" w:fill="FFFFFF"/>
                  <w:vAlign w:val="center"/>
                </w:tcPr>
                <w:p>
                  <w:pPr>
                    <w:pStyle w:val="11"/>
                    <w:jc w:val="center"/>
                    <w:rPr>
                      <w:color w:val="auto"/>
                      <w:sz w:val="21"/>
                      <w:szCs w:val="21"/>
                    </w:rPr>
                  </w:pPr>
                  <w:r>
                    <w:rPr>
                      <w:color w:val="auto"/>
                      <w:sz w:val="21"/>
                      <w:szCs w:val="21"/>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422" w:type="dxa"/>
                  <w:tcBorders>
                    <w:tl2br w:val="nil"/>
                    <w:tr2bl w:val="nil"/>
                  </w:tcBorders>
                  <w:shd w:val="clear" w:color="auto" w:fill="FFFFFF"/>
                  <w:vAlign w:val="center"/>
                </w:tcPr>
                <w:p>
                  <w:pPr>
                    <w:pStyle w:val="11"/>
                    <w:jc w:val="center"/>
                    <w:rPr>
                      <w:color w:val="auto"/>
                      <w:sz w:val="21"/>
                      <w:szCs w:val="21"/>
                    </w:rPr>
                  </w:pPr>
                  <w:r>
                    <w:rPr>
                      <w:rFonts w:hint="eastAsia"/>
                      <w:color w:val="auto"/>
                      <w:sz w:val="21"/>
                      <w:szCs w:val="21"/>
                    </w:rPr>
                    <w:t>通川区</w:t>
                  </w:r>
                </w:p>
              </w:tc>
              <w:tc>
                <w:tcPr>
                  <w:tcW w:w="567" w:type="dxa"/>
                  <w:tcBorders>
                    <w:tl2br w:val="nil"/>
                    <w:tr2bl w:val="nil"/>
                  </w:tcBorders>
                  <w:shd w:val="clear" w:color="auto" w:fill="FFFFFF"/>
                  <w:vAlign w:val="center"/>
                </w:tcPr>
                <w:p>
                  <w:pPr>
                    <w:pStyle w:val="11"/>
                    <w:jc w:val="center"/>
                    <w:rPr>
                      <w:color w:val="auto"/>
                      <w:sz w:val="21"/>
                      <w:szCs w:val="21"/>
                      <w:u w:val="single"/>
                      <w:lang w:val="zh-TW" w:eastAsia="zh-TW"/>
                    </w:rPr>
                  </w:pPr>
                  <w:r>
                    <w:rPr>
                      <w:rFonts w:hint="eastAsia"/>
                      <w:color w:val="auto"/>
                      <w:sz w:val="21"/>
                      <w:szCs w:val="21"/>
                    </w:rPr>
                    <w:t>生态环境</w:t>
                  </w:r>
                  <w:r>
                    <w:rPr>
                      <w:color w:val="auto"/>
                      <w:sz w:val="21"/>
                      <w:szCs w:val="21"/>
                      <w:lang w:val="zh-TW" w:eastAsia="zh-TW"/>
                    </w:rPr>
                    <w:t>准入要求</w:t>
                  </w:r>
                </w:p>
              </w:tc>
              <w:tc>
                <w:tcPr>
                  <w:tcW w:w="4681" w:type="dxa"/>
                  <w:tcBorders>
                    <w:tl2br w:val="nil"/>
                    <w:tr2bl w:val="nil"/>
                  </w:tcBorders>
                  <w:shd w:val="clear" w:color="auto" w:fill="FFFFFF"/>
                  <w:vAlign w:val="center"/>
                </w:tcPr>
                <w:p>
                  <w:pPr>
                    <w:pStyle w:val="11"/>
                    <w:rPr>
                      <w:color w:val="auto"/>
                      <w:sz w:val="21"/>
                      <w:szCs w:val="21"/>
                      <w:lang w:val="zh-TW" w:eastAsia="zh-TW"/>
                    </w:rPr>
                  </w:pPr>
                  <w:r>
                    <w:rPr>
                      <w:rFonts w:hint="eastAsia"/>
                      <w:color w:val="auto"/>
                      <w:sz w:val="21"/>
                      <w:szCs w:val="21"/>
                      <w:lang w:val="zh-TW" w:eastAsia="zh-TW"/>
                    </w:rPr>
                    <w:t>①</w:t>
                  </w:r>
                  <w:r>
                    <w:rPr>
                      <w:color w:val="auto"/>
                      <w:sz w:val="21"/>
                      <w:szCs w:val="21"/>
                      <w:lang w:val="zh-TW" w:eastAsia="zh-TW"/>
                    </w:rPr>
                    <w:t>调整农作物种植结构，加强农业氨污染控制，大力发展节水农业；</w:t>
                  </w:r>
                  <w:r>
                    <w:rPr>
                      <w:rFonts w:hint="eastAsia"/>
                      <w:color w:val="auto"/>
                      <w:sz w:val="21"/>
                      <w:szCs w:val="21"/>
                      <w:lang w:val="zh-TW" w:eastAsia="zh-TW"/>
                    </w:rPr>
                    <w:t>②</w:t>
                  </w:r>
                  <w:r>
                    <w:rPr>
                      <w:color w:val="auto"/>
                      <w:sz w:val="21"/>
                      <w:szCs w:val="21"/>
                      <w:lang w:val="zh-TW" w:eastAsia="zh-TW"/>
                    </w:rPr>
                    <w:t>加强建筑工程日常监管，对重点环节采取遮盖、洒水、封闭等措施控制扬尘排放。提高道路硬化率，减少道路起尘源。推动非道路移动机械达标排放示范企业建设；</w:t>
                  </w:r>
                  <w:r>
                    <w:rPr>
                      <w:rFonts w:hint="eastAsia"/>
                      <w:color w:val="auto"/>
                      <w:sz w:val="21"/>
                      <w:szCs w:val="21"/>
                      <w:lang w:val="zh-TW" w:eastAsia="zh-TW"/>
                    </w:rPr>
                    <w:t>③</w:t>
                  </w:r>
                  <w:r>
                    <w:rPr>
                      <w:color w:val="auto"/>
                      <w:sz w:val="21"/>
                      <w:szCs w:val="21"/>
                      <w:lang w:val="zh-TW" w:eastAsia="zh-TW"/>
                    </w:rPr>
                    <w:t>优化调整产业布局，以PM</w:t>
                  </w:r>
                  <w:r>
                    <w:rPr>
                      <w:color w:val="auto"/>
                      <w:sz w:val="21"/>
                      <w:szCs w:val="21"/>
                      <w:vertAlign w:val="subscript"/>
                      <w:lang w:val="zh-TW" w:eastAsia="zh-TW"/>
                    </w:rPr>
                    <w:t>2.5</w:t>
                  </w:r>
                  <w:r>
                    <w:rPr>
                      <w:color w:val="auto"/>
                      <w:sz w:val="21"/>
                      <w:szCs w:val="21"/>
                      <w:lang w:val="zh-TW" w:eastAsia="zh-TW"/>
                    </w:rPr>
                    <w:t>和臭氧污染协同控制为重点，全面开展VOC</w:t>
                  </w:r>
                  <w:r>
                    <w:rPr>
                      <w:color w:val="auto"/>
                      <w:sz w:val="21"/>
                      <w:szCs w:val="21"/>
                      <w:vertAlign w:val="subscript"/>
                      <w:lang w:val="zh-TW" w:eastAsia="zh-TW"/>
                    </w:rPr>
                    <w:t>s</w:t>
                  </w:r>
                  <w:r>
                    <w:rPr>
                      <w:color w:val="auto"/>
                      <w:sz w:val="21"/>
                      <w:szCs w:val="21"/>
                      <w:lang w:val="zh-TW" w:eastAsia="zh-TW"/>
                    </w:rPr>
                    <w:t>治理，实施移动源整治，持续推进空气质量精细化管理；</w:t>
                  </w:r>
                  <w:r>
                    <w:rPr>
                      <w:rFonts w:hint="eastAsia"/>
                      <w:color w:val="auto"/>
                      <w:sz w:val="21"/>
                      <w:szCs w:val="21"/>
                      <w:lang w:val="zh-TW" w:eastAsia="zh-TW"/>
                    </w:rPr>
                    <w:t>④</w:t>
                  </w:r>
                  <w:r>
                    <w:rPr>
                      <w:color w:val="auto"/>
                      <w:sz w:val="21"/>
                      <w:szCs w:val="21"/>
                      <w:lang w:val="zh-TW" w:eastAsia="zh-TW"/>
                    </w:rPr>
                    <w:t>建立健全农业节水体系，推广使用节水灌溉技术，探索乡镇、农村生活污染水资源化还田利用。大力整治沿河畜禽养殖污染整治，实现畜禽粪污减量化排放、无害化处理和资源化利用。</w:t>
                  </w:r>
                </w:p>
              </w:tc>
              <w:tc>
                <w:tcPr>
                  <w:tcW w:w="1836" w:type="dxa"/>
                  <w:tcBorders>
                    <w:tl2br w:val="nil"/>
                    <w:tr2bl w:val="nil"/>
                  </w:tcBorders>
                  <w:shd w:val="clear" w:color="auto" w:fill="FFFFFF"/>
                  <w:vAlign w:val="center"/>
                </w:tcPr>
                <w:p>
                  <w:pPr>
                    <w:pStyle w:val="11"/>
                    <w:jc w:val="center"/>
                    <w:rPr>
                      <w:color w:val="auto"/>
                      <w:sz w:val="21"/>
                      <w:szCs w:val="21"/>
                    </w:rPr>
                  </w:pPr>
                  <w:r>
                    <w:rPr>
                      <w:color w:val="auto"/>
                      <w:sz w:val="21"/>
                      <w:szCs w:val="21"/>
                    </w:rPr>
                    <w:t>本项目使用电能，针对各位污染物并采取了有效的污染防治措施。</w:t>
                  </w:r>
                </w:p>
              </w:tc>
              <w:tc>
                <w:tcPr>
                  <w:tcW w:w="825" w:type="dxa"/>
                  <w:gridSpan w:val="2"/>
                  <w:tcBorders>
                    <w:tl2br w:val="nil"/>
                    <w:tr2bl w:val="nil"/>
                  </w:tcBorders>
                  <w:shd w:val="clear" w:color="auto" w:fill="FFFFFF"/>
                  <w:vAlign w:val="center"/>
                </w:tcPr>
                <w:p>
                  <w:pPr>
                    <w:pStyle w:val="11"/>
                    <w:jc w:val="center"/>
                    <w:rPr>
                      <w:color w:val="auto"/>
                      <w:sz w:val="21"/>
                      <w:szCs w:val="21"/>
                      <w:lang w:val="zh-TW" w:eastAsia="zh-TW"/>
                    </w:rPr>
                  </w:pPr>
                  <w:r>
                    <w:rPr>
                      <w:color w:val="auto"/>
                      <w:sz w:val="21"/>
                      <w:szCs w:val="21"/>
                      <w:lang w:val="zh-TW" w:eastAsia="zh-TW"/>
                    </w:rPr>
                    <w:t>符合</w:t>
                  </w:r>
                </w:p>
              </w:tc>
            </w:tr>
          </w:tbl>
          <w:p>
            <w:pPr>
              <w:adjustRightInd w:val="0"/>
              <w:snapToGrid w:val="0"/>
              <w:ind w:firstLine="482"/>
              <w:rPr>
                <w:b/>
                <w:bCs/>
                <w:color w:val="auto"/>
                <w:kern w:val="0"/>
                <w:szCs w:val="21"/>
              </w:rPr>
            </w:pPr>
            <w:r>
              <w:rPr>
                <w:rFonts w:hint="eastAsia"/>
                <w:b/>
                <w:bCs/>
                <w:color w:val="auto"/>
                <w:kern w:val="0"/>
                <w:szCs w:val="21"/>
              </w:rPr>
              <w:t>6</w:t>
            </w:r>
            <w:r>
              <w:rPr>
                <w:b/>
                <w:bCs/>
                <w:color w:val="auto"/>
                <w:kern w:val="0"/>
                <w:szCs w:val="21"/>
              </w:rPr>
              <w:t>、项目与《</w:t>
            </w:r>
            <w:r>
              <w:rPr>
                <w:rFonts w:hint="eastAsia"/>
                <w:b/>
                <w:bCs/>
                <w:color w:val="auto"/>
                <w:kern w:val="0"/>
                <w:szCs w:val="21"/>
              </w:rPr>
              <w:t>达州市</w:t>
            </w:r>
            <w:r>
              <w:rPr>
                <w:b/>
                <w:bCs/>
                <w:color w:val="auto"/>
                <w:kern w:val="0"/>
                <w:szCs w:val="21"/>
              </w:rPr>
              <w:t>人民政府关于落实生态保护红线、环境质量底线、资源利用上线和生态环境准入清单实施生态环境分区管控的通知》（</w:t>
            </w:r>
            <w:r>
              <w:rPr>
                <w:rFonts w:hint="eastAsia"/>
                <w:b/>
                <w:bCs/>
                <w:color w:val="auto"/>
                <w:kern w:val="0"/>
                <w:szCs w:val="21"/>
                <w:lang w:val="zh-TW"/>
              </w:rPr>
              <w:t>达市府发〔2021〕17号</w:t>
            </w:r>
            <w:r>
              <w:rPr>
                <w:b/>
                <w:bCs/>
                <w:color w:val="auto"/>
                <w:kern w:val="0"/>
                <w:szCs w:val="21"/>
              </w:rPr>
              <w:t>）符合性分析</w:t>
            </w:r>
          </w:p>
          <w:p>
            <w:pPr>
              <w:adjustRightInd w:val="0"/>
              <w:snapToGrid w:val="0"/>
              <w:ind w:firstLine="480"/>
              <w:rPr>
                <w:color w:val="auto"/>
                <w:kern w:val="0"/>
                <w:szCs w:val="21"/>
              </w:rPr>
            </w:pPr>
            <w:r>
              <w:rPr>
                <w:color w:val="auto"/>
                <w:kern w:val="0"/>
                <w:szCs w:val="21"/>
                <w:lang w:val="zh-TW" w:eastAsia="zh-TW"/>
              </w:rPr>
              <w:t>本项目位于</w:t>
            </w:r>
            <w:r>
              <w:rPr>
                <w:rFonts w:hint="eastAsia"/>
                <w:color w:val="auto"/>
                <w:kern w:val="0"/>
                <w:szCs w:val="21"/>
                <w:lang w:val="zh-TW"/>
              </w:rPr>
              <w:t>达州市通川区工业集中区食品大道</w:t>
            </w:r>
            <w:r>
              <w:rPr>
                <w:color w:val="auto"/>
                <w:kern w:val="0"/>
                <w:szCs w:val="21"/>
                <w:lang w:val="zh-TW" w:eastAsia="zh-TW"/>
              </w:rPr>
              <w:t>，</w:t>
            </w:r>
            <w:r>
              <w:rPr>
                <w:color w:val="auto"/>
                <w:kern w:val="0"/>
                <w:szCs w:val="21"/>
              </w:rPr>
              <w:t>根据《</w:t>
            </w:r>
            <w:r>
              <w:rPr>
                <w:rFonts w:hint="eastAsia"/>
                <w:color w:val="auto"/>
                <w:kern w:val="0"/>
                <w:szCs w:val="21"/>
              </w:rPr>
              <w:t>达州市</w:t>
            </w:r>
            <w:r>
              <w:rPr>
                <w:color w:val="auto"/>
                <w:kern w:val="0"/>
                <w:szCs w:val="21"/>
              </w:rPr>
              <w:t>人民政府关于落实生态保护红线、环境质量底线、资源利用上线和生态环境准入清单实施生态环境分区管控的通知》（</w:t>
            </w:r>
            <w:r>
              <w:rPr>
                <w:rFonts w:hint="eastAsia"/>
                <w:color w:val="auto"/>
                <w:kern w:val="0"/>
                <w:szCs w:val="21"/>
                <w:lang w:val="zh-TW"/>
              </w:rPr>
              <w:t>达市府发〔2021〕17号</w:t>
            </w:r>
            <w:r>
              <w:rPr>
                <w:color w:val="auto"/>
                <w:kern w:val="0"/>
                <w:szCs w:val="21"/>
              </w:rPr>
              <w:t>）中的相关内容：项目应归为环境管控单元类型中的“</w:t>
            </w:r>
            <w:r>
              <w:rPr>
                <w:color w:val="auto"/>
                <w:lang w:val="zh-TW" w:eastAsia="zh-TW"/>
              </w:rPr>
              <w:t>优先保护单元</w:t>
            </w:r>
            <w:r>
              <w:rPr>
                <w:color w:val="auto"/>
                <w:kern w:val="0"/>
                <w:szCs w:val="21"/>
              </w:rPr>
              <w:t>”，</w:t>
            </w:r>
            <w:r>
              <w:rPr>
                <w:color w:val="auto"/>
                <w:kern w:val="0"/>
                <w:szCs w:val="21"/>
                <w:lang w:val="zh-TW" w:eastAsia="zh-TW"/>
              </w:rPr>
              <w:t>其中，</w:t>
            </w:r>
            <w:r>
              <w:rPr>
                <w:color w:val="auto"/>
                <w:lang w:val="zh-TW" w:eastAsia="zh-TW"/>
              </w:rPr>
              <w:t>优先保护单元中，应以生态环境保护优先为原则，严格执行相关法律、法规要求，严守生态环境质量底线，确保生态环境功能不降低</w:t>
            </w:r>
            <w:r>
              <w:rPr>
                <w:rFonts w:hint="eastAsia"/>
                <w:color w:val="auto"/>
                <w:lang w:val="zh-TW"/>
              </w:rPr>
              <w:t>。</w:t>
            </w:r>
          </w:p>
          <w:p>
            <w:pPr>
              <w:adjustRightInd w:val="0"/>
              <w:snapToGrid w:val="0"/>
              <w:ind w:firstLine="480"/>
              <w:rPr>
                <w:color w:val="auto"/>
                <w:kern w:val="0"/>
                <w:szCs w:val="21"/>
              </w:rPr>
            </w:pPr>
            <w:r>
              <w:rPr>
                <w:rFonts w:hint="eastAsia"/>
                <w:color w:val="auto"/>
                <w:kern w:val="0"/>
                <w:szCs w:val="21"/>
                <w:lang w:val="zh-TW"/>
              </w:rPr>
              <w:t>本项目主要进行</w:t>
            </w:r>
            <w:r>
              <w:rPr>
                <w:rFonts w:hint="eastAsia"/>
                <w:color w:val="auto"/>
                <w:kern w:val="0"/>
                <w:szCs w:val="21"/>
                <w:lang w:val="zh-TW" w:eastAsia="zh-CN"/>
              </w:rPr>
              <w:t>食品生产加工</w:t>
            </w:r>
            <w:r>
              <w:rPr>
                <w:color w:val="auto"/>
                <w:kern w:val="0"/>
                <w:szCs w:val="21"/>
              </w:rPr>
              <w:t>，项目针对废气等污染物的排放、环境风险管理和防控方面采取了有效的措施，因此，符合《</w:t>
            </w:r>
            <w:r>
              <w:rPr>
                <w:rFonts w:hint="eastAsia"/>
                <w:color w:val="auto"/>
                <w:kern w:val="0"/>
                <w:szCs w:val="21"/>
              </w:rPr>
              <w:t>达州市</w:t>
            </w:r>
            <w:r>
              <w:rPr>
                <w:color w:val="auto"/>
                <w:kern w:val="0"/>
                <w:szCs w:val="21"/>
              </w:rPr>
              <w:t>人民政府关于落实生态保护红线、环境质量底线、资源利用上线和生态环境准入清单实施生态环境分区管控的通知》（</w:t>
            </w:r>
            <w:r>
              <w:rPr>
                <w:rFonts w:hint="eastAsia"/>
                <w:color w:val="auto"/>
                <w:kern w:val="0"/>
                <w:szCs w:val="21"/>
                <w:lang w:val="zh-TW"/>
              </w:rPr>
              <w:t>达市府发发〔2021〕17号</w:t>
            </w:r>
            <w:r>
              <w:rPr>
                <w:color w:val="auto"/>
                <w:kern w:val="0"/>
                <w:szCs w:val="21"/>
              </w:rPr>
              <w:t>）中相关内容的要求</w:t>
            </w:r>
            <w:r>
              <w:rPr>
                <w:rFonts w:hint="eastAsia"/>
                <w:color w:val="auto"/>
                <w:kern w:val="0"/>
                <w:szCs w:val="21"/>
              </w:rPr>
              <w:t>，具体见表1-6，表1-7</w:t>
            </w:r>
            <w:r>
              <w:rPr>
                <w:color w:val="auto"/>
                <w:kern w:val="0"/>
                <w:szCs w:val="21"/>
              </w:rPr>
              <w:t>。</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autoSpaceDE w:val="0"/>
              <w:autoSpaceDN w:val="0"/>
              <w:adjustRightInd w:val="0"/>
              <w:snapToGrid w:val="0"/>
              <w:ind w:firstLine="480"/>
              <w:rPr>
                <w:color w:val="auto"/>
              </w:rPr>
            </w:pPr>
          </w:p>
        </w:tc>
      </w:tr>
    </w:tbl>
    <w:p>
      <w:pPr>
        <w:ind w:firstLine="0" w:firstLineChars="0"/>
        <w:sectPr>
          <w:footerReference r:id="rId12" w:type="default"/>
          <w:pgSz w:w="11906" w:h="16838"/>
          <w:pgMar w:top="1440" w:right="1080" w:bottom="1440" w:left="1080" w:header="851" w:footer="1077" w:gutter="0"/>
          <w:pgNumType w:start="1"/>
          <w:cols w:space="720" w:num="1"/>
          <w:docGrid w:linePitch="312" w:charSpace="0"/>
        </w:sectPr>
      </w:pPr>
    </w:p>
    <w:p>
      <w:pPr>
        <w:pStyle w:val="11"/>
        <w:jc w:val="center"/>
        <w:rPr>
          <w:b/>
          <w:bCs/>
          <w:lang w:val="zh-TW" w:eastAsia="zh-TW"/>
        </w:rPr>
      </w:pPr>
      <w:r>
        <w:rPr>
          <w:b/>
          <w:bCs/>
          <w:lang w:val="zh-TW" w:eastAsia="zh-TW"/>
        </w:rPr>
        <w:t>1-</w:t>
      </w:r>
      <w:r>
        <w:rPr>
          <w:rFonts w:hint="eastAsia"/>
          <w:b/>
          <w:bCs/>
        </w:rPr>
        <w:t>7</w:t>
      </w:r>
      <w:r>
        <w:rPr>
          <w:b/>
          <w:bCs/>
          <w:lang w:val="zh-TW" w:eastAsia="zh-TW"/>
        </w:rPr>
        <w:t xml:space="preserve">  </w:t>
      </w:r>
      <w:r>
        <w:rPr>
          <w:rFonts w:hint="eastAsia"/>
          <w:b/>
          <w:bCs/>
        </w:rPr>
        <w:t>建设项目</w:t>
      </w:r>
      <w:r>
        <w:rPr>
          <w:b/>
          <w:bCs/>
          <w:lang w:val="zh-TW" w:eastAsia="zh-TW"/>
        </w:rPr>
        <w:t>与</w:t>
      </w:r>
      <w:r>
        <w:rPr>
          <w:b/>
          <w:bCs/>
        </w:rPr>
        <w:t>“</w:t>
      </w:r>
      <w:r>
        <w:rPr>
          <w:rFonts w:hint="eastAsia"/>
          <w:b/>
          <w:bCs/>
        </w:rPr>
        <w:t>三线一单</w:t>
      </w:r>
      <w:r>
        <w:rPr>
          <w:b/>
          <w:bCs/>
        </w:rPr>
        <w:t>”等</w:t>
      </w:r>
      <w:r>
        <w:rPr>
          <w:rFonts w:hint="eastAsia"/>
          <w:b/>
          <w:bCs/>
        </w:rPr>
        <w:t>具体要求</w:t>
      </w:r>
      <w:r>
        <w:rPr>
          <w:b/>
          <w:bCs/>
          <w:lang w:val="zh-TW" w:eastAsia="zh-TW"/>
        </w:rPr>
        <w:t>符合性分析</w:t>
      </w:r>
    </w:p>
    <w:tbl>
      <w:tblPr>
        <w:tblStyle w:val="6"/>
        <w:tblW w:w="148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5"/>
        <w:gridCol w:w="557"/>
        <w:gridCol w:w="472"/>
        <w:gridCol w:w="10693"/>
        <w:gridCol w:w="1968"/>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17" w:type="dxa"/>
            <w:gridSpan w:val="4"/>
            <w:tcBorders>
              <w:tl2br w:val="nil"/>
              <w:tr2bl w:val="nil"/>
            </w:tcBorders>
            <w:shd w:val="clear" w:color="auto" w:fill="FFFFFF"/>
            <w:vAlign w:val="center"/>
          </w:tcPr>
          <w:p>
            <w:pPr>
              <w:pStyle w:val="11"/>
              <w:jc w:val="center"/>
              <w:rPr>
                <w:b/>
                <w:bCs/>
              </w:rPr>
            </w:pPr>
            <w:r>
              <w:rPr>
                <w:rFonts w:hint="eastAsia"/>
                <w:b/>
                <w:bCs/>
                <w:lang w:val="zh-TW"/>
              </w:rPr>
              <w:t>“</w:t>
            </w:r>
            <w:r>
              <w:rPr>
                <w:rFonts w:hint="eastAsia"/>
                <w:b/>
                <w:bCs/>
              </w:rPr>
              <w:t>三线一单</w:t>
            </w:r>
            <w:r>
              <w:rPr>
                <w:rFonts w:hint="eastAsia"/>
                <w:b/>
                <w:bCs/>
                <w:lang w:val="zh-TW"/>
              </w:rPr>
              <w:t>”</w:t>
            </w:r>
            <w:r>
              <w:rPr>
                <w:rFonts w:hint="eastAsia"/>
                <w:b/>
                <w:bCs/>
              </w:rPr>
              <w:t>的具体</w:t>
            </w:r>
            <w:r>
              <w:rPr>
                <w:b/>
                <w:bCs/>
                <w:lang w:val="zh-TW" w:eastAsia="zh-TW"/>
              </w:rPr>
              <w:t>要求</w:t>
            </w:r>
          </w:p>
        </w:tc>
        <w:tc>
          <w:tcPr>
            <w:tcW w:w="1968" w:type="dxa"/>
            <w:vMerge w:val="restart"/>
            <w:tcBorders>
              <w:tl2br w:val="nil"/>
              <w:tr2bl w:val="nil"/>
            </w:tcBorders>
            <w:shd w:val="clear" w:color="auto" w:fill="FFFFFF"/>
            <w:vAlign w:val="center"/>
          </w:tcPr>
          <w:p>
            <w:pPr>
              <w:pStyle w:val="11"/>
              <w:jc w:val="center"/>
              <w:rPr>
                <w:b/>
                <w:bCs/>
              </w:rPr>
            </w:pPr>
            <w:r>
              <w:rPr>
                <w:b/>
                <w:bCs/>
                <w:lang w:val="zh-TW" w:eastAsia="zh-TW"/>
              </w:rPr>
              <w:t>项目</w:t>
            </w:r>
            <w:r>
              <w:rPr>
                <w:rFonts w:hint="eastAsia"/>
                <w:b/>
                <w:bCs/>
              </w:rPr>
              <w:t>对应</w:t>
            </w:r>
          </w:p>
          <w:p>
            <w:pPr>
              <w:pStyle w:val="11"/>
              <w:jc w:val="center"/>
              <w:rPr>
                <w:b/>
                <w:bCs/>
              </w:rPr>
            </w:pPr>
            <w:r>
              <w:rPr>
                <w:b/>
                <w:bCs/>
                <w:lang w:val="zh-TW" w:eastAsia="zh-TW"/>
              </w:rPr>
              <w:t>情况</w:t>
            </w:r>
            <w:r>
              <w:rPr>
                <w:rFonts w:hint="eastAsia"/>
                <w:b/>
                <w:bCs/>
              </w:rPr>
              <w:t>介绍</w:t>
            </w:r>
          </w:p>
        </w:tc>
        <w:tc>
          <w:tcPr>
            <w:tcW w:w="653" w:type="dxa"/>
            <w:vMerge w:val="restart"/>
            <w:tcBorders>
              <w:tl2br w:val="nil"/>
              <w:tr2bl w:val="nil"/>
            </w:tcBorders>
            <w:shd w:val="clear" w:color="auto" w:fill="FFFFFF"/>
            <w:vAlign w:val="center"/>
          </w:tcPr>
          <w:p>
            <w:pPr>
              <w:pStyle w:val="11"/>
              <w:jc w:val="center"/>
              <w:rPr>
                <w:b/>
                <w:bCs/>
              </w:rPr>
            </w:pPr>
            <w:r>
              <w:rPr>
                <w:b/>
                <w:bCs/>
                <w:lang w:val="zh-TW" w:eastAsia="zh-TW"/>
              </w:rPr>
              <w:t>符合性</w:t>
            </w:r>
            <w:r>
              <w:rPr>
                <w:rFonts w:hint="eastAsia"/>
                <w:b/>
                <w:bCs/>
              </w:rPr>
              <w:t>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4" w:type="dxa"/>
            <w:gridSpan w:val="3"/>
            <w:tcBorders>
              <w:tl2br w:val="nil"/>
              <w:tr2bl w:val="nil"/>
            </w:tcBorders>
            <w:shd w:val="clear" w:color="auto" w:fill="FFFFFF"/>
            <w:vAlign w:val="center"/>
          </w:tcPr>
          <w:p>
            <w:pPr>
              <w:pStyle w:val="11"/>
              <w:jc w:val="center"/>
              <w:rPr>
                <w:b/>
                <w:bCs/>
              </w:rPr>
            </w:pPr>
            <w:r>
              <w:rPr>
                <w:rFonts w:hint="eastAsia"/>
                <w:b/>
                <w:bCs/>
              </w:rPr>
              <w:t>类别</w:t>
            </w:r>
          </w:p>
        </w:tc>
        <w:tc>
          <w:tcPr>
            <w:tcW w:w="10693" w:type="dxa"/>
            <w:tcBorders>
              <w:tl2br w:val="nil"/>
              <w:tr2bl w:val="nil"/>
            </w:tcBorders>
            <w:shd w:val="clear" w:color="auto" w:fill="FFFFFF"/>
            <w:vAlign w:val="center"/>
          </w:tcPr>
          <w:p>
            <w:pPr>
              <w:pStyle w:val="11"/>
              <w:jc w:val="center"/>
              <w:rPr>
                <w:b/>
                <w:bCs/>
              </w:rPr>
            </w:pPr>
            <w:r>
              <w:rPr>
                <w:rFonts w:hint="eastAsia"/>
                <w:b/>
                <w:bCs/>
              </w:rPr>
              <w:t>对应管控要求</w:t>
            </w:r>
          </w:p>
        </w:tc>
        <w:tc>
          <w:tcPr>
            <w:tcW w:w="1968" w:type="dxa"/>
            <w:vMerge w:val="continue"/>
            <w:tcBorders>
              <w:tl2br w:val="nil"/>
              <w:tr2bl w:val="nil"/>
            </w:tcBorders>
            <w:shd w:val="clear" w:color="auto" w:fill="FFFFFF"/>
            <w:vAlign w:val="center"/>
          </w:tcPr>
          <w:p>
            <w:pPr>
              <w:pStyle w:val="11"/>
              <w:jc w:val="center"/>
              <w:rPr>
                <w:b/>
                <w:bCs/>
                <w:lang w:val="zh-TW" w:eastAsia="zh-TW"/>
              </w:rPr>
            </w:pPr>
          </w:p>
        </w:tc>
        <w:tc>
          <w:tcPr>
            <w:tcW w:w="653" w:type="dxa"/>
            <w:vMerge w:val="continue"/>
            <w:tcBorders>
              <w:tl2br w:val="nil"/>
              <w:tr2bl w:val="nil"/>
            </w:tcBorders>
            <w:shd w:val="clear" w:color="auto" w:fill="FFFFFF"/>
            <w:vAlign w:val="center"/>
          </w:tcPr>
          <w:p>
            <w:pPr>
              <w:pStyle w:val="11"/>
              <w:jc w:val="center"/>
              <w:rPr>
                <w:b/>
                <w:bCs/>
                <w:lang w:val="zh-TW" w:eastAsia="zh-T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restart"/>
            <w:tcBorders>
              <w:tl2br w:val="nil"/>
              <w:tr2bl w:val="nil"/>
            </w:tcBorders>
            <w:shd w:val="clear" w:color="auto" w:fill="FFFFFF"/>
            <w:vAlign w:val="center"/>
          </w:tcPr>
          <w:p>
            <w:pPr>
              <w:pStyle w:val="11"/>
              <w:jc w:val="center"/>
            </w:pPr>
            <w:r>
              <w:rPr>
                <w:rFonts w:hint="eastAsia" w:ascii="宋体" w:hAnsi="宋体"/>
                <w:kern w:val="2"/>
              </w:rPr>
              <w:t>环境管控单元</w:t>
            </w:r>
            <w:r>
              <w:rPr>
                <w:rFonts w:hint="eastAsia"/>
              </w:rPr>
              <w:t>，</w:t>
            </w:r>
            <w:r>
              <w:rPr>
                <w:rFonts w:hint="eastAsia" w:ascii="宋体" w:hAnsi="宋体"/>
                <w:kern w:val="2"/>
              </w:rPr>
              <w:t>ZH51170220002</w:t>
            </w:r>
            <w:r>
              <w:rPr>
                <w:rFonts w:hint="eastAsia"/>
              </w:rPr>
              <w:t>，</w:t>
            </w:r>
            <w:r>
              <w:rPr>
                <w:rFonts w:hint="eastAsia" w:ascii="宋体" w:hAnsi="宋体"/>
                <w:kern w:val="2"/>
              </w:rPr>
              <w:t>达州市农产品加工集中区</w:t>
            </w:r>
          </w:p>
        </w:tc>
        <w:tc>
          <w:tcPr>
            <w:tcW w:w="557" w:type="dxa"/>
            <w:vMerge w:val="restart"/>
            <w:tcBorders>
              <w:tl2br w:val="nil"/>
              <w:tr2bl w:val="nil"/>
            </w:tcBorders>
            <w:shd w:val="clear" w:color="auto" w:fill="FFFFFF"/>
            <w:vAlign w:val="center"/>
          </w:tcPr>
          <w:p>
            <w:pPr>
              <w:pStyle w:val="11"/>
              <w:jc w:val="center"/>
            </w:pPr>
            <w:r>
              <w:rPr>
                <w:rFonts w:hint="eastAsia"/>
              </w:rPr>
              <w:t>普适性清单管控要求</w:t>
            </w:r>
          </w:p>
        </w:tc>
        <w:tc>
          <w:tcPr>
            <w:tcW w:w="472" w:type="dxa"/>
            <w:tcBorders>
              <w:tl2br w:val="nil"/>
              <w:tr2bl w:val="nil"/>
            </w:tcBorders>
            <w:shd w:val="clear" w:color="auto" w:fill="FFFFFF"/>
            <w:vAlign w:val="center"/>
          </w:tcPr>
          <w:p>
            <w:pPr>
              <w:pStyle w:val="11"/>
              <w:rPr>
                <w:lang w:val="zh-TW" w:eastAsia="zh-TW"/>
              </w:rPr>
            </w:pPr>
            <w:r>
              <w:rPr>
                <w:rFonts w:hint="eastAsia"/>
              </w:rPr>
              <w:t>空间布局约束</w:t>
            </w:r>
          </w:p>
        </w:tc>
        <w:tc>
          <w:tcPr>
            <w:tcW w:w="10693" w:type="dxa"/>
            <w:tcBorders>
              <w:tl2br w:val="nil"/>
              <w:tr2bl w:val="nil"/>
            </w:tcBorders>
            <w:shd w:val="clear" w:color="auto" w:fill="FFFFFF"/>
            <w:vAlign w:val="center"/>
          </w:tcPr>
          <w:p>
            <w:pPr>
              <w:spacing w:line="240" w:lineRule="auto"/>
              <w:ind w:firstLine="0" w:firstLineChars="0"/>
              <w:rPr>
                <w:color w:val="000000"/>
                <w:kern w:val="0"/>
                <w:sz w:val="21"/>
                <w:szCs w:val="21"/>
              </w:rPr>
            </w:pPr>
            <w:r>
              <w:rPr>
                <w:color w:val="000000"/>
                <w:kern w:val="0"/>
                <w:sz w:val="21"/>
                <w:szCs w:val="21"/>
              </w:rPr>
              <w:t>禁止开发建设活动的要求</w:t>
            </w:r>
          </w:p>
          <w:p>
            <w:pPr>
              <w:spacing w:line="240" w:lineRule="auto"/>
              <w:ind w:firstLine="0" w:firstLineChars="0"/>
              <w:rPr>
                <w:color w:val="000000"/>
                <w:kern w:val="0"/>
                <w:sz w:val="21"/>
                <w:szCs w:val="21"/>
              </w:rPr>
            </w:pPr>
            <w:r>
              <w:rPr>
                <w:color w:val="000000"/>
                <w:kern w:val="0"/>
                <w:sz w:val="21"/>
                <w:szCs w:val="21"/>
              </w:rPr>
              <w:t>-禁止在长江干支流1公里范围内新建、扩建化工园区和化工项目，严控新建石油化工、煤化工、涉磷、造纸、印染、制革等项目。</w:t>
            </w:r>
          </w:p>
          <w:p>
            <w:pPr>
              <w:spacing w:line="240" w:lineRule="auto"/>
              <w:ind w:firstLine="0" w:firstLineChars="0"/>
              <w:rPr>
                <w:color w:val="000000"/>
                <w:kern w:val="0"/>
                <w:sz w:val="21"/>
                <w:szCs w:val="21"/>
              </w:rPr>
            </w:pPr>
            <w:r>
              <w:rPr>
                <w:color w:val="000000"/>
                <w:kern w:val="0"/>
                <w:sz w:val="21"/>
                <w:szCs w:val="21"/>
              </w:rPr>
              <w:t>-禁止从事《长江经济带发展负面清单指南（试行）》禁止准入类事项。</w:t>
            </w:r>
          </w:p>
          <w:p>
            <w:pPr>
              <w:spacing w:line="240" w:lineRule="auto"/>
              <w:ind w:firstLine="0" w:firstLineChars="0"/>
              <w:rPr>
                <w:color w:val="000000"/>
                <w:kern w:val="0"/>
                <w:sz w:val="21"/>
                <w:szCs w:val="21"/>
              </w:rPr>
            </w:pPr>
            <w:r>
              <w:rPr>
                <w:color w:val="000000"/>
                <w:kern w:val="0"/>
                <w:sz w:val="21"/>
                <w:szCs w:val="21"/>
              </w:rPr>
              <w:t>-引进项目应符合园区规划环评和区域产业准入及负面清单要求。</w:t>
            </w:r>
          </w:p>
          <w:p>
            <w:pPr>
              <w:spacing w:line="240" w:lineRule="auto"/>
              <w:ind w:firstLine="0" w:firstLineChars="0"/>
              <w:rPr>
                <w:color w:val="000000"/>
                <w:kern w:val="0"/>
                <w:sz w:val="21"/>
                <w:szCs w:val="21"/>
              </w:rPr>
            </w:pPr>
            <w:r>
              <w:rPr>
                <w:color w:val="000000"/>
                <w:kern w:val="0"/>
                <w:sz w:val="21"/>
                <w:szCs w:val="21"/>
              </w:rPr>
              <w:t>-禁止新建不符合国家产业政策和行业准入条件的高污染项目。</w:t>
            </w:r>
          </w:p>
          <w:p>
            <w:pPr>
              <w:spacing w:line="240" w:lineRule="auto"/>
              <w:ind w:firstLine="0" w:firstLineChars="0"/>
              <w:rPr>
                <w:color w:val="000000"/>
                <w:kern w:val="0"/>
                <w:sz w:val="21"/>
                <w:szCs w:val="21"/>
              </w:rPr>
            </w:pPr>
            <w:r>
              <w:rPr>
                <w:color w:val="000000"/>
                <w:kern w:val="0"/>
                <w:sz w:val="21"/>
                <w:szCs w:val="21"/>
              </w:rPr>
              <w:t>-工业园区禁止新建高污染燃料锅炉。</w:t>
            </w:r>
          </w:p>
          <w:p>
            <w:pPr>
              <w:spacing w:line="240" w:lineRule="auto"/>
              <w:ind w:firstLine="0" w:firstLineChars="0"/>
              <w:rPr>
                <w:color w:val="000000"/>
                <w:kern w:val="0"/>
                <w:sz w:val="21"/>
                <w:szCs w:val="21"/>
              </w:rPr>
            </w:pPr>
            <w:r>
              <w:rPr>
                <w:color w:val="000000"/>
                <w:kern w:val="0"/>
                <w:sz w:val="21"/>
                <w:szCs w:val="21"/>
              </w:rPr>
              <w:t>-禁止在长江流域河湖管理范围内倾倒、填埋、堆放、弃置、处理固体废物。</w:t>
            </w:r>
          </w:p>
          <w:p>
            <w:pPr>
              <w:spacing w:line="240" w:lineRule="auto"/>
              <w:ind w:firstLine="0" w:firstLineChars="0"/>
              <w:rPr>
                <w:color w:val="000000"/>
                <w:kern w:val="0"/>
                <w:sz w:val="21"/>
                <w:szCs w:val="21"/>
              </w:rPr>
            </w:pPr>
            <w:r>
              <w:rPr>
                <w:color w:val="000000"/>
                <w:kern w:val="0"/>
                <w:sz w:val="21"/>
                <w:szCs w:val="21"/>
              </w:rPr>
              <w:t>限制开发建设活动的要求</w:t>
            </w:r>
          </w:p>
          <w:p>
            <w:pPr>
              <w:spacing w:line="240" w:lineRule="auto"/>
              <w:ind w:firstLine="0" w:firstLineChars="0"/>
              <w:rPr>
                <w:color w:val="000000"/>
                <w:kern w:val="0"/>
                <w:sz w:val="21"/>
                <w:szCs w:val="21"/>
              </w:rPr>
            </w:pPr>
            <w:r>
              <w:rPr>
                <w:color w:val="000000"/>
                <w:kern w:val="0"/>
                <w:sz w:val="21"/>
                <w:szCs w:val="21"/>
              </w:rPr>
              <w:t>-严格控制污染物新增排放量，对新建排放二氧化硫、氮氧化物、工业烟粉尘和VOCS的项目实施现役源2倍削减量替代。</w:t>
            </w:r>
          </w:p>
          <w:p>
            <w:pPr>
              <w:spacing w:line="240" w:lineRule="auto"/>
              <w:ind w:firstLine="0" w:firstLineChars="0"/>
              <w:rPr>
                <w:color w:val="000000"/>
                <w:kern w:val="0"/>
                <w:sz w:val="21"/>
                <w:szCs w:val="21"/>
              </w:rPr>
            </w:pPr>
            <w:r>
              <w:rPr>
                <w:color w:val="000000"/>
                <w:kern w:val="0"/>
                <w:sz w:val="21"/>
                <w:szCs w:val="21"/>
              </w:rPr>
              <w:t>-严格实施环评制度，将细颗粒物达标情况纳入规划环评和相关项目环评内容，加快制定颗粒物、VOCS排放总量管理配套政策。</w:t>
            </w:r>
          </w:p>
          <w:p>
            <w:pPr>
              <w:spacing w:line="240" w:lineRule="auto"/>
              <w:ind w:firstLine="0" w:firstLineChars="0"/>
              <w:rPr>
                <w:color w:val="000000"/>
                <w:kern w:val="0"/>
                <w:sz w:val="21"/>
                <w:szCs w:val="21"/>
              </w:rPr>
            </w:pPr>
            <w:r>
              <w:rPr>
                <w:color w:val="000000"/>
                <w:kern w:val="0"/>
                <w:sz w:val="21"/>
                <w:szCs w:val="21"/>
              </w:rPr>
              <w:t>-严格控制新建、扩建燃煤发电项目。</w:t>
            </w:r>
          </w:p>
          <w:p>
            <w:pPr>
              <w:spacing w:line="240" w:lineRule="auto"/>
              <w:ind w:firstLine="0" w:firstLineChars="0"/>
              <w:rPr>
                <w:color w:val="000000"/>
                <w:kern w:val="0"/>
                <w:sz w:val="21"/>
                <w:szCs w:val="21"/>
              </w:rPr>
            </w:pPr>
            <w:r>
              <w:rPr>
                <w:color w:val="000000"/>
                <w:kern w:val="0"/>
                <w:sz w:val="21"/>
                <w:szCs w:val="21"/>
              </w:rPr>
              <w:t>-严控达州市主城区上游沿岸地区新建石油化工、煤化工、涉磷、造纸、印染、制革等项目。</w:t>
            </w:r>
          </w:p>
          <w:p>
            <w:pPr>
              <w:spacing w:line="240" w:lineRule="auto"/>
              <w:ind w:firstLine="0" w:firstLineChars="0"/>
              <w:rPr>
                <w:color w:val="000000"/>
                <w:kern w:val="0"/>
                <w:sz w:val="21"/>
                <w:szCs w:val="21"/>
              </w:rPr>
            </w:pPr>
            <w:r>
              <w:rPr>
                <w:color w:val="000000"/>
                <w:kern w:val="0"/>
                <w:sz w:val="21"/>
                <w:szCs w:val="21"/>
              </w:rPr>
              <w:t>不符合空间布局要求活动的退出要求</w:t>
            </w:r>
          </w:p>
          <w:p>
            <w:pPr>
              <w:spacing w:line="240" w:lineRule="auto"/>
              <w:ind w:firstLine="0" w:firstLineChars="0"/>
              <w:rPr>
                <w:color w:val="000000"/>
                <w:kern w:val="0"/>
                <w:sz w:val="21"/>
                <w:szCs w:val="21"/>
              </w:rPr>
            </w:pPr>
            <w:r>
              <w:rPr>
                <w:color w:val="000000"/>
                <w:kern w:val="0"/>
                <w:sz w:val="21"/>
                <w:szCs w:val="21"/>
              </w:rPr>
              <w:t>-现有属于禁止引入产业门类的企业，应按相关规定限期整治或退出。</w:t>
            </w:r>
          </w:p>
          <w:p>
            <w:pPr>
              <w:spacing w:line="240" w:lineRule="auto"/>
              <w:ind w:firstLine="0" w:firstLineChars="0"/>
              <w:rPr>
                <w:color w:val="000000"/>
                <w:kern w:val="0"/>
                <w:sz w:val="21"/>
                <w:szCs w:val="21"/>
              </w:rPr>
            </w:pPr>
            <w:r>
              <w:rPr>
                <w:color w:val="000000"/>
                <w:kern w:val="0"/>
                <w:sz w:val="21"/>
                <w:szCs w:val="21"/>
              </w:rPr>
              <w:t>-重点区域城市钢铁企业要切实采取彻底关停、转型发展、就地改造、域外搬迁等方式。四川省达州钢铁集团有限责任公司处于四川省大气污染防治重点区域，属于“彻底关停、转型发展、就地改造、域外搬迁”企业；</w:t>
            </w:r>
          </w:p>
          <w:p>
            <w:pPr>
              <w:spacing w:line="240" w:lineRule="auto"/>
              <w:ind w:firstLine="0" w:firstLineChars="0"/>
              <w:rPr>
                <w:color w:val="000000"/>
                <w:kern w:val="0"/>
                <w:sz w:val="21"/>
                <w:szCs w:val="21"/>
              </w:rPr>
            </w:pPr>
            <w:r>
              <w:rPr>
                <w:color w:val="000000"/>
                <w:kern w:val="0"/>
                <w:sz w:val="21"/>
                <w:szCs w:val="21"/>
              </w:rPr>
              <w:t>-引导重污染产业退出或搬迁、企业分类退城入园，逐步打破近水靠城的历史工业布局。加大城市区域现有装备水平低、环保设施差的微小企业“关、停、并、转”实施力度，清理建成区上风向重点涉气项目。</w:t>
            </w:r>
          </w:p>
          <w:p>
            <w:pPr>
              <w:spacing w:line="240" w:lineRule="auto"/>
              <w:ind w:firstLine="0" w:firstLineChars="0"/>
              <w:rPr>
                <w:color w:val="000000"/>
                <w:kern w:val="0"/>
                <w:sz w:val="21"/>
                <w:szCs w:val="21"/>
              </w:rPr>
            </w:pPr>
            <w:r>
              <w:rPr>
                <w:color w:val="000000"/>
                <w:kern w:val="0"/>
                <w:sz w:val="21"/>
                <w:szCs w:val="21"/>
              </w:rPr>
              <w:t>-石化、现代煤化工项目应纳入国家产业规划。新建、扩建石化、化工、焦化、有色金属冶炼、平板玻璃项目应布设在依法合规设立并经规划环评的产业园区。</w:t>
            </w:r>
          </w:p>
          <w:p>
            <w:pPr>
              <w:spacing w:line="240" w:lineRule="auto"/>
              <w:ind w:firstLine="0" w:firstLineChars="0"/>
              <w:rPr>
                <w:color w:val="000000"/>
                <w:kern w:val="0"/>
                <w:sz w:val="21"/>
                <w:szCs w:val="21"/>
              </w:rPr>
            </w:pPr>
            <w:r>
              <w:rPr>
                <w:color w:val="000000"/>
                <w:kern w:val="0"/>
                <w:sz w:val="21"/>
                <w:szCs w:val="21"/>
              </w:rPr>
              <w:t>其他空间布局约束要求</w:t>
            </w:r>
          </w:p>
          <w:p>
            <w:pPr>
              <w:spacing w:line="240" w:lineRule="auto"/>
              <w:ind w:firstLine="0" w:firstLineChars="0"/>
              <w:rPr>
                <w:lang w:val="zh-TW" w:eastAsia="zh-TW"/>
              </w:rPr>
            </w:pPr>
            <w:r>
              <w:rPr>
                <w:color w:val="000000"/>
                <w:kern w:val="0"/>
                <w:sz w:val="21"/>
                <w:szCs w:val="21"/>
              </w:rPr>
              <w:t>暂无</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rFonts w:hint="eastAsia"/>
                <w:color w:val="000000"/>
                <w:kern w:val="0"/>
                <w:sz w:val="21"/>
                <w:szCs w:val="21"/>
                <w:lang w:val="en-US" w:eastAsia="zh-CN"/>
              </w:rPr>
              <w:t>本</w:t>
            </w:r>
            <w:r>
              <w:rPr>
                <w:color w:val="000000"/>
                <w:kern w:val="0"/>
                <w:sz w:val="21"/>
                <w:szCs w:val="21"/>
              </w:rPr>
              <w:t>项目主要进行</w:t>
            </w:r>
            <w:r>
              <w:rPr>
                <w:rFonts w:hint="eastAsia"/>
                <w:color w:val="000000"/>
                <w:kern w:val="0"/>
                <w:sz w:val="21"/>
                <w:szCs w:val="21"/>
                <w:lang w:eastAsia="zh-CN"/>
              </w:rPr>
              <w:t>食品生产加工</w:t>
            </w:r>
            <w:r>
              <w:rPr>
                <w:color w:val="000000"/>
                <w:kern w:val="0"/>
                <w:sz w:val="21"/>
                <w:szCs w:val="21"/>
              </w:rPr>
              <w:t>，不涉及牲畜屠宰，</w:t>
            </w:r>
            <w:r>
              <w:rPr>
                <w:rFonts w:hint="eastAsia"/>
                <w:color w:val="000000"/>
                <w:kern w:val="0"/>
                <w:sz w:val="21"/>
                <w:szCs w:val="21"/>
              </w:rPr>
              <w:t>属于</w:t>
            </w:r>
            <w:r>
              <w:rPr>
                <w:color w:val="000000"/>
                <w:kern w:val="0"/>
                <w:sz w:val="21"/>
                <w:szCs w:val="21"/>
              </w:rPr>
              <w:t>园区主导产业</w:t>
            </w:r>
            <w:r>
              <w:rPr>
                <w:rFonts w:hint="eastAsia"/>
                <w:color w:val="000000"/>
                <w:kern w:val="0"/>
                <w:sz w:val="21"/>
                <w:szCs w:val="21"/>
              </w:rPr>
              <w:t>，</w:t>
            </w:r>
            <w:r>
              <w:rPr>
                <w:color w:val="000000"/>
                <w:kern w:val="0"/>
                <w:sz w:val="21"/>
                <w:szCs w:val="21"/>
              </w:rPr>
              <w:t>对区域不造成明显污染，属于“鼓励类”项目。</w:t>
            </w:r>
            <w:r>
              <w:rPr>
                <w:rFonts w:hint="eastAsia"/>
                <w:color w:val="000000"/>
                <w:kern w:val="0"/>
                <w:sz w:val="21"/>
                <w:szCs w:val="21"/>
              </w:rPr>
              <w:t>符合空间布局约束相关要求。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污染物排放管控</w:t>
            </w:r>
          </w:p>
        </w:tc>
        <w:tc>
          <w:tcPr>
            <w:tcW w:w="10693" w:type="dxa"/>
            <w:tcBorders>
              <w:tl2br w:val="nil"/>
              <w:tr2bl w:val="nil"/>
            </w:tcBorders>
            <w:shd w:val="clear" w:color="auto" w:fill="FFFFFF"/>
            <w:vAlign w:val="center"/>
          </w:tcPr>
          <w:p>
            <w:pPr>
              <w:pStyle w:val="11"/>
              <w:rPr>
                <w:lang w:val="zh-TW" w:eastAsia="zh-TW"/>
              </w:rPr>
            </w:pPr>
            <w:r>
              <w:rPr>
                <w:rFonts w:hint="eastAsia"/>
                <w:lang w:val="zh-TW" w:eastAsia="zh-TW"/>
              </w:rPr>
              <w:t>允许排放量要求</w:t>
            </w:r>
          </w:p>
          <w:p>
            <w:pPr>
              <w:pStyle w:val="11"/>
              <w:rPr>
                <w:lang w:val="zh-TW" w:eastAsia="zh-TW"/>
              </w:rPr>
            </w:pPr>
            <w:r>
              <w:rPr>
                <w:rFonts w:hint="eastAsia"/>
                <w:lang w:val="zh-TW" w:eastAsia="zh-TW"/>
              </w:rPr>
              <w:t>达州市2025年水污染物允许排放量COD4396.41t，氨氮418.7t，TP45.36t；达州市2025年大气污染物一次PM2.5 5805t、SO2 12773t、NOx11892t、VOCs 13969t</w:t>
            </w:r>
          </w:p>
          <w:p>
            <w:pPr>
              <w:pStyle w:val="11"/>
              <w:rPr>
                <w:lang w:val="zh-TW" w:eastAsia="zh-TW"/>
              </w:rPr>
            </w:pPr>
            <w:r>
              <w:rPr>
                <w:rFonts w:hint="eastAsia"/>
                <w:lang w:val="zh-TW" w:eastAsia="zh-TW"/>
              </w:rPr>
              <w:t>现有源提标升级改造</w:t>
            </w:r>
          </w:p>
          <w:p>
            <w:pPr>
              <w:pStyle w:val="11"/>
              <w:rPr>
                <w:lang w:val="zh-TW" w:eastAsia="zh-TW"/>
              </w:rPr>
            </w:pPr>
            <w:r>
              <w:rPr>
                <w:rFonts w:hint="eastAsia"/>
                <w:lang w:val="zh-TW" w:eastAsia="zh-TW"/>
              </w:rPr>
              <w:t>-污水收集处理率达100%；</w:t>
            </w:r>
          </w:p>
          <w:p>
            <w:pPr>
              <w:pStyle w:val="11"/>
              <w:rPr>
                <w:lang w:val="zh-TW" w:eastAsia="zh-TW"/>
              </w:rPr>
            </w:pPr>
            <w:r>
              <w:rPr>
                <w:rFonts w:hint="eastAsia"/>
                <w:lang w:val="zh-TW" w:eastAsia="zh-TW"/>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11"/>
              <w:rPr>
                <w:lang w:val="zh-TW" w:eastAsia="zh-TW"/>
              </w:rPr>
            </w:pPr>
            <w:r>
              <w:rPr>
                <w:rFonts w:hint="eastAsia"/>
                <w:lang w:val="zh-TW" w:eastAsia="zh-TW"/>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11"/>
              <w:rPr>
                <w:lang w:val="zh-TW" w:eastAsia="zh-TW"/>
              </w:rPr>
            </w:pPr>
            <w:r>
              <w:rPr>
                <w:rFonts w:hint="eastAsia"/>
                <w:lang w:val="zh-TW" w:eastAsia="zh-TW"/>
              </w:rPr>
              <w:t>其他污染物排放管控要求</w:t>
            </w:r>
          </w:p>
          <w:p>
            <w:pPr>
              <w:pStyle w:val="11"/>
              <w:rPr>
                <w:lang w:val="zh-TW" w:eastAsia="zh-TW"/>
              </w:rPr>
            </w:pPr>
            <w:r>
              <w:rPr>
                <w:rFonts w:hint="eastAsia"/>
                <w:lang w:val="zh-TW" w:eastAsia="zh-TW"/>
              </w:rPr>
              <w:t>新增源等量或倍量替代:上一年度水环境质量未完成目标的，新建排放水污染的建设项目按照总量管控要求进行倍量削减替代。</w:t>
            </w:r>
          </w:p>
          <w:p>
            <w:pPr>
              <w:pStyle w:val="11"/>
              <w:rPr>
                <w:lang w:val="zh-TW" w:eastAsia="zh-TW"/>
              </w:rPr>
            </w:pPr>
            <w:r>
              <w:rPr>
                <w:rFonts w:hint="eastAsia"/>
                <w:lang w:val="zh-TW" w:eastAsia="zh-TW"/>
              </w:rPr>
              <w:t xml:space="preserve">上一年度空气质量年平均浓度不达标的城市，建设项目新增相关污染物按照总量管控要求进行倍量削减替代。                </w:t>
            </w:r>
          </w:p>
          <w:p>
            <w:pPr>
              <w:pStyle w:val="11"/>
              <w:rPr>
                <w:lang w:val="zh-TW" w:eastAsia="zh-TW"/>
              </w:rPr>
            </w:pPr>
            <w:r>
              <w:rPr>
                <w:rFonts w:hint="eastAsia"/>
                <w:lang w:val="zh-TW" w:eastAsia="zh-TW"/>
              </w:rPr>
              <w:t xml:space="preserve">对新建排放二氧化硫、氮氧化物、工业烟粉尘和VOCs的项目实施现役源倍量削减量替代。严禁钢铁、水泥、电解铝、平板玻璃等行业新增产能，对确有必要新建的必须实施等量或减量置换，防范过生和落后产能跨地区转移.                                         </w:t>
            </w:r>
          </w:p>
          <w:p>
            <w:pPr>
              <w:pStyle w:val="11"/>
              <w:rPr>
                <w:lang w:val="zh-TW" w:eastAsia="zh-TW"/>
              </w:rPr>
            </w:pPr>
            <w:r>
              <w:rPr>
                <w:rFonts w:hint="eastAsia"/>
                <w:lang w:val="zh-TW" w:eastAsia="zh-TW"/>
              </w:rPr>
              <w:t xml:space="preserve">污染物排放绩效水平准入要求:新、改扩建项目污染排放指标满足《四川省省级生态工业园区指标》综合类生态工业园区要求。工业固体废弃物利用处置率达100%，危险废物处置率达100%。          </w:t>
            </w:r>
          </w:p>
          <w:p>
            <w:pPr>
              <w:pStyle w:val="11"/>
              <w:rPr>
                <w:lang w:val="zh-TW" w:eastAsia="zh-TW"/>
              </w:rPr>
            </w:pPr>
            <w:r>
              <w:rPr>
                <w:rFonts w:hint="eastAsia"/>
                <w:lang w:val="zh-TW" w:eastAsia="zh-TW"/>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钢铁行业新建应参考达州市“三线一单”生态环境分区管控中钢铁行业资源环境绩效准入门槛。                         </w:t>
            </w:r>
          </w:p>
          <w:p>
            <w:pPr>
              <w:pStyle w:val="11"/>
              <w:rPr>
                <w:lang w:val="zh-TW" w:eastAsia="zh-TW"/>
              </w:rPr>
            </w:pPr>
            <w:r>
              <w:rPr>
                <w:rFonts w:hint="eastAsia"/>
                <w:lang w:val="zh-TW" w:eastAsia="zh-TW"/>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rFonts w:hint="eastAsia"/>
                <w:color w:val="000000"/>
                <w:kern w:val="0"/>
                <w:sz w:val="21"/>
                <w:szCs w:val="21"/>
                <w:lang w:val="en-US" w:eastAsia="zh-CN"/>
              </w:rPr>
              <w:t>本</w:t>
            </w:r>
            <w:r>
              <w:rPr>
                <w:color w:val="000000"/>
                <w:kern w:val="0"/>
                <w:sz w:val="21"/>
                <w:szCs w:val="21"/>
              </w:rPr>
              <w:t>项目针对各位污染物并采取了有效的污染防治措施</w:t>
            </w:r>
            <w:r>
              <w:rPr>
                <w:rFonts w:hint="eastAsia"/>
                <w:color w:val="000000"/>
                <w:kern w:val="0"/>
                <w:sz w:val="21"/>
                <w:szCs w:val="21"/>
              </w:rPr>
              <w:t>，</w:t>
            </w:r>
            <w:r>
              <w:rPr>
                <w:color w:val="000000"/>
                <w:kern w:val="0"/>
                <w:sz w:val="21"/>
                <w:szCs w:val="21"/>
              </w:rPr>
              <w:t>污水经污水处理设备处理达标后排入魏兴场镇污水处理厂（园区污水厂）。符合污染物排放管控相关要求。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环境风险防控</w:t>
            </w:r>
          </w:p>
        </w:tc>
        <w:tc>
          <w:tcPr>
            <w:tcW w:w="10693" w:type="dxa"/>
            <w:tcBorders>
              <w:tl2br w:val="nil"/>
              <w:tr2bl w:val="nil"/>
            </w:tcBorders>
            <w:shd w:val="clear" w:color="auto" w:fill="FFFFFF"/>
            <w:vAlign w:val="center"/>
          </w:tcPr>
          <w:p>
            <w:pPr>
              <w:spacing w:line="240" w:lineRule="auto"/>
              <w:ind w:firstLine="0" w:firstLineChars="0"/>
              <w:rPr>
                <w:color w:val="000000"/>
                <w:kern w:val="0"/>
                <w:sz w:val="21"/>
                <w:szCs w:val="21"/>
              </w:rPr>
            </w:pPr>
            <w:r>
              <w:rPr>
                <w:color w:val="000000"/>
                <w:kern w:val="0"/>
                <w:sz w:val="21"/>
                <w:szCs w:val="21"/>
              </w:rPr>
              <w:t>联防联控要求</w:t>
            </w:r>
          </w:p>
          <w:p>
            <w:pPr>
              <w:spacing w:line="240" w:lineRule="auto"/>
              <w:ind w:firstLine="0" w:firstLineChars="0"/>
              <w:rPr>
                <w:color w:val="000000"/>
                <w:kern w:val="0"/>
                <w:sz w:val="21"/>
                <w:szCs w:val="21"/>
              </w:rPr>
            </w:pPr>
            <w:r>
              <w:rPr>
                <w:color w:val="000000"/>
                <w:kern w:val="0"/>
                <w:sz w:val="21"/>
                <w:szCs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w:t>
            </w:r>
            <w:r>
              <w:rPr>
                <w:rFonts w:hint="eastAsia"/>
                <w:color w:val="000000"/>
                <w:kern w:val="0"/>
                <w:sz w:val="21"/>
                <w:szCs w:val="21"/>
              </w:rPr>
              <w:t>污染防治</w:t>
            </w:r>
            <w:r>
              <w:rPr>
                <w:color w:val="000000"/>
                <w:kern w:val="0"/>
                <w:sz w:val="21"/>
                <w:szCs w:val="21"/>
              </w:rPr>
              <w:t>合作</w:t>
            </w:r>
          </w:p>
          <w:p>
            <w:pPr>
              <w:spacing w:line="240" w:lineRule="auto"/>
              <w:ind w:firstLine="0" w:firstLineChars="0"/>
              <w:rPr>
                <w:color w:val="000000"/>
                <w:kern w:val="0"/>
                <w:sz w:val="21"/>
                <w:szCs w:val="21"/>
              </w:rPr>
            </w:pPr>
            <w:r>
              <w:rPr>
                <w:color w:val="000000"/>
                <w:kern w:val="0"/>
                <w:sz w:val="21"/>
                <w:szCs w:val="21"/>
              </w:rPr>
              <w:t>其他环境风险防控要求</w:t>
            </w:r>
          </w:p>
          <w:p>
            <w:pPr>
              <w:spacing w:line="240" w:lineRule="auto"/>
              <w:ind w:firstLine="0" w:firstLineChars="0"/>
              <w:rPr>
                <w:lang w:val="zh-TW" w:eastAsia="zh-TW"/>
              </w:rPr>
            </w:pPr>
            <w:r>
              <w:rPr>
                <w:color w:val="000000"/>
                <w:kern w:val="0"/>
                <w:sz w:val="21"/>
                <w:szCs w:val="21"/>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rFonts w:hint="eastAsia"/>
                <w:color w:val="000000"/>
                <w:kern w:val="0"/>
                <w:sz w:val="21"/>
                <w:szCs w:val="21"/>
              </w:rPr>
              <w:t>本项目不涉及重金属、易燃易爆品的生产加工，符合环境风险防控相关要求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资源开发效率要求</w:t>
            </w:r>
          </w:p>
        </w:tc>
        <w:tc>
          <w:tcPr>
            <w:tcW w:w="10693" w:type="dxa"/>
            <w:tcBorders>
              <w:tl2br w:val="nil"/>
              <w:tr2bl w:val="nil"/>
            </w:tcBorders>
            <w:shd w:val="clear" w:color="auto" w:fill="FFFFFF"/>
            <w:vAlign w:val="center"/>
          </w:tcPr>
          <w:p>
            <w:pPr>
              <w:spacing w:line="240" w:lineRule="auto"/>
              <w:ind w:firstLine="0" w:firstLineChars="0"/>
              <w:rPr>
                <w:color w:val="000000"/>
                <w:kern w:val="0"/>
                <w:sz w:val="21"/>
                <w:szCs w:val="21"/>
              </w:rPr>
            </w:pPr>
            <w:r>
              <w:rPr>
                <w:color w:val="000000"/>
                <w:kern w:val="0"/>
                <w:sz w:val="21"/>
                <w:szCs w:val="21"/>
              </w:rPr>
              <w:t>新、改扩建项目污染水耗指标满足《四川省省级生态工业园区指标》综合类生态工业园区要求；到2022年，万元国内生产总值用水量、万元工业增加值用水量较2015年分别下降30%和28%。</w:t>
            </w:r>
          </w:p>
          <w:p>
            <w:pPr>
              <w:spacing w:line="240" w:lineRule="auto"/>
              <w:ind w:firstLine="0" w:firstLineChars="0"/>
              <w:rPr>
                <w:color w:val="000000"/>
                <w:kern w:val="0"/>
                <w:sz w:val="21"/>
                <w:szCs w:val="21"/>
              </w:rPr>
            </w:pPr>
            <w:r>
              <w:rPr>
                <w:color w:val="000000"/>
                <w:kern w:val="0"/>
                <w:sz w:val="21"/>
                <w:szCs w:val="21"/>
              </w:rPr>
              <w:t>地下水开采要求</w:t>
            </w:r>
          </w:p>
          <w:p>
            <w:pPr>
              <w:spacing w:line="240" w:lineRule="auto"/>
              <w:ind w:firstLine="0" w:firstLineChars="0"/>
              <w:rPr>
                <w:color w:val="000000"/>
                <w:kern w:val="0"/>
                <w:sz w:val="21"/>
                <w:szCs w:val="21"/>
              </w:rPr>
            </w:pPr>
            <w:r>
              <w:rPr>
                <w:color w:val="000000"/>
                <w:kern w:val="0"/>
                <w:sz w:val="21"/>
                <w:szCs w:val="21"/>
              </w:rPr>
              <w:t>以省市下发指标为准</w:t>
            </w:r>
          </w:p>
          <w:p>
            <w:pPr>
              <w:spacing w:line="240" w:lineRule="auto"/>
              <w:ind w:firstLine="0" w:firstLineChars="0"/>
              <w:rPr>
                <w:color w:val="000000"/>
                <w:kern w:val="0"/>
                <w:sz w:val="21"/>
                <w:szCs w:val="21"/>
              </w:rPr>
            </w:pPr>
            <w:r>
              <w:rPr>
                <w:color w:val="000000"/>
                <w:kern w:val="0"/>
                <w:sz w:val="21"/>
                <w:szCs w:val="21"/>
              </w:rPr>
              <w:t>能源利用总量及效率要求</w:t>
            </w:r>
          </w:p>
          <w:p>
            <w:pPr>
              <w:spacing w:line="240" w:lineRule="auto"/>
              <w:ind w:firstLine="0" w:firstLineChars="0"/>
              <w:rPr>
                <w:color w:val="000000"/>
                <w:kern w:val="0"/>
                <w:sz w:val="21"/>
                <w:szCs w:val="21"/>
              </w:rPr>
            </w:pPr>
            <w:r>
              <w:rPr>
                <w:color w:val="000000"/>
                <w:kern w:val="0"/>
                <w:sz w:val="21"/>
                <w:szCs w:val="21"/>
              </w:rPr>
              <w:t>川东北区域实施新建项目与煤炭消费总量控制挂钩机制，耗煤建设项目实行煤炭消耗等量减量替代。提高煤炭利用效率和天然气利用占比，工业领域有序推进“煤改电”和有序推进“煤改气”。</w:t>
            </w:r>
          </w:p>
          <w:p>
            <w:pPr>
              <w:spacing w:line="240" w:lineRule="auto"/>
              <w:ind w:firstLine="0" w:firstLineChars="0"/>
              <w:rPr>
                <w:color w:val="000000"/>
                <w:kern w:val="0"/>
                <w:sz w:val="21"/>
                <w:szCs w:val="21"/>
              </w:rPr>
            </w:pPr>
            <w:r>
              <w:rPr>
                <w:color w:val="000000"/>
                <w:kern w:val="0"/>
                <w:sz w:val="21"/>
                <w:szCs w:val="21"/>
              </w:rPr>
              <w:t>-大力实施和推广以电代煤、以电代油工程，重点在城市交通、工商业等领域实施以电代油、以电代煤。</w:t>
            </w:r>
          </w:p>
          <w:p>
            <w:pPr>
              <w:spacing w:line="240" w:lineRule="auto"/>
              <w:ind w:firstLine="0" w:firstLineChars="0"/>
              <w:rPr>
                <w:color w:val="000000"/>
                <w:kern w:val="0"/>
                <w:sz w:val="21"/>
                <w:szCs w:val="21"/>
              </w:rPr>
            </w:pPr>
            <w:r>
              <w:rPr>
                <w:color w:val="000000"/>
                <w:kern w:val="0"/>
                <w:sz w:val="21"/>
                <w:szCs w:val="21"/>
              </w:rPr>
              <w:t>-增加天然气对煤炭和石油的替代，提高天然气民用、交通、发电、工业领域天然气消费比重。</w:t>
            </w:r>
          </w:p>
          <w:p>
            <w:pPr>
              <w:spacing w:line="240" w:lineRule="auto"/>
              <w:ind w:firstLine="0" w:firstLineChars="0"/>
              <w:rPr>
                <w:color w:val="000000"/>
                <w:kern w:val="0"/>
                <w:sz w:val="21"/>
                <w:szCs w:val="21"/>
              </w:rPr>
            </w:pPr>
            <w:r>
              <w:rPr>
                <w:color w:val="000000"/>
                <w:kern w:val="0"/>
                <w:sz w:val="21"/>
                <w:szCs w:val="21"/>
              </w:rPr>
              <w:t>-实施煤炭消费总量控制：严格控制煤炭消费总量；严格控制新建、改建、扩建耗煤项目，新增耗煤项目实行煤炭消耗减量倍量替代。</w:t>
            </w:r>
          </w:p>
          <w:p>
            <w:pPr>
              <w:spacing w:line="240" w:lineRule="auto"/>
              <w:ind w:firstLine="0" w:firstLineChars="0"/>
              <w:rPr>
                <w:color w:val="000000"/>
                <w:kern w:val="0"/>
                <w:sz w:val="21"/>
                <w:szCs w:val="21"/>
              </w:rPr>
            </w:pPr>
            <w:r>
              <w:rPr>
                <w:color w:val="000000"/>
                <w:kern w:val="0"/>
                <w:sz w:val="21"/>
                <w:szCs w:val="21"/>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spacing w:line="240" w:lineRule="auto"/>
              <w:ind w:firstLine="0" w:firstLineChars="0"/>
              <w:rPr>
                <w:color w:val="000000"/>
                <w:kern w:val="0"/>
                <w:sz w:val="21"/>
                <w:szCs w:val="21"/>
              </w:rPr>
            </w:pPr>
            <w:r>
              <w:rPr>
                <w:color w:val="000000"/>
                <w:kern w:val="0"/>
                <w:sz w:val="21"/>
                <w:szCs w:val="21"/>
              </w:rPr>
              <w:t>-推进清洁能源的推广使用，全面推进散煤清洁化整治；禁止新建每小时10蒸吨以下的燃煤锅炉及其他燃煤设施.</w:t>
            </w:r>
          </w:p>
          <w:p>
            <w:pPr>
              <w:spacing w:line="240" w:lineRule="auto"/>
              <w:ind w:firstLine="0" w:firstLineChars="0"/>
              <w:rPr>
                <w:color w:val="000000"/>
                <w:kern w:val="0"/>
                <w:sz w:val="21"/>
                <w:szCs w:val="21"/>
              </w:rPr>
            </w:pPr>
            <w:r>
              <w:rPr>
                <w:color w:val="000000"/>
                <w:kern w:val="0"/>
                <w:sz w:val="21"/>
                <w:szCs w:val="21"/>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spacing w:line="240" w:lineRule="auto"/>
              <w:ind w:firstLine="0" w:firstLineChars="0"/>
              <w:rPr>
                <w:color w:val="000000"/>
                <w:kern w:val="0"/>
                <w:sz w:val="21"/>
                <w:szCs w:val="21"/>
              </w:rPr>
            </w:pPr>
            <w:r>
              <w:rPr>
                <w:color w:val="000000"/>
                <w:kern w:val="0"/>
                <w:sz w:val="21"/>
                <w:szCs w:val="21"/>
              </w:rPr>
              <w:t>禁燃区要求</w:t>
            </w:r>
          </w:p>
          <w:p>
            <w:pPr>
              <w:spacing w:line="240" w:lineRule="auto"/>
              <w:ind w:firstLine="0" w:firstLineChars="0"/>
              <w:rPr>
                <w:color w:val="000000"/>
                <w:kern w:val="0"/>
                <w:sz w:val="21"/>
                <w:szCs w:val="21"/>
              </w:rPr>
            </w:pPr>
            <w:r>
              <w:rPr>
                <w:color w:val="000000"/>
                <w:kern w:val="0"/>
                <w:sz w:val="21"/>
                <w:szCs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spacing w:line="240" w:lineRule="auto"/>
              <w:ind w:firstLine="0" w:firstLineChars="0"/>
              <w:rPr>
                <w:color w:val="000000"/>
                <w:kern w:val="0"/>
                <w:sz w:val="21"/>
                <w:szCs w:val="21"/>
              </w:rPr>
            </w:pPr>
            <w:r>
              <w:rPr>
                <w:color w:val="000000"/>
                <w:kern w:val="0"/>
                <w:sz w:val="21"/>
                <w:szCs w:val="21"/>
              </w:rPr>
              <w:t>-禁燃区内禁止销售、燃用高污染燃料；禁止新建、改建、扩建燃用高污染燃料的设施和设备。</w:t>
            </w:r>
          </w:p>
          <w:p>
            <w:pPr>
              <w:spacing w:line="240" w:lineRule="auto"/>
              <w:ind w:firstLine="0" w:firstLineChars="0"/>
              <w:rPr>
                <w:color w:val="000000"/>
                <w:kern w:val="0"/>
                <w:sz w:val="21"/>
                <w:szCs w:val="21"/>
              </w:rPr>
            </w:pPr>
            <w:r>
              <w:rPr>
                <w:color w:val="000000"/>
                <w:kern w:val="0"/>
                <w:sz w:val="21"/>
                <w:szCs w:val="21"/>
              </w:rPr>
              <w:t>-禁燃区内已建成的高污染燃料燃用设施由辖区人民政府制定限期改造计划，改用天然气、页岩气、液化石油气、电或其他清洁能源。</w:t>
            </w:r>
          </w:p>
          <w:p>
            <w:pPr>
              <w:spacing w:line="240" w:lineRule="auto"/>
              <w:ind w:firstLine="0" w:firstLineChars="0"/>
              <w:rPr>
                <w:color w:val="000000"/>
                <w:kern w:val="0"/>
                <w:sz w:val="21"/>
                <w:szCs w:val="21"/>
              </w:rPr>
            </w:pPr>
            <w:r>
              <w:rPr>
                <w:color w:val="000000"/>
                <w:kern w:val="0"/>
                <w:sz w:val="21"/>
                <w:szCs w:val="21"/>
              </w:rPr>
              <w:t>其他资源利用效率要求</w:t>
            </w:r>
          </w:p>
          <w:p>
            <w:pPr>
              <w:pStyle w:val="11"/>
              <w:jc w:val="both"/>
              <w:rPr>
                <w:lang w:val="zh-TW" w:eastAsia="zh-TW"/>
              </w:rPr>
            </w:pPr>
            <w:r>
              <w:rPr>
                <w:color w:val="000000"/>
              </w:rPr>
              <w:t>暂无</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color w:val="000000"/>
                <w:kern w:val="0"/>
                <w:sz w:val="21"/>
                <w:szCs w:val="21"/>
              </w:rPr>
              <w:t>本项目不涉及地下水的开采使用，采用清洁能源进行生产加工，符合资源利用效率相关要求。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restart"/>
            <w:tcBorders>
              <w:tl2br w:val="nil"/>
              <w:tr2bl w:val="nil"/>
            </w:tcBorders>
            <w:shd w:val="clear" w:color="auto" w:fill="FFFFFF"/>
            <w:vAlign w:val="center"/>
          </w:tcPr>
          <w:p>
            <w:pPr>
              <w:pStyle w:val="11"/>
              <w:jc w:val="center"/>
            </w:pPr>
            <w:r>
              <w:rPr>
                <w:rFonts w:hint="eastAsia"/>
              </w:rPr>
              <w:t>单元级</w:t>
            </w:r>
            <w:r>
              <w:rPr>
                <w:rFonts w:hint="eastAsia"/>
                <w:lang w:val="zh-TW" w:eastAsia="zh-TW"/>
              </w:rPr>
              <w:t>清单管控要求</w:t>
            </w:r>
          </w:p>
        </w:tc>
        <w:tc>
          <w:tcPr>
            <w:tcW w:w="472" w:type="dxa"/>
            <w:tcBorders>
              <w:tl2br w:val="nil"/>
              <w:tr2bl w:val="nil"/>
            </w:tcBorders>
            <w:shd w:val="clear" w:color="auto" w:fill="FFFFFF"/>
            <w:vAlign w:val="center"/>
          </w:tcPr>
          <w:p>
            <w:pPr>
              <w:pStyle w:val="11"/>
              <w:rPr>
                <w:lang w:val="zh-TW" w:eastAsia="zh-TW"/>
              </w:rPr>
            </w:pPr>
            <w:r>
              <w:rPr>
                <w:rFonts w:hint="eastAsia"/>
              </w:rPr>
              <w:t>空间布局约束</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rPr>
                <w:sz w:val="21"/>
                <w:szCs w:val="21"/>
              </w:rPr>
            </w:pPr>
            <w:r>
              <w:rPr>
                <w:sz w:val="21"/>
                <w:szCs w:val="21"/>
              </w:rPr>
              <w:t>禁止开发建设活动的要求</w:t>
            </w:r>
          </w:p>
          <w:p>
            <w:pPr>
              <w:widowControl/>
              <w:shd w:val="clear" w:color="auto" w:fill="FFFFFF"/>
              <w:spacing w:line="240" w:lineRule="auto"/>
              <w:ind w:firstLine="0" w:firstLineChars="0"/>
              <w:rPr>
                <w:sz w:val="21"/>
                <w:szCs w:val="21"/>
              </w:rPr>
            </w:pPr>
            <w:r>
              <w:rPr>
                <w:sz w:val="21"/>
                <w:szCs w:val="21"/>
              </w:rPr>
              <w:t>现代物流业禁止引入化工物流其它同达州市工业重点管控单元要求</w:t>
            </w:r>
          </w:p>
          <w:p>
            <w:pPr>
              <w:widowControl/>
              <w:shd w:val="clear" w:color="auto" w:fill="FFFFFF"/>
              <w:spacing w:line="240" w:lineRule="auto"/>
              <w:ind w:firstLine="0" w:firstLineChars="0"/>
              <w:rPr>
                <w:sz w:val="21"/>
                <w:szCs w:val="21"/>
              </w:rPr>
            </w:pPr>
            <w:r>
              <w:rPr>
                <w:sz w:val="21"/>
                <w:szCs w:val="21"/>
              </w:rPr>
              <w:t>限制开发建设活动的要求</w:t>
            </w:r>
          </w:p>
          <w:p>
            <w:pPr>
              <w:widowControl/>
              <w:shd w:val="clear" w:color="auto" w:fill="FFFFFF"/>
              <w:spacing w:line="240" w:lineRule="auto"/>
              <w:ind w:firstLine="0" w:firstLineChars="0"/>
              <w:rPr>
                <w:sz w:val="21"/>
                <w:szCs w:val="21"/>
              </w:rPr>
            </w:pPr>
            <w:r>
              <w:rPr>
                <w:sz w:val="21"/>
                <w:szCs w:val="21"/>
              </w:rPr>
              <w:t>在引入食品、医药企业时须充分考虑污染特征以及外环境情况等因素，必要时设置相应的卫生防护距离，以确保魏兴场镇不受到周边企业的污染影响其它同达州市工业重点管控单元要求</w:t>
            </w:r>
          </w:p>
          <w:p>
            <w:pPr>
              <w:widowControl/>
              <w:shd w:val="clear" w:color="auto" w:fill="FFFFFF"/>
              <w:spacing w:line="240" w:lineRule="auto"/>
              <w:ind w:firstLine="0" w:firstLineChars="0"/>
              <w:rPr>
                <w:sz w:val="21"/>
                <w:szCs w:val="21"/>
              </w:rPr>
            </w:pPr>
            <w:r>
              <w:rPr>
                <w:sz w:val="21"/>
                <w:szCs w:val="21"/>
              </w:rPr>
              <w:t>允许开发建设活动的要求</w:t>
            </w:r>
          </w:p>
          <w:p>
            <w:pPr>
              <w:widowControl/>
              <w:shd w:val="clear" w:color="auto" w:fill="FFFFFF"/>
              <w:spacing w:line="240" w:lineRule="auto"/>
              <w:ind w:firstLine="0" w:firstLineChars="0"/>
              <w:rPr>
                <w:sz w:val="21"/>
                <w:szCs w:val="21"/>
              </w:rPr>
            </w:pPr>
            <w:r>
              <w:rPr>
                <w:sz w:val="21"/>
                <w:szCs w:val="21"/>
              </w:rPr>
              <w:t>不符合空间布局要求活动的退出要求</w:t>
            </w:r>
          </w:p>
          <w:p>
            <w:pPr>
              <w:widowControl/>
              <w:shd w:val="clear" w:color="auto" w:fill="FFFFFF"/>
              <w:spacing w:line="240" w:lineRule="auto"/>
              <w:ind w:firstLine="0" w:firstLineChars="0"/>
              <w:rPr>
                <w:sz w:val="21"/>
                <w:szCs w:val="21"/>
              </w:rPr>
            </w:pPr>
            <w:r>
              <w:rPr>
                <w:sz w:val="21"/>
                <w:szCs w:val="21"/>
              </w:rPr>
              <w:t>项目入驻时，优先布局于集中区南北向主干道西面工业用地范围，南北向主干道东侧规划工业用地作为远期备用发展用地执行达州市工业重点管控单元总体要求</w:t>
            </w:r>
          </w:p>
          <w:p>
            <w:pPr>
              <w:widowControl/>
              <w:shd w:val="clear" w:color="auto" w:fill="FFFFFF"/>
              <w:spacing w:line="240" w:lineRule="auto"/>
              <w:ind w:firstLine="0" w:firstLineChars="0"/>
              <w:rPr>
                <w:kern w:val="0"/>
                <w:sz w:val="21"/>
                <w:szCs w:val="21"/>
                <w:lang w:val="zh-TW" w:eastAsia="zh-TW"/>
              </w:rPr>
            </w:pPr>
            <w:r>
              <w:rPr>
                <w:sz w:val="21"/>
                <w:szCs w:val="21"/>
              </w:rPr>
              <w:t>其他空间布局约束要求</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color w:val="000000"/>
                <w:kern w:val="0"/>
                <w:sz w:val="21"/>
                <w:szCs w:val="21"/>
              </w:rPr>
              <w:t>项目主要进行</w:t>
            </w:r>
            <w:r>
              <w:rPr>
                <w:rFonts w:hint="eastAsia"/>
                <w:color w:val="000000"/>
                <w:kern w:val="0"/>
                <w:sz w:val="21"/>
                <w:szCs w:val="21"/>
                <w:lang w:eastAsia="zh-CN"/>
              </w:rPr>
              <w:t>食品生产加工</w:t>
            </w:r>
            <w:r>
              <w:rPr>
                <w:color w:val="000000"/>
                <w:kern w:val="0"/>
                <w:sz w:val="21"/>
                <w:szCs w:val="21"/>
              </w:rPr>
              <w:t>，不涉及牲畜屠宰</w:t>
            </w:r>
            <w:r>
              <w:rPr>
                <w:rFonts w:hint="eastAsia"/>
                <w:color w:val="000000"/>
                <w:kern w:val="0"/>
                <w:sz w:val="21"/>
                <w:szCs w:val="21"/>
              </w:rPr>
              <w:t>，属于园区主导产业，</w:t>
            </w:r>
            <w:r>
              <w:rPr>
                <w:color w:val="000000"/>
                <w:kern w:val="0"/>
                <w:sz w:val="21"/>
                <w:szCs w:val="21"/>
              </w:rPr>
              <w:t>对区域不造成明显污染，属于“鼓励类”项目。</w:t>
            </w:r>
            <w:r>
              <w:rPr>
                <w:rFonts w:hint="eastAsia"/>
                <w:color w:val="000000"/>
                <w:kern w:val="0"/>
                <w:sz w:val="21"/>
                <w:szCs w:val="21"/>
              </w:rPr>
              <w:t>符合空间布局约束相关要求。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污染物排放管控</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rPr>
                <w:sz w:val="21"/>
                <w:szCs w:val="21"/>
              </w:rPr>
            </w:pPr>
            <w:r>
              <w:rPr>
                <w:sz w:val="21"/>
                <w:szCs w:val="21"/>
              </w:rPr>
              <w:t>现有源提标升级改造</w:t>
            </w:r>
          </w:p>
          <w:p>
            <w:pPr>
              <w:widowControl/>
              <w:shd w:val="clear" w:color="auto" w:fill="FFFFFF"/>
              <w:spacing w:line="240" w:lineRule="auto"/>
              <w:ind w:firstLine="0" w:firstLineChars="0"/>
              <w:rPr>
                <w:sz w:val="21"/>
                <w:szCs w:val="21"/>
              </w:rPr>
            </w:pPr>
            <w:r>
              <w:rPr>
                <w:sz w:val="21"/>
                <w:szCs w:val="21"/>
              </w:rPr>
              <w:t>项目产生的生产废水由企业自行处理达到《污水排放综合标准》三级或相应的行业排放标准后排入园区污水处理厂处理达《城镇污水处理厂污染物排放标准》一级A标或更严格标准后排放，其它同达州市工业重点总体准入要求</w:t>
            </w:r>
          </w:p>
          <w:p>
            <w:pPr>
              <w:widowControl/>
              <w:shd w:val="clear" w:color="auto" w:fill="FFFFFF"/>
              <w:spacing w:line="240" w:lineRule="auto"/>
              <w:ind w:firstLine="0" w:firstLineChars="0"/>
              <w:rPr>
                <w:sz w:val="21"/>
                <w:szCs w:val="21"/>
              </w:rPr>
            </w:pPr>
            <w:r>
              <w:rPr>
                <w:sz w:val="21"/>
                <w:szCs w:val="21"/>
              </w:rPr>
              <w:t>新增源等量或倍量替代</w:t>
            </w:r>
          </w:p>
          <w:p>
            <w:pPr>
              <w:widowControl/>
              <w:shd w:val="clear" w:color="auto" w:fill="FFFFFF"/>
              <w:spacing w:line="240" w:lineRule="auto"/>
              <w:ind w:firstLine="0" w:firstLineChars="0"/>
              <w:rPr>
                <w:sz w:val="21"/>
                <w:szCs w:val="21"/>
              </w:rPr>
            </w:pPr>
            <w:r>
              <w:rPr>
                <w:sz w:val="21"/>
                <w:szCs w:val="21"/>
              </w:rPr>
              <w:t>执行达州市工业重点管控单元总体要求</w:t>
            </w:r>
          </w:p>
          <w:p>
            <w:pPr>
              <w:widowControl/>
              <w:shd w:val="clear" w:color="auto" w:fill="FFFFFF"/>
              <w:spacing w:line="240" w:lineRule="auto"/>
              <w:ind w:firstLine="0" w:firstLineChars="0"/>
              <w:rPr>
                <w:sz w:val="21"/>
                <w:szCs w:val="21"/>
              </w:rPr>
            </w:pPr>
            <w:r>
              <w:rPr>
                <w:sz w:val="21"/>
                <w:szCs w:val="21"/>
              </w:rPr>
              <w:t>新增源排放标准限值</w:t>
            </w:r>
          </w:p>
          <w:p>
            <w:pPr>
              <w:widowControl/>
              <w:shd w:val="clear" w:color="auto" w:fill="FFFFFF"/>
              <w:spacing w:line="240" w:lineRule="auto"/>
              <w:ind w:firstLine="0" w:firstLineChars="0"/>
              <w:rPr>
                <w:sz w:val="21"/>
                <w:szCs w:val="21"/>
              </w:rPr>
            </w:pPr>
            <w:r>
              <w:rPr>
                <w:sz w:val="21"/>
                <w:szCs w:val="21"/>
              </w:rPr>
              <w:t>其他同达州市工业重点总体准入要求</w:t>
            </w:r>
          </w:p>
          <w:p>
            <w:pPr>
              <w:widowControl/>
              <w:shd w:val="clear" w:color="auto" w:fill="FFFFFF"/>
              <w:spacing w:line="240" w:lineRule="auto"/>
              <w:ind w:firstLine="0" w:firstLineChars="0"/>
              <w:rPr>
                <w:sz w:val="21"/>
                <w:szCs w:val="21"/>
              </w:rPr>
            </w:pPr>
            <w:r>
              <w:rPr>
                <w:sz w:val="21"/>
                <w:szCs w:val="21"/>
              </w:rPr>
              <w:t>污染物排放绩效水平准入要求</w:t>
            </w:r>
          </w:p>
          <w:p>
            <w:pPr>
              <w:widowControl/>
              <w:shd w:val="clear" w:color="auto" w:fill="FFFFFF"/>
              <w:spacing w:line="240" w:lineRule="auto"/>
              <w:ind w:firstLine="0" w:firstLineChars="0"/>
              <w:rPr>
                <w:sz w:val="21"/>
                <w:szCs w:val="21"/>
              </w:rPr>
            </w:pPr>
            <w:r>
              <w:rPr>
                <w:sz w:val="21"/>
                <w:szCs w:val="21"/>
              </w:rPr>
              <w:t>执行达州市工业重点管控单元总体要求</w:t>
            </w:r>
          </w:p>
          <w:p>
            <w:pPr>
              <w:widowControl/>
              <w:shd w:val="clear" w:color="auto" w:fill="FFFFFF"/>
              <w:spacing w:line="240" w:lineRule="auto"/>
              <w:ind w:firstLine="0" w:firstLineChars="0"/>
              <w:rPr>
                <w:kern w:val="0"/>
                <w:sz w:val="21"/>
                <w:szCs w:val="21"/>
                <w:lang w:val="zh-TW" w:eastAsia="zh-TW"/>
              </w:rPr>
            </w:pPr>
            <w:r>
              <w:rPr>
                <w:sz w:val="21"/>
                <w:szCs w:val="21"/>
              </w:rPr>
              <w:t>其他污染物排放管控要求</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rFonts w:hint="eastAsia"/>
                <w:color w:val="000000"/>
                <w:kern w:val="0"/>
                <w:sz w:val="21"/>
                <w:szCs w:val="21"/>
                <w:lang w:val="en-US" w:eastAsia="zh-CN"/>
              </w:rPr>
              <w:t>本</w:t>
            </w:r>
            <w:r>
              <w:rPr>
                <w:color w:val="000000"/>
                <w:kern w:val="0"/>
                <w:sz w:val="21"/>
                <w:szCs w:val="21"/>
              </w:rPr>
              <w:t>项目针对各位污染物并采取了有效的污染防治措施</w:t>
            </w:r>
            <w:r>
              <w:rPr>
                <w:rFonts w:hint="eastAsia"/>
                <w:color w:val="000000"/>
                <w:kern w:val="0"/>
                <w:sz w:val="21"/>
                <w:szCs w:val="21"/>
              </w:rPr>
              <w:t>，</w:t>
            </w:r>
            <w:r>
              <w:rPr>
                <w:color w:val="000000"/>
                <w:kern w:val="0"/>
                <w:sz w:val="21"/>
                <w:szCs w:val="21"/>
              </w:rPr>
              <w:t>污水经污水处理设备处理达标后排入魏兴场镇污水处理厂（园区污水厂）。符合污染物排放管控相关要求。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环境风险防控</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rPr>
                <w:sz w:val="21"/>
                <w:szCs w:val="21"/>
              </w:rPr>
            </w:pPr>
            <w:r>
              <w:rPr>
                <w:sz w:val="21"/>
                <w:szCs w:val="21"/>
              </w:rPr>
              <w:t>严格管控类农用地管控要求</w:t>
            </w:r>
          </w:p>
          <w:p>
            <w:pPr>
              <w:widowControl/>
              <w:shd w:val="clear" w:color="auto" w:fill="FFFFFF"/>
              <w:spacing w:line="240" w:lineRule="auto"/>
              <w:ind w:firstLine="0" w:firstLineChars="0"/>
              <w:rPr>
                <w:sz w:val="21"/>
                <w:szCs w:val="21"/>
              </w:rPr>
            </w:pPr>
            <w:r>
              <w:rPr>
                <w:sz w:val="21"/>
                <w:szCs w:val="21"/>
              </w:rPr>
              <w:t>执行达州市工业重点管控单元总体要求</w:t>
            </w:r>
          </w:p>
          <w:p>
            <w:pPr>
              <w:widowControl/>
              <w:shd w:val="clear" w:color="auto" w:fill="FFFFFF"/>
              <w:spacing w:line="240" w:lineRule="auto"/>
              <w:ind w:firstLine="0" w:firstLineChars="0"/>
              <w:rPr>
                <w:sz w:val="21"/>
                <w:szCs w:val="21"/>
              </w:rPr>
            </w:pPr>
            <w:r>
              <w:rPr>
                <w:sz w:val="21"/>
                <w:szCs w:val="21"/>
              </w:rPr>
              <w:t>安全利用类农用地管控要求</w:t>
            </w:r>
          </w:p>
          <w:p>
            <w:pPr>
              <w:widowControl/>
              <w:shd w:val="clear" w:color="auto" w:fill="FFFFFF"/>
              <w:spacing w:line="240" w:lineRule="auto"/>
              <w:ind w:firstLine="0" w:firstLineChars="0"/>
              <w:rPr>
                <w:sz w:val="21"/>
                <w:szCs w:val="21"/>
              </w:rPr>
            </w:pPr>
            <w:r>
              <w:rPr>
                <w:sz w:val="21"/>
                <w:szCs w:val="21"/>
              </w:rPr>
              <w:t>执行达州市工业重点管控单元总体要求</w:t>
            </w:r>
          </w:p>
          <w:p>
            <w:pPr>
              <w:widowControl/>
              <w:shd w:val="clear" w:color="auto" w:fill="FFFFFF"/>
              <w:spacing w:line="240" w:lineRule="auto"/>
              <w:ind w:firstLine="0" w:firstLineChars="0"/>
              <w:rPr>
                <w:sz w:val="21"/>
                <w:szCs w:val="21"/>
              </w:rPr>
            </w:pPr>
            <w:r>
              <w:rPr>
                <w:sz w:val="21"/>
                <w:szCs w:val="21"/>
              </w:rPr>
              <w:t>污染地块管控要求</w:t>
            </w:r>
          </w:p>
          <w:p>
            <w:pPr>
              <w:widowControl/>
              <w:shd w:val="clear" w:color="auto" w:fill="FFFFFF"/>
              <w:spacing w:line="240" w:lineRule="auto"/>
              <w:ind w:firstLine="0" w:firstLineChars="0"/>
              <w:rPr>
                <w:sz w:val="21"/>
                <w:szCs w:val="21"/>
              </w:rPr>
            </w:pPr>
            <w:r>
              <w:rPr>
                <w:sz w:val="21"/>
                <w:szCs w:val="21"/>
              </w:rPr>
              <w:t>执行达州市工业重点管控单元总体要求</w:t>
            </w:r>
          </w:p>
          <w:p>
            <w:pPr>
              <w:widowControl/>
              <w:shd w:val="clear" w:color="auto" w:fill="FFFFFF"/>
              <w:spacing w:line="240" w:lineRule="auto"/>
              <w:ind w:firstLine="0" w:firstLineChars="0"/>
              <w:rPr>
                <w:sz w:val="21"/>
                <w:szCs w:val="21"/>
              </w:rPr>
            </w:pPr>
            <w:r>
              <w:rPr>
                <w:sz w:val="21"/>
                <w:szCs w:val="21"/>
              </w:rPr>
              <w:t>园区环境风险防控要求</w:t>
            </w:r>
          </w:p>
          <w:p>
            <w:pPr>
              <w:widowControl/>
              <w:shd w:val="clear" w:color="auto" w:fill="FFFFFF"/>
              <w:spacing w:line="240" w:lineRule="auto"/>
              <w:ind w:firstLine="0" w:firstLineChars="0"/>
              <w:rPr>
                <w:sz w:val="21"/>
                <w:szCs w:val="21"/>
              </w:rPr>
            </w:pPr>
            <w:r>
              <w:rPr>
                <w:sz w:val="21"/>
                <w:szCs w:val="21"/>
              </w:rPr>
              <w:t>风险源与环境敏感区保持合理的空间距离，要求各企业原辅料贮运及生产过程中不得构成《危险化学品重大危险源辨识》中一、二级重大危险源，杜绝危化品泄漏、事故排放等。其它同达州市工业重点管控单元总体要求</w:t>
            </w:r>
          </w:p>
          <w:p>
            <w:pPr>
              <w:widowControl/>
              <w:shd w:val="clear" w:color="auto" w:fill="FFFFFF"/>
              <w:spacing w:line="240" w:lineRule="auto"/>
              <w:ind w:firstLine="0" w:firstLineChars="0"/>
              <w:rPr>
                <w:sz w:val="21"/>
                <w:szCs w:val="21"/>
              </w:rPr>
            </w:pPr>
            <w:r>
              <w:rPr>
                <w:sz w:val="21"/>
                <w:szCs w:val="21"/>
              </w:rPr>
              <w:t>企业环境风险防控要求</w:t>
            </w:r>
          </w:p>
          <w:p>
            <w:pPr>
              <w:widowControl/>
              <w:shd w:val="clear" w:color="auto" w:fill="FFFFFF"/>
              <w:spacing w:line="240" w:lineRule="auto"/>
              <w:ind w:firstLine="0" w:firstLineChars="0"/>
              <w:rPr>
                <w:sz w:val="21"/>
                <w:szCs w:val="21"/>
              </w:rPr>
            </w:pPr>
            <w:r>
              <w:rPr>
                <w:sz w:val="21"/>
                <w:szCs w:val="21"/>
              </w:rPr>
              <w:t>风险源与环境敏感区保持合理的空间距离，要求各企业原辅料贮运及生产过程中不得构成《危险化学品重大危险源辨识》中一、二级重大危险源，杜绝危化品泄漏、事故排放等。执行达州市工业重点管控单元总体要求</w:t>
            </w:r>
          </w:p>
          <w:p>
            <w:pPr>
              <w:widowControl/>
              <w:shd w:val="clear" w:color="auto" w:fill="FFFFFF"/>
              <w:spacing w:line="240" w:lineRule="auto"/>
              <w:ind w:firstLine="0" w:firstLineChars="0"/>
              <w:rPr>
                <w:kern w:val="0"/>
                <w:sz w:val="21"/>
                <w:szCs w:val="21"/>
                <w:lang w:val="zh-TW"/>
              </w:rPr>
            </w:pPr>
            <w:r>
              <w:rPr>
                <w:sz w:val="21"/>
                <w:szCs w:val="21"/>
              </w:rPr>
              <w:t>其他环境风险防控要求</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rFonts w:hint="eastAsia"/>
                <w:color w:val="000000"/>
                <w:kern w:val="0"/>
                <w:sz w:val="21"/>
                <w:szCs w:val="21"/>
              </w:rPr>
              <w:t>本项目不涉及重金属、易燃易爆品的生产加工，符合环境风险防控相关要求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资源开发效率要求</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rPr>
                <w:sz w:val="21"/>
                <w:szCs w:val="21"/>
              </w:rPr>
            </w:pPr>
            <w:r>
              <w:rPr>
                <w:sz w:val="21"/>
                <w:szCs w:val="21"/>
              </w:rPr>
              <w:t>水资源利用效率要求</w:t>
            </w:r>
          </w:p>
          <w:p>
            <w:pPr>
              <w:widowControl/>
              <w:shd w:val="clear" w:color="auto" w:fill="FFFFFF"/>
              <w:spacing w:line="240" w:lineRule="auto"/>
              <w:ind w:firstLine="0" w:firstLineChars="0"/>
              <w:rPr>
                <w:sz w:val="21"/>
                <w:szCs w:val="21"/>
              </w:rPr>
            </w:pPr>
            <w:r>
              <w:rPr>
                <w:sz w:val="21"/>
                <w:szCs w:val="21"/>
              </w:rPr>
              <w:t>执行达州市工业重点管控单元总体要求</w:t>
            </w:r>
          </w:p>
          <w:p>
            <w:pPr>
              <w:widowControl/>
              <w:shd w:val="clear" w:color="auto" w:fill="FFFFFF"/>
              <w:spacing w:line="240" w:lineRule="auto"/>
              <w:ind w:firstLine="0" w:firstLineChars="0"/>
              <w:rPr>
                <w:sz w:val="21"/>
                <w:szCs w:val="21"/>
              </w:rPr>
            </w:pPr>
            <w:r>
              <w:rPr>
                <w:sz w:val="21"/>
                <w:szCs w:val="21"/>
              </w:rPr>
              <w:t>地下水开采要求</w:t>
            </w:r>
          </w:p>
          <w:p>
            <w:pPr>
              <w:widowControl/>
              <w:shd w:val="clear" w:color="auto" w:fill="FFFFFF"/>
              <w:spacing w:line="240" w:lineRule="auto"/>
              <w:ind w:firstLine="0" w:firstLineChars="0"/>
              <w:rPr>
                <w:sz w:val="21"/>
                <w:szCs w:val="21"/>
              </w:rPr>
            </w:pPr>
            <w:r>
              <w:rPr>
                <w:sz w:val="21"/>
                <w:szCs w:val="21"/>
              </w:rPr>
              <w:t>执行达州市工业重点管控单元总体要求</w:t>
            </w:r>
          </w:p>
          <w:p>
            <w:pPr>
              <w:widowControl/>
              <w:shd w:val="clear" w:color="auto" w:fill="FFFFFF"/>
              <w:spacing w:line="240" w:lineRule="auto"/>
              <w:ind w:firstLine="0" w:firstLineChars="0"/>
              <w:rPr>
                <w:sz w:val="21"/>
                <w:szCs w:val="21"/>
              </w:rPr>
            </w:pPr>
            <w:r>
              <w:rPr>
                <w:sz w:val="21"/>
                <w:szCs w:val="21"/>
              </w:rPr>
              <w:t>能源利用效率要求</w:t>
            </w:r>
          </w:p>
          <w:p>
            <w:pPr>
              <w:widowControl/>
              <w:shd w:val="clear" w:color="auto" w:fill="FFFFFF"/>
              <w:spacing w:line="240" w:lineRule="auto"/>
              <w:ind w:firstLine="0" w:firstLineChars="0"/>
              <w:rPr>
                <w:sz w:val="21"/>
                <w:szCs w:val="21"/>
              </w:rPr>
            </w:pPr>
            <w:r>
              <w:rPr>
                <w:sz w:val="21"/>
                <w:szCs w:val="21"/>
              </w:rPr>
              <w:t>执行达州市工业重点管控单元总体要求</w:t>
            </w:r>
          </w:p>
          <w:p>
            <w:pPr>
              <w:widowControl/>
              <w:shd w:val="clear" w:color="auto" w:fill="FFFFFF"/>
              <w:spacing w:line="240" w:lineRule="auto"/>
              <w:ind w:firstLine="0" w:firstLineChars="0"/>
              <w:rPr>
                <w:sz w:val="21"/>
                <w:szCs w:val="21"/>
              </w:rPr>
            </w:pPr>
            <w:r>
              <w:rPr>
                <w:sz w:val="21"/>
                <w:szCs w:val="21"/>
              </w:rPr>
              <w:t>其他资源利用效率要求</w:t>
            </w:r>
          </w:p>
          <w:p>
            <w:pPr>
              <w:widowControl/>
              <w:shd w:val="clear" w:color="auto" w:fill="FFFFFF"/>
              <w:spacing w:line="240" w:lineRule="auto"/>
              <w:ind w:firstLine="0" w:firstLineChars="0"/>
              <w:rPr>
                <w:kern w:val="0"/>
                <w:sz w:val="21"/>
                <w:szCs w:val="21"/>
                <w:lang w:val="zh-TW" w:eastAsia="zh-TW"/>
              </w:rPr>
            </w:pPr>
            <w:r>
              <w:rPr>
                <w:sz w:val="21"/>
                <w:szCs w:val="21"/>
              </w:rPr>
              <w:t>禁燃区要求：同达州市工业重点总体准入要求</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color w:val="000000"/>
                <w:kern w:val="0"/>
                <w:sz w:val="21"/>
                <w:szCs w:val="21"/>
              </w:rPr>
              <w:t>本项目不涉及地下水的开采使用，采用清洁能源进行生产加工，符合资源利用效率相关要求。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restart"/>
            <w:tcBorders>
              <w:tl2br w:val="nil"/>
              <w:tr2bl w:val="nil"/>
            </w:tcBorders>
            <w:shd w:val="clear" w:color="auto" w:fill="FFFFFF"/>
            <w:vAlign w:val="center"/>
          </w:tcPr>
          <w:p>
            <w:pPr>
              <w:pStyle w:val="11"/>
              <w:jc w:val="center"/>
            </w:pPr>
            <w:r>
              <w:rPr>
                <w:rFonts w:hint="eastAsia" w:ascii="宋体" w:hAnsi="宋体"/>
                <w:kern w:val="2"/>
              </w:rPr>
              <w:t>水环境管控分区</w:t>
            </w:r>
            <w:r>
              <w:rPr>
                <w:rFonts w:hint="eastAsia"/>
              </w:rPr>
              <w:t>，</w:t>
            </w:r>
            <w:r>
              <w:rPr>
                <w:rFonts w:hint="eastAsia" w:ascii="宋体" w:hAnsi="宋体"/>
                <w:kern w:val="2"/>
              </w:rPr>
              <w:t>YS5117022210001</w:t>
            </w:r>
            <w:r>
              <w:rPr>
                <w:rFonts w:hint="eastAsia"/>
              </w:rPr>
              <w:t>，</w:t>
            </w:r>
            <w:r>
              <w:rPr>
                <w:rFonts w:hint="eastAsia" w:ascii="宋体" w:hAnsi="宋体"/>
                <w:kern w:val="2"/>
              </w:rPr>
              <w:t>州河通川区车家河控制单元</w:t>
            </w:r>
          </w:p>
        </w:tc>
        <w:tc>
          <w:tcPr>
            <w:tcW w:w="557" w:type="dxa"/>
            <w:vMerge w:val="restart"/>
            <w:tcBorders>
              <w:tl2br w:val="nil"/>
              <w:tr2bl w:val="nil"/>
            </w:tcBorders>
            <w:shd w:val="clear" w:color="auto" w:fill="FFFFFF"/>
            <w:vAlign w:val="center"/>
          </w:tcPr>
          <w:p>
            <w:pPr>
              <w:pStyle w:val="11"/>
              <w:jc w:val="center"/>
            </w:pPr>
            <w:r>
              <w:rPr>
                <w:rFonts w:hint="eastAsia"/>
              </w:rPr>
              <w:t>普适性清单管控要求</w:t>
            </w:r>
          </w:p>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空间布局约束</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jc w:val="center"/>
              <w:rPr>
                <w:sz w:val="21"/>
                <w:szCs w:val="21"/>
                <w:lang w:val="zh-TW" w:eastAsia="zh-TW"/>
              </w:rPr>
            </w:pPr>
            <w:r>
              <w:rPr>
                <w:rFonts w:hint="eastAsia"/>
                <w:sz w:val="21"/>
                <w:szCs w:val="21"/>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污染物排放管控</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jc w:val="center"/>
              <w:rPr>
                <w:sz w:val="21"/>
                <w:szCs w:val="21"/>
                <w:lang w:val="zh-TW" w:eastAsia="zh-TW"/>
              </w:rPr>
            </w:pPr>
            <w:r>
              <w:rPr>
                <w:rFonts w:hint="eastAsia"/>
                <w:sz w:val="21"/>
                <w:szCs w:val="21"/>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环境风险防控</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jc w:val="center"/>
              <w:rPr>
                <w:sz w:val="21"/>
                <w:szCs w:val="21"/>
                <w:lang w:val="zh-TW" w:eastAsia="zh-TW"/>
              </w:rPr>
            </w:pPr>
            <w:r>
              <w:rPr>
                <w:rFonts w:hint="eastAsia"/>
                <w:sz w:val="21"/>
                <w:szCs w:val="21"/>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资源开发效率要求</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jc w:val="center"/>
              <w:rPr>
                <w:sz w:val="21"/>
                <w:szCs w:val="21"/>
                <w:lang w:val="zh-TW" w:eastAsia="zh-TW"/>
              </w:rPr>
            </w:pPr>
            <w:r>
              <w:rPr>
                <w:rFonts w:hint="eastAsia"/>
                <w:sz w:val="21"/>
                <w:szCs w:val="21"/>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restart"/>
            <w:tcBorders>
              <w:tl2br w:val="nil"/>
              <w:tr2bl w:val="nil"/>
            </w:tcBorders>
            <w:shd w:val="clear" w:color="auto" w:fill="FFFFFF"/>
            <w:vAlign w:val="center"/>
          </w:tcPr>
          <w:p>
            <w:pPr>
              <w:pStyle w:val="11"/>
              <w:jc w:val="center"/>
            </w:pPr>
            <w:r>
              <w:rPr>
                <w:rFonts w:hint="eastAsia"/>
              </w:rPr>
              <w:t>单元级</w:t>
            </w:r>
            <w:r>
              <w:rPr>
                <w:rFonts w:hint="eastAsia"/>
                <w:lang w:val="zh-TW" w:eastAsia="zh-TW"/>
              </w:rPr>
              <w:t>清单管控要求</w:t>
            </w:r>
          </w:p>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空间布局约束</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rPr>
                <w:sz w:val="21"/>
                <w:szCs w:val="21"/>
              </w:rPr>
            </w:pPr>
            <w:r>
              <w:rPr>
                <w:sz w:val="21"/>
                <w:szCs w:val="21"/>
              </w:rPr>
              <w:t>禁止开发建设活动的要求</w:t>
            </w:r>
          </w:p>
          <w:p>
            <w:pPr>
              <w:widowControl/>
              <w:shd w:val="clear" w:color="auto" w:fill="FFFFFF"/>
              <w:spacing w:line="240" w:lineRule="auto"/>
              <w:ind w:firstLine="0" w:firstLineChars="0"/>
              <w:rPr>
                <w:sz w:val="21"/>
                <w:szCs w:val="21"/>
              </w:rPr>
            </w:pPr>
            <w:r>
              <w:rPr>
                <w:sz w:val="21"/>
                <w:szCs w:val="21"/>
              </w:rPr>
              <w:t>限制开发建设活动的要求</w:t>
            </w:r>
          </w:p>
          <w:p>
            <w:pPr>
              <w:widowControl/>
              <w:shd w:val="clear" w:color="auto" w:fill="FFFFFF"/>
              <w:spacing w:line="240" w:lineRule="auto"/>
              <w:ind w:firstLine="0" w:firstLineChars="0"/>
              <w:rPr>
                <w:sz w:val="21"/>
                <w:szCs w:val="21"/>
              </w:rPr>
            </w:pPr>
            <w:r>
              <w:rPr>
                <w:sz w:val="21"/>
                <w:szCs w:val="21"/>
              </w:rPr>
              <w:t>允许开发建设活动的要求</w:t>
            </w:r>
          </w:p>
          <w:p>
            <w:pPr>
              <w:widowControl/>
              <w:shd w:val="clear" w:color="auto" w:fill="FFFFFF"/>
              <w:spacing w:line="240" w:lineRule="auto"/>
              <w:ind w:firstLine="0" w:firstLineChars="0"/>
              <w:rPr>
                <w:sz w:val="21"/>
                <w:szCs w:val="21"/>
              </w:rPr>
            </w:pPr>
            <w:r>
              <w:rPr>
                <w:sz w:val="21"/>
                <w:szCs w:val="21"/>
              </w:rPr>
              <w:t>不符合空间布局要求活动的退出要求</w:t>
            </w:r>
          </w:p>
          <w:p>
            <w:pPr>
              <w:widowControl/>
              <w:shd w:val="clear" w:color="auto" w:fill="FFFFFF"/>
              <w:spacing w:line="240" w:lineRule="auto"/>
              <w:ind w:firstLine="0" w:firstLineChars="0"/>
              <w:rPr>
                <w:sz w:val="21"/>
                <w:szCs w:val="21"/>
                <w:lang w:val="zh-TW" w:eastAsia="zh-TW"/>
              </w:rPr>
            </w:pPr>
            <w:r>
              <w:rPr>
                <w:sz w:val="21"/>
                <w:szCs w:val="21"/>
              </w:rPr>
              <w:t>其他空间布局约束要求</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rFonts w:hint="eastAsia"/>
                <w:color w:val="000000"/>
                <w:kern w:val="0"/>
                <w:sz w:val="21"/>
                <w:szCs w:val="21"/>
                <w:lang w:val="en-US" w:eastAsia="zh-CN"/>
              </w:rPr>
              <w:t>本</w:t>
            </w:r>
            <w:r>
              <w:rPr>
                <w:color w:val="000000"/>
                <w:kern w:val="0"/>
                <w:sz w:val="21"/>
                <w:szCs w:val="21"/>
              </w:rPr>
              <w:t>项目主要进行</w:t>
            </w:r>
            <w:r>
              <w:rPr>
                <w:rFonts w:hint="eastAsia"/>
                <w:color w:val="000000"/>
                <w:kern w:val="0"/>
                <w:sz w:val="21"/>
                <w:szCs w:val="21"/>
                <w:lang w:eastAsia="zh-CN"/>
              </w:rPr>
              <w:t>食品生产加工</w:t>
            </w:r>
            <w:r>
              <w:rPr>
                <w:color w:val="000000"/>
                <w:kern w:val="0"/>
                <w:sz w:val="21"/>
                <w:szCs w:val="21"/>
              </w:rPr>
              <w:t>，不涉及牲畜屠宰</w:t>
            </w:r>
            <w:r>
              <w:rPr>
                <w:rFonts w:hint="eastAsia"/>
                <w:color w:val="000000"/>
                <w:kern w:val="0"/>
                <w:sz w:val="21"/>
                <w:szCs w:val="21"/>
              </w:rPr>
              <w:t>，属于园区主导产业，</w:t>
            </w:r>
            <w:r>
              <w:rPr>
                <w:color w:val="000000"/>
                <w:kern w:val="0"/>
                <w:sz w:val="21"/>
                <w:szCs w:val="21"/>
              </w:rPr>
              <w:t>对区域不造成明显污染，属于“鼓励类”项目。</w:t>
            </w:r>
            <w:r>
              <w:rPr>
                <w:rFonts w:hint="eastAsia"/>
                <w:color w:val="000000"/>
                <w:kern w:val="0"/>
                <w:sz w:val="21"/>
                <w:szCs w:val="21"/>
              </w:rPr>
              <w:t>符合空间布局约束相关要求。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污染物排放管控</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rPr>
                <w:sz w:val="21"/>
                <w:szCs w:val="21"/>
              </w:rPr>
            </w:pPr>
            <w:r>
              <w:rPr>
                <w:sz w:val="21"/>
                <w:szCs w:val="21"/>
              </w:rPr>
              <w:t>城镇污水污染控制措施要求</w:t>
            </w:r>
          </w:p>
          <w:p>
            <w:pPr>
              <w:widowControl/>
              <w:shd w:val="clear" w:color="auto" w:fill="FFFFFF"/>
              <w:spacing w:line="240" w:lineRule="auto"/>
              <w:ind w:firstLine="0" w:firstLineChars="0"/>
              <w:rPr>
                <w:sz w:val="21"/>
                <w:szCs w:val="21"/>
              </w:rPr>
            </w:pPr>
            <w:r>
              <w:rPr>
                <w:sz w:val="21"/>
                <w:szCs w:val="21"/>
              </w:rPr>
              <w:t>工业废水污染控制措施要求</w:t>
            </w:r>
          </w:p>
          <w:p>
            <w:pPr>
              <w:widowControl/>
              <w:shd w:val="clear" w:color="auto" w:fill="FFFFFF"/>
              <w:spacing w:line="240" w:lineRule="auto"/>
              <w:ind w:firstLine="0" w:firstLineChars="0"/>
              <w:rPr>
                <w:sz w:val="21"/>
                <w:szCs w:val="21"/>
              </w:rPr>
            </w:pPr>
            <w:r>
              <w:rPr>
                <w:sz w:val="21"/>
                <w:szCs w:val="21"/>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pPr>
              <w:widowControl/>
              <w:shd w:val="clear" w:color="auto" w:fill="FFFFFF"/>
              <w:spacing w:line="240" w:lineRule="auto"/>
              <w:ind w:firstLine="0" w:firstLineChars="0"/>
              <w:rPr>
                <w:sz w:val="21"/>
                <w:szCs w:val="21"/>
              </w:rPr>
            </w:pPr>
            <w:r>
              <w:rPr>
                <w:sz w:val="21"/>
                <w:szCs w:val="21"/>
              </w:rPr>
              <w:t>农业面源水污染控制措施要求</w:t>
            </w:r>
          </w:p>
          <w:p>
            <w:pPr>
              <w:widowControl/>
              <w:shd w:val="clear" w:color="auto" w:fill="FFFFFF"/>
              <w:spacing w:line="240" w:lineRule="auto"/>
              <w:ind w:firstLine="0" w:firstLineChars="0"/>
              <w:rPr>
                <w:sz w:val="21"/>
                <w:szCs w:val="21"/>
              </w:rPr>
            </w:pPr>
            <w:r>
              <w:rPr>
                <w:sz w:val="21"/>
                <w:szCs w:val="21"/>
              </w:rPr>
              <w:t>船舶港口水污染控制措施要求</w:t>
            </w:r>
          </w:p>
          <w:p>
            <w:pPr>
              <w:widowControl/>
              <w:shd w:val="clear" w:color="auto" w:fill="FFFFFF"/>
              <w:spacing w:line="240" w:lineRule="auto"/>
              <w:ind w:firstLine="0" w:firstLineChars="0"/>
              <w:rPr>
                <w:sz w:val="21"/>
                <w:szCs w:val="21"/>
                <w:lang w:val="zh-TW" w:eastAsia="zh-TW"/>
              </w:rPr>
            </w:pPr>
            <w:r>
              <w:rPr>
                <w:sz w:val="21"/>
                <w:szCs w:val="21"/>
              </w:rPr>
              <w:t>饮用水水源和其它特殊水体保护要求</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rFonts w:hint="eastAsia"/>
                <w:color w:val="000000"/>
                <w:kern w:val="0"/>
                <w:sz w:val="21"/>
                <w:szCs w:val="21"/>
                <w:lang w:val="en-US" w:eastAsia="zh-CN"/>
              </w:rPr>
              <w:t>本</w:t>
            </w:r>
            <w:r>
              <w:rPr>
                <w:color w:val="000000"/>
                <w:kern w:val="0"/>
                <w:sz w:val="21"/>
                <w:szCs w:val="21"/>
              </w:rPr>
              <w:t>项目针对各位污染物并采取了有效的污染防治措施</w:t>
            </w:r>
            <w:r>
              <w:rPr>
                <w:rFonts w:hint="eastAsia"/>
                <w:color w:val="000000"/>
                <w:kern w:val="0"/>
                <w:sz w:val="21"/>
                <w:szCs w:val="21"/>
              </w:rPr>
              <w:t>，</w:t>
            </w:r>
            <w:r>
              <w:rPr>
                <w:color w:val="000000"/>
                <w:kern w:val="0"/>
                <w:sz w:val="21"/>
                <w:szCs w:val="21"/>
              </w:rPr>
              <w:t>污水经污水处理设备处理达标后排入魏兴场镇污水处理厂（园区污水厂）。符合污染物排放管控相关要求。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环境风险防控</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rPr>
                <w:sz w:val="21"/>
                <w:szCs w:val="21"/>
                <w:lang w:val="zh-TW" w:eastAsia="zh-TW"/>
              </w:rPr>
            </w:pPr>
            <w:r>
              <w:rPr>
                <w:sz w:val="21"/>
                <w:szCs w:val="21"/>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968" w:type="dxa"/>
            <w:tcBorders>
              <w:tl2br w:val="nil"/>
              <w:tr2bl w:val="nil"/>
            </w:tcBorders>
            <w:shd w:val="clear" w:color="auto" w:fill="FFFFFF"/>
            <w:vAlign w:val="center"/>
          </w:tcPr>
          <w:p>
            <w:pPr>
              <w:widowControl/>
              <w:spacing w:line="240" w:lineRule="auto"/>
              <w:ind w:firstLine="0" w:firstLineChars="0"/>
              <w:rPr>
                <w:b/>
                <w:bCs/>
                <w:color w:val="000000"/>
                <w:kern w:val="0"/>
                <w:sz w:val="21"/>
                <w:szCs w:val="21"/>
              </w:rPr>
            </w:pPr>
            <w:r>
              <w:rPr>
                <w:rFonts w:hint="eastAsia"/>
                <w:color w:val="000000"/>
                <w:kern w:val="0"/>
                <w:sz w:val="21"/>
                <w:szCs w:val="21"/>
              </w:rPr>
              <w:t>本项目不涉及重金属、易燃易爆品的生产加工，符合环境风险防控相关要求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资源开发效率要求</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jc w:val="center"/>
              <w:rPr>
                <w:sz w:val="21"/>
                <w:szCs w:val="21"/>
                <w:lang w:val="zh-TW"/>
              </w:rPr>
            </w:pPr>
            <w:r>
              <w:rPr>
                <w:rFonts w:hint="eastAsia"/>
                <w:sz w:val="21"/>
                <w:szCs w:val="21"/>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restart"/>
            <w:tcBorders>
              <w:tl2br w:val="nil"/>
              <w:tr2bl w:val="nil"/>
            </w:tcBorders>
            <w:shd w:val="clear" w:color="auto" w:fill="FFFFFF"/>
            <w:vAlign w:val="center"/>
          </w:tcPr>
          <w:p>
            <w:pPr>
              <w:pStyle w:val="11"/>
              <w:jc w:val="center"/>
            </w:pPr>
            <w:r>
              <w:rPr>
                <w:rFonts w:hint="eastAsia" w:ascii="宋体" w:hAnsi="宋体"/>
                <w:kern w:val="2"/>
              </w:rPr>
              <w:t>大气环境管控分区</w:t>
            </w:r>
            <w:r>
              <w:rPr>
                <w:rFonts w:hint="eastAsia"/>
              </w:rPr>
              <w:t>，</w:t>
            </w:r>
            <w:r>
              <w:rPr>
                <w:rFonts w:hint="eastAsia" w:ascii="宋体" w:hAnsi="宋体"/>
                <w:kern w:val="2"/>
              </w:rPr>
              <w:t>YS5117022310001</w:t>
            </w:r>
            <w:r>
              <w:rPr>
                <w:rFonts w:hint="eastAsia"/>
              </w:rPr>
              <w:t>，</w:t>
            </w:r>
            <w:r>
              <w:rPr>
                <w:rFonts w:hint="eastAsia" w:ascii="宋体" w:hAnsi="宋体"/>
                <w:kern w:val="2"/>
              </w:rPr>
              <w:t>达州市农产品加工集中区</w:t>
            </w:r>
          </w:p>
        </w:tc>
        <w:tc>
          <w:tcPr>
            <w:tcW w:w="557" w:type="dxa"/>
            <w:vMerge w:val="restart"/>
            <w:tcBorders>
              <w:tl2br w:val="nil"/>
              <w:tr2bl w:val="nil"/>
            </w:tcBorders>
            <w:shd w:val="clear" w:color="auto" w:fill="FFFFFF"/>
            <w:vAlign w:val="center"/>
          </w:tcPr>
          <w:p>
            <w:pPr>
              <w:pStyle w:val="11"/>
              <w:jc w:val="center"/>
            </w:pPr>
            <w:r>
              <w:rPr>
                <w:rFonts w:hint="eastAsia"/>
              </w:rPr>
              <w:t>普适性清单管控要求</w:t>
            </w:r>
          </w:p>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空间布局约束</w:t>
            </w:r>
          </w:p>
        </w:tc>
        <w:tc>
          <w:tcPr>
            <w:tcW w:w="10693" w:type="dxa"/>
            <w:tcBorders>
              <w:tl2br w:val="nil"/>
              <w:tr2bl w:val="nil"/>
            </w:tcBorders>
            <w:shd w:val="clear" w:color="auto" w:fill="FFFFFF"/>
            <w:vAlign w:val="center"/>
          </w:tcPr>
          <w:p>
            <w:pPr>
              <w:widowControl/>
              <w:spacing w:line="240" w:lineRule="auto"/>
              <w:ind w:firstLine="0" w:firstLineChars="0"/>
              <w:jc w:val="center"/>
              <w:rPr>
                <w:kern w:val="0"/>
                <w:sz w:val="21"/>
                <w:szCs w:val="21"/>
                <w:lang w:val="zh-TW" w:eastAsia="zh-TW"/>
              </w:rPr>
            </w:pPr>
            <w:r>
              <w:rPr>
                <w:kern w:val="0"/>
                <w:sz w:val="21"/>
                <w:szCs w:val="21"/>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污染物排放管控</w:t>
            </w:r>
          </w:p>
        </w:tc>
        <w:tc>
          <w:tcPr>
            <w:tcW w:w="10693" w:type="dxa"/>
            <w:tcBorders>
              <w:tl2br w:val="nil"/>
              <w:tr2bl w:val="nil"/>
            </w:tcBorders>
            <w:shd w:val="clear" w:color="auto" w:fill="FFFFFF"/>
            <w:vAlign w:val="center"/>
          </w:tcPr>
          <w:p>
            <w:pPr>
              <w:widowControl/>
              <w:spacing w:line="240" w:lineRule="auto"/>
              <w:ind w:firstLine="0" w:firstLineChars="0"/>
              <w:jc w:val="center"/>
              <w:rPr>
                <w:kern w:val="0"/>
                <w:sz w:val="21"/>
                <w:szCs w:val="21"/>
                <w:lang w:val="zh-TW" w:eastAsia="zh-TW"/>
              </w:rPr>
            </w:pPr>
            <w:r>
              <w:rPr>
                <w:kern w:val="0"/>
                <w:sz w:val="21"/>
                <w:szCs w:val="21"/>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环境风险防控</w:t>
            </w:r>
          </w:p>
        </w:tc>
        <w:tc>
          <w:tcPr>
            <w:tcW w:w="10693" w:type="dxa"/>
            <w:tcBorders>
              <w:tl2br w:val="nil"/>
              <w:tr2bl w:val="nil"/>
            </w:tcBorders>
            <w:shd w:val="clear" w:color="auto" w:fill="FFFFFF"/>
            <w:vAlign w:val="center"/>
          </w:tcPr>
          <w:p>
            <w:pPr>
              <w:widowControl/>
              <w:spacing w:line="240" w:lineRule="auto"/>
              <w:ind w:firstLine="0" w:firstLineChars="0"/>
              <w:jc w:val="center"/>
              <w:rPr>
                <w:kern w:val="0"/>
                <w:sz w:val="21"/>
                <w:szCs w:val="21"/>
                <w:lang w:val="zh-TW" w:eastAsia="zh-TW"/>
              </w:rPr>
            </w:pPr>
            <w:r>
              <w:rPr>
                <w:kern w:val="0"/>
                <w:sz w:val="21"/>
                <w:szCs w:val="21"/>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资源开发效率要求</w:t>
            </w:r>
          </w:p>
        </w:tc>
        <w:tc>
          <w:tcPr>
            <w:tcW w:w="10693" w:type="dxa"/>
            <w:tcBorders>
              <w:tl2br w:val="nil"/>
              <w:tr2bl w:val="nil"/>
            </w:tcBorders>
            <w:shd w:val="clear" w:color="auto" w:fill="FFFFFF"/>
            <w:vAlign w:val="center"/>
          </w:tcPr>
          <w:p>
            <w:pPr>
              <w:widowControl/>
              <w:spacing w:line="240" w:lineRule="auto"/>
              <w:ind w:firstLine="0" w:firstLineChars="0"/>
              <w:jc w:val="center"/>
              <w:rPr>
                <w:kern w:val="0"/>
                <w:sz w:val="21"/>
                <w:szCs w:val="21"/>
                <w:lang w:val="zh-TW" w:eastAsia="zh-TW"/>
              </w:rPr>
            </w:pPr>
            <w:r>
              <w:rPr>
                <w:kern w:val="0"/>
                <w:sz w:val="21"/>
                <w:szCs w:val="21"/>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restart"/>
            <w:tcBorders>
              <w:tl2br w:val="nil"/>
              <w:tr2bl w:val="nil"/>
            </w:tcBorders>
            <w:shd w:val="clear" w:color="auto" w:fill="FFFFFF"/>
            <w:vAlign w:val="center"/>
          </w:tcPr>
          <w:p>
            <w:pPr>
              <w:pStyle w:val="11"/>
              <w:jc w:val="center"/>
            </w:pPr>
            <w:r>
              <w:rPr>
                <w:rFonts w:hint="eastAsia"/>
              </w:rPr>
              <w:t>单元级</w:t>
            </w:r>
            <w:r>
              <w:rPr>
                <w:rFonts w:hint="eastAsia"/>
                <w:lang w:val="zh-TW" w:eastAsia="zh-TW"/>
              </w:rPr>
              <w:t>清单管控要求</w:t>
            </w:r>
          </w:p>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空间布局约束</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rPr>
                <w:sz w:val="21"/>
                <w:szCs w:val="21"/>
              </w:rPr>
            </w:pPr>
            <w:r>
              <w:rPr>
                <w:sz w:val="21"/>
                <w:szCs w:val="21"/>
              </w:rPr>
              <w:t>禁止开发建设活动的要求</w:t>
            </w:r>
          </w:p>
          <w:p>
            <w:pPr>
              <w:widowControl/>
              <w:shd w:val="clear" w:color="auto" w:fill="FFFFFF"/>
              <w:spacing w:line="240" w:lineRule="auto"/>
              <w:ind w:firstLine="0" w:firstLineChars="0"/>
              <w:rPr>
                <w:sz w:val="21"/>
                <w:szCs w:val="21"/>
              </w:rPr>
            </w:pPr>
            <w:r>
              <w:rPr>
                <w:sz w:val="21"/>
                <w:szCs w:val="21"/>
              </w:rPr>
              <w:t>限制开发建设活动的要求</w:t>
            </w:r>
          </w:p>
          <w:p>
            <w:pPr>
              <w:widowControl/>
              <w:shd w:val="clear" w:color="auto" w:fill="FFFFFF"/>
              <w:spacing w:line="240" w:lineRule="auto"/>
              <w:ind w:firstLine="0" w:firstLineChars="0"/>
              <w:rPr>
                <w:sz w:val="21"/>
                <w:szCs w:val="21"/>
              </w:rPr>
            </w:pPr>
            <w:r>
              <w:rPr>
                <w:sz w:val="21"/>
                <w:szCs w:val="21"/>
              </w:rPr>
              <w:t>允许开发建设活动的要求</w:t>
            </w:r>
          </w:p>
          <w:p>
            <w:pPr>
              <w:widowControl/>
              <w:shd w:val="clear" w:color="auto" w:fill="FFFFFF"/>
              <w:spacing w:line="240" w:lineRule="auto"/>
              <w:ind w:firstLine="0" w:firstLineChars="0"/>
              <w:rPr>
                <w:sz w:val="21"/>
                <w:szCs w:val="21"/>
              </w:rPr>
            </w:pPr>
            <w:r>
              <w:rPr>
                <w:sz w:val="21"/>
                <w:szCs w:val="21"/>
              </w:rPr>
              <w:t>不符合空间布局要求活动的退出要求</w:t>
            </w:r>
          </w:p>
          <w:p>
            <w:pPr>
              <w:widowControl/>
              <w:shd w:val="clear" w:color="auto" w:fill="FFFFFF"/>
              <w:spacing w:line="240" w:lineRule="auto"/>
              <w:ind w:firstLine="0" w:firstLineChars="0"/>
              <w:rPr>
                <w:sz w:val="21"/>
                <w:szCs w:val="21"/>
                <w:lang w:val="zh-TW" w:eastAsia="zh-TW"/>
              </w:rPr>
            </w:pPr>
            <w:r>
              <w:rPr>
                <w:sz w:val="21"/>
                <w:szCs w:val="21"/>
              </w:rPr>
              <w:t>其他空间布局约束要求</w:t>
            </w:r>
          </w:p>
        </w:tc>
        <w:tc>
          <w:tcPr>
            <w:tcW w:w="1968" w:type="dxa"/>
            <w:tcBorders>
              <w:tl2br w:val="nil"/>
              <w:tr2bl w:val="nil"/>
            </w:tcBorders>
            <w:shd w:val="clear" w:color="auto" w:fill="FFFFFF"/>
            <w:vAlign w:val="center"/>
          </w:tcPr>
          <w:p>
            <w:pPr>
              <w:widowControl/>
              <w:spacing w:line="240" w:lineRule="auto"/>
              <w:ind w:firstLine="0" w:firstLineChars="0"/>
            </w:pPr>
            <w:r>
              <w:rPr>
                <w:rFonts w:hint="eastAsia"/>
                <w:color w:val="000000"/>
                <w:kern w:val="0"/>
                <w:sz w:val="21"/>
                <w:szCs w:val="21"/>
                <w:lang w:val="en-US" w:eastAsia="zh-CN"/>
              </w:rPr>
              <w:t>本</w:t>
            </w:r>
            <w:r>
              <w:rPr>
                <w:color w:val="000000"/>
                <w:kern w:val="0"/>
                <w:sz w:val="21"/>
                <w:szCs w:val="21"/>
              </w:rPr>
              <w:t>项目主要进行</w:t>
            </w:r>
            <w:r>
              <w:rPr>
                <w:rFonts w:hint="eastAsia"/>
                <w:color w:val="000000"/>
                <w:kern w:val="0"/>
                <w:sz w:val="21"/>
                <w:szCs w:val="21"/>
                <w:lang w:eastAsia="zh-CN"/>
              </w:rPr>
              <w:t>食品生产加工</w:t>
            </w:r>
            <w:r>
              <w:rPr>
                <w:color w:val="000000"/>
                <w:kern w:val="0"/>
                <w:sz w:val="21"/>
                <w:szCs w:val="21"/>
              </w:rPr>
              <w:t>，不涉及牲畜屠宰</w:t>
            </w:r>
            <w:r>
              <w:rPr>
                <w:rFonts w:hint="eastAsia"/>
                <w:color w:val="000000"/>
                <w:kern w:val="0"/>
                <w:sz w:val="21"/>
                <w:szCs w:val="21"/>
              </w:rPr>
              <w:t>，属于园区主导产业，</w:t>
            </w:r>
            <w:r>
              <w:rPr>
                <w:color w:val="000000"/>
                <w:kern w:val="0"/>
                <w:sz w:val="21"/>
                <w:szCs w:val="21"/>
              </w:rPr>
              <w:t>对区域不造成明显污染，属于“鼓励类”项目。</w:t>
            </w:r>
            <w:r>
              <w:rPr>
                <w:rFonts w:hint="eastAsia"/>
                <w:color w:val="000000"/>
                <w:kern w:val="0"/>
                <w:sz w:val="21"/>
                <w:szCs w:val="21"/>
              </w:rPr>
              <w:t>符合空间布局约束相关要求。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污染物排放管控</w:t>
            </w:r>
          </w:p>
        </w:tc>
        <w:tc>
          <w:tcPr>
            <w:tcW w:w="10693" w:type="dxa"/>
            <w:tcBorders>
              <w:tl2br w:val="nil"/>
              <w:tr2bl w:val="nil"/>
            </w:tcBorders>
            <w:shd w:val="clear" w:color="auto" w:fill="FFFFFF"/>
            <w:vAlign w:val="center"/>
          </w:tcPr>
          <w:p>
            <w:pPr>
              <w:widowControl/>
              <w:shd w:val="clear" w:color="auto" w:fill="FFFFFF"/>
              <w:spacing w:line="240" w:lineRule="auto"/>
              <w:ind w:firstLine="0" w:firstLineChars="0"/>
              <w:rPr>
                <w:sz w:val="21"/>
                <w:szCs w:val="21"/>
              </w:rPr>
            </w:pPr>
            <w:r>
              <w:rPr>
                <w:sz w:val="21"/>
                <w:szCs w:val="21"/>
              </w:rPr>
              <w:t>大气环境质量执行标准</w:t>
            </w:r>
          </w:p>
          <w:p>
            <w:pPr>
              <w:widowControl/>
              <w:shd w:val="clear" w:color="auto" w:fill="FFFFFF"/>
              <w:spacing w:line="240" w:lineRule="auto"/>
              <w:ind w:firstLine="0" w:firstLineChars="0"/>
              <w:rPr>
                <w:sz w:val="21"/>
                <w:szCs w:val="21"/>
              </w:rPr>
            </w:pPr>
            <w:r>
              <w:rPr>
                <w:sz w:val="21"/>
                <w:szCs w:val="21"/>
              </w:rPr>
              <w:t>《环境空气质量标准》（GB3095-2012）：二级</w:t>
            </w:r>
          </w:p>
          <w:p>
            <w:pPr>
              <w:widowControl/>
              <w:shd w:val="clear" w:color="auto" w:fill="FFFFFF"/>
              <w:spacing w:line="240" w:lineRule="auto"/>
              <w:ind w:firstLine="0" w:firstLineChars="0"/>
              <w:rPr>
                <w:sz w:val="21"/>
                <w:szCs w:val="21"/>
              </w:rPr>
            </w:pPr>
            <w:r>
              <w:rPr>
                <w:sz w:val="21"/>
                <w:szCs w:val="21"/>
              </w:rPr>
              <w:t>区域大气污染物削减/替代要求</w:t>
            </w:r>
          </w:p>
          <w:p>
            <w:pPr>
              <w:widowControl/>
              <w:shd w:val="clear" w:color="auto" w:fill="FFFFFF"/>
              <w:spacing w:line="240" w:lineRule="auto"/>
              <w:ind w:firstLine="0" w:firstLineChars="0"/>
              <w:rPr>
                <w:sz w:val="21"/>
                <w:szCs w:val="21"/>
              </w:rPr>
            </w:pPr>
            <w:r>
              <w:rPr>
                <w:sz w:val="21"/>
                <w:szCs w:val="21"/>
              </w:rPr>
              <w:t>新增大气污染物排放的建设项目实施总量削减替代。</w:t>
            </w:r>
          </w:p>
          <w:p>
            <w:pPr>
              <w:widowControl/>
              <w:shd w:val="clear" w:color="auto" w:fill="FFFFFF"/>
              <w:spacing w:line="240" w:lineRule="auto"/>
              <w:ind w:firstLine="0" w:firstLineChars="0"/>
              <w:rPr>
                <w:sz w:val="21"/>
                <w:szCs w:val="21"/>
              </w:rPr>
            </w:pPr>
            <w:r>
              <w:rPr>
                <w:sz w:val="21"/>
                <w:szCs w:val="21"/>
              </w:rPr>
              <w:t>燃煤和其他能源大气污染控制要求</w:t>
            </w:r>
          </w:p>
          <w:p>
            <w:pPr>
              <w:widowControl/>
              <w:shd w:val="clear" w:color="auto" w:fill="FFFFFF"/>
              <w:spacing w:line="240" w:lineRule="auto"/>
              <w:ind w:firstLine="0" w:firstLineChars="0"/>
              <w:rPr>
                <w:sz w:val="21"/>
                <w:szCs w:val="21"/>
              </w:rPr>
            </w:pPr>
            <w:r>
              <w:rPr>
                <w:sz w:val="21"/>
                <w:szCs w:val="21"/>
              </w:rPr>
              <w:t>工业废气污染控制要求</w:t>
            </w:r>
          </w:p>
          <w:p>
            <w:pPr>
              <w:widowControl/>
              <w:shd w:val="clear" w:color="auto" w:fill="FFFFFF"/>
              <w:spacing w:line="240" w:lineRule="auto"/>
              <w:ind w:firstLine="0" w:firstLineChars="0"/>
              <w:rPr>
                <w:sz w:val="21"/>
                <w:szCs w:val="21"/>
              </w:rPr>
            </w:pPr>
            <w:r>
              <w:rPr>
                <w:sz w:val="21"/>
                <w:szCs w:val="21"/>
              </w:rPr>
              <w:t>机动车船大气污染控制要求</w:t>
            </w:r>
          </w:p>
          <w:p>
            <w:pPr>
              <w:widowControl/>
              <w:shd w:val="clear" w:color="auto" w:fill="FFFFFF"/>
              <w:spacing w:line="240" w:lineRule="auto"/>
              <w:ind w:firstLine="0" w:firstLineChars="0"/>
              <w:rPr>
                <w:sz w:val="21"/>
                <w:szCs w:val="21"/>
              </w:rPr>
            </w:pPr>
            <w:r>
              <w:rPr>
                <w:sz w:val="21"/>
                <w:szCs w:val="21"/>
              </w:rPr>
              <w:t>扬尘污染控制要求</w:t>
            </w:r>
          </w:p>
          <w:p>
            <w:pPr>
              <w:widowControl/>
              <w:shd w:val="clear" w:color="auto" w:fill="FFFFFF"/>
              <w:spacing w:line="240" w:lineRule="auto"/>
              <w:ind w:firstLine="0" w:firstLineChars="0"/>
              <w:rPr>
                <w:sz w:val="21"/>
                <w:szCs w:val="21"/>
              </w:rPr>
            </w:pPr>
            <w:r>
              <w:rPr>
                <w:sz w:val="21"/>
                <w:szCs w:val="21"/>
              </w:rPr>
              <w:t>农业生产经营活动大气污染控制要求</w:t>
            </w:r>
          </w:p>
          <w:p>
            <w:pPr>
              <w:widowControl/>
              <w:shd w:val="clear" w:color="auto" w:fill="FFFFFF"/>
              <w:spacing w:line="240" w:lineRule="auto"/>
              <w:ind w:firstLine="0" w:firstLineChars="0"/>
              <w:rPr>
                <w:sz w:val="21"/>
                <w:szCs w:val="21"/>
              </w:rPr>
            </w:pPr>
            <w:r>
              <w:rPr>
                <w:sz w:val="21"/>
                <w:szCs w:val="21"/>
              </w:rPr>
              <w:t>重点行业企业专项治理要求</w:t>
            </w:r>
          </w:p>
          <w:p>
            <w:pPr>
              <w:widowControl/>
              <w:shd w:val="clear" w:color="auto" w:fill="FFFFFF"/>
              <w:spacing w:line="240" w:lineRule="auto"/>
              <w:ind w:firstLine="0" w:firstLineChars="0"/>
              <w:rPr>
                <w:sz w:val="21"/>
                <w:szCs w:val="21"/>
                <w:lang w:val="zh-TW" w:eastAsia="zh-TW"/>
              </w:rPr>
            </w:pPr>
            <w:r>
              <w:rPr>
                <w:sz w:val="21"/>
                <w:szCs w:val="21"/>
              </w:rPr>
              <w:t>其他大气污染物排放管控要求</w:t>
            </w:r>
          </w:p>
        </w:tc>
        <w:tc>
          <w:tcPr>
            <w:tcW w:w="1968" w:type="dxa"/>
            <w:tcBorders>
              <w:tl2br w:val="nil"/>
              <w:tr2bl w:val="nil"/>
            </w:tcBorders>
            <w:shd w:val="clear" w:color="auto" w:fill="FFFFFF"/>
            <w:vAlign w:val="center"/>
          </w:tcPr>
          <w:p>
            <w:pPr>
              <w:widowControl/>
              <w:spacing w:line="240" w:lineRule="auto"/>
              <w:ind w:firstLine="0" w:firstLineChars="0"/>
            </w:pPr>
            <w:r>
              <w:rPr>
                <w:rFonts w:hint="eastAsia"/>
                <w:color w:val="000000"/>
                <w:kern w:val="0"/>
                <w:sz w:val="21"/>
                <w:szCs w:val="21"/>
                <w:lang w:val="en-US" w:eastAsia="zh-CN"/>
              </w:rPr>
              <w:t>本</w:t>
            </w:r>
            <w:r>
              <w:rPr>
                <w:color w:val="000000"/>
                <w:kern w:val="0"/>
                <w:sz w:val="21"/>
                <w:szCs w:val="21"/>
              </w:rPr>
              <w:t>项目针对各位污染物并采取了有效的污染防治措施</w:t>
            </w:r>
            <w:r>
              <w:rPr>
                <w:rFonts w:hint="eastAsia"/>
                <w:color w:val="000000"/>
                <w:kern w:val="0"/>
                <w:sz w:val="21"/>
                <w:szCs w:val="21"/>
              </w:rPr>
              <w:t>，</w:t>
            </w:r>
            <w:r>
              <w:rPr>
                <w:color w:val="000000"/>
                <w:kern w:val="0"/>
                <w:sz w:val="21"/>
                <w:szCs w:val="21"/>
              </w:rPr>
              <w:t>污水经污水处理设备处理达标后排入魏兴场镇污水处理厂（园区污水厂）。符合污染物排放管控相关要求。</w:t>
            </w:r>
          </w:p>
        </w:tc>
        <w:tc>
          <w:tcPr>
            <w:tcW w:w="653" w:type="dxa"/>
            <w:tcBorders>
              <w:tl2br w:val="nil"/>
              <w:tr2bl w:val="nil"/>
            </w:tcBorders>
            <w:shd w:val="clear" w:color="auto" w:fill="FFFFFF"/>
            <w:vAlign w:val="center"/>
          </w:tcPr>
          <w:p>
            <w:pPr>
              <w:pStyle w:val="11"/>
              <w:jc w:val="center"/>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环境风险防控</w:t>
            </w:r>
          </w:p>
        </w:tc>
        <w:tc>
          <w:tcPr>
            <w:tcW w:w="10693" w:type="dxa"/>
            <w:vMerge w:val="restart"/>
            <w:tcBorders>
              <w:tl2br w:val="nil"/>
              <w:tr2bl w:val="nil"/>
            </w:tcBorders>
            <w:shd w:val="clear" w:color="auto" w:fill="FFFFFF"/>
            <w:vAlign w:val="center"/>
          </w:tcPr>
          <w:p>
            <w:pPr>
              <w:pStyle w:val="11"/>
              <w:jc w:val="center"/>
              <w:rPr>
                <w:lang w:val="zh-TW"/>
              </w:rPr>
            </w:pPr>
            <w:r>
              <w:rPr>
                <w:rFonts w:hint="eastAsia"/>
              </w:rPr>
              <w:t>/</w:t>
            </w: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5" w:type="dxa"/>
            <w:vMerge w:val="continue"/>
            <w:tcBorders>
              <w:tl2br w:val="nil"/>
              <w:tr2bl w:val="nil"/>
            </w:tcBorders>
            <w:shd w:val="clear" w:color="auto" w:fill="FFFFFF"/>
            <w:vAlign w:val="center"/>
          </w:tcPr>
          <w:p>
            <w:pPr>
              <w:pStyle w:val="11"/>
              <w:jc w:val="center"/>
            </w:pPr>
          </w:p>
        </w:tc>
        <w:tc>
          <w:tcPr>
            <w:tcW w:w="557" w:type="dxa"/>
            <w:vMerge w:val="continue"/>
            <w:tcBorders>
              <w:tl2br w:val="nil"/>
              <w:tr2bl w:val="nil"/>
            </w:tcBorders>
            <w:shd w:val="clear" w:color="auto" w:fill="FFFFFF"/>
            <w:vAlign w:val="center"/>
          </w:tcPr>
          <w:p>
            <w:pPr>
              <w:pStyle w:val="11"/>
              <w:jc w:val="center"/>
            </w:pPr>
          </w:p>
        </w:tc>
        <w:tc>
          <w:tcPr>
            <w:tcW w:w="472" w:type="dxa"/>
            <w:tcBorders>
              <w:tl2br w:val="nil"/>
              <w:tr2bl w:val="nil"/>
            </w:tcBorders>
            <w:shd w:val="clear" w:color="auto" w:fill="FFFFFF"/>
            <w:vAlign w:val="center"/>
          </w:tcPr>
          <w:p>
            <w:pPr>
              <w:pStyle w:val="11"/>
              <w:rPr>
                <w:lang w:val="zh-TW" w:eastAsia="zh-TW"/>
              </w:rPr>
            </w:pPr>
            <w:r>
              <w:rPr>
                <w:rFonts w:hint="eastAsia"/>
              </w:rPr>
              <w:t>资源开发效率要求</w:t>
            </w:r>
          </w:p>
        </w:tc>
        <w:tc>
          <w:tcPr>
            <w:tcW w:w="10693" w:type="dxa"/>
            <w:vMerge w:val="continue"/>
            <w:tcBorders>
              <w:tl2br w:val="nil"/>
              <w:tr2bl w:val="nil"/>
            </w:tcBorders>
            <w:shd w:val="clear" w:color="auto" w:fill="FFFFFF"/>
            <w:vAlign w:val="center"/>
          </w:tcPr>
          <w:p>
            <w:pPr>
              <w:pStyle w:val="11"/>
              <w:jc w:val="both"/>
              <w:rPr>
                <w:lang w:val="zh-TW"/>
              </w:rPr>
            </w:pPr>
          </w:p>
        </w:tc>
        <w:tc>
          <w:tcPr>
            <w:tcW w:w="1968"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c>
          <w:tcPr>
            <w:tcW w:w="653" w:type="dxa"/>
            <w:tcBorders>
              <w:tl2br w:val="nil"/>
              <w:tr2bl w:val="nil"/>
            </w:tcBorders>
            <w:shd w:val="clear" w:color="auto" w:fill="FFFFFF"/>
            <w:vAlign w:val="center"/>
          </w:tcPr>
          <w:p>
            <w:pPr>
              <w:widowControl/>
              <w:spacing w:line="240" w:lineRule="auto"/>
              <w:ind w:firstLine="0" w:firstLineChars="0"/>
              <w:jc w:val="center"/>
              <w:rPr>
                <w:kern w:val="0"/>
                <w:sz w:val="21"/>
                <w:szCs w:val="21"/>
              </w:rPr>
            </w:pPr>
            <w:r>
              <w:rPr>
                <w:kern w:val="0"/>
                <w:sz w:val="21"/>
                <w:szCs w:val="21"/>
              </w:rPr>
              <w:t>/</w:t>
            </w:r>
          </w:p>
        </w:tc>
      </w:tr>
    </w:tbl>
    <w:p>
      <w:pPr>
        <w:ind w:firstLine="0" w:firstLineChars="0"/>
        <w:sectPr>
          <w:pgSz w:w="16838" w:h="11906" w:orient="landscape"/>
          <w:pgMar w:top="1440" w:right="1080" w:bottom="1440" w:left="1080" w:header="851" w:footer="1077" w:gutter="0"/>
          <w:cols w:space="720" w:num="1"/>
          <w:docGrid w:linePitch="312" w:charSpace="0"/>
        </w:sectPr>
      </w:pPr>
    </w:p>
    <w:tbl>
      <w:tblPr>
        <w:tblStyle w:val="7"/>
        <w:tblW w:w="10217"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tcPr>
          <w:p>
            <w:pPr>
              <w:ind w:firstLine="480"/>
            </w:pPr>
          </w:p>
        </w:tc>
        <w:tc>
          <w:tcPr>
            <w:tcW w:w="8517" w:type="dxa"/>
          </w:tcPr>
          <w:p>
            <w:pPr>
              <w:ind w:firstLine="482"/>
              <w:rPr>
                <w:b/>
                <w:kern w:val="0"/>
              </w:rPr>
            </w:pPr>
            <w:r>
              <w:rPr>
                <w:rFonts w:hint="eastAsia"/>
                <w:b/>
                <w:kern w:val="0"/>
              </w:rPr>
              <w:t>7、</w:t>
            </w:r>
            <w:r>
              <w:rPr>
                <w:b/>
                <w:kern w:val="0"/>
              </w:rPr>
              <w:t>与《中华人民共和国长江保护法》符合性分析</w:t>
            </w:r>
          </w:p>
          <w:p>
            <w:pPr>
              <w:ind w:firstLine="480"/>
            </w:pPr>
            <w:r>
              <w:rPr>
                <w:rFonts w:hint="eastAsia"/>
              </w:rPr>
              <w:t>本</w:t>
            </w:r>
            <w:r>
              <w:t>项目与《中华人民共和国长江保护法》的符合性分析见下表</w:t>
            </w:r>
            <w:r>
              <w:rPr>
                <w:rFonts w:hint="eastAsia"/>
              </w:rPr>
              <w:t>1-8</w:t>
            </w:r>
            <w:r>
              <w:t>。</w:t>
            </w:r>
          </w:p>
          <w:p>
            <w:pPr>
              <w:pStyle w:val="11"/>
              <w:jc w:val="center"/>
              <w:rPr>
                <w:b/>
                <w:bCs/>
                <w:lang w:val="zh-CN"/>
              </w:rPr>
            </w:pPr>
            <w:r>
              <w:rPr>
                <w:rFonts w:hint="eastAsia"/>
                <w:b/>
                <w:bCs/>
                <w:lang w:val="zh-CN"/>
              </w:rPr>
              <w:t>表</w:t>
            </w:r>
            <w:r>
              <w:rPr>
                <w:rFonts w:hint="eastAsia"/>
                <w:b/>
                <w:bCs/>
              </w:rPr>
              <w:t xml:space="preserve">1-8  </w:t>
            </w:r>
            <w:r>
              <w:rPr>
                <w:b/>
                <w:bCs/>
                <w:lang w:val="zh-CN"/>
              </w:rPr>
              <w:t>项目与《中华人民共和国长江保护法》的符合性分析</w:t>
            </w:r>
          </w:p>
          <w:tbl>
            <w:tblPr>
              <w:tblStyle w:val="6"/>
              <w:tblW w:w="84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1"/>
              <w:gridCol w:w="4529"/>
              <w:gridCol w:w="2626"/>
              <w:gridCol w:w="7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43" w:hRule="atLeast"/>
                <w:tblHeader/>
                <w:jc w:val="center"/>
              </w:trPr>
              <w:tc>
                <w:tcPr>
                  <w:tcW w:w="320" w:type="pct"/>
                  <w:tcBorders>
                    <w:tl2br w:val="nil"/>
                    <w:tr2bl w:val="nil"/>
                  </w:tcBorders>
                  <w:tcMar>
                    <w:top w:w="0" w:type="dxa"/>
                    <w:left w:w="57" w:type="dxa"/>
                    <w:bottom w:w="0" w:type="dxa"/>
                    <w:right w:w="57" w:type="dxa"/>
                  </w:tcMar>
                  <w:vAlign w:val="center"/>
                </w:tcPr>
                <w:p>
                  <w:pPr>
                    <w:pStyle w:val="11"/>
                    <w:jc w:val="center"/>
                    <w:rPr>
                      <w:b/>
                      <w:bCs/>
                    </w:rPr>
                  </w:pPr>
                  <w:r>
                    <w:rPr>
                      <w:b/>
                      <w:bCs/>
                    </w:rPr>
                    <w:t>序号</w:t>
                  </w:r>
                </w:p>
              </w:tc>
              <w:tc>
                <w:tcPr>
                  <w:tcW w:w="2675" w:type="pct"/>
                  <w:tcBorders>
                    <w:tl2br w:val="nil"/>
                    <w:tr2bl w:val="nil"/>
                  </w:tcBorders>
                  <w:tcMar>
                    <w:top w:w="0" w:type="dxa"/>
                    <w:left w:w="57" w:type="dxa"/>
                    <w:bottom w:w="0" w:type="dxa"/>
                    <w:right w:w="57" w:type="dxa"/>
                  </w:tcMar>
                  <w:vAlign w:val="center"/>
                </w:tcPr>
                <w:p>
                  <w:pPr>
                    <w:pStyle w:val="11"/>
                    <w:jc w:val="center"/>
                    <w:rPr>
                      <w:b/>
                      <w:bCs/>
                    </w:rPr>
                  </w:pPr>
                  <w:r>
                    <w:rPr>
                      <w:rFonts w:hint="eastAsia"/>
                      <w:b/>
                      <w:bCs/>
                    </w:rPr>
                    <w:t>相关</w:t>
                  </w:r>
                  <w:r>
                    <w:rPr>
                      <w:b/>
                      <w:bCs/>
                    </w:rPr>
                    <w:t>内容</w:t>
                  </w:r>
                </w:p>
              </w:tc>
              <w:tc>
                <w:tcPr>
                  <w:tcW w:w="1551" w:type="pct"/>
                  <w:tcBorders>
                    <w:tl2br w:val="nil"/>
                    <w:tr2bl w:val="nil"/>
                  </w:tcBorders>
                  <w:tcMar>
                    <w:top w:w="0" w:type="dxa"/>
                    <w:left w:w="57" w:type="dxa"/>
                    <w:bottom w:w="0" w:type="dxa"/>
                    <w:right w:w="57" w:type="dxa"/>
                  </w:tcMar>
                  <w:vAlign w:val="center"/>
                </w:tcPr>
                <w:p>
                  <w:pPr>
                    <w:pStyle w:val="11"/>
                    <w:jc w:val="center"/>
                    <w:rPr>
                      <w:b/>
                      <w:bCs/>
                    </w:rPr>
                  </w:pPr>
                  <w:r>
                    <w:rPr>
                      <w:b/>
                      <w:bCs/>
                    </w:rPr>
                    <w:t>本项目情况</w:t>
                  </w:r>
                </w:p>
              </w:tc>
              <w:tc>
                <w:tcPr>
                  <w:tcW w:w="453" w:type="pct"/>
                  <w:tcBorders>
                    <w:tl2br w:val="nil"/>
                    <w:tr2bl w:val="nil"/>
                  </w:tcBorders>
                  <w:tcMar>
                    <w:top w:w="0" w:type="dxa"/>
                    <w:left w:w="57" w:type="dxa"/>
                    <w:bottom w:w="0" w:type="dxa"/>
                    <w:right w:w="57" w:type="dxa"/>
                  </w:tcMar>
                  <w:vAlign w:val="center"/>
                </w:tcPr>
                <w:p>
                  <w:pPr>
                    <w:pStyle w:val="11"/>
                    <w:jc w:val="center"/>
                    <w:rPr>
                      <w:b/>
                      <w:bCs/>
                    </w:rPr>
                  </w:pPr>
                  <w:r>
                    <w:rPr>
                      <w:b/>
                      <w:bCs/>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1" w:hRule="atLeast"/>
                <w:tblHeader/>
                <w:jc w:val="center"/>
              </w:trPr>
              <w:tc>
                <w:tcPr>
                  <w:tcW w:w="320" w:type="pct"/>
                  <w:tcBorders>
                    <w:tl2br w:val="nil"/>
                    <w:tr2bl w:val="nil"/>
                  </w:tcBorders>
                  <w:tcMar>
                    <w:top w:w="0" w:type="dxa"/>
                    <w:left w:w="57" w:type="dxa"/>
                    <w:bottom w:w="0" w:type="dxa"/>
                    <w:right w:w="57" w:type="dxa"/>
                  </w:tcMar>
                  <w:vAlign w:val="center"/>
                </w:tcPr>
                <w:p>
                  <w:pPr>
                    <w:pStyle w:val="11"/>
                    <w:jc w:val="center"/>
                  </w:pPr>
                  <w:r>
                    <w:t>1</w:t>
                  </w:r>
                </w:p>
              </w:tc>
              <w:tc>
                <w:tcPr>
                  <w:tcW w:w="2675" w:type="pct"/>
                  <w:tcBorders>
                    <w:tl2br w:val="nil"/>
                    <w:tr2bl w:val="nil"/>
                  </w:tcBorders>
                  <w:tcMar>
                    <w:top w:w="0" w:type="dxa"/>
                    <w:left w:w="57" w:type="dxa"/>
                    <w:bottom w:w="0" w:type="dxa"/>
                    <w:right w:w="57" w:type="dxa"/>
                  </w:tcMar>
                  <w:vAlign w:val="center"/>
                </w:tcPr>
                <w:p>
                  <w:pPr>
                    <w:pStyle w:val="11"/>
                  </w:pPr>
                  <w:r>
                    <w:t>第二十一条 长江流域水质超标的水功能区，应当实施更严格的污染物排放总量削减要求。企业事业单位应当按照要求，采取污染物排放总量控制措施。</w:t>
                  </w:r>
                </w:p>
              </w:tc>
              <w:tc>
                <w:tcPr>
                  <w:tcW w:w="1551" w:type="pct"/>
                  <w:tcBorders>
                    <w:tl2br w:val="nil"/>
                    <w:tr2bl w:val="nil"/>
                  </w:tcBorders>
                  <w:tcMar>
                    <w:top w:w="0" w:type="dxa"/>
                    <w:left w:w="57" w:type="dxa"/>
                    <w:bottom w:w="0" w:type="dxa"/>
                    <w:right w:w="57" w:type="dxa"/>
                  </w:tcMar>
                  <w:vAlign w:val="center"/>
                </w:tcPr>
                <w:p>
                  <w:pPr>
                    <w:pStyle w:val="11"/>
                  </w:pPr>
                  <w:r>
                    <w:rPr>
                      <w:rFonts w:hint="eastAsia"/>
                      <w:lang w:val="en-US" w:eastAsia="zh-CN"/>
                    </w:rPr>
                    <w:t>本</w:t>
                  </w:r>
                  <w:r>
                    <w:t>项目所在区域水环境质量满足相应功能区要求，且项目</w:t>
                  </w:r>
                  <w:r>
                    <w:rPr>
                      <w:rFonts w:hint="eastAsia"/>
                    </w:rPr>
                    <w:t>污水经污水处理设备处理达标后排入魏兴场镇污水处理厂（园区污水厂）</w:t>
                  </w:r>
                  <w:r>
                    <w:t>。</w:t>
                  </w:r>
                </w:p>
              </w:tc>
              <w:tc>
                <w:tcPr>
                  <w:tcW w:w="453" w:type="pct"/>
                  <w:tcBorders>
                    <w:tl2br w:val="nil"/>
                    <w:tr2bl w:val="nil"/>
                  </w:tcBorders>
                  <w:tcMar>
                    <w:top w:w="0" w:type="dxa"/>
                    <w:left w:w="57" w:type="dxa"/>
                    <w:bottom w:w="0" w:type="dxa"/>
                    <w:right w:w="57" w:type="dxa"/>
                  </w:tcMar>
                  <w:vAlign w:val="center"/>
                </w:tcPr>
                <w:p>
                  <w:pPr>
                    <w:pStyle w:val="11"/>
                    <w:jc w:val="cente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74" w:hRule="atLeast"/>
                <w:tblHeader/>
                <w:jc w:val="center"/>
              </w:trPr>
              <w:tc>
                <w:tcPr>
                  <w:tcW w:w="320" w:type="pct"/>
                  <w:tcBorders>
                    <w:tl2br w:val="nil"/>
                    <w:tr2bl w:val="nil"/>
                  </w:tcBorders>
                  <w:tcMar>
                    <w:top w:w="0" w:type="dxa"/>
                    <w:left w:w="57" w:type="dxa"/>
                    <w:bottom w:w="0" w:type="dxa"/>
                    <w:right w:w="57" w:type="dxa"/>
                  </w:tcMar>
                  <w:vAlign w:val="center"/>
                </w:tcPr>
                <w:p>
                  <w:pPr>
                    <w:pStyle w:val="11"/>
                    <w:jc w:val="center"/>
                  </w:pPr>
                  <w:r>
                    <w:t>2</w:t>
                  </w:r>
                </w:p>
              </w:tc>
              <w:tc>
                <w:tcPr>
                  <w:tcW w:w="2675" w:type="pct"/>
                  <w:tcBorders>
                    <w:tl2br w:val="nil"/>
                    <w:tr2bl w:val="nil"/>
                  </w:tcBorders>
                  <w:tcMar>
                    <w:top w:w="0" w:type="dxa"/>
                    <w:left w:w="57" w:type="dxa"/>
                    <w:bottom w:w="0" w:type="dxa"/>
                    <w:right w:w="57" w:type="dxa"/>
                  </w:tcMar>
                  <w:vAlign w:val="center"/>
                </w:tcPr>
                <w:p>
                  <w:pPr>
                    <w:pStyle w:val="11"/>
                  </w:pPr>
                  <w: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1551" w:type="pct"/>
                  <w:tcBorders>
                    <w:tl2br w:val="nil"/>
                    <w:tr2bl w:val="nil"/>
                  </w:tcBorders>
                  <w:tcMar>
                    <w:top w:w="0" w:type="dxa"/>
                    <w:left w:w="57" w:type="dxa"/>
                    <w:bottom w:w="0" w:type="dxa"/>
                    <w:right w:w="57" w:type="dxa"/>
                  </w:tcMar>
                  <w:vAlign w:val="center"/>
                </w:tcPr>
                <w:p>
                  <w:pPr>
                    <w:pStyle w:val="11"/>
                  </w:pPr>
                  <w:r>
                    <w:rPr>
                      <w:rFonts w:hint="eastAsia"/>
                      <w:lang w:eastAsia="zh-CN"/>
                    </w:rPr>
                    <w:t>本</w:t>
                  </w:r>
                  <w:r>
                    <w:t>项目所在地不属于长江流域重点生态功能区，对生态系统不会造成严重影响，也不属于重污染项目。</w:t>
                  </w:r>
                </w:p>
              </w:tc>
              <w:tc>
                <w:tcPr>
                  <w:tcW w:w="453" w:type="pct"/>
                  <w:tcBorders>
                    <w:tl2br w:val="nil"/>
                    <w:tr2bl w:val="nil"/>
                  </w:tcBorders>
                  <w:tcMar>
                    <w:top w:w="0" w:type="dxa"/>
                    <w:left w:w="57" w:type="dxa"/>
                    <w:bottom w:w="0" w:type="dxa"/>
                    <w:right w:w="57" w:type="dxa"/>
                  </w:tcMar>
                  <w:vAlign w:val="center"/>
                </w:tcPr>
                <w:p>
                  <w:pPr>
                    <w:pStyle w:val="11"/>
                    <w:jc w:val="cente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07" w:hRule="atLeast"/>
                <w:tblHeader/>
                <w:jc w:val="center"/>
              </w:trPr>
              <w:tc>
                <w:tcPr>
                  <w:tcW w:w="320" w:type="pct"/>
                  <w:tcBorders>
                    <w:tl2br w:val="nil"/>
                    <w:tr2bl w:val="nil"/>
                  </w:tcBorders>
                  <w:tcMar>
                    <w:top w:w="0" w:type="dxa"/>
                    <w:left w:w="57" w:type="dxa"/>
                    <w:bottom w:w="0" w:type="dxa"/>
                    <w:right w:w="57" w:type="dxa"/>
                  </w:tcMar>
                  <w:vAlign w:val="center"/>
                </w:tcPr>
                <w:p>
                  <w:pPr>
                    <w:pStyle w:val="11"/>
                    <w:jc w:val="center"/>
                  </w:pPr>
                  <w:r>
                    <w:t>3</w:t>
                  </w:r>
                </w:p>
              </w:tc>
              <w:tc>
                <w:tcPr>
                  <w:tcW w:w="2675" w:type="pct"/>
                  <w:tcBorders>
                    <w:tl2br w:val="nil"/>
                    <w:tr2bl w:val="nil"/>
                  </w:tcBorders>
                  <w:tcMar>
                    <w:top w:w="0" w:type="dxa"/>
                    <w:left w:w="57" w:type="dxa"/>
                    <w:bottom w:w="0" w:type="dxa"/>
                    <w:right w:w="57" w:type="dxa"/>
                  </w:tcMar>
                  <w:vAlign w:val="center"/>
                </w:tcPr>
                <w:p>
                  <w:pPr>
                    <w:pStyle w:val="11"/>
                  </w:pPr>
                  <w:r>
                    <w:t>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551" w:type="pct"/>
                  <w:tcBorders>
                    <w:tl2br w:val="nil"/>
                    <w:tr2bl w:val="nil"/>
                  </w:tcBorders>
                  <w:tcMar>
                    <w:top w:w="0" w:type="dxa"/>
                    <w:left w:w="57" w:type="dxa"/>
                    <w:bottom w:w="0" w:type="dxa"/>
                    <w:right w:w="57" w:type="dxa"/>
                  </w:tcMar>
                  <w:vAlign w:val="center"/>
                </w:tcPr>
                <w:p>
                  <w:pPr>
                    <w:pStyle w:val="11"/>
                  </w:pPr>
                  <w:r>
                    <w:rPr>
                      <w:rFonts w:hint="eastAsia"/>
                      <w:lang w:eastAsia="zh-CN"/>
                    </w:rPr>
                    <w:t>本</w:t>
                  </w:r>
                  <w:r>
                    <w:t>项目不属于化工项目或尾矿库项目。</w:t>
                  </w:r>
                </w:p>
              </w:tc>
              <w:tc>
                <w:tcPr>
                  <w:tcW w:w="453" w:type="pct"/>
                  <w:tcBorders>
                    <w:tl2br w:val="nil"/>
                    <w:tr2bl w:val="nil"/>
                  </w:tcBorders>
                  <w:tcMar>
                    <w:top w:w="0" w:type="dxa"/>
                    <w:left w:w="57" w:type="dxa"/>
                    <w:bottom w:w="0" w:type="dxa"/>
                    <w:right w:w="57" w:type="dxa"/>
                  </w:tcMar>
                  <w:vAlign w:val="center"/>
                </w:tcPr>
                <w:p>
                  <w:pPr>
                    <w:pStyle w:val="11"/>
                    <w:jc w:val="cente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5" w:hRule="atLeast"/>
                <w:tblHeader/>
                <w:jc w:val="center"/>
              </w:trPr>
              <w:tc>
                <w:tcPr>
                  <w:tcW w:w="320" w:type="pct"/>
                  <w:tcBorders>
                    <w:tl2br w:val="nil"/>
                    <w:tr2bl w:val="nil"/>
                  </w:tcBorders>
                  <w:tcMar>
                    <w:top w:w="0" w:type="dxa"/>
                    <w:left w:w="57" w:type="dxa"/>
                    <w:bottom w:w="0" w:type="dxa"/>
                    <w:right w:w="57" w:type="dxa"/>
                  </w:tcMar>
                  <w:vAlign w:val="center"/>
                </w:tcPr>
                <w:p>
                  <w:pPr>
                    <w:pStyle w:val="11"/>
                    <w:jc w:val="center"/>
                  </w:pPr>
                  <w:r>
                    <w:t>4</w:t>
                  </w:r>
                </w:p>
              </w:tc>
              <w:tc>
                <w:tcPr>
                  <w:tcW w:w="2675" w:type="pct"/>
                  <w:tcBorders>
                    <w:tl2br w:val="nil"/>
                    <w:tr2bl w:val="nil"/>
                  </w:tcBorders>
                  <w:tcMar>
                    <w:top w:w="0" w:type="dxa"/>
                    <w:left w:w="57" w:type="dxa"/>
                    <w:bottom w:w="0" w:type="dxa"/>
                    <w:right w:w="57" w:type="dxa"/>
                  </w:tcMar>
                  <w:vAlign w:val="center"/>
                </w:tcPr>
                <w:p>
                  <w:pPr>
                    <w:pStyle w:val="11"/>
                  </w:pPr>
                  <w:r>
                    <w:t>第三十八条 加强对高耗水行业、重点用水单位的用水定额管理，严格控制高耗水项目建设。</w:t>
                  </w:r>
                </w:p>
              </w:tc>
              <w:tc>
                <w:tcPr>
                  <w:tcW w:w="1551" w:type="pct"/>
                  <w:tcBorders>
                    <w:tl2br w:val="nil"/>
                    <w:tr2bl w:val="nil"/>
                  </w:tcBorders>
                  <w:tcMar>
                    <w:top w:w="0" w:type="dxa"/>
                    <w:left w:w="57" w:type="dxa"/>
                    <w:bottom w:w="0" w:type="dxa"/>
                    <w:right w:w="57" w:type="dxa"/>
                  </w:tcMar>
                  <w:vAlign w:val="center"/>
                </w:tcPr>
                <w:p>
                  <w:pPr>
                    <w:pStyle w:val="11"/>
                  </w:pPr>
                  <w:r>
                    <w:rPr>
                      <w:rFonts w:hint="eastAsia"/>
                      <w:lang w:eastAsia="zh-CN"/>
                    </w:rPr>
                    <w:t>本</w:t>
                  </w:r>
                  <w:r>
                    <w:t>项目不属于高耗水</w:t>
                  </w:r>
                  <w:r>
                    <w:rPr>
                      <w:rFonts w:hint="eastAsia"/>
                    </w:rPr>
                    <w:t>行业</w:t>
                  </w:r>
                  <w:r>
                    <w:t>项目。</w:t>
                  </w:r>
                </w:p>
              </w:tc>
              <w:tc>
                <w:tcPr>
                  <w:tcW w:w="453" w:type="pct"/>
                  <w:tcBorders>
                    <w:tl2br w:val="nil"/>
                    <w:tr2bl w:val="nil"/>
                  </w:tcBorders>
                  <w:tcMar>
                    <w:top w:w="0" w:type="dxa"/>
                    <w:left w:w="57" w:type="dxa"/>
                    <w:bottom w:w="0" w:type="dxa"/>
                    <w:right w:w="57" w:type="dxa"/>
                  </w:tcMar>
                  <w:vAlign w:val="center"/>
                </w:tcPr>
                <w:p>
                  <w:pPr>
                    <w:pStyle w:val="11"/>
                    <w:jc w:val="center"/>
                  </w:pPr>
                  <w:r>
                    <w:t>符合</w:t>
                  </w:r>
                </w:p>
              </w:tc>
            </w:tr>
          </w:tbl>
          <w:p>
            <w:pPr>
              <w:autoSpaceDE w:val="0"/>
              <w:autoSpaceDN w:val="0"/>
              <w:adjustRightInd w:val="0"/>
              <w:snapToGrid w:val="0"/>
              <w:ind w:right="60" w:rightChars="25" w:firstLine="482"/>
              <w:jc w:val="left"/>
              <w:rPr>
                <w:b/>
                <w:bCs/>
                <w:kern w:val="0"/>
              </w:rPr>
            </w:pPr>
            <w:r>
              <w:rPr>
                <w:rFonts w:hint="eastAsia"/>
                <w:b/>
                <w:bCs/>
                <w:kern w:val="0"/>
                <w:szCs w:val="21"/>
              </w:rPr>
              <w:t>8、</w:t>
            </w:r>
            <w:r>
              <w:rPr>
                <w:b/>
                <w:bCs/>
                <w:kern w:val="0"/>
              </w:rPr>
              <w:t>与《四川省嘉陵江流域生态环境保护条例》符合性分析</w:t>
            </w:r>
          </w:p>
          <w:p>
            <w:pPr>
              <w:adjustRightInd w:val="0"/>
              <w:snapToGrid w:val="0"/>
              <w:ind w:firstLine="480"/>
            </w:pPr>
            <w:r>
              <w:rPr>
                <w:rFonts w:hint="eastAsia"/>
                <w:kern w:val="0"/>
              </w:rPr>
              <w:t>本</w:t>
            </w:r>
            <w:r>
              <w:rPr>
                <w:kern w:val="0"/>
              </w:rPr>
              <w:t>项目</w:t>
            </w:r>
            <w:r>
              <w:rPr>
                <w:rFonts w:hint="eastAsia"/>
                <w:kern w:val="0"/>
              </w:rPr>
              <w:t>位于达州市</w:t>
            </w:r>
            <w:r>
              <w:rPr>
                <w:rFonts w:hint="eastAsia"/>
                <w:bCs/>
                <w:szCs w:val="21"/>
                <w:lang w:val="zh-TW"/>
              </w:rPr>
              <w:t>通川区工业集中区</w:t>
            </w:r>
            <w:r>
              <w:rPr>
                <w:rFonts w:hint="eastAsia"/>
                <w:kern w:val="0"/>
              </w:rPr>
              <w:t>，属于嘉陵江流域范围，</w:t>
            </w:r>
            <w:r>
              <w:rPr>
                <w:kern w:val="0"/>
              </w:rPr>
              <w:t>项目与《四川省嘉陵江流域生态环境保护条例》的符合性分析见下表</w:t>
            </w:r>
            <w:r>
              <w:rPr>
                <w:rFonts w:hint="eastAsia"/>
                <w:kern w:val="0"/>
              </w:rPr>
              <w:t>1-9</w:t>
            </w:r>
            <w:r>
              <w:rPr>
                <w:kern w:val="0"/>
              </w:rPr>
              <w:t>。</w:t>
            </w:r>
          </w:p>
          <w:p>
            <w:pPr>
              <w:pStyle w:val="11"/>
              <w:jc w:val="center"/>
              <w:rPr>
                <w:b/>
                <w:bCs/>
                <w:lang w:val="zh-CN"/>
              </w:rPr>
            </w:pPr>
            <w:r>
              <w:rPr>
                <w:rFonts w:hint="eastAsia"/>
                <w:b/>
                <w:bCs/>
                <w:lang w:val="zh-CN"/>
              </w:rPr>
              <w:t>表</w:t>
            </w:r>
            <w:r>
              <w:rPr>
                <w:rFonts w:hint="eastAsia"/>
                <w:b/>
                <w:bCs/>
              </w:rPr>
              <w:t xml:space="preserve">1-9  </w:t>
            </w:r>
            <w:r>
              <w:rPr>
                <w:b/>
                <w:bCs/>
                <w:lang w:val="zh-CN"/>
              </w:rPr>
              <w:t>项目与《四川省嘉陵江流域生态环境保护条例》的符合性分析</w:t>
            </w:r>
          </w:p>
          <w:tbl>
            <w:tblPr>
              <w:tblStyle w:val="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5"/>
              <w:gridCol w:w="4888"/>
              <w:gridCol w:w="2349"/>
              <w:gridCol w:w="6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9" w:hRule="atLeast"/>
                <w:tblHeader/>
                <w:jc w:val="center"/>
              </w:trPr>
              <w:tc>
                <w:tcPr>
                  <w:tcW w:w="328" w:type="pct"/>
                  <w:tcBorders>
                    <w:tl2br w:val="nil"/>
                    <w:tr2bl w:val="nil"/>
                  </w:tcBorders>
                  <w:vAlign w:val="center"/>
                </w:tcPr>
                <w:p>
                  <w:pPr>
                    <w:pStyle w:val="11"/>
                    <w:jc w:val="center"/>
                    <w:rPr>
                      <w:b/>
                      <w:bCs/>
                    </w:rPr>
                  </w:pPr>
                  <w:r>
                    <w:rPr>
                      <w:b/>
                      <w:bCs/>
                    </w:rPr>
                    <w:t>序号</w:t>
                  </w:r>
                </w:p>
              </w:tc>
              <w:tc>
                <w:tcPr>
                  <w:tcW w:w="2888" w:type="pct"/>
                  <w:tcBorders>
                    <w:tl2br w:val="nil"/>
                    <w:tr2bl w:val="nil"/>
                  </w:tcBorders>
                  <w:vAlign w:val="center"/>
                </w:tcPr>
                <w:p>
                  <w:pPr>
                    <w:pStyle w:val="11"/>
                    <w:jc w:val="center"/>
                    <w:rPr>
                      <w:b/>
                      <w:bCs/>
                    </w:rPr>
                  </w:pPr>
                  <w:r>
                    <w:rPr>
                      <w:rFonts w:hint="eastAsia"/>
                      <w:b/>
                      <w:bCs/>
                    </w:rPr>
                    <w:t>相关</w:t>
                  </w:r>
                  <w:r>
                    <w:rPr>
                      <w:b/>
                      <w:bCs/>
                    </w:rPr>
                    <w:t>内容</w:t>
                  </w:r>
                </w:p>
              </w:tc>
              <w:tc>
                <w:tcPr>
                  <w:tcW w:w="1388" w:type="pct"/>
                  <w:tcBorders>
                    <w:tl2br w:val="nil"/>
                    <w:tr2bl w:val="nil"/>
                  </w:tcBorders>
                  <w:vAlign w:val="center"/>
                </w:tcPr>
                <w:p>
                  <w:pPr>
                    <w:pStyle w:val="11"/>
                    <w:jc w:val="center"/>
                    <w:rPr>
                      <w:b/>
                      <w:bCs/>
                    </w:rPr>
                  </w:pPr>
                  <w:r>
                    <w:rPr>
                      <w:b/>
                      <w:bCs/>
                    </w:rPr>
                    <w:t>本项目情况</w:t>
                  </w:r>
                </w:p>
              </w:tc>
              <w:tc>
                <w:tcPr>
                  <w:tcW w:w="395" w:type="pct"/>
                  <w:tcBorders>
                    <w:tl2br w:val="nil"/>
                    <w:tr2bl w:val="nil"/>
                  </w:tcBorders>
                  <w:vAlign w:val="center"/>
                </w:tcPr>
                <w:p>
                  <w:pPr>
                    <w:pStyle w:val="11"/>
                    <w:jc w:val="center"/>
                    <w:rPr>
                      <w:b/>
                      <w:bCs/>
                    </w:rPr>
                  </w:pPr>
                  <w:r>
                    <w:rPr>
                      <w:b/>
                      <w:bCs/>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blHeader/>
                <w:jc w:val="center"/>
              </w:trPr>
              <w:tc>
                <w:tcPr>
                  <w:tcW w:w="328" w:type="pct"/>
                  <w:tcBorders>
                    <w:tl2br w:val="nil"/>
                    <w:tr2bl w:val="nil"/>
                  </w:tcBorders>
                  <w:vAlign w:val="center"/>
                </w:tcPr>
                <w:p>
                  <w:pPr>
                    <w:pStyle w:val="11"/>
                    <w:jc w:val="center"/>
                  </w:pPr>
                  <w:r>
                    <w:t>1</w:t>
                  </w:r>
                </w:p>
              </w:tc>
              <w:tc>
                <w:tcPr>
                  <w:tcW w:w="2888" w:type="pct"/>
                  <w:tcBorders>
                    <w:tl2br w:val="nil"/>
                    <w:tr2bl w:val="nil"/>
                  </w:tcBorders>
                  <w:vAlign w:val="center"/>
                </w:tcPr>
                <w:p>
                  <w:pPr>
                    <w:pStyle w:val="11"/>
                    <w:jc w:val="both"/>
                  </w:pPr>
                  <w:r>
                    <w:rPr>
                      <w:rFonts w:hint="eastAsia"/>
                    </w:rPr>
                    <w:t xml:space="preserve">第十七条 </w:t>
                  </w:r>
                  <w:r>
                    <w:t>禁止在嘉陵江干支流岸线一公里范围内新建、扩建化工园区和化工项目。</w:t>
                  </w:r>
                </w:p>
              </w:tc>
              <w:tc>
                <w:tcPr>
                  <w:tcW w:w="1388" w:type="pct"/>
                  <w:tcBorders>
                    <w:tl2br w:val="nil"/>
                    <w:tr2bl w:val="nil"/>
                  </w:tcBorders>
                  <w:vAlign w:val="center"/>
                </w:tcPr>
                <w:p>
                  <w:pPr>
                    <w:pStyle w:val="11"/>
                    <w:jc w:val="both"/>
                  </w:pPr>
                  <w:r>
                    <w:rPr>
                      <w:rFonts w:hint="eastAsia"/>
                      <w:lang w:eastAsia="zh-CN"/>
                    </w:rPr>
                    <w:t>本</w:t>
                  </w:r>
                  <w:r>
                    <w:t>项目不属于化工项目</w:t>
                  </w:r>
                  <w:r>
                    <w:rPr>
                      <w:rFonts w:hint="eastAsia"/>
                    </w:rPr>
                    <w:t>。</w:t>
                  </w:r>
                </w:p>
              </w:tc>
              <w:tc>
                <w:tcPr>
                  <w:tcW w:w="395" w:type="pct"/>
                  <w:tcBorders>
                    <w:tl2br w:val="nil"/>
                    <w:tr2bl w:val="nil"/>
                  </w:tcBorders>
                  <w:vAlign w:val="center"/>
                </w:tcPr>
                <w:p>
                  <w:pPr>
                    <w:pStyle w:val="11"/>
                    <w:jc w:val="cente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92" w:hRule="atLeast"/>
                <w:tblHeader/>
                <w:jc w:val="center"/>
              </w:trPr>
              <w:tc>
                <w:tcPr>
                  <w:tcW w:w="328" w:type="pct"/>
                  <w:tcBorders>
                    <w:tl2br w:val="nil"/>
                    <w:tr2bl w:val="nil"/>
                  </w:tcBorders>
                  <w:vAlign w:val="center"/>
                </w:tcPr>
                <w:p>
                  <w:pPr>
                    <w:pStyle w:val="11"/>
                    <w:jc w:val="center"/>
                  </w:pPr>
                  <w:r>
                    <w:t>2</w:t>
                  </w:r>
                </w:p>
              </w:tc>
              <w:tc>
                <w:tcPr>
                  <w:tcW w:w="2888" w:type="pct"/>
                  <w:tcBorders>
                    <w:tl2br w:val="nil"/>
                    <w:tr2bl w:val="nil"/>
                  </w:tcBorders>
                  <w:vAlign w:val="center"/>
                </w:tcPr>
                <w:p>
                  <w:pPr>
                    <w:pStyle w:val="11"/>
                    <w:jc w:val="both"/>
                  </w:pPr>
                  <w:r>
                    <w:t>第二十一条 按照排污许可证的规定排放污染物；禁止未取得排污许可证或者违反排污许可证的规定排放污染物。</w:t>
                  </w:r>
                </w:p>
              </w:tc>
              <w:tc>
                <w:tcPr>
                  <w:tcW w:w="1388" w:type="pct"/>
                  <w:tcBorders>
                    <w:tl2br w:val="nil"/>
                    <w:tr2bl w:val="nil"/>
                  </w:tcBorders>
                  <w:vAlign w:val="center"/>
                </w:tcPr>
                <w:p>
                  <w:pPr>
                    <w:pStyle w:val="11"/>
                    <w:jc w:val="center"/>
                  </w:pPr>
                  <w:r>
                    <w:rPr>
                      <w:rFonts w:hint="eastAsia"/>
                      <w:lang w:eastAsia="zh-CN"/>
                    </w:rPr>
                    <w:t>本</w:t>
                  </w:r>
                  <w:r>
                    <w:t>项目建成后将按要求完善排污许可证的手续。</w:t>
                  </w:r>
                </w:p>
              </w:tc>
              <w:tc>
                <w:tcPr>
                  <w:tcW w:w="395" w:type="pct"/>
                  <w:tcBorders>
                    <w:tl2br w:val="nil"/>
                    <w:tr2bl w:val="nil"/>
                  </w:tcBorders>
                  <w:vAlign w:val="center"/>
                </w:tcPr>
                <w:p>
                  <w:pPr>
                    <w:pStyle w:val="11"/>
                    <w:jc w:val="cente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blHeader/>
                <w:jc w:val="center"/>
              </w:trPr>
              <w:tc>
                <w:tcPr>
                  <w:tcW w:w="328" w:type="pct"/>
                  <w:tcBorders>
                    <w:tl2br w:val="nil"/>
                    <w:tr2bl w:val="nil"/>
                  </w:tcBorders>
                  <w:vAlign w:val="center"/>
                </w:tcPr>
                <w:p>
                  <w:pPr>
                    <w:pStyle w:val="11"/>
                    <w:jc w:val="center"/>
                  </w:pPr>
                  <w:r>
                    <w:t>3</w:t>
                  </w:r>
                </w:p>
              </w:tc>
              <w:tc>
                <w:tcPr>
                  <w:tcW w:w="2888" w:type="pct"/>
                  <w:tcBorders>
                    <w:tl2br w:val="nil"/>
                    <w:tr2bl w:val="nil"/>
                  </w:tcBorders>
                  <w:vAlign w:val="center"/>
                </w:tcPr>
                <w:p>
                  <w:pPr>
                    <w:pStyle w:val="11"/>
                    <w:jc w:val="both"/>
                  </w:pPr>
                  <w:r>
                    <w:t>第七十三条 禁止在嘉陵江流域河湖管理范围内倾倒、填埋、堆放、弃置、处理固体废物。</w:t>
                  </w:r>
                </w:p>
              </w:tc>
              <w:tc>
                <w:tcPr>
                  <w:tcW w:w="1388" w:type="pct"/>
                  <w:tcBorders>
                    <w:tl2br w:val="nil"/>
                    <w:tr2bl w:val="nil"/>
                  </w:tcBorders>
                  <w:vAlign w:val="center"/>
                </w:tcPr>
                <w:p>
                  <w:pPr>
                    <w:pStyle w:val="11"/>
                    <w:jc w:val="both"/>
                  </w:pPr>
                  <w:r>
                    <w:rPr>
                      <w:rFonts w:hint="eastAsia"/>
                      <w:lang w:eastAsia="zh-CN"/>
                    </w:rPr>
                    <w:t>本</w:t>
                  </w:r>
                  <w:r>
                    <w:t>项目固体废物严格按照相关要求进行收集和处置。</w:t>
                  </w:r>
                </w:p>
              </w:tc>
              <w:tc>
                <w:tcPr>
                  <w:tcW w:w="395" w:type="pct"/>
                  <w:tcBorders>
                    <w:tl2br w:val="nil"/>
                    <w:tr2bl w:val="nil"/>
                  </w:tcBorders>
                  <w:vAlign w:val="center"/>
                </w:tcPr>
                <w:p>
                  <w:pPr>
                    <w:pStyle w:val="11"/>
                    <w:jc w:val="cente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5" w:hRule="atLeast"/>
                <w:tblHeader/>
                <w:jc w:val="center"/>
              </w:trPr>
              <w:tc>
                <w:tcPr>
                  <w:tcW w:w="328" w:type="pct"/>
                  <w:tcBorders>
                    <w:tl2br w:val="nil"/>
                    <w:tr2bl w:val="nil"/>
                  </w:tcBorders>
                  <w:vAlign w:val="center"/>
                </w:tcPr>
                <w:p>
                  <w:pPr>
                    <w:pStyle w:val="11"/>
                    <w:jc w:val="center"/>
                  </w:pPr>
                  <w:r>
                    <w:t>4</w:t>
                  </w:r>
                </w:p>
              </w:tc>
              <w:tc>
                <w:tcPr>
                  <w:tcW w:w="2888" w:type="pct"/>
                  <w:tcBorders>
                    <w:tl2br w:val="nil"/>
                    <w:tr2bl w:val="nil"/>
                  </w:tcBorders>
                  <w:vAlign w:val="center"/>
                </w:tcPr>
                <w:p>
                  <w:pPr>
                    <w:pStyle w:val="11"/>
                    <w:jc w:val="both"/>
                  </w:pPr>
                  <w:r>
                    <w:t>第七十七条 嘉陵江流域产业结构和布局应当与流域生态系统和资源环境承载能力相适应。禁止在嘉陵江流域重点生态功能区布局对生态系统有严重影响的产业。禁止重污染企业和项目向嘉陵江流域转移。</w:t>
                  </w:r>
                </w:p>
              </w:tc>
              <w:tc>
                <w:tcPr>
                  <w:tcW w:w="1388" w:type="pct"/>
                  <w:tcBorders>
                    <w:tl2br w:val="nil"/>
                    <w:tr2bl w:val="nil"/>
                  </w:tcBorders>
                  <w:vAlign w:val="center"/>
                </w:tcPr>
                <w:p>
                  <w:pPr>
                    <w:pStyle w:val="11"/>
                    <w:jc w:val="both"/>
                  </w:pPr>
                  <w:r>
                    <w:rPr>
                      <w:rFonts w:hint="eastAsia"/>
                      <w:lang w:eastAsia="zh-CN"/>
                    </w:rPr>
                    <w:t>本</w:t>
                  </w:r>
                  <w:r>
                    <w:t>项目污水经污水处理设备处理达标后排入魏兴场镇污水处理厂</w:t>
                  </w:r>
                  <w:r>
                    <w:rPr>
                      <w:rFonts w:hint="eastAsia"/>
                      <w:lang w:eastAsia="zh-CN"/>
                    </w:rPr>
                    <w:t>（</w:t>
                  </w:r>
                  <w:r>
                    <w:rPr>
                      <w:rFonts w:hint="eastAsia"/>
                      <w:lang w:val="en-US" w:eastAsia="zh-CN"/>
                    </w:rPr>
                    <w:t>园区污水厂</w:t>
                  </w:r>
                  <w:r>
                    <w:rPr>
                      <w:rFonts w:hint="eastAsia"/>
                      <w:lang w:eastAsia="zh-CN"/>
                    </w:rPr>
                    <w:t>）</w:t>
                  </w:r>
                  <w:r>
                    <w:t>，不属于重污染企业和项目。</w:t>
                  </w:r>
                </w:p>
              </w:tc>
              <w:tc>
                <w:tcPr>
                  <w:tcW w:w="395" w:type="pct"/>
                  <w:tcBorders>
                    <w:tl2br w:val="nil"/>
                    <w:tr2bl w:val="nil"/>
                  </w:tcBorders>
                  <w:vAlign w:val="center"/>
                </w:tcPr>
                <w:p>
                  <w:pPr>
                    <w:pStyle w:val="11"/>
                    <w:jc w:val="center"/>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4" w:hRule="atLeast"/>
                <w:tblHeader/>
                <w:jc w:val="center"/>
              </w:trPr>
              <w:tc>
                <w:tcPr>
                  <w:tcW w:w="328" w:type="pct"/>
                  <w:tcBorders>
                    <w:tl2br w:val="nil"/>
                    <w:tr2bl w:val="nil"/>
                  </w:tcBorders>
                  <w:vAlign w:val="center"/>
                </w:tcPr>
                <w:p>
                  <w:pPr>
                    <w:pStyle w:val="11"/>
                    <w:jc w:val="center"/>
                  </w:pPr>
                  <w:r>
                    <w:t>5</w:t>
                  </w:r>
                </w:p>
              </w:tc>
              <w:tc>
                <w:tcPr>
                  <w:tcW w:w="2888" w:type="pct"/>
                  <w:tcBorders>
                    <w:tl2br w:val="nil"/>
                    <w:tr2bl w:val="nil"/>
                  </w:tcBorders>
                  <w:vAlign w:val="center"/>
                </w:tcPr>
                <w:p>
                  <w:pPr>
                    <w:pStyle w:val="11"/>
                    <w:jc w:val="both"/>
                  </w:pPr>
                  <w:r>
                    <w:t>第八十条 限期禁止生产、销售、进口、使用、转让严重污染水环境的工艺和设备。</w:t>
                  </w:r>
                </w:p>
              </w:tc>
              <w:tc>
                <w:tcPr>
                  <w:tcW w:w="1388" w:type="pct"/>
                  <w:tcBorders>
                    <w:tl2br w:val="nil"/>
                    <w:tr2bl w:val="nil"/>
                  </w:tcBorders>
                  <w:vAlign w:val="center"/>
                </w:tcPr>
                <w:p>
                  <w:pPr>
                    <w:pStyle w:val="11"/>
                    <w:jc w:val="both"/>
                  </w:pPr>
                  <w:r>
                    <w:rPr>
                      <w:rFonts w:hint="eastAsia"/>
                      <w:lang w:eastAsia="zh-CN"/>
                    </w:rPr>
                    <w:t>本</w:t>
                  </w:r>
                  <w:r>
                    <w:t>项目所用的设备、工艺不属于严重污染水环境的工艺和设备。</w:t>
                  </w:r>
                </w:p>
              </w:tc>
              <w:tc>
                <w:tcPr>
                  <w:tcW w:w="395" w:type="pct"/>
                  <w:tcBorders>
                    <w:tl2br w:val="nil"/>
                    <w:tr2bl w:val="nil"/>
                  </w:tcBorders>
                  <w:vAlign w:val="center"/>
                </w:tcPr>
                <w:p>
                  <w:pPr>
                    <w:pStyle w:val="11"/>
                    <w:jc w:val="center"/>
                  </w:pPr>
                  <w:r>
                    <w:t>符合</w:t>
                  </w:r>
                </w:p>
              </w:tc>
            </w:tr>
          </w:tbl>
          <w:p>
            <w:pPr>
              <w:ind w:firstLine="480"/>
            </w:pPr>
          </w:p>
          <w:p>
            <w:pPr>
              <w:ind w:firstLine="480"/>
            </w:pPr>
          </w:p>
        </w:tc>
      </w:tr>
    </w:tbl>
    <w:p>
      <w:pPr>
        <w:ind w:firstLine="0" w:firstLineChars="0"/>
        <w:sectPr>
          <w:pgSz w:w="11906" w:h="16838"/>
          <w:pgMar w:top="1440" w:right="1080" w:bottom="1440" w:left="1080" w:header="851" w:footer="1077" w:gutter="0"/>
          <w:cols w:space="720" w:num="1"/>
          <w:docGrid w:linePitch="312" w:charSpace="0"/>
        </w:sectPr>
      </w:pPr>
    </w:p>
    <w:p>
      <w:pPr>
        <w:pStyle w:val="2"/>
        <w:ind w:firstLine="602"/>
        <w:rPr>
          <w:color w:val="auto"/>
        </w:rPr>
      </w:pPr>
      <w:bookmarkStart w:id="4" w:name="_Toc14898"/>
      <w:r>
        <w:rPr>
          <w:color w:val="auto"/>
        </w:rPr>
        <w:t>二、建设项目工程分析</w:t>
      </w:r>
      <w:bookmarkEnd w:id="4"/>
    </w:p>
    <w:tbl>
      <w:tblPr>
        <w:tblStyle w:val="6"/>
        <w:tblW w:w="102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91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27" w:hRule="atLeast"/>
          <w:jc w:val="center"/>
        </w:trPr>
        <w:tc>
          <w:tcPr>
            <w:tcW w:w="1131" w:type="dxa"/>
            <w:vAlign w:val="center"/>
          </w:tcPr>
          <w:p>
            <w:pPr>
              <w:pStyle w:val="11"/>
              <w:jc w:val="center"/>
              <w:rPr>
                <w:b/>
                <w:bCs/>
                <w:color w:val="auto"/>
                <w:sz w:val="24"/>
                <w:szCs w:val="24"/>
              </w:rPr>
            </w:pPr>
            <w:r>
              <w:rPr>
                <w:b/>
                <w:bCs/>
                <w:color w:val="auto"/>
                <w:sz w:val="24"/>
                <w:szCs w:val="24"/>
              </w:rPr>
              <w:t>建设</w:t>
            </w:r>
          </w:p>
          <w:p>
            <w:pPr>
              <w:pStyle w:val="11"/>
              <w:jc w:val="center"/>
              <w:rPr>
                <w:b/>
                <w:bCs/>
                <w:color w:val="auto"/>
              </w:rPr>
            </w:pPr>
            <w:r>
              <w:rPr>
                <w:b/>
                <w:bCs/>
                <w:color w:val="auto"/>
                <w:sz w:val="24"/>
                <w:szCs w:val="24"/>
              </w:rPr>
              <w:t>内容</w:t>
            </w:r>
          </w:p>
        </w:tc>
        <w:tc>
          <w:tcPr>
            <w:tcW w:w="9150" w:type="dxa"/>
          </w:tcPr>
          <w:p>
            <w:pPr>
              <w:adjustRightInd w:val="0"/>
              <w:snapToGrid w:val="0"/>
              <w:ind w:firstLine="482"/>
              <w:rPr>
                <w:b/>
                <w:bCs/>
                <w:color w:val="auto"/>
              </w:rPr>
            </w:pPr>
            <w:r>
              <w:rPr>
                <w:b/>
                <w:bCs/>
                <w:color w:val="auto"/>
              </w:rPr>
              <w:t>1、项目背景及由来</w:t>
            </w:r>
          </w:p>
          <w:p>
            <w:pPr>
              <w:widowControl/>
              <w:ind w:firstLine="480"/>
              <w:rPr>
                <w:rFonts w:hint="eastAsia"/>
                <w:color w:val="auto"/>
                <w:u w:val="none"/>
                <w:lang w:val="en-US" w:eastAsia="zh-CN"/>
              </w:rPr>
            </w:pPr>
            <w:r>
              <w:rPr>
                <w:rFonts w:hint="eastAsia"/>
                <w:color w:val="auto"/>
                <w:u w:val="none"/>
                <w:lang w:val="en-US" w:eastAsia="zh-CN"/>
              </w:rPr>
              <w:t>四川省川汉子食品实业有限公司</w:t>
            </w:r>
            <w:r>
              <w:rPr>
                <w:rFonts w:hint="eastAsia"/>
                <w:color w:val="auto"/>
                <w:sz w:val="24"/>
                <w:szCs w:val="24"/>
                <w:u w:val="none"/>
                <w:lang w:val="en-US" w:eastAsia="zh-CN"/>
              </w:rPr>
              <w:t>于2021年12月8日在通川区发展和改革局进行初次备案，</w:t>
            </w:r>
            <w:r>
              <w:rPr>
                <w:rFonts w:hint="eastAsia"/>
                <w:color w:val="auto"/>
                <w:u w:val="none"/>
                <w:lang w:val="en-US" w:eastAsia="zh-CN"/>
              </w:rPr>
              <w:t>拟投资6000万元人民币，征用土地约80亩，新建厂房15000平米，办公楼6000平米，辅助用房3000平米。一期建设3条智能化肉制品生产线，预计2023年10月全面建成。</w:t>
            </w:r>
          </w:p>
          <w:p>
            <w:pPr>
              <w:widowControl/>
              <w:ind w:firstLine="480"/>
              <w:rPr>
                <w:color w:val="auto"/>
                <w:u w:val="none"/>
              </w:rPr>
            </w:pPr>
            <w:r>
              <w:rPr>
                <w:rFonts w:hint="eastAsia"/>
                <w:color w:val="auto"/>
                <w:u w:val="none"/>
                <w:lang w:val="en-US" w:eastAsia="zh-CN"/>
              </w:rPr>
              <w:t>四川省川汉子食品实业有限公司</w:t>
            </w:r>
            <w:r>
              <w:rPr>
                <w:rFonts w:hint="eastAsia"/>
                <w:color w:val="auto"/>
                <w:sz w:val="24"/>
                <w:szCs w:val="24"/>
                <w:u w:val="none"/>
                <w:lang w:val="en-US" w:eastAsia="zh-CN"/>
              </w:rPr>
              <w:t>于2022年3月开始标准厂房及生产线的建设，由于周边市场的需求，于2023年4月停止项目建设，至今尚未实现项目投运</w:t>
            </w:r>
            <w:r>
              <w:rPr>
                <w:rFonts w:hint="eastAsia"/>
                <w:color w:val="auto"/>
                <w:u w:val="none"/>
                <w:lang w:val="en-US" w:eastAsia="zh-CN"/>
              </w:rPr>
              <w:t>，并于2023年5月将项目产能和投资进行变更，项目投资由6000万元增加到9000万元</w:t>
            </w:r>
            <w:r>
              <w:rPr>
                <w:color w:val="auto"/>
                <w:u w:val="none"/>
              </w:rPr>
              <w:t>，建设建筑面积</w:t>
            </w:r>
            <w:r>
              <w:rPr>
                <w:rFonts w:hint="eastAsia"/>
                <w:color w:val="auto"/>
                <w:u w:val="none"/>
              </w:rPr>
              <w:t>约35000m</w:t>
            </w:r>
            <w:r>
              <w:rPr>
                <w:rFonts w:hint="eastAsia"/>
                <w:color w:val="auto"/>
                <w:u w:val="none"/>
                <w:vertAlign w:val="superscript"/>
              </w:rPr>
              <w:t>2</w:t>
            </w:r>
            <w:r>
              <w:rPr>
                <w:rFonts w:hint="eastAsia"/>
                <w:color w:val="auto"/>
                <w:u w:val="none"/>
              </w:rPr>
              <w:t>的</w:t>
            </w:r>
            <w:r>
              <w:rPr>
                <w:color w:val="auto"/>
                <w:u w:val="none"/>
              </w:rPr>
              <w:t>生产厂房、辅助用房、科研大楼</w:t>
            </w:r>
            <w:r>
              <w:rPr>
                <w:rFonts w:hint="eastAsia"/>
                <w:color w:val="auto"/>
                <w:u w:val="none"/>
              </w:rPr>
              <w:t>等构筑物</w:t>
            </w:r>
            <w:r>
              <w:rPr>
                <w:color w:val="auto"/>
                <w:u w:val="none"/>
              </w:rPr>
              <w:t>，</w:t>
            </w:r>
            <w:r>
              <w:rPr>
                <w:rFonts w:hint="eastAsia"/>
                <w:color w:val="auto"/>
                <w:u w:val="none"/>
              </w:rPr>
              <w:t>安置</w:t>
            </w:r>
            <w:r>
              <w:rPr>
                <w:color w:val="auto"/>
                <w:u w:val="none"/>
              </w:rPr>
              <w:t>预制菜专用生产设备，建成3条生产线</w:t>
            </w:r>
            <w:r>
              <w:rPr>
                <w:rFonts w:hint="eastAsia"/>
                <w:color w:val="auto"/>
                <w:u w:val="none"/>
              </w:rPr>
              <w:t>，</w:t>
            </w:r>
            <w:r>
              <w:rPr>
                <w:color w:val="auto"/>
                <w:u w:val="none"/>
              </w:rPr>
              <w:t>项目建成后，形成年产2万吨预制菜生产加工能力</w:t>
            </w:r>
            <w:r>
              <w:rPr>
                <w:rFonts w:hint="eastAsia"/>
                <w:color w:val="auto"/>
                <w:u w:val="none"/>
              </w:rPr>
              <w:t>。</w:t>
            </w:r>
            <w:r>
              <w:rPr>
                <w:color w:val="auto"/>
                <w:kern w:val="0"/>
                <w:u w:val="none"/>
                <w:lang w:bidi="ar"/>
              </w:rPr>
              <w:t>项目建成后既可以满足当地市场需求，又增加了当地群众就业途径，既有良好的经济效益，又有明显的社会效益，对于促进经济社会协调、可持续发展具有重要意义。</w:t>
            </w:r>
          </w:p>
          <w:p>
            <w:pPr>
              <w:adjustRightInd w:val="0"/>
              <w:snapToGrid w:val="0"/>
              <w:ind w:firstLine="480"/>
              <w:rPr>
                <w:color w:val="auto"/>
              </w:rPr>
            </w:pPr>
            <w:r>
              <w:rPr>
                <w:color w:val="auto"/>
              </w:rPr>
              <w:t>为了预测评估该项目对环境质量带来的变化和可能产生的影响，为主管部门审查和决策、设计部门设计、项目的环境管理提供依据，并从环境保护的角度论证项目的可行性。根据《中华人民共和国环境保护法》《中华人民共和国环境影响评价法》和国务院第682号令《建设项目环境保护管理条例》的有关规定，该项目应当进行环境影响评价。根据</w:t>
            </w:r>
            <w:r>
              <w:rPr>
                <w:rFonts w:hint="eastAsia"/>
                <w:color w:val="auto"/>
              </w:rPr>
              <w:t>中华人民共和国生态环境部</w:t>
            </w:r>
            <w:r>
              <w:rPr>
                <w:color w:val="auto"/>
              </w:rPr>
              <w:t>令第16号《建设项目环境影响评价分类管理名录》（2021年版）划分，本项目属于第十一项“食品制造业”第24条“其它食品制造”中“其他未列明食品制造”类项目，</w:t>
            </w:r>
            <w:r>
              <w:rPr>
                <w:rFonts w:hint="eastAsia"/>
                <w:color w:val="auto"/>
              </w:rPr>
              <w:t>应编制环境影响报告表，</w:t>
            </w:r>
            <w:r>
              <w:rPr>
                <w:color w:val="auto"/>
              </w:rPr>
              <w:t>建设单位委托环评单位承担该项目的环境影响评价工作。评价单位在接到委托后，立即组织技术人员对项目现场进行调查及资料收集，在完成工程分析和环境影响因素识别的基础上按照有关法律法规和“环评技术导则”等技术规范要求，编制完成《川汉子肉制品精深加工项目（一期）环境影响报告表》，现上报审批。</w:t>
            </w:r>
          </w:p>
          <w:p>
            <w:pPr>
              <w:adjustRightInd w:val="0"/>
              <w:snapToGrid w:val="0"/>
              <w:ind w:firstLine="482"/>
              <w:rPr>
                <w:b/>
                <w:color w:val="auto"/>
                <w:szCs w:val="21"/>
              </w:rPr>
            </w:pPr>
            <w:r>
              <w:rPr>
                <w:b/>
                <w:color w:val="auto"/>
                <w:szCs w:val="21"/>
              </w:rPr>
              <w:t>2、项目概况</w:t>
            </w:r>
          </w:p>
          <w:p>
            <w:pPr>
              <w:adjustRightInd w:val="0"/>
              <w:snapToGrid w:val="0"/>
              <w:ind w:firstLine="480"/>
              <w:rPr>
                <w:bCs/>
                <w:color w:val="auto"/>
                <w:szCs w:val="21"/>
              </w:rPr>
            </w:pPr>
            <w:r>
              <w:rPr>
                <w:bCs/>
                <w:color w:val="auto"/>
                <w:szCs w:val="21"/>
              </w:rPr>
              <w:t>项目名称：</w:t>
            </w:r>
            <w:r>
              <w:rPr>
                <w:rFonts w:hint="eastAsia"/>
                <w:bCs/>
                <w:color w:val="auto"/>
                <w:szCs w:val="21"/>
              </w:rPr>
              <w:t>川汉子肉制品精深加工项目（一期）</w:t>
            </w:r>
          </w:p>
          <w:p>
            <w:pPr>
              <w:adjustRightInd w:val="0"/>
              <w:snapToGrid w:val="0"/>
              <w:ind w:firstLine="480"/>
              <w:rPr>
                <w:bCs/>
                <w:color w:val="auto"/>
                <w:szCs w:val="21"/>
              </w:rPr>
            </w:pPr>
            <w:r>
              <w:rPr>
                <w:bCs/>
                <w:color w:val="auto"/>
                <w:szCs w:val="21"/>
              </w:rPr>
              <w:t>项目性质：新建</w:t>
            </w:r>
          </w:p>
          <w:p>
            <w:pPr>
              <w:adjustRightInd w:val="0"/>
              <w:snapToGrid w:val="0"/>
              <w:ind w:firstLine="480"/>
              <w:rPr>
                <w:bCs/>
                <w:color w:val="auto"/>
                <w:szCs w:val="21"/>
              </w:rPr>
            </w:pPr>
            <w:r>
              <w:rPr>
                <w:bCs/>
                <w:color w:val="auto"/>
                <w:szCs w:val="21"/>
              </w:rPr>
              <w:t>建设地点：</w:t>
            </w:r>
            <w:r>
              <w:rPr>
                <w:rFonts w:hint="eastAsia"/>
                <w:bCs/>
                <w:color w:val="auto"/>
                <w:szCs w:val="21"/>
                <w:lang w:val="zh-TW"/>
              </w:rPr>
              <w:t>达州市通川区工业集中区食品大道</w:t>
            </w:r>
          </w:p>
          <w:p>
            <w:pPr>
              <w:adjustRightInd w:val="0"/>
              <w:snapToGrid w:val="0"/>
              <w:ind w:firstLine="480"/>
              <w:rPr>
                <w:bCs/>
                <w:color w:val="auto"/>
                <w:szCs w:val="21"/>
              </w:rPr>
            </w:pPr>
            <w:r>
              <w:rPr>
                <w:bCs/>
                <w:color w:val="auto"/>
                <w:szCs w:val="21"/>
              </w:rPr>
              <w:t>建设单位：</w:t>
            </w:r>
            <w:r>
              <w:rPr>
                <w:rFonts w:hint="eastAsia"/>
                <w:bCs/>
                <w:color w:val="auto"/>
                <w:szCs w:val="21"/>
              </w:rPr>
              <w:t>四川省川汉子食品实业有限公司</w:t>
            </w:r>
          </w:p>
          <w:p>
            <w:pPr>
              <w:adjustRightInd w:val="0"/>
              <w:snapToGrid w:val="0"/>
              <w:ind w:firstLine="480"/>
              <w:rPr>
                <w:bCs/>
                <w:color w:val="auto"/>
                <w:szCs w:val="21"/>
              </w:rPr>
            </w:pPr>
            <w:r>
              <w:rPr>
                <w:rFonts w:hint="eastAsia"/>
                <w:bCs/>
                <w:color w:val="auto"/>
                <w:szCs w:val="21"/>
              </w:rPr>
              <w:t>用地</w:t>
            </w:r>
            <w:r>
              <w:rPr>
                <w:bCs/>
                <w:color w:val="auto"/>
                <w:szCs w:val="21"/>
              </w:rPr>
              <w:t>面积：约</w:t>
            </w:r>
            <w:r>
              <w:rPr>
                <w:rFonts w:hint="eastAsia"/>
                <w:bCs/>
                <w:color w:val="auto"/>
                <w:szCs w:val="21"/>
              </w:rPr>
              <w:t>53360</w:t>
            </w:r>
            <w:r>
              <w:rPr>
                <w:bCs/>
                <w:color w:val="auto"/>
                <w:szCs w:val="21"/>
              </w:rPr>
              <w:t>m</w:t>
            </w:r>
            <w:r>
              <w:rPr>
                <w:bCs/>
                <w:color w:val="auto"/>
                <w:szCs w:val="21"/>
                <w:vertAlign w:val="superscript"/>
              </w:rPr>
              <w:t>2</w:t>
            </w:r>
          </w:p>
          <w:p>
            <w:pPr>
              <w:adjustRightInd w:val="0"/>
              <w:snapToGrid w:val="0"/>
              <w:ind w:firstLine="480"/>
              <w:rPr>
                <w:color w:val="auto"/>
              </w:rPr>
            </w:pPr>
            <w:r>
              <w:rPr>
                <w:bCs/>
                <w:color w:val="auto"/>
                <w:szCs w:val="21"/>
              </w:rPr>
              <w:t>建设内容及规模为：</w:t>
            </w:r>
            <w:r>
              <w:rPr>
                <w:rFonts w:hint="eastAsia"/>
                <w:color w:val="auto"/>
              </w:rPr>
              <w:t>四川省川汉子食品实业有限公司因企业自身发展需要，拟投资9000万元，共建设建筑面积约35000m</w:t>
            </w:r>
            <w:r>
              <w:rPr>
                <w:rFonts w:hint="eastAsia"/>
                <w:color w:val="auto"/>
                <w:vertAlign w:val="superscript"/>
              </w:rPr>
              <w:t>2</w:t>
            </w:r>
            <w:r>
              <w:rPr>
                <w:rFonts w:hint="eastAsia"/>
                <w:color w:val="auto"/>
              </w:rPr>
              <w:t>的生产厂房、辅助用房、科研大楼等构筑物，安置预制菜专用生产设备，建成3条生产线，项目建成后，形成年产 2 万吨</w:t>
            </w:r>
            <w:r>
              <w:rPr>
                <w:rFonts w:hint="eastAsia"/>
                <w:color w:val="auto"/>
                <w:lang w:val="en-US" w:eastAsia="zh-CN"/>
              </w:rPr>
              <w:t>食品加工</w:t>
            </w:r>
            <w:r>
              <w:rPr>
                <w:rFonts w:hint="eastAsia"/>
                <w:color w:val="auto"/>
              </w:rPr>
              <w:t>生产能力。</w:t>
            </w:r>
          </w:p>
          <w:p>
            <w:pPr>
              <w:pStyle w:val="11"/>
              <w:jc w:val="center"/>
              <w:rPr>
                <w:b/>
                <w:bCs/>
                <w:color w:val="auto"/>
                <w:sz w:val="21"/>
                <w:szCs w:val="21"/>
              </w:rPr>
            </w:pPr>
            <w:r>
              <w:rPr>
                <w:b/>
                <w:bCs/>
                <w:color w:val="auto"/>
                <w:sz w:val="21"/>
                <w:szCs w:val="21"/>
              </w:rPr>
              <w:t>表2-1      项目产品方案及生产规模     单位：（t/年）</w:t>
            </w:r>
          </w:p>
          <w:tbl>
            <w:tblPr>
              <w:tblStyle w:val="6"/>
              <w:tblW w:w="856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19"/>
              <w:gridCol w:w="2982"/>
              <w:gridCol w:w="39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601" w:type="dxa"/>
                  <w:gridSpan w:val="2"/>
                  <w:vAlign w:val="center"/>
                </w:tcPr>
                <w:p>
                  <w:pPr>
                    <w:pStyle w:val="11"/>
                    <w:jc w:val="center"/>
                    <w:rPr>
                      <w:b/>
                      <w:bCs/>
                      <w:color w:val="auto"/>
                      <w:sz w:val="21"/>
                      <w:szCs w:val="21"/>
                    </w:rPr>
                  </w:pPr>
                  <w:r>
                    <w:rPr>
                      <w:b/>
                      <w:bCs/>
                      <w:color w:val="auto"/>
                      <w:sz w:val="21"/>
                      <w:szCs w:val="21"/>
                    </w:rPr>
                    <w:t>产品型号</w:t>
                  </w:r>
                </w:p>
              </w:tc>
              <w:tc>
                <w:tcPr>
                  <w:tcW w:w="3967" w:type="dxa"/>
                  <w:vAlign w:val="center"/>
                </w:tcPr>
                <w:p>
                  <w:pPr>
                    <w:pStyle w:val="11"/>
                    <w:jc w:val="center"/>
                    <w:rPr>
                      <w:b/>
                      <w:bCs/>
                      <w:color w:val="auto"/>
                      <w:sz w:val="21"/>
                      <w:szCs w:val="21"/>
                    </w:rPr>
                  </w:pPr>
                  <w:r>
                    <w:rPr>
                      <w:b/>
                      <w:bCs/>
                      <w:color w:val="auto"/>
                      <w:sz w:val="21"/>
                      <w:szCs w:val="21"/>
                    </w:rPr>
                    <w:t>生产规模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restart"/>
                  <w:vAlign w:val="center"/>
                </w:tcPr>
                <w:p>
                  <w:pPr>
                    <w:pStyle w:val="11"/>
                    <w:jc w:val="center"/>
                    <w:rPr>
                      <w:color w:val="auto"/>
                      <w:sz w:val="21"/>
                      <w:szCs w:val="21"/>
                    </w:rPr>
                  </w:pPr>
                  <w:r>
                    <w:rPr>
                      <w:rFonts w:hint="eastAsia"/>
                      <w:color w:val="auto"/>
                      <w:sz w:val="21"/>
                      <w:szCs w:val="21"/>
                    </w:rPr>
                    <w:t>午餐肉罐头</w:t>
                  </w:r>
                </w:p>
              </w:tc>
              <w:tc>
                <w:tcPr>
                  <w:tcW w:w="2982" w:type="dxa"/>
                  <w:vAlign w:val="center"/>
                </w:tcPr>
                <w:p>
                  <w:pPr>
                    <w:pStyle w:val="11"/>
                    <w:jc w:val="center"/>
                    <w:rPr>
                      <w:color w:val="auto"/>
                      <w:sz w:val="21"/>
                      <w:szCs w:val="21"/>
                    </w:rPr>
                  </w:pPr>
                  <w:r>
                    <w:rPr>
                      <w:rFonts w:hint="eastAsia"/>
                      <w:color w:val="auto"/>
                      <w:sz w:val="21"/>
                      <w:szCs w:val="21"/>
                    </w:rPr>
                    <w:t>238克午餐肉</w:t>
                  </w:r>
                </w:p>
              </w:tc>
              <w:tc>
                <w:tcPr>
                  <w:tcW w:w="3967" w:type="dxa"/>
                  <w:vAlign w:val="bottom"/>
                </w:tcPr>
                <w:p>
                  <w:pPr>
                    <w:pStyle w:val="11"/>
                    <w:jc w:val="center"/>
                    <w:rPr>
                      <w:color w:val="auto"/>
                      <w:sz w:val="21"/>
                      <w:szCs w:val="21"/>
                    </w:rPr>
                  </w:pPr>
                  <w:r>
                    <w:rPr>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color w:val="auto"/>
                      <w:sz w:val="21"/>
                      <w:szCs w:val="21"/>
                    </w:rPr>
                  </w:pPr>
                  <w:r>
                    <w:rPr>
                      <w:rFonts w:hint="eastAsia"/>
                      <w:color w:val="auto"/>
                      <w:sz w:val="21"/>
                      <w:szCs w:val="21"/>
                    </w:rPr>
                    <w:t>5</w:t>
                  </w:r>
                  <w:r>
                    <w:rPr>
                      <w:color w:val="auto"/>
                      <w:sz w:val="21"/>
                      <w:szCs w:val="21"/>
                    </w:rPr>
                    <w:t>00克午餐肉</w:t>
                  </w:r>
                </w:p>
              </w:tc>
              <w:tc>
                <w:tcPr>
                  <w:tcW w:w="3967" w:type="dxa"/>
                  <w:vAlign w:val="bottom"/>
                </w:tcPr>
                <w:p>
                  <w:pPr>
                    <w:pStyle w:val="11"/>
                    <w:jc w:val="center"/>
                    <w:rPr>
                      <w:color w:val="auto"/>
                      <w:sz w:val="21"/>
                      <w:szCs w:val="21"/>
                    </w:rPr>
                  </w:pPr>
                  <w:r>
                    <w:rPr>
                      <w:color w:val="auto"/>
                      <w:sz w:val="21"/>
                      <w:szCs w:val="21"/>
                    </w:rPr>
                    <w:t>1500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color w:val="auto"/>
                      <w:sz w:val="21"/>
                      <w:szCs w:val="21"/>
                    </w:rPr>
                  </w:pPr>
                  <w:r>
                    <w:rPr>
                      <w:rFonts w:hint="eastAsia"/>
                      <w:color w:val="auto"/>
                      <w:sz w:val="21"/>
                      <w:szCs w:val="21"/>
                    </w:rPr>
                    <w:t>100克午餐肉</w:t>
                  </w:r>
                </w:p>
              </w:tc>
              <w:tc>
                <w:tcPr>
                  <w:tcW w:w="3967" w:type="dxa"/>
                  <w:vAlign w:val="bottom"/>
                </w:tcPr>
                <w:p>
                  <w:pPr>
                    <w:pStyle w:val="11"/>
                    <w:jc w:val="center"/>
                    <w:rPr>
                      <w:color w:val="auto"/>
                      <w:sz w:val="21"/>
                      <w:szCs w:val="21"/>
                    </w:rPr>
                  </w:pPr>
                  <w:r>
                    <w:rPr>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color w:val="auto"/>
                      <w:sz w:val="21"/>
                      <w:szCs w:val="21"/>
                    </w:rPr>
                  </w:pPr>
                  <w:r>
                    <w:rPr>
                      <w:rFonts w:hint="eastAsia"/>
                      <w:color w:val="auto"/>
                      <w:sz w:val="21"/>
                      <w:szCs w:val="21"/>
                    </w:rPr>
                    <w:t>1</w:t>
                  </w:r>
                  <w:r>
                    <w:rPr>
                      <w:color w:val="auto"/>
                      <w:sz w:val="21"/>
                      <w:szCs w:val="21"/>
                    </w:rPr>
                    <w:t>98克午餐肉</w:t>
                  </w:r>
                </w:p>
              </w:tc>
              <w:tc>
                <w:tcPr>
                  <w:tcW w:w="3967" w:type="dxa"/>
                  <w:vAlign w:val="bottom"/>
                </w:tcPr>
                <w:p>
                  <w:pPr>
                    <w:pStyle w:val="11"/>
                    <w:jc w:val="center"/>
                    <w:rPr>
                      <w:color w:val="auto"/>
                      <w:sz w:val="21"/>
                      <w:szCs w:val="21"/>
                    </w:rPr>
                  </w:pPr>
                  <w:r>
                    <w:rPr>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color w:val="auto"/>
                      <w:sz w:val="21"/>
                      <w:szCs w:val="21"/>
                    </w:rPr>
                  </w:pPr>
                  <w:r>
                    <w:rPr>
                      <w:rFonts w:hint="eastAsia"/>
                      <w:color w:val="auto"/>
                      <w:sz w:val="21"/>
                      <w:szCs w:val="21"/>
                    </w:rPr>
                    <w:t>3</w:t>
                  </w:r>
                  <w:r>
                    <w:rPr>
                      <w:color w:val="auto"/>
                      <w:sz w:val="21"/>
                      <w:szCs w:val="21"/>
                    </w:rPr>
                    <w:t>40克午餐肉</w:t>
                  </w:r>
                </w:p>
              </w:tc>
              <w:tc>
                <w:tcPr>
                  <w:tcW w:w="3967" w:type="dxa"/>
                  <w:vAlign w:val="bottom"/>
                </w:tcPr>
                <w:p>
                  <w:pPr>
                    <w:pStyle w:val="11"/>
                    <w:jc w:val="center"/>
                    <w:rPr>
                      <w:color w:val="auto"/>
                      <w:sz w:val="21"/>
                      <w:szCs w:val="21"/>
                    </w:rPr>
                  </w:pPr>
                  <w:r>
                    <w:rPr>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restart"/>
                  <w:vAlign w:val="center"/>
                </w:tcPr>
                <w:p>
                  <w:pPr>
                    <w:pStyle w:val="11"/>
                    <w:jc w:val="center"/>
                    <w:rPr>
                      <w:color w:val="auto"/>
                      <w:sz w:val="21"/>
                      <w:szCs w:val="21"/>
                    </w:rPr>
                  </w:pPr>
                  <w:r>
                    <w:rPr>
                      <w:rFonts w:hint="eastAsia"/>
                      <w:color w:val="auto"/>
                      <w:sz w:val="21"/>
                      <w:szCs w:val="21"/>
                    </w:rPr>
                    <w:t>红烧肉罐头</w:t>
                  </w:r>
                </w:p>
              </w:tc>
              <w:tc>
                <w:tcPr>
                  <w:tcW w:w="2982" w:type="dxa"/>
                  <w:vAlign w:val="center"/>
                </w:tcPr>
                <w:p>
                  <w:pPr>
                    <w:pStyle w:val="11"/>
                    <w:jc w:val="center"/>
                    <w:rPr>
                      <w:color w:val="auto"/>
                      <w:sz w:val="21"/>
                      <w:szCs w:val="21"/>
                    </w:rPr>
                  </w:pPr>
                  <w:r>
                    <w:rPr>
                      <w:rFonts w:hint="eastAsia"/>
                      <w:color w:val="auto"/>
                      <w:sz w:val="21"/>
                      <w:szCs w:val="21"/>
                    </w:rPr>
                    <w:t>340克红烧肉</w:t>
                  </w:r>
                </w:p>
              </w:tc>
              <w:tc>
                <w:tcPr>
                  <w:tcW w:w="3967" w:type="dxa"/>
                  <w:vAlign w:val="bottom"/>
                </w:tcPr>
                <w:p>
                  <w:pPr>
                    <w:pStyle w:val="11"/>
                    <w:jc w:val="center"/>
                    <w:rPr>
                      <w:color w:val="auto"/>
                      <w:sz w:val="21"/>
                      <w:szCs w:val="21"/>
                    </w:rPr>
                  </w:pPr>
                  <w:r>
                    <w:rPr>
                      <w:color w:val="auto"/>
                      <w:sz w:val="21"/>
                      <w:szCs w:val="21"/>
                    </w:rPr>
                    <w:t>2500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color w:val="auto"/>
                      <w:sz w:val="21"/>
                      <w:szCs w:val="21"/>
                    </w:rPr>
                  </w:pPr>
                  <w:r>
                    <w:rPr>
                      <w:rFonts w:hint="eastAsia"/>
                      <w:color w:val="auto"/>
                      <w:sz w:val="21"/>
                      <w:szCs w:val="21"/>
                    </w:rPr>
                    <w:t>500克红烧肉</w:t>
                  </w:r>
                </w:p>
              </w:tc>
              <w:tc>
                <w:tcPr>
                  <w:tcW w:w="3967" w:type="dxa"/>
                  <w:vAlign w:val="bottom"/>
                </w:tcPr>
                <w:p>
                  <w:pPr>
                    <w:pStyle w:val="11"/>
                    <w:jc w:val="center"/>
                    <w:rPr>
                      <w:color w:val="auto"/>
                      <w:sz w:val="21"/>
                      <w:szCs w:val="21"/>
                    </w:rPr>
                  </w:pPr>
                  <w:r>
                    <w:rPr>
                      <w:color w:val="auto"/>
                      <w:sz w:val="21"/>
                      <w:szCs w:val="21"/>
                    </w:rPr>
                    <w:t>2500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restart"/>
                  <w:vAlign w:val="center"/>
                </w:tcPr>
                <w:p>
                  <w:pPr>
                    <w:pStyle w:val="11"/>
                    <w:jc w:val="center"/>
                    <w:rPr>
                      <w:color w:val="auto"/>
                      <w:sz w:val="21"/>
                      <w:szCs w:val="21"/>
                    </w:rPr>
                  </w:pPr>
                  <w:r>
                    <w:rPr>
                      <w:rFonts w:hint="eastAsia"/>
                      <w:color w:val="auto"/>
                      <w:sz w:val="21"/>
                      <w:szCs w:val="21"/>
                    </w:rPr>
                    <w:t>小酥肉</w:t>
                  </w:r>
                </w:p>
              </w:tc>
              <w:tc>
                <w:tcPr>
                  <w:tcW w:w="2982" w:type="dxa"/>
                  <w:vAlign w:val="center"/>
                </w:tcPr>
                <w:p>
                  <w:pPr>
                    <w:pStyle w:val="11"/>
                    <w:jc w:val="center"/>
                    <w:rPr>
                      <w:color w:val="auto"/>
                      <w:sz w:val="21"/>
                      <w:szCs w:val="21"/>
                    </w:rPr>
                  </w:pPr>
                  <w:r>
                    <w:rPr>
                      <w:rFonts w:hint="eastAsia"/>
                      <w:color w:val="auto"/>
                      <w:sz w:val="21"/>
                      <w:szCs w:val="21"/>
                    </w:rPr>
                    <w:t>1000克小酥肉</w:t>
                  </w:r>
                </w:p>
              </w:tc>
              <w:tc>
                <w:tcPr>
                  <w:tcW w:w="3967" w:type="dxa"/>
                  <w:vAlign w:val="bottom"/>
                </w:tcPr>
                <w:p>
                  <w:pPr>
                    <w:pStyle w:val="11"/>
                    <w:jc w:val="center"/>
                    <w:rPr>
                      <w:color w:val="auto"/>
                      <w:sz w:val="21"/>
                      <w:szCs w:val="21"/>
                    </w:rPr>
                  </w:pPr>
                  <w:r>
                    <w:rPr>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color w:val="auto"/>
                      <w:sz w:val="21"/>
                      <w:szCs w:val="21"/>
                    </w:rPr>
                  </w:pPr>
                  <w:r>
                    <w:rPr>
                      <w:rFonts w:hint="eastAsia"/>
                      <w:color w:val="auto"/>
                      <w:sz w:val="21"/>
                      <w:szCs w:val="21"/>
                    </w:rPr>
                    <w:t>20000克小酥肉</w:t>
                  </w:r>
                </w:p>
              </w:tc>
              <w:tc>
                <w:tcPr>
                  <w:tcW w:w="3967" w:type="dxa"/>
                  <w:vAlign w:val="bottom"/>
                </w:tcPr>
                <w:p>
                  <w:pPr>
                    <w:pStyle w:val="11"/>
                    <w:jc w:val="center"/>
                    <w:rPr>
                      <w:color w:val="auto"/>
                      <w:sz w:val="21"/>
                      <w:szCs w:val="21"/>
                    </w:rPr>
                  </w:pPr>
                  <w:r>
                    <w:rPr>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restart"/>
                  <w:vAlign w:val="center"/>
                </w:tcPr>
                <w:p>
                  <w:pPr>
                    <w:pStyle w:val="11"/>
                    <w:jc w:val="center"/>
                    <w:rPr>
                      <w:rFonts w:hint="eastAsia" w:eastAsia="宋体"/>
                      <w:color w:val="auto"/>
                      <w:sz w:val="21"/>
                      <w:szCs w:val="21"/>
                      <w:lang w:eastAsia="zh-CN"/>
                    </w:rPr>
                  </w:pPr>
                  <w:r>
                    <w:rPr>
                      <w:rFonts w:hint="eastAsia"/>
                      <w:color w:val="auto"/>
                      <w:sz w:val="21"/>
                      <w:szCs w:val="21"/>
                      <w:lang w:eastAsia="zh-CN"/>
                    </w:rPr>
                    <w:t>预制菜</w:t>
                  </w:r>
                </w:p>
              </w:tc>
              <w:tc>
                <w:tcPr>
                  <w:tcW w:w="2982" w:type="dxa"/>
                  <w:vAlign w:val="center"/>
                </w:tcPr>
                <w:p>
                  <w:pPr>
                    <w:pStyle w:val="11"/>
                    <w:jc w:val="center"/>
                    <w:rPr>
                      <w:rFonts w:hint="eastAsia" w:eastAsia="宋体"/>
                      <w:color w:val="auto"/>
                      <w:sz w:val="21"/>
                      <w:szCs w:val="21"/>
                      <w:lang w:eastAsia="zh-CN"/>
                    </w:rPr>
                  </w:pPr>
                  <w:r>
                    <w:rPr>
                      <w:rFonts w:hint="eastAsia"/>
                      <w:color w:val="auto"/>
                      <w:sz w:val="21"/>
                      <w:szCs w:val="21"/>
                    </w:rPr>
                    <w:t>200克</w:t>
                  </w:r>
                  <w:r>
                    <w:rPr>
                      <w:rFonts w:hint="eastAsia"/>
                      <w:color w:val="auto"/>
                      <w:sz w:val="21"/>
                      <w:szCs w:val="21"/>
                      <w:lang w:eastAsia="zh-CN"/>
                    </w:rPr>
                    <w:t>预制菜</w:t>
                  </w:r>
                </w:p>
              </w:tc>
              <w:tc>
                <w:tcPr>
                  <w:tcW w:w="3967" w:type="dxa"/>
                  <w:vAlign w:val="bottom"/>
                </w:tcPr>
                <w:p>
                  <w:pPr>
                    <w:pStyle w:val="11"/>
                    <w:jc w:val="center"/>
                    <w:rPr>
                      <w:color w:val="auto"/>
                      <w:sz w:val="21"/>
                      <w:szCs w:val="21"/>
                    </w:rPr>
                  </w:pPr>
                  <w:r>
                    <w:rPr>
                      <w:rFonts w:hint="eastAsia"/>
                      <w:color w:val="auto"/>
                      <w:sz w:val="21"/>
                      <w:szCs w:val="21"/>
                    </w:rPr>
                    <w:t>5</w:t>
                  </w:r>
                  <w:r>
                    <w:rPr>
                      <w:color w:val="auto"/>
                      <w:sz w:val="21"/>
                      <w:szCs w:val="21"/>
                    </w:rPr>
                    <w:t>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rFonts w:hint="eastAsia" w:eastAsia="宋体"/>
                      <w:color w:val="auto"/>
                      <w:sz w:val="21"/>
                      <w:szCs w:val="21"/>
                      <w:lang w:eastAsia="zh-CN"/>
                    </w:rPr>
                  </w:pPr>
                  <w:r>
                    <w:rPr>
                      <w:rFonts w:hint="eastAsia"/>
                      <w:color w:val="auto"/>
                      <w:sz w:val="21"/>
                      <w:szCs w:val="21"/>
                    </w:rPr>
                    <w:t>500克</w:t>
                  </w:r>
                  <w:r>
                    <w:rPr>
                      <w:rFonts w:hint="eastAsia"/>
                      <w:color w:val="auto"/>
                      <w:sz w:val="21"/>
                      <w:szCs w:val="21"/>
                      <w:lang w:eastAsia="zh-CN"/>
                    </w:rPr>
                    <w:t>预制菜</w:t>
                  </w:r>
                </w:p>
              </w:tc>
              <w:tc>
                <w:tcPr>
                  <w:tcW w:w="3967" w:type="dxa"/>
                  <w:vAlign w:val="bottom"/>
                </w:tcPr>
                <w:p>
                  <w:pPr>
                    <w:pStyle w:val="11"/>
                    <w:jc w:val="center"/>
                    <w:rPr>
                      <w:color w:val="auto"/>
                      <w:sz w:val="21"/>
                      <w:szCs w:val="21"/>
                    </w:rPr>
                  </w:pPr>
                  <w:r>
                    <w:rPr>
                      <w:rFonts w:hint="eastAsia"/>
                      <w:color w:val="auto"/>
                      <w:sz w:val="21"/>
                      <w:szCs w:val="21"/>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rFonts w:hint="eastAsia" w:eastAsia="宋体"/>
                      <w:color w:val="auto"/>
                      <w:sz w:val="21"/>
                      <w:szCs w:val="21"/>
                      <w:lang w:eastAsia="zh-CN"/>
                    </w:rPr>
                  </w:pPr>
                  <w:r>
                    <w:rPr>
                      <w:rFonts w:hint="eastAsia"/>
                      <w:color w:val="auto"/>
                      <w:sz w:val="21"/>
                      <w:szCs w:val="21"/>
                    </w:rPr>
                    <w:t>1000克</w:t>
                  </w:r>
                  <w:r>
                    <w:rPr>
                      <w:rFonts w:hint="eastAsia"/>
                      <w:color w:val="auto"/>
                      <w:sz w:val="21"/>
                      <w:szCs w:val="21"/>
                      <w:lang w:eastAsia="zh-CN"/>
                    </w:rPr>
                    <w:t>预制菜</w:t>
                  </w:r>
                </w:p>
              </w:tc>
              <w:tc>
                <w:tcPr>
                  <w:tcW w:w="3967" w:type="dxa"/>
                  <w:vAlign w:val="bottom"/>
                </w:tcPr>
                <w:p>
                  <w:pPr>
                    <w:pStyle w:val="11"/>
                    <w:jc w:val="center"/>
                    <w:rPr>
                      <w:color w:val="auto"/>
                      <w:sz w:val="21"/>
                      <w:szCs w:val="21"/>
                    </w:rPr>
                  </w:pPr>
                  <w:r>
                    <w:rPr>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jc w:val="center"/>
              </w:trPr>
              <w:tc>
                <w:tcPr>
                  <w:tcW w:w="1619" w:type="dxa"/>
                  <w:vMerge w:val="restart"/>
                  <w:vAlign w:val="center"/>
                </w:tcPr>
                <w:p>
                  <w:pPr>
                    <w:pStyle w:val="11"/>
                    <w:jc w:val="center"/>
                    <w:rPr>
                      <w:color w:val="auto"/>
                      <w:sz w:val="21"/>
                      <w:szCs w:val="21"/>
                    </w:rPr>
                  </w:pPr>
                  <w:r>
                    <w:rPr>
                      <w:rFonts w:hint="eastAsia"/>
                      <w:color w:val="auto"/>
                      <w:sz w:val="21"/>
                      <w:szCs w:val="21"/>
                    </w:rPr>
                    <w:t>牛肉干</w:t>
                  </w:r>
                </w:p>
              </w:tc>
              <w:tc>
                <w:tcPr>
                  <w:tcW w:w="2982" w:type="dxa"/>
                  <w:vAlign w:val="center"/>
                </w:tcPr>
                <w:p>
                  <w:pPr>
                    <w:pStyle w:val="11"/>
                    <w:jc w:val="center"/>
                    <w:rPr>
                      <w:color w:val="auto"/>
                      <w:sz w:val="21"/>
                      <w:szCs w:val="21"/>
                    </w:rPr>
                  </w:pPr>
                  <w:r>
                    <w:rPr>
                      <w:rFonts w:hint="eastAsia"/>
                      <w:color w:val="auto"/>
                      <w:sz w:val="21"/>
                      <w:szCs w:val="21"/>
                    </w:rPr>
                    <w:t>50克牛肉干</w:t>
                  </w:r>
                </w:p>
              </w:tc>
              <w:tc>
                <w:tcPr>
                  <w:tcW w:w="3967" w:type="dxa"/>
                  <w:vAlign w:val="bottom"/>
                </w:tcPr>
                <w:p>
                  <w:pPr>
                    <w:pStyle w:val="11"/>
                    <w:jc w:val="center"/>
                    <w:rPr>
                      <w:color w:val="auto"/>
                      <w:sz w:val="21"/>
                      <w:szCs w:val="21"/>
                    </w:rPr>
                  </w:pPr>
                  <w:r>
                    <w:rPr>
                      <w:rFonts w:hint="eastAsia"/>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color w:val="auto"/>
                      <w:sz w:val="21"/>
                      <w:szCs w:val="21"/>
                    </w:rPr>
                  </w:pPr>
                  <w:r>
                    <w:rPr>
                      <w:rFonts w:hint="eastAsia"/>
                      <w:color w:val="auto"/>
                      <w:sz w:val="21"/>
                      <w:szCs w:val="21"/>
                    </w:rPr>
                    <w:t>100克牛肉干</w:t>
                  </w:r>
                </w:p>
              </w:tc>
              <w:tc>
                <w:tcPr>
                  <w:tcW w:w="3967" w:type="dxa"/>
                  <w:vAlign w:val="bottom"/>
                </w:tcPr>
                <w:p>
                  <w:pPr>
                    <w:pStyle w:val="11"/>
                    <w:jc w:val="center"/>
                    <w:rPr>
                      <w:color w:val="auto"/>
                      <w:sz w:val="21"/>
                      <w:szCs w:val="21"/>
                    </w:rPr>
                  </w:pPr>
                  <w:r>
                    <w:rPr>
                      <w:rFonts w:hint="eastAsia"/>
                      <w:color w:val="auto"/>
                      <w:sz w:val="21"/>
                      <w:szCs w:val="21"/>
                    </w:rPr>
                    <w:t>1500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color w:val="auto"/>
                      <w:sz w:val="21"/>
                      <w:szCs w:val="21"/>
                    </w:rPr>
                  </w:pPr>
                  <w:r>
                    <w:rPr>
                      <w:rFonts w:hint="eastAsia"/>
                      <w:color w:val="auto"/>
                      <w:sz w:val="21"/>
                      <w:szCs w:val="21"/>
                    </w:rPr>
                    <w:t>200克牛肉干</w:t>
                  </w:r>
                </w:p>
              </w:tc>
              <w:tc>
                <w:tcPr>
                  <w:tcW w:w="3967" w:type="dxa"/>
                  <w:vAlign w:val="bottom"/>
                </w:tcPr>
                <w:p>
                  <w:pPr>
                    <w:pStyle w:val="11"/>
                    <w:jc w:val="center"/>
                    <w:rPr>
                      <w:color w:val="auto"/>
                      <w:sz w:val="21"/>
                      <w:szCs w:val="21"/>
                    </w:rPr>
                  </w:pPr>
                  <w:r>
                    <w:rPr>
                      <w:rFonts w:hint="eastAsia"/>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1619" w:type="dxa"/>
                  <w:vMerge w:val="restart"/>
                  <w:vAlign w:val="center"/>
                </w:tcPr>
                <w:p>
                  <w:pPr>
                    <w:pStyle w:val="11"/>
                    <w:jc w:val="center"/>
                    <w:rPr>
                      <w:color w:val="auto"/>
                      <w:sz w:val="21"/>
                      <w:szCs w:val="21"/>
                    </w:rPr>
                  </w:pPr>
                  <w:r>
                    <w:rPr>
                      <w:rFonts w:hint="eastAsia"/>
                      <w:color w:val="auto"/>
                      <w:sz w:val="21"/>
                      <w:szCs w:val="21"/>
                    </w:rPr>
                    <w:t>灯影牛肉</w:t>
                  </w:r>
                </w:p>
              </w:tc>
              <w:tc>
                <w:tcPr>
                  <w:tcW w:w="2982" w:type="dxa"/>
                  <w:vAlign w:val="center"/>
                </w:tcPr>
                <w:p>
                  <w:pPr>
                    <w:pStyle w:val="11"/>
                    <w:jc w:val="center"/>
                    <w:rPr>
                      <w:color w:val="auto"/>
                      <w:sz w:val="21"/>
                      <w:szCs w:val="21"/>
                    </w:rPr>
                  </w:pPr>
                  <w:r>
                    <w:rPr>
                      <w:rFonts w:hint="eastAsia"/>
                      <w:color w:val="auto"/>
                      <w:sz w:val="21"/>
                      <w:szCs w:val="21"/>
                    </w:rPr>
                    <w:t>250克灯影牛肉</w:t>
                  </w:r>
                </w:p>
              </w:tc>
              <w:tc>
                <w:tcPr>
                  <w:tcW w:w="3967" w:type="dxa"/>
                  <w:vAlign w:val="bottom"/>
                </w:tcPr>
                <w:p>
                  <w:pPr>
                    <w:pStyle w:val="11"/>
                    <w:jc w:val="center"/>
                    <w:rPr>
                      <w:color w:val="auto"/>
                      <w:sz w:val="21"/>
                      <w:szCs w:val="21"/>
                    </w:rPr>
                  </w:pPr>
                  <w:r>
                    <w:rPr>
                      <w:rFonts w:hint="eastAsia"/>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1619" w:type="dxa"/>
                  <w:vMerge w:val="continue"/>
                  <w:vAlign w:val="center"/>
                </w:tcPr>
                <w:p>
                  <w:pPr>
                    <w:pStyle w:val="11"/>
                    <w:jc w:val="center"/>
                    <w:rPr>
                      <w:color w:val="auto"/>
                      <w:sz w:val="21"/>
                      <w:szCs w:val="21"/>
                    </w:rPr>
                  </w:pPr>
                </w:p>
              </w:tc>
              <w:tc>
                <w:tcPr>
                  <w:tcW w:w="2982" w:type="dxa"/>
                  <w:vAlign w:val="center"/>
                </w:tcPr>
                <w:p>
                  <w:pPr>
                    <w:pStyle w:val="11"/>
                    <w:jc w:val="center"/>
                    <w:rPr>
                      <w:color w:val="auto"/>
                      <w:sz w:val="21"/>
                      <w:szCs w:val="21"/>
                    </w:rPr>
                  </w:pPr>
                  <w:r>
                    <w:rPr>
                      <w:rFonts w:hint="eastAsia"/>
                      <w:color w:val="auto"/>
                      <w:sz w:val="21"/>
                      <w:szCs w:val="21"/>
                    </w:rPr>
                    <w:t>500克灯影牛肉</w:t>
                  </w:r>
                </w:p>
              </w:tc>
              <w:tc>
                <w:tcPr>
                  <w:tcW w:w="3967" w:type="dxa"/>
                  <w:vAlign w:val="bottom"/>
                </w:tcPr>
                <w:p>
                  <w:pPr>
                    <w:pStyle w:val="11"/>
                    <w:jc w:val="center"/>
                    <w:rPr>
                      <w:color w:val="auto"/>
                      <w:sz w:val="21"/>
                      <w:szCs w:val="21"/>
                    </w:rPr>
                  </w:pPr>
                  <w:r>
                    <w:rPr>
                      <w:rFonts w:hint="eastAsia"/>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4601" w:type="dxa"/>
                  <w:gridSpan w:val="2"/>
                  <w:vAlign w:val="center"/>
                </w:tcPr>
                <w:p>
                  <w:pPr>
                    <w:pStyle w:val="11"/>
                    <w:jc w:val="center"/>
                    <w:rPr>
                      <w:color w:val="auto"/>
                      <w:sz w:val="21"/>
                      <w:szCs w:val="21"/>
                    </w:rPr>
                  </w:pPr>
                  <w:r>
                    <w:rPr>
                      <w:rFonts w:hint="eastAsia"/>
                      <w:color w:val="auto"/>
                      <w:sz w:val="21"/>
                      <w:szCs w:val="21"/>
                    </w:rPr>
                    <w:t>合计</w:t>
                  </w:r>
                </w:p>
              </w:tc>
              <w:tc>
                <w:tcPr>
                  <w:tcW w:w="3967" w:type="dxa"/>
                  <w:vAlign w:val="center"/>
                </w:tcPr>
                <w:p>
                  <w:pPr>
                    <w:pStyle w:val="11"/>
                    <w:jc w:val="center"/>
                    <w:rPr>
                      <w:color w:val="auto"/>
                      <w:sz w:val="21"/>
                      <w:szCs w:val="21"/>
                    </w:rPr>
                  </w:pPr>
                  <w:r>
                    <w:rPr>
                      <w:rFonts w:hint="eastAsia"/>
                      <w:color w:val="auto"/>
                      <w:sz w:val="21"/>
                      <w:szCs w:val="21"/>
                    </w:rPr>
                    <w:t>20000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8" w:hRule="atLeast"/>
                <w:jc w:val="center"/>
              </w:trPr>
              <w:tc>
                <w:tcPr>
                  <w:tcW w:w="8568" w:type="dxa"/>
                  <w:gridSpan w:val="3"/>
                  <w:vAlign w:val="center"/>
                </w:tcPr>
                <w:p>
                  <w:pPr>
                    <w:pStyle w:val="11"/>
                    <w:jc w:val="both"/>
                    <w:rPr>
                      <w:color w:val="auto"/>
                      <w:sz w:val="21"/>
                      <w:szCs w:val="21"/>
                    </w:rPr>
                  </w:pPr>
                  <w:r>
                    <w:rPr>
                      <w:rFonts w:hint="eastAsia"/>
                      <w:color w:val="auto"/>
                      <w:sz w:val="21"/>
                      <w:szCs w:val="21"/>
                    </w:rPr>
                    <w:t>注：</w:t>
                  </w:r>
                </w:p>
                <w:p>
                  <w:pPr>
                    <w:pStyle w:val="11"/>
                    <w:jc w:val="both"/>
                    <w:rPr>
                      <w:color w:val="auto"/>
                      <w:sz w:val="21"/>
                      <w:szCs w:val="21"/>
                    </w:rPr>
                  </w:pPr>
                  <w:r>
                    <w:rPr>
                      <w:rFonts w:hint="eastAsia"/>
                      <w:color w:val="auto"/>
                      <w:sz w:val="21"/>
                      <w:szCs w:val="21"/>
                    </w:rPr>
                    <w:t xml:space="preserve">  ①、经业主单位介绍，产品型号根据市场需求进行相应调整；</w:t>
                  </w:r>
                </w:p>
                <w:p>
                  <w:pPr>
                    <w:pStyle w:val="11"/>
                    <w:jc w:val="both"/>
                    <w:rPr>
                      <w:color w:val="auto"/>
                      <w:sz w:val="21"/>
                      <w:szCs w:val="21"/>
                    </w:rPr>
                  </w:pPr>
                  <w:r>
                    <w:rPr>
                      <w:rFonts w:hint="eastAsia"/>
                      <w:color w:val="auto"/>
                      <w:sz w:val="21"/>
                      <w:szCs w:val="21"/>
                    </w:rPr>
                    <w:t xml:space="preserve">  ②、本项目罐头类产品参考执行《食品安全国家标准 罐头食品》（GB7098-2015）相关标准；</w:t>
                  </w:r>
                  <w:r>
                    <w:rPr>
                      <w:rFonts w:hint="eastAsia"/>
                      <w:color w:val="auto"/>
                      <w:sz w:val="21"/>
                      <w:szCs w:val="21"/>
                      <w:lang w:eastAsia="zh-CN"/>
                    </w:rPr>
                    <w:t>预制菜</w:t>
                  </w:r>
                  <w:r>
                    <w:rPr>
                      <w:rFonts w:hint="eastAsia"/>
                      <w:color w:val="auto"/>
                      <w:sz w:val="21"/>
                      <w:szCs w:val="21"/>
                    </w:rPr>
                    <w:t xml:space="preserve">类调制食品参考执行《食品安全国家标准 </w:t>
                  </w:r>
                  <w:r>
                    <w:rPr>
                      <w:rFonts w:ascii="Arial" w:hAnsi="Arial" w:cs="Arial"/>
                      <w:color w:val="auto"/>
                      <w:sz w:val="21"/>
                      <w:szCs w:val="21"/>
                      <w:shd w:val="clear" w:color="auto" w:fill="FFFFFF"/>
                    </w:rPr>
                    <w:t>速冻面米与</w:t>
                  </w:r>
                  <w:r>
                    <w:rPr>
                      <w:rFonts w:hint="eastAsia"/>
                      <w:color w:val="auto"/>
                      <w:sz w:val="21"/>
                      <w:szCs w:val="21"/>
                    </w:rPr>
                    <w:t xml:space="preserve">调制食品》（GB19295-2021）相关标准；小酥肉、牛肉干、灯影牛肉类食品参考执行《食品安全国家标准 </w:t>
                  </w:r>
                  <w:r>
                    <w:rPr>
                      <w:rFonts w:hint="eastAsia" w:ascii="Arial" w:hAnsi="Arial" w:cs="Arial"/>
                      <w:color w:val="auto"/>
                      <w:sz w:val="21"/>
                      <w:szCs w:val="21"/>
                      <w:shd w:val="clear" w:color="auto" w:fill="FFFFFF"/>
                    </w:rPr>
                    <w:t>熟肉</w:t>
                  </w:r>
                  <w:r>
                    <w:rPr>
                      <w:rFonts w:hint="eastAsia"/>
                      <w:color w:val="auto"/>
                      <w:sz w:val="21"/>
                      <w:szCs w:val="21"/>
                    </w:rPr>
                    <w:t>制品》（GB2726-2016）相关标准；</w:t>
                  </w:r>
                </w:p>
              </w:tc>
            </w:tr>
          </w:tbl>
          <w:p>
            <w:pPr>
              <w:adjustRightInd w:val="0"/>
              <w:snapToGrid w:val="0"/>
              <w:ind w:firstLine="482"/>
              <w:rPr>
                <w:b/>
                <w:color w:val="auto"/>
                <w:szCs w:val="21"/>
              </w:rPr>
            </w:pPr>
            <w:r>
              <w:rPr>
                <w:b/>
                <w:color w:val="auto"/>
                <w:szCs w:val="21"/>
              </w:rPr>
              <w:t>3、项目建设内容及项目组成</w:t>
            </w:r>
          </w:p>
          <w:p>
            <w:pPr>
              <w:adjustRightInd w:val="0"/>
              <w:snapToGrid w:val="0"/>
              <w:ind w:firstLine="480"/>
              <w:rPr>
                <w:bCs/>
                <w:color w:val="auto"/>
                <w:szCs w:val="21"/>
              </w:rPr>
            </w:pPr>
            <w:r>
              <w:rPr>
                <w:bCs/>
                <w:color w:val="auto"/>
                <w:szCs w:val="21"/>
              </w:rPr>
              <w:t>本项目建设内容见下表所示。</w:t>
            </w:r>
          </w:p>
          <w:p>
            <w:pPr>
              <w:pStyle w:val="11"/>
              <w:jc w:val="center"/>
              <w:rPr>
                <w:b/>
                <w:bCs/>
                <w:color w:val="auto"/>
                <w:sz w:val="21"/>
                <w:szCs w:val="21"/>
              </w:rPr>
            </w:pPr>
            <w:r>
              <w:rPr>
                <w:b/>
                <w:bCs/>
                <w:color w:val="auto"/>
                <w:sz w:val="21"/>
                <w:szCs w:val="21"/>
              </w:rPr>
              <w:t>表2-2    建设项目组成一览表</w:t>
            </w:r>
          </w:p>
          <w:tbl>
            <w:tblPr>
              <w:tblStyle w:val="6"/>
              <w:tblW w:w="86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751"/>
              <w:gridCol w:w="4718"/>
              <w:gridCol w:w="1138"/>
              <w:gridCol w:w="14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restart"/>
                  <w:vAlign w:val="center"/>
                </w:tcPr>
                <w:p>
                  <w:pPr>
                    <w:pStyle w:val="11"/>
                    <w:jc w:val="center"/>
                    <w:rPr>
                      <w:b/>
                      <w:bCs/>
                      <w:color w:val="auto"/>
                      <w:sz w:val="21"/>
                      <w:szCs w:val="21"/>
                    </w:rPr>
                  </w:pPr>
                  <w:r>
                    <w:rPr>
                      <w:b/>
                      <w:bCs/>
                      <w:color w:val="auto"/>
                      <w:sz w:val="21"/>
                      <w:szCs w:val="21"/>
                    </w:rPr>
                    <w:t>工程</w:t>
                  </w:r>
                </w:p>
                <w:p>
                  <w:pPr>
                    <w:pStyle w:val="11"/>
                    <w:jc w:val="center"/>
                    <w:rPr>
                      <w:b/>
                      <w:bCs/>
                      <w:color w:val="auto"/>
                      <w:sz w:val="21"/>
                      <w:szCs w:val="21"/>
                    </w:rPr>
                  </w:pPr>
                  <w:r>
                    <w:rPr>
                      <w:b/>
                      <w:bCs/>
                      <w:color w:val="auto"/>
                      <w:sz w:val="21"/>
                      <w:szCs w:val="21"/>
                    </w:rPr>
                    <w:t>类别</w:t>
                  </w:r>
                </w:p>
              </w:tc>
              <w:tc>
                <w:tcPr>
                  <w:tcW w:w="751" w:type="dxa"/>
                  <w:vMerge w:val="restart"/>
                  <w:vAlign w:val="center"/>
                </w:tcPr>
                <w:p>
                  <w:pPr>
                    <w:pStyle w:val="11"/>
                    <w:jc w:val="center"/>
                    <w:rPr>
                      <w:b/>
                      <w:bCs/>
                      <w:color w:val="auto"/>
                      <w:sz w:val="21"/>
                      <w:szCs w:val="21"/>
                    </w:rPr>
                  </w:pPr>
                  <w:r>
                    <w:rPr>
                      <w:b/>
                      <w:bCs/>
                      <w:color w:val="auto"/>
                      <w:sz w:val="21"/>
                      <w:szCs w:val="21"/>
                    </w:rPr>
                    <w:t>项目</w:t>
                  </w:r>
                </w:p>
              </w:tc>
              <w:tc>
                <w:tcPr>
                  <w:tcW w:w="4718" w:type="dxa"/>
                  <w:vMerge w:val="restart"/>
                  <w:vAlign w:val="center"/>
                </w:tcPr>
                <w:p>
                  <w:pPr>
                    <w:pStyle w:val="11"/>
                    <w:jc w:val="center"/>
                    <w:rPr>
                      <w:b/>
                      <w:bCs/>
                      <w:color w:val="auto"/>
                      <w:sz w:val="21"/>
                      <w:szCs w:val="21"/>
                    </w:rPr>
                  </w:pPr>
                  <w:r>
                    <w:rPr>
                      <w:b/>
                      <w:bCs/>
                      <w:color w:val="auto"/>
                      <w:sz w:val="21"/>
                      <w:szCs w:val="21"/>
                    </w:rPr>
                    <w:t>规模</w:t>
                  </w:r>
                </w:p>
              </w:tc>
              <w:tc>
                <w:tcPr>
                  <w:tcW w:w="2567" w:type="dxa"/>
                  <w:gridSpan w:val="2"/>
                  <w:vAlign w:val="center"/>
                </w:tcPr>
                <w:p>
                  <w:pPr>
                    <w:pStyle w:val="11"/>
                    <w:jc w:val="center"/>
                    <w:rPr>
                      <w:b/>
                      <w:bCs/>
                      <w:color w:val="auto"/>
                      <w:sz w:val="21"/>
                      <w:szCs w:val="21"/>
                    </w:rPr>
                  </w:pPr>
                  <w:r>
                    <w:rPr>
                      <w:rFonts w:hint="eastAsia"/>
                      <w:b/>
                      <w:bCs/>
                      <w:color w:val="auto"/>
                      <w:sz w:val="21"/>
                      <w:szCs w:val="21"/>
                      <w:lang w:val="en-US" w:eastAsia="zh-CN"/>
                    </w:rPr>
                    <w:t>可能产生的</w:t>
                  </w:r>
                  <w:r>
                    <w:rPr>
                      <w:b/>
                      <w:bCs/>
                      <w:color w:val="auto"/>
                      <w:sz w:val="21"/>
                      <w:szCs w:val="21"/>
                    </w:rPr>
                    <w:t>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continue"/>
                  <w:vAlign w:val="center"/>
                </w:tcPr>
                <w:p>
                  <w:pPr>
                    <w:pStyle w:val="11"/>
                    <w:jc w:val="center"/>
                    <w:rPr>
                      <w:color w:val="auto"/>
                      <w:sz w:val="21"/>
                      <w:szCs w:val="21"/>
                    </w:rPr>
                  </w:pPr>
                </w:p>
              </w:tc>
              <w:tc>
                <w:tcPr>
                  <w:tcW w:w="751" w:type="dxa"/>
                  <w:vMerge w:val="continue"/>
                  <w:vAlign w:val="center"/>
                </w:tcPr>
                <w:p>
                  <w:pPr>
                    <w:pStyle w:val="11"/>
                    <w:jc w:val="center"/>
                    <w:rPr>
                      <w:color w:val="auto"/>
                      <w:sz w:val="21"/>
                      <w:szCs w:val="21"/>
                    </w:rPr>
                  </w:pPr>
                </w:p>
              </w:tc>
              <w:tc>
                <w:tcPr>
                  <w:tcW w:w="4718" w:type="dxa"/>
                  <w:vMerge w:val="continue"/>
                  <w:vAlign w:val="center"/>
                </w:tcPr>
                <w:p>
                  <w:pPr>
                    <w:pStyle w:val="11"/>
                    <w:jc w:val="center"/>
                    <w:rPr>
                      <w:b/>
                      <w:bCs/>
                      <w:color w:val="auto"/>
                      <w:sz w:val="21"/>
                      <w:szCs w:val="21"/>
                    </w:rPr>
                  </w:pPr>
                </w:p>
              </w:tc>
              <w:tc>
                <w:tcPr>
                  <w:tcW w:w="1138" w:type="dxa"/>
                  <w:vAlign w:val="center"/>
                </w:tcPr>
                <w:p>
                  <w:pPr>
                    <w:pStyle w:val="11"/>
                    <w:jc w:val="center"/>
                    <w:rPr>
                      <w:b/>
                      <w:bCs/>
                      <w:color w:val="auto"/>
                      <w:sz w:val="21"/>
                      <w:szCs w:val="21"/>
                    </w:rPr>
                  </w:pPr>
                  <w:r>
                    <w:rPr>
                      <w:b/>
                      <w:bCs/>
                      <w:color w:val="auto"/>
                      <w:sz w:val="21"/>
                      <w:szCs w:val="21"/>
                    </w:rPr>
                    <w:t>施工期</w:t>
                  </w:r>
                </w:p>
              </w:tc>
              <w:tc>
                <w:tcPr>
                  <w:tcW w:w="1429" w:type="dxa"/>
                  <w:vAlign w:val="center"/>
                </w:tcPr>
                <w:p>
                  <w:pPr>
                    <w:pStyle w:val="11"/>
                    <w:jc w:val="center"/>
                    <w:rPr>
                      <w:b/>
                      <w:bCs/>
                      <w:color w:val="auto"/>
                      <w:sz w:val="21"/>
                      <w:szCs w:val="21"/>
                    </w:rPr>
                  </w:pPr>
                  <w:r>
                    <w:rPr>
                      <w:b/>
                      <w:bCs/>
                      <w:color w:val="auto"/>
                      <w:sz w:val="21"/>
                      <w:szCs w:val="21"/>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restart"/>
                  <w:vAlign w:val="center"/>
                </w:tcPr>
                <w:p>
                  <w:pPr>
                    <w:pStyle w:val="11"/>
                    <w:jc w:val="center"/>
                    <w:rPr>
                      <w:color w:val="auto"/>
                      <w:sz w:val="21"/>
                      <w:szCs w:val="21"/>
                    </w:rPr>
                  </w:pPr>
                  <w:r>
                    <w:rPr>
                      <w:color w:val="auto"/>
                      <w:sz w:val="21"/>
                      <w:szCs w:val="21"/>
                    </w:rPr>
                    <w:t>主体工程</w:t>
                  </w:r>
                </w:p>
              </w:tc>
              <w:tc>
                <w:tcPr>
                  <w:tcW w:w="751" w:type="dxa"/>
                  <w:vAlign w:val="center"/>
                </w:tcPr>
                <w:p>
                  <w:pPr>
                    <w:pStyle w:val="11"/>
                    <w:jc w:val="center"/>
                    <w:rPr>
                      <w:color w:val="auto"/>
                      <w:sz w:val="21"/>
                      <w:szCs w:val="21"/>
                    </w:rPr>
                  </w:pPr>
                  <w:r>
                    <w:rPr>
                      <w:color w:val="auto"/>
                      <w:sz w:val="21"/>
                      <w:szCs w:val="21"/>
                    </w:rPr>
                    <w:t>1号生产车间</w:t>
                  </w:r>
                </w:p>
              </w:tc>
              <w:tc>
                <w:tcPr>
                  <w:tcW w:w="4718" w:type="dxa"/>
                  <w:vAlign w:val="center"/>
                </w:tcPr>
                <w:p>
                  <w:pPr>
                    <w:pStyle w:val="11"/>
                    <w:jc w:val="both"/>
                    <w:rPr>
                      <w:rFonts w:hint="default" w:eastAsia="宋体"/>
                      <w:color w:val="auto"/>
                      <w:sz w:val="21"/>
                      <w:szCs w:val="21"/>
                      <w:lang w:val="en-US" w:eastAsia="zh-CN"/>
                    </w:rPr>
                  </w:pPr>
                  <w:r>
                    <w:rPr>
                      <w:color w:val="auto"/>
                      <w:sz w:val="21"/>
                      <w:szCs w:val="21"/>
                    </w:rPr>
                    <w:t>钢结构，层高15.9m，2F，总建筑面积约16359m</w:t>
                  </w:r>
                  <w:r>
                    <w:rPr>
                      <w:color w:val="auto"/>
                      <w:sz w:val="21"/>
                      <w:szCs w:val="21"/>
                      <w:vertAlign w:val="superscript"/>
                    </w:rPr>
                    <w:t>2</w:t>
                  </w:r>
                  <w:r>
                    <w:rPr>
                      <w:color w:val="auto"/>
                      <w:sz w:val="21"/>
                      <w:szCs w:val="21"/>
                    </w:rPr>
                    <w:t>，主要进行午餐肉、红烧肉、小酥肉产品的生产加工，设置解冻、分割、腌制、拌和、</w:t>
                  </w:r>
                  <w:r>
                    <w:rPr>
                      <w:rFonts w:hint="eastAsia"/>
                      <w:color w:val="auto"/>
                      <w:sz w:val="21"/>
                      <w:szCs w:val="21"/>
                      <w:lang w:eastAsia="zh-CN"/>
                    </w:rPr>
                    <w:t>预煮</w:t>
                  </w:r>
                  <w:r>
                    <w:rPr>
                      <w:color w:val="auto"/>
                      <w:sz w:val="21"/>
                      <w:szCs w:val="21"/>
                    </w:rPr>
                    <w:t>、油炸、灌装、杀菌等生产区，配套安装分割机、切条机、搅拌机、油炸机、灌装机、封口机、清洗机、烘干机、</w:t>
                  </w:r>
                  <w:r>
                    <w:rPr>
                      <w:rFonts w:hint="eastAsia"/>
                      <w:color w:val="auto"/>
                      <w:sz w:val="21"/>
                      <w:szCs w:val="21"/>
                      <w:lang w:eastAsia="zh-CN"/>
                    </w:rPr>
                    <w:t>加热釜</w:t>
                  </w:r>
                  <w:r>
                    <w:rPr>
                      <w:color w:val="auto"/>
                      <w:sz w:val="21"/>
                      <w:szCs w:val="21"/>
                    </w:rPr>
                    <w:t>等相应生产设备</w:t>
                  </w:r>
                  <w:r>
                    <w:rPr>
                      <w:rFonts w:hint="eastAsia"/>
                      <w:color w:val="auto"/>
                      <w:sz w:val="21"/>
                      <w:szCs w:val="21"/>
                      <w:lang w:eastAsia="zh-CN"/>
                    </w:rPr>
                    <w:t>，</w:t>
                  </w:r>
                  <w:r>
                    <w:rPr>
                      <w:rFonts w:hint="eastAsia"/>
                      <w:color w:val="auto"/>
                      <w:sz w:val="21"/>
                      <w:szCs w:val="21"/>
                      <w:lang w:val="en-US" w:eastAsia="zh-CN"/>
                    </w:rPr>
                    <w:t>其中，午餐肉、红烧肉产品位于第1层，小酥肉产品位于第2层；</w:t>
                  </w:r>
                </w:p>
              </w:tc>
              <w:tc>
                <w:tcPr>
                  <w:tcW w:w="1138" w:type="dxa"/>
                  <w:vMerge w:val="restart"/>
                  <w:vAlign w:val="center"/>
                </w:tcPr>
                <w:p>
                  <w:pPr>
                    <w:pStyle w:val="11"/>
                    <w:jc w:val="center"/>
                    <w:rPr>
                      <w:rFonts w:hint="default" w:eastAsia="宋体"/>
                      <w:color w:val="auto"/>
                      <w:sz w:val="21"/>
                      <w:szCs w:val="21"/>
                      <w:lang w:val="en-US" w:eastAsia="zh-CN"/>
                    </w:rPr>
                  </w:pPr>
                  <w:r>
                    <w:rPr>
                      <w:color w:val="auto"/>
                      <w:sz w:val="21"/>
                      <w:szCs w:val="21"/>
                    </w:rPr>
                    <w:t>建筑垃圾、生活垃圾、</w:t>
                  </w:r>
                  <w:r>
                    <w:rPr>
                      <w:rFonts w:hint="eastAsia"/>
                      <w:color w:val="auto"/>
                      <w:sz w:val="21"/>
                      <w:szCs w:val="21"/>
                      <w:lang w:val="en-US" w:eastAsia="zh-CN"/>
                    </w:rPr>
                    <w:t>生活污水、粉尘、噪声等</w:t>
                  </w:r>
                </w:p>
              </w:tc>
              <w:tc>
                <w:tcPr>
                  <w:tcW w:w="1429" w:type="dxa"/>
                  <w:vAlign w:val="center"/>
                </w:tcPr>
                <w:p>
                  <w:pPr>
                    <w:pStyle w:val="11"/>
                    <w:jc w:val="center"/>
                    <w:rPr>
                      <w:color w:val="auto"/>
                      <w:sz w:val="21"/>
                      <w:szCs w:val="21"/>
                    </w:rPr>
                  </w:pPr>
                  <w:r>
                    <w:rPr>
                      <w:color w:val="auto"/>
                      <w:sz w:val="21"/>
                      <w:szCs w:val="21"/>
                    </w:rPr>
                    <w:t>噪声、固废、废气、废水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color w:val="auto"/>
                      <w:sz w:val="21"/>
                      <w:szCs w:val="21"/>
                    </w:rPr>
                  </w:pPr>
                  <w:r>
                    <w:rPr>
                      <w:color w:val="auto"/>
                      <w:sz w:val="21"/>
                      <w:szCs w:val="21"/>
                    </w:rPr>
                    <w:t>2号生产车间</w:t>
                  </w:r>
                </w:p>
              </w:tc>
              <w:tc>
                <w:tcPr>
                  <w:tcW w:w="4718" w:type="dxa"/>
                  <w:vAlign w:val="center"/>
                </w:tcPr>
                <w:p>
                  <w:pPr>
                    <w:pStyle w:val="11"/>
                    <w:jc w:val="both"/>
                    <w:rPr>
                      <w:color w:val="auto"/>
                      <w:sz w:val="21"/>
                      <w:szCs w:val="21"/>
                    </w:rPr>
                  </w:pPr>
                  <w:r>
                    <w:rPr>
                      <w:color w:val="auto"/>
                      <w:sz w:val="21"/>
                      <w:szCs w:val="21"/>
                    </w:rPr>
                    <w:t>钢结构，层高16.2m，2F，总建筑面积约4813m</w:t>
                  </w:r>
                  <w:r>
                    <w:rPr>
                      <w:color w:val="auto"/>
                      <w:sz w:val="21"/>
                      <w:szCs w:val="21"/>
                      <w:vertAlign w:val="superscript"/>
                    </w:rPr>
                    <w:t>2</w:t>
                  </w:r>
                  <w:r>
                    <w:rPr>
                      <w:color w:val="auto"/>
                      <w:sz w:val="21"/>
                      <w:szCs w:val="21"/>
                    </w:rPr>
                    <w:t>，主要进行</w:t>
                  </w:r>
                  <w:r>
                    <w:rPr>
                      <w:rFonts w:hint="eastAsia"/>
                      <w:color w:val="auto"/>
                      <w:sz w:val="21"/>
                      <w:szCs w:val="21"/>
                      <w:lang w:val="en-US" w:eastAsia="zh-CN"/>
                    </w:rPr>
                    <w:t>预制菜</w:t>
                  </w:r>
                  <w:r>
                    <w:rPr>
                      <w:color w:val="auto"/>
                      <w:sz w:val="21"/>
                      <w:szCs w:val="21"/>
                    </w:rPr>
                    <w:t>、灯影牛肉产品的生产加工，设置解冻、分割、腌制、包装等生产区，配套安装分割机、切条机、搅拌机等相应生产设备</w:t>
                  </w:r>
                  <w:r>
                    <w:rPr>
                      <w:rFonts w:hint="eastAsia"/>
                      <w:color w:val="auto"/>
                      <w:sz w:val="21"/>
                      <w:szCs w:val="21"/>
                      <w:lang w:eastAsia="zh-CN"/>
                    </w:rPr>
                    <w:t>，</w:t>
                  </w:r>
                  <w:r>
                    <w:rPr>
                      <w:rFonts w:hint="eastAsia"/>
                      <w:color w:val="auto"/>
                      <w:sz w:val="21"/>
                      <w:szCs w:val="21"/>
                      <w:lang w:val="en-US" w:eastAsia="zh-CN"/>
                    </w:rPr>
                    <w:t>其中，预制菜产品位于第1层，灯影牛肉产品位于第2层；</w:t>
                  </w:r>
                </w:p>
              </w:tc>
              <w:tc>
                <w:tcPr>
                  <w:tcW w:w="1138" w:type="dxa"/>
                  <w:vMerge w:val="continue"/>
                  <w:vAlign w:val="center"/>
                </w:tcPr>
                <w:p>
                  <w:pPr>
                    <w:pStyle w:val="11"/>
                    <w:jc w:val="both"/>
                    <w:rPr>
                      <w:color w:val="auto"/>
                      <w:sz w:val="21"/>
                      <w:szCs w:val="21"/>
                    </w:rPr>
                  </w:pPr>
                </w:p>
              </w:tc>
              <w:tc>
                <w:tcPr>
                  <w:tcW w:w="1429" w:type="dxa"/>
                  <w:vAlign w:val="center"/>
                </w:tcPr>
                <w:p>
                  <w:pPr>
                    <w:pStyle w:val="11"/>
                    <w:jc w:val="both"/>
                    <w:rPr>
                      <w:color w:val="auto"/>
                      <w:sz w:val="21"/>
                      <w:szCs w:val="21"/>
                    </w:rPr>
                  </w:pPr>
                  <w:r>
                    <w:rPr>
                      <w:color w:val="auto"/>
                      <w:sz w:val="21"/>
                      <w:szCs w:val="21"/>
                    </w:rPr>
                    <w:t>噪声、固废、废气、废水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color w:val="auto"/>
                      <w:sz w:val="21"/>
                      <w:szCs w:val="21"/>
                    </w:rPr>
                  </w:pPr>
                  <w:r>
                    <w:rPr>
                      <w:color w:val="auto"/>
                      <w:sz w:val="21"/>
                      <w:szCs w:val="21"/>
                    </w:rPr>
                    <w:t>3号生产车间</w:t>
                  </w:r>
                </w:p>
              </w:tc>
              <w:tc>
                <w:tcPr>
                  <w:tcW w:w="4718" w:type="dxa"/>
                  <w:vAlign w:val="center"/>
                </w:tcPr>
                <w:p>
                  <w:pPr>
                    <w:pStyle w:val="11"/>
                    <w:jc w:val="both"/>
                    <w:rPr>
                      <w:color w:val="auto"/>
                      <w:sz w:val="21"/>
                      <w:szCs w:val="21"/>
                    </w:rPr>
                  </w:pPr>
                  <w:r>
                    <w:rPr>
                      <w:color w:val="auto"/>
                      <w:sz w:val="21"/>
                      <w:szCs w:val="21"/>
                    </w:rPr>
                    <w:t>钢结构，层高16.2m，3F，总建筑面积约7156m</w:t>
                  </w:r>
                  <w:r>
                    <w:rPr>
                      <w:color w:val="auto"/>
                      <w:sz w:val="21"/>
                      <w:szCs w:val="21"/>
                      <w:vertAlign w:val="superscript"/>
                    </w:rPr>
                    <w:t>2</w:t>
                  </w:r>
                  <w:r>
                    <w:rPr>
                      <w:color w:val="auto"/>
                      <w:sz w:val="21"/>
                      <w:szCs w:val="21"/>
                    </w:rPr>
                    <w:t>，设置为备用库房；</w:t>
                  </w:r>
                </w:p>
              </w:tc>
              <w:tc>
                <w:tcPr>
                  <w:tcW w:w="1138" w:type="dxa"/>
                  <w:vMerge w:val="continue"/>
                  <w:vAlign w:val="center"/>
                </w:tcPr>
                <w:p>
                  <w:pPr>
                    <w:pStyle w:val="11"/>
                    <w:jc w:val="both"/>
                    <w:rPr>
                      <w:color w:val="auto"/>
                      <w:sz w:val="21"/>
                      <w:szCs w:val="21"/>
                    </w:rPr>
                  </w:pPr>
                </w:p>
              </w:tc>
              <w:tc>
                <w:tcPr>
                  <w:tcW w:w="1429" w:type="dxa"/>
                  <w:vAlign w:val="center"/>
                </w:tcPr>
                <w:p>
                  <w:pPr>
                    <w:pStyle w:val="11"/>
                    <w:jc w:val="both"/>
                    <w:rPr>
                      <w:color w:val="auto"/>
                      <w:sz w:val="21"/>
                      <w:szCs w:val="21"/>
                    </w:rPr>
                  </w:pPr>
                  <w:r>
                    <w:rPr>
                      <w:color w:val="auto"/>
                      <w:sz w:val="21"/>
                      <w:szCs w:val="21"/>
                    </w:rPr>
                    <w:t>噪声、固废、废气、废水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color w:val="auto"/>
                      <w:sz w:val="21"/>
                      <w:szCs w:val="21"/>
                    </w:rPr>
                  </w:pPr>
                  <w:r>
                    <w:rPr>
                      <w:color w:val="auto"/>
                      <w:sz w:val="21"/>
                      <w:szCs w:val="21"/>
                    </w:rPr>
                    <w:t>4号生产车间</w:t>
                  </w:r>
                </w:p>
              </w:tc>
              <w:tc>
                <w:tcPr>
                  <w:tcW w:w="4718" w:type="dxa"/>
                  <w:vAlign w:val="center"/>
                </w:tcPr>
                <w:p>
                  <w:pPr>
                    <w:pStyle w:val="11"/>
                    <w:jc w:val="both"/>
                    <w:rPr>
                      <w:color w:val="auto"/>
                      <w:sz w:val="21"/>
                      <w:szCs w:val="21"/>
                    </w:rPr>
                  </w:pPr>
                  <w:r>
                    <w:rPr>
                      <w:color w:val="auto"/>
                      <w:sz w:val="21"/>
                      <w:szCs w:val="21"/>
                    </w:rPr>
                    <w:t>钢结构，层高16.2m，3F，总建筑面积约22410m</w:t>
                  </w:r>
                  <w:r>
                    <w:rPr>
                      <w:color w:val="auto"/>
                      <w:sz w:val="21"/>
                      <w:szCs w:val="21"/>
                      <w:vertAlign w:val="superscript"/>
                    </w:rPr>
                    <w:t>2</w:t>
                  </w:r>
                  <w:r>
                    <w:rPr>
                      <w:color w:val="auto"/>
                      <w:sz w:val="21"/>
                      <w:szCs w:val="21"/>
                    </w:rPr>
                    <w:t>，主要进行牛肉干产品的生产加工，设置解冻、分割、腌制、拌和、烘干、灌装、杀菌等生产区，配套安装分割机、切条机、搅拌机、灌装机、封口机、清洗机、烘干机、</w:t>
                  </w:r>
                  <w:r>
                    <w:rPr>
                      <w:rFonts w:hint="eastAsia"/>
                      <w:color w:val="auto"/>
                      <w:sz w:val="21"/>
                      <w:szCs w:val="21"/>
                      <w:lang w:eastAsia="zh-CN"/>
                    </w:rPr>
                    <w:t>加热釜</w:t>
                  </w:r>
                  <w:r>
                    <w:rPr>
                      <w:color w:val="auto"/>
                      <w:sz w:val="21"/>
                      <w:szCs w:val="21"/>
                    </w:rPr>
                    <w:t>等相应生产设备；</w:t>
                  </w:r>
                </w:p>
              </w:tc>
              <w:tc>
                <w:tcPr>
                  <w:tcW w:w="1138" w:type="dxa"/>
                  <w:vMerge w:val="continue"/>
                  <w:vAlign w:val="center"/>
                </w:tcPr>
                <w:p>
                  <w:pPr>
                    <w:pStyle w:val="11"/>
                    <w:jc w:val="both"/>
                    <w:rPr>
                      <w:color w:val="auto"/>
                      <w:sz w:val="21"/>
                      <w:szCs w:val="21"/>
                    </w:rPr>
                  </w:pPr>
                </w:p>
              </w:tc>
              <w:tc>
                <w:tcPr>
                  <w:tcW w:w="1429" w:type="dxa"/>
                  <w:vAlign w:val="center"/>
                </w:tcPr>
                <w:p>
                  <w:pPr>
                    <w:pStyle w:val="11"/>
                    <w:jc w:val="both"/>
                    <w:rPr>
                      <w:color w:val="auto"/>
                      <w:sz w:val="21"/>
                      <w:szCs w:val="21"/>
                    </w:rPr>
                  </w:pPr>
                  <w:r>
                    <w:rPr>
                      <w:color w:val="auto"/>
                      <w:sz w:val="21"/>
                      <w:szCs w:val="21"/>
                    </w:rPr>
                    <w:t>噪声、固废、废气、废水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restart"/>
                  <w:vAlign w:val="center"/>
                </w:tcPr>
                <w:p>
                  <w:pPr>
                    <w:pStyle w:val="11"/>
                    <w:jc w:val="both"/>
                    <w:rPr>
                      <w:rFonts w:hint="default" w:eastAsia="宋体"/>
                      <w:color w:val="auto"/>
                      <w:sz w:val="21"/>
                      <w:szCs w:val="21"/>
                      <w:lang w:val="en-US" w:eastAsia="zh-CN"/>
                    </w:rPr>
                  </w:pPr>
                  <w:r>
                    <w:rPr>
                      <w:rFonts w:hint="eastAsia"/>
                      <w:color w:val="auto"/>
                      <w:sz w:val="21"/>
                      <w:szCs w:val="21"/>
                      <w:lang w:val="en-US" w:eastAsia="zh-CN"/>
                    </w:rPr>
                    <w:t>仓储工程</w:t>
                  </w:r>
                </w:p>
              </w:tc>
              <w:tc>
                <w:tcPr>
                  <w:tcW w:w="751" w:type="dxa"/>
                  <w:vMerge w:val="restart"/>
                  <w:vAlign w:val="center"/>
                </w:tcPr>
                <w:p>
                  <w:pPr>
                    <w:pStyle w:val="11"/>
                    <w:jc w:val="center"/>
                    <w:rPr>
                      <w:color w:val="auto"/>
                      <w:sz w:val="21"/>
                      <w:szCs w:val="21"/>
                    </w:rPr>
                  </w:pPr>
                  <w:r>
                    <w:rPr>
                      <w:rFonts w:hint="eastAsia"/>
                      <w:color w:val="auto"/>
                      <w:sz w:val="21"/>
                      <w:szCs w:val="21"/>
                      <w:lang w:val="en-US" w:eastAsia="zh-CN"/>
                    </w:rPr>
                    <w:t>冻库</w:t>
                  </w:r>
                </w:p>
              </w:tc>
              <w:tc>
                <w:tcPr>
                  <w:tcW w:w="4718" w:type="dxa"/>
                  <w:vAlign w:val="center"/>
                </w:tcPr>
                <w:p>
                  <w:pPr>
                    <w:pStyle w:val="11"/>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1号冻库，位于1号生产车间1F，</w:t>
                  </w:r>
                  <w:r>
                    <w:rPr>
                      <w:rFonts w:hint="eastAsia" w:ascii="Times New Roman" w:hAnsi="Times New Roman" w:cs="Times New Roman"/>
                      <w:color w:val="auto"/>
                      <w:sz w:val="21"/>
                      <w:szCs w:val="21"/>
                      <w:lang w:val="en-US" w:eastAsia="zh-CN"/>
                    </w:rPr>
                    <w:t>设计容积约2000m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设计储存约400t原材料，储存周期约10d，</w:t>
                  </w:r>
                  <w:r>
                    <w:rPr>
                      <w:rFonts w:hint="default" w:ascii="Times New Roman" w:hAnsi="Times New Roman" w:cs="Times New Roman"/>
                      <w:color w:val="auto"/>
                      <w:sz w:val="21"/>
                      <w:szCs w:val="21"/>
                      <w:lang w:val="en-US" w:eastAsia="zh-CN"/>
                    </w:rPr>
                    <w:t>采用</w:t>
                  </w:r>
                  <w:r>
                    <w:rPr>
                      <w:rFonts w:hint="default" w:ascii="Times New Roman" w:hAnsi="Times New Roman" w:cs="Times New Roman"/>
                      <w:color w:val="auto"/>
                      <w:sz w:val="21"/>
                      <w:szCs w:val="21"/>
                    </w:rPr>
                    <w:t>R404A作为环保制冷剂，温度</w:t>
                  </w:r>
                  <w:r>
                    <w:rPr>
                      <w:rFonts w:hint="default"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保持在</w:t>
                  </w:r>
                  <w:r>
                    <w:rPr>
                      <w:rFonts w:hint="default" w:ascii="Times New Roman" w:hAnsi="Times New Roman" w:cs="Times New Roman"/>
                      <w:color w:val="auto"/>
                      <w:sz w:val="21"/>
                      <w:szCs w:val="21"/>
                      <w:lang w:val="en-US" w:eastAsia="zh-CN"/>
                    </w:rPr>
                    <w:t>-17~-12℃；</w:t>
                  </w:r>
                </w:p>
              </w:tc>
              <w:tc>
                <w:tcPr>
                  <w:tcW w:w="1138" w:type="dxa"/>
                  <w:vMerge w:val="continue"/>
                  <w:vAlign w:val="center"/>
                </w:tcPr>
                <w:p>
                  <w:pPr>
                    <w:pStyle w:val="11"/>
                    <w:jc w:val="both"/>
                    <w:rPr>
                      <w:color w:val="auto"/>
                      <w:sz w:val="21"/>
                      <w:szCs w:val="21"/>
                    </w:rPr>
                  </w:pPr>
                </w:p>
              </w:tc>
              <w:tc>
                <w:tcPr>
                  <w:tcW w:w="1429" w:type="dxa"/>
                  <w:vAlign w:val="center"/>
                </w:tcPr>
                <w:p>
                  <w:pPr>
                    <w:pStyle w:val="11"/>
                    <w:jc w:val="center"/>
                    <w:rPr>
                      <w:color w:val="auto"/>
                      <w:sz w:val="21"/>
                      <w:szCs w:val="21"/>
                    </w:rPr>
                  </w:pPr>
                  <w:r>
                    <w:rPr>
                      <w:color w:val="auto"/>
                      <w:sz w:val="21"/>
                      <w:szCs w:val="21"/>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Merge w:val="continue"/>
                  <w:vAlign w:val="center"/>
                </w:tcPr>
                <w:p>
                  <w:pPr>
                    <w:pStyle w:val="11"/>
                    <w:jc w:val="center"/>
                    <w:rPr>
                      <w:color w:val="auto"/>
                      <w:sz w:val="21"/>
                      <w:szCs w:val="21"/>
                    </w:rPr>
                  </w:pPr>
                </w:p>
              </w:tc>
              <w:tc>
                <w:tcPr>
                  <w:tcW w:w="4718" w:type="dxa"/>
                  <w:vAlign w:val="center"/>
                </w:tcPr>
                <w:p>
                  <w:pPr>
                    <w:pStyle w:val="11"/>
                    <w:jc w:val="both"/>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号冻库，位于1号生产车间</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F，</w:t>
                  </w:r>
                  <w:r>
                    <w:rPr>
                      <w:rFonts w:hint="eastAsia" w:ascii="Times New Roman" w:hAnsi="Times New Roman" w:cs="Times New Roman"/>
                      <w:color w:val="auto"/>
                      <w:sz w:val="21"/>
                      <w:szCs w:val="21"/>
                      <w:lang w:val="en-US" w:eastAsia="zh-CN"/>
                    </w:rPr>
                    <w:t>设计容积约</w:t>
                  </w:r>
                  <w:r>
                    <w:rPr>
                      <w:rFonts w:hint="eastAsia" w:cs="Times New Roman"/>
                      <w:color w:val="auto"/>
                      <w:sz w:val="21"/>
                      <w:szCs w:val="21"/>
                      <w:lang w:val="en-US" w:eastAsia="zh-CN"/>
                    </w:rPr>
                    <w:t>10</w:t>
                  </w:r>
                  <w:r>
                    <w:rPr>
                      <w:rFonts w:hint="eastAsia" w:ascii="Times New Roman" w:hAnsi="Times New Roman" w:cs="Times New Roman"/>
                      <w:color w:val="auto"/>
                      <w:sz w:val="21"/>
                      <w:szCs w:val="21"/>
                      <w:lang w:val="en-US" w:eastAsia="zh-CN"/>
                    </w:rPr>
                    <w:t>00m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设计储存约200t原材料，储存周期约10d，</w:t>
                  </w:r>
                  <w:r>
                    <w:rPr>
                      <w:rFonts w:hint="default" w:ascii="Times New Roman" w:hAnsi="Times New Roman" w:cs="Times New Roman"/>
                      <w:color w:val="auto"/>
                      <w:sz w:val="21"/>
                      <w:szCs w:val="21"/>
                      <w:lang w:val="en-US" w:eastAsia="zh-CN"/>
                    </w:rPr>
                    <w:t>采用</w:t>
                  </w:r>
                  <w:r>
                    <w:rPr>
                      <w:rFonts w:hint="default" w:ascii="Times New Roman" w:hAnsi="Times New Roman" w:cs="Times New Roman"/>
                      <w:color w:val="auto"/>
                      <w:sz w:val="21"/>
                      <w:szCs w:val="21"/>
                    </w:rPr>
                    <w:t>R404A作为环保制冷剂，温度</w:t>
                  </w:r>
                  <w:r>
                    <w:rPr>
                      <w:rFonts w:hint="default"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保持在</w:t>
                  </w:r>
                  <w:r>
                    <w:rPr>
                      <w:rFonts w:hint="default" w:ascii="Times New Roman" w:hAnsi="Times New Roman" w:cs="Times New Roman"/>
                      <w:color w:val="auto"/>
                      <w:sz w:val="21"/>
                      <w:szCs w:val="21"/>
                      <w:lang w:val="en-US" w:eastAsia="zh-CN"/>
                    </w:rPr>
                    <w:t>-17~-12℃；</w:t>
                  </w:r>
                </w:p>
              </w:tc>
              <w:tc>
                <w:tcPr>
                  <w:tcW w:w="1138" w:type="dxa"/>
                  <w:vMerge w:val="continue"/>
                  <w:vAlign w:val="center"/>
                </w:tcPr>
                <w:p>
                  <w:pPr>
                    <w:pStyle w:val="11"/>
                    <w:jc w:val="both"/>
                    <w:rPr>
                      <w:color w:val="auto"/>
                      <w:sz w:val="21"/>
                      <w:szCs w:val="21"/>
                    </w:rPr>
                  </w:pPr>
                </w:p>
              </w:tc>
              <w:tc>
                <w:tcPr>
                  <w:tcW w:w="1429" w:type="dxa"/>
                  <w:vAlign w:val="center"/>
                </w:tcPr>
                <w:p>
                  <w:pPr>
                    <w:pStyle w:val="11"/>
                    <w:jc w:val="center"/>
                    <w:rPr>
                      <w:color w:val="auto"/>
                      <w:sz w:val="21"/>
                      <w:szCs w:val="21"/>
                    </w:rPr>
                  </w:pPr>
                  <w:r>
                    <w:rPr>
                      <w:color w:val="auto"/>
                      <w:sz w:val="21"/>
                      <w:szCs w:val="21"/>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Merge w:val="continue"/>
                  <w:vAlign w:val="center"/>
                </w:tcPr>
                <w:p>
                  <w:pPr>
                    <w:pStyle w:val="11"/>
                    <w:jc w:val="center"/>
                    <w:rPr>
                      <w:color w:val="auto"/>
                      <w:sz w:val="21"/>
                      <w:szCs w:val="21"/>
                    </w:rPr>
                  </w:pPr>
                </w:p>
              </w:tc>
              <w:tc>
                <w:tcPr>
                  <w:tcW w:w="4718" w:type="dxa"/>
                  <w:vAlign w:val="center"/>
                </w:tcPr>
                <w:p>
                  <w:pPr>
                    <w:pStyle w:val="11"/>
                    <w:jc w:val="both"/>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号冻库，位于</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号生产车间1F，</w:t>
                  </w:r>
                  <w:r>
                    <w:rPr>
                      <w:rFonts w:hint="eastAsia" w:ascii="Times New Roman" w:hAnsi="Times New Roman" w:cs="Times New Roman"/>
                      <w:color w:val="auto"/>
                      <w:sz w:val="21"/>
                      <w:szCs w:val="21"/>
                      <w:lang w:val="en-US" w:eastAsia="zh-CN"/>
                    </w:rPr>
                    <w:t>设计容积约</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000m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设计储存约200t原材料，储存周期约10d，</w:t>
                  </w:r>
                  <w:r>
                    <w:rPr>
                      <w:rFonts w:hint="default" w:ascii="Times New Roman" w:hAnsi="Times New Roman" w:cs="Times New Roman"/>
                      <w:color w:val="auto"/>
                      <w:sz w:val="21"/>
                      <w:szCs w:val="21"/>
                      <w:lang w:val="en-US" w:eastAsia="zh-CN"/>
                    </w:rPr>
                    <w:t>采用</w:t>
                  </w:r>
                  <w:r>
                    <w:rPr>
                      <w:rFonts w:hint="default" w:ascii="Times New Roman" w:hAnsi="Times New Roman" w:cs="Times New Roman"/>
                      <w:color w:val="auto"/>
                      <w:sz w:val="21"/>
                      <w:szCs w:val="21"/>
                    </w:rPr>
                    <w:t>R404A作为环保制冷剂，温度</w:t>
                  </w:r>
                  <w:r>
                    <w:rPr>
                      <w:rFonts w:hint="default"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保持在</w:t>
                  </w:r>
                  <w:r>
                    <w:rPr>
                      <w:rFonts w:hint="default" w:ascii="Times New Roman" w:hAnsi="Times New Roman" w:cs="Times New Roman"/>
                      <w:color w:val="auto"/>
                      <w:sz w:val="21"/>
                      <w:szCs w:val="21"/>
                      <w:lang w:val="en-US" w:eastAsia="zh-CN"/>
                    </w:rPr>
                    <w:t>-17~-12℃；</w:t>
                  </w:r>
                </w:p>
              </w:tc>
              <w:tc>
                <w:tcPr>
                  <w:tcW w:w="1138" w:type="dxa"/>
                  <w:vMerge w:val="continue"/>
                  <w:vAlign w:val="center"/>
                </w:tcPr>
                <w:p>
                  <w:pPr>
                    <w:pStyle w:val="11"/>
                    <w:jc w:val="both"/>
                    <w:rPr>
                      <w:color w:val="auto"/>
                      <w:sz w:val="21"/>
                      <w:szCs w:val="21"/>
                    </w:rPr>
                  </w:pPr>
                </w:p>
              </w:tc>
              <w:tc>
                <w:tcPr>
                  <w:tcW w:w="1429"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Merge w:val="continue"/>
                  <w:vAlign w:val="center"/>
                </w:tcPr>
                <w:p>
                  <w:pPr>
                    <w:pStyle w:val="11"/>
                    <w:jc w:val="center"/>
                    <w:rPr>
                      <w:color w:val="auto"/>
                      <w:sz w:val="21"/>
                      <w:szCs w:val="21"/>
                    </w:rPr>
                  </w:pPr>
                </w:p>
              </w:tc>
              <w:tc>
                <w:tcPr>
                  <w:tcW w:w="4718" w:type="dxa"/>
                  <w:vAlign w:val="center"/>
                </w:tcPr>
                <w:p>
                  <w:pPr>
                    <w:pStyle w:val="11"/>
                    <w:jc w:val="both"/>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号冻库，位于</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号生产车间1F，</w:t>
                  </w:r>
                  <w:r>
                    <w:rPr>
                      <w:rFonts w:hint="eastAsia" w:ascii="Times New Roman" w:hAnsi="Times New Roman" w:cs="Times New Roman"/>
                      <w:color w:val="auto"/>
                      <w:sz w:val="21"/>
                      <w:szCs w:val="21"/>
                      <w:lang w:val="en-US" w:eastAsia="zh-CN"/>
                    </w:rPr>
                    <w:t>设计容积约2000m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设计储存约400t原材料，储存周期约10d，</w:t>
                  </w:r>
                  <w:r>
                    <w:rPr>
                      <w:rFonts w:hint="default" w:ascii="Times New Roman" w:hAnsi="Times New Roman" w:cs="Times New Roman"/>
                      <w:color w:val="auto"/>
                      <w:sz w:val="21"/>
                      <w:szCs w:val="21"/>
                      <w:lang w:val="en-US" w:eastAsia="zh-CN"/>
                    </w:rPr>
                    <w:t>采用</w:t>
                  </w:r>
                  <w:r>
                    <w:rPr>
                      <w:rFonts w:hint="default" w:ascii="Times New Roman" w:hAnsi="Times New Roman" w:cs="Times New Roman"/>
                      <w:color w:val="auto"/>
                      <w:sz w:val="21"/>
                      <w:szCs w:val="21"/>
                    </w:rPr>
                    <w:t>R404A作为环保制冷剂，温度</w:t>
                  </w:r>
                  <w:r>
                    <w:rPr>
                      <w:rFonts w:hint="default"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保持在</w:t>
                  </w:r>
                  <w:r>
                    <w:rPr>
                      <w:rFonts w:hint="default" w:ascii="Times New Roman" w:hAnsi="Times New Roman" w:cs="Times New Roman"/>
                      <w:color w:val="auto"/>
                      <w:sz w:val="21"/>
                      <w:szCs w:val="21"/>
                      <w:lang w:val="en-US" w:eastAsia="zh-CN"/>
                    </w:rPr>
                    <w:t>-17~-12℃；</w:t>
                  </w:r>
                </w:p>
              </w:tc>
              <w:tc>
                <w:tcPr>
                  <w:tcW w:w="1138" w:type="dxa"/>
                  <w:vMerge w:val="continue"/>
                  <w:vAlign w:val="center"/>
                </w:tcPr>
                <w:p>
                  <w:pPr>
                    <w:pStyle w:val="11"/>
                    <w:jc w:val="both"/>
                    <w:rPr>
                      <w:color w:val="auto"/>
                      <w:sz w:val="21"/>
                      <w:szCs w:val="21"/>
                    </w:rPr>
                  </w:pPr>
                </w:p>
              </w:tc>
              <w:tc>
                <w:tcPr>
                  <w:tcW w:w="1429"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rFonts w:hint="eastAsia" w:eastAsia="宋体"/>
                      <w:color w:val="auto"/>
                      <w:sz w:val="21"/>
                      <w:szCs w:val="21"/>
                      <w:lang w:val="en-US" w:eastAsia="zh-CN"/>
                    </w:rPr>
                  </w:pPr>
                  <w:r>
                    <w:rPr>
                      <w:rFonts w:hint="eastAsia"/>
                      <w:color w:val="auto"/>
                      <w:sz w:val="21"/>
                      <w:szCs w:val="21"/>
                      <w:lang w:val="en-US" w:eastAsia="zh-CN"/>
                    </w:rPr>
                    <w:t>储油罐</w:t>
                  </w:r>
                </w:p>
              </w:tc>
              <w:tc>
                <w:tcPr>
                  <w:tcW w:w="4718" w:type="dxa"/>
                  <w:vAlign w:val="center"/>
                </w:tcPr>
                <w:p>
                  <w:pPr>
                    <w:pStyle w:val="11"/>
                    <w:jc w:val="both"/>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3个16t的储油罐，共计48t设计储存量，储存周期约</w:t>
                  </w:r>
                  <w:r>
                    <w:rPr>
                      <w:rFonts w:hint="eastAsia" w:cs="Times New Roman"/>
                      <w:color w:val="auto"/>
                      <w:sz w:val="21"/>
                      <w:szCs w:val="21"/>
                      <w:lang w:val="en-US" w:eastAsia="zh-CN"/>
                    </w:rPr>
                    <w:t>，用于食用油的中转储存</w:t>
                  </w:r>
                  <w:r>
                    <w:rPr>
                      <w:rFonts w:hint="eastAsia" w:cs="Times New Roman"/>
                      <w:color w:val="auto"/>
                      <w:sz w:val="21"/>
                      <w:szCs w:val="21"/>
                      <w:lang w:val="en-US" w:eastAsia="zh-CN" w:bidi="ar-SA"/>
                    </w:rPr>
                    <w:t>5d</w:t>
                  </w:r>
                  <w:r>
                    <w:rPr>
                      <w:rFonts w:hint="default" w:ascii="Times New Roman" w:hAnsi="Times New Roman" w:cs="Times New Roman"/>
                      <w:color w:val="auto"/>
                      <w:sz w:val="21"/>
                      <w:szCs w:val="21"/>
                      <w:lang w:val="en-US" w:eastAsia="zh-CN"/>
                    </w:rPr>
                    <w:t>；</w:t>
                  </w:r>
                </w:p>
              </w:tc>
              <w:tc>
                <w:tcPr>
                  <w:tcW w:w="1138" w:type="dxa"/>
                  <w:vMerge w:val="continue"/>
                  <w:vAlign w:val="center"/>
                </w:tcPr>
                <w:p>
                  <w:pPr>
                    <w:pStyle w:val="11"/>
                    <w:jc w:val="both"/>
                    <w:rPr>
                      <w:color w:val="auto"/>
                      <w:sz w:val="21"/>
                      <w:szCs w:val="21"/>
                    </w:rPr>
                  </w:pPr>
                </w:p>
              </w:tc>
              <w:tc>
                <w:tcPr>
                  <w:tcW w:w="1429"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restart"/>
                  <w:vAlign w:val="center"/>
                </w:tcPr>
                <w:p>
                  <w:pPr>
                    <w:pStyle w:val="11"/>
                    <w:jc w:val="center"/>
                    <w:rPr>
                      <w:color w:val="auto"/>
                      <w:sz w:val="21"/>
                      <w:szCs w:val="21"/>
                    </w:rPr>
                  </w:pPr>
                  <w:r>
                    <w:rPr>
                      <w:color w:val="auto"/>
                      <w:sz w:val="21"/>
                      <w:szCs w:val="21"/>
                    </w:rPr>
                    <w:t>办公生活设施</w:t>
                  </w:r>
                </w:p>
              </w:tc>
              <w:tc>
                <w:tcPr>
                  <w:tcW w:w="751" w:type="dxa"/>
                  <w:vAlign w:val="center"/>
                </w:tcPr>
                <w:p>
                  <w:pPr>
                    <w:pStyle w:val="11"/>
                    <w:jc w:val="center"/>
                    <w:rPr>
                      <w:color w:val="auto"/>
                      <w:sz w:val="21"/>
                      <w:szCs w:val="21"/>
                    </w:rPr>
                  </w:pPr>
                  <w:r>
                    <w:rPr>
                      <w:color w:val="auto"/>
                      <w:sz w:val="21"/>
                      <w:szCs w:val="21"/>
                    </w:rPr>
                    <w:t>办公楼</w:t>
                  </w:r>
                </w:p>
              </w:tc>
              <w:tc>
                <w:tcPr>
                  <w:tcW w:w="4718" w:type="dxa"/>
                  <w:vAlign w:val="center"/>
                </w:tcPr>
                <w:p>
                  <w:pPr>
                    <w:pStyle w:val="11"/>
                    <w:jc w:val="both"/>
                    <w:rPr>
                      <w:color w:val="auto"/>
                      <w:sz w:val="21"/>
                      <w:szCs w:val="21"/>
                    </w:rPr>
                  </w:pPr>
                  <w:r>
                    <w:rPr>
                      <w:color w:val="auto"/>
                      <w:sz w:val="21"/>
                      <w:szCs w:val="21"/>
                    </w:rPr>
                    <w:t>钢混结构，层高23.9m，6F，总建筑面积5304m</w:t>
                  </w:r>
                  <w:r>
                    <w:rPr>
                      <w:color w:val="auto"/>
                      <w:sz w:val="21"/>
                      <w:szCs w:val="21"/>
                      <w:vertAlign w:val="superscript"/>
                    </w:rPr>
                    <w:t>2</w:t>
                  </w:r>
                  <w:r>
                    <w:rPr>
                      <w:color w:val="auto"/>
                      <w:sz w:val="21"/>
                      <w:szCs w:val="21"/>
                    </w:rPr>
                    <w:t>，设置办公区、会议区等；</w:t>
                  </w:r>
                </w:p>
              </w:tc>
              <w:tc>
                <w:tcPr>
                  <w:tcW w:w="1138" w:type="dxa"/>
                  <w:vMerge w:val="continue"/>
                  <w:vAlign w:val="center"/>
                </w:tcPr>
                <w:p>
                  <w:pPr>
                    <w:pStyle w:val="11"/>
                    <w:jc w:val="both"/>
                    <w:rPr>
                      <w:color w:val="auto"/>
                      <w:sz w:val="21"/>
                      <w:szCs w:val="21"/>
                    </w:rPr>
                  </w:pPr>
                </w:p>
              </w:tc>
              <w:tc>
                <w:tcPr>
                  <w:tcW w:w="1429" w:type="dxa"/>
                  <w:vAlign w:val="center"/>
                </w:tcPr>
                <w:p>
                  <w:pPr>
                    <w:pStyle w:val="11"/>
                    <w:jc w:val="both"/>
                    <w:rPr>
                      <w:color w:val="auto"/>
                      <w:sz w:val="21"/>
                      <w:szCs w:val="21"/>
                    </w:rPr>
                  </w:pPr>
                  <w:r>
                    <w:rPr>
                      <w:color w:val="auto"/>
                      <w:sz w:val="21"/>
                      <w:szCs w:val="21"/>
                    </w:rPr>
                    <w:t>生活污水、生活垃圾等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color w:val="auto"/>
                      <w:sz w:val="21"/>
                      <w:szCs w:val="21"/>
                    </w:rPr>
                  </w:pPr>
                  <w:r>
                    <w:rPr>
                      <w:color w:val="auto"/>
                      <w:sz w:val="21"/>
                      <w:szCs w:val="21"/>
                    </w:rPr>
                    <w:t>食堂综合楼</w:t>
                  </w:r>
                </w:p>
              </w:tc>
              <w:tc>
                <w:tcPr>
                  <w:tcW w:w="4718" w:type="dxa"/>
                  <w:vAlign w:val="center"/>
                </w:tcPr>
                <w:p>
                  <w:pPr>
                    <w:pStyle w:val="11"/>
                    <w:jc w:val="both"/>
                    <w:rPr>
                      <w:color w:val="auto"/>
                      <w:sz w:val="21"/>
                      <w:szCs w:val="21"/>
                    </w:rPr>
                  </w:pPr>
                  <w:r>
                    <w:rPr>
                      <w:color w:val="auto"/>
                      <w:sz w:val="21"/>
                      <w:szCs w:val="21"/>
                    </w:rPr>
                    <w:t>钢混结构，层高23.9m，5F，地下1F，总建筑面积3774m</w:t>
                  </w:r>
                  <w:r>
                    <w:rPr>
                      <w:color w:val="auto"/>
                      <w:sz w:val="21"/>
                      <w:szCs w:val="21"/>
                      <w:vertAlign w:val="superscript"/>
                    </w:rPr>
                    <w:t>2</w:t>
                  </w:r>
                  <w:r>
                    <w:rPr>
                      <w:color w:val="auto"/>
                      <w:sz w:val="21"/>
                      <w:szCs w:val="21"/>
                    </w:rPr>
                    <w:t>，设置食堂、休息室、活动平台等；</w:t>
                  </w:r>
                </w:p>
              </w:tc>
              <w:tc>
                <w:tcPr>
                  <w:tcW w:w="1138" w:type="dxa"/>
                  <w:vMerge w:val="continue"/>
                  <w:vAlign w:val="center"/>
                </w:tcPr>
                <w:p>
                  <w:pPr>
                    <w:pStyle w:val="11"/>
                    <w:jc w:val="both"/>
                    <w:rPr>
                      <w:color w:val="auto"/>
                      <w:sz w:val="21"/>
                      <w:szCs w:val="21"/>
                    </w:rPr>
                  </w:pPr>
                </w:p>
              </w:tc>
              <w:tc>
                <w:tcPr>
                  <w:tcW w:w="1429" w:type="dxa"/>
                  <w:vAlign w:val="center"/>
                </w:tcPr>
                <w:p>
                  <w:pPr>
                    <w:pStyle w:val="11"/>
                    <w:jc w:val="both"/>
                    <w:rPr>
                      <w:color w:val="auto"/>
                      <w:sz w:val="21"/>
                      <w:szCs w:val="21"/>
                    </w:rPr>
                  </w:pPr>
                  <w:r>
                    <w:rPr>
                      <w:color w:val="auto"/>
                      <w:sz w:val="21"/>
                      <w:szCs w:val="21"/>
                    </w:rPr>
                    <w:t>食堂油烟、生活污水、生活垃圾等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color w:val="auto"/>
                      <w:sz w:val="21"/>
                      <w:szCs w:val="21"/>
                    </w:rPr>
                  </w:pPr>
                  <w:r>
                    <w:rPr>
                      <w:color w:val="auto"/>
                      <w:sz w:val="21"/>
                      <w:szCs w:val="21"/>
                    </w:rPr>
                    <w:t>住宿用房</w:t>
                  </w:r>
                </w:p>
              </w:tc>
              <w:tc>
                <w:tcPr>
                  <w:tcW w:w="4718" w:type="dxa"/>
                  <w:vAlign w:val="center"/>
                </w:tcPr>
                <w:p>
                  <w:pPr>
                    <w:pStyle w:val="11"/>
                    <w:jc w:val="both"/>
                    <w:rPr>
                      <w:color w:val="auto"/>
                      <w:sz w:val="21"/>
                      <w:szCs w:val="21"/>
                    </w:rPr>
                  </w:pPr>
                  <w:r>
                    <w:rPr>
                      <w:color w:val="auto"/>
                      <w:sz w:val="21"/>
                      <w:szCs w:val="21"/>
                    </w:rPr>
                    <w:t>钢混结构，层高5.1m，5F，地下1F，总建筑面积1314m</w:t>
                  </w:r>
                  <w:r>
                    <w:rPr>
                      <w:color w:val="auto"/>
                      <w:sz w:val="21"/>
                      <w:szCs w:val="21"/>
                      <w:vertAlign w:val="superscript"/>
                    </w:rPr>
                    <w:t>2</w:t>
                  </w:r>
                  <w:r>
                    <w:rPr>
                      <w:color w:val="auto"/>
                      <w:sz w:val="21"/>
                      <w:szCs w:val="21"/>
                    </w:rPr>
                    <w:t>，设置员工宿舍</w:t>
                  </w:r>
                  <w:r>
                    <w:rPr>
                      <w:rFonts w:hint="eastAsia"/>
                      <w:color w:val="auto"/>
                      <w:kern w:val="2"/>
                      <w:sz w:val="21"/>
                      <w:szCs w:val="21"/>
                      <w:lang w:eastAsia="zh-CN"/>
                    </w:rPr>
                    <w:t>，</w:t>
                  </w:r>
                  <w:r>
                    <w:rPr>
                      <w:rFonts w:hint="eastAsia"/>
                      <w:color w:val="auto"/>
                      <w:kern w:val="2"/>
                      <w:sz w:val="21"/>
                      <w:szCs w:val="21"/>
                      <w:lang w:val="en-US" w:eastAsia="zh-CN"/>
                    </w:rPr>
                    <w:t>设计满足约500人住宿</w:t>
                  </w:r>
                  <w:r>
                    <w:rPr>
                      <w:color w:val="auto"/>
                      <w:sz w:val="21"/>
                      <w:szCs w:val="21"/>
                    </w:rPr>
                    <w:t>；</w:t>
                  </w:r>
                </w:p>
              </w:tc>
              <w:tc>
                <w:tcPr>
                  <w:tcW w:w="1138" w:type="dxa"/>
                  <w:vMerge w:val="continue"/>
                  <w:vAlign w:val="center"/>
                </w:tcPr>
                <w:p>
                  <w:pPr>
                    <w:pStyle w:val="11"/>
                    <w:jc w:val="both"/>
                    <w:rPr>
                      <w:color w:val="auto"/>
                      <w:sz w:val="21"/>
                      <w:szCs w:val="21"/>
                    </w:rPr>
                  </w:pPr>
                </w:p>
              </w:tc>
              <w:tc>
                <w:tcPr>
                  <w:tcW w:w="1429" w:type="dxa"/>
                  <w:vAlign w:val="center"/>
                </w:tcPr>
                <w:p>
                  <w:pPr>
                    <w:pStyle w:val="11"/>
                    <w:jc w:val="both"/>
                    <w:rPr>
                      <w:color w:val="auto"/>
                      <w:sz w:val="21"/>
                      <w:szCs w:val="21"/>
                    </w:rPr>
                  </w:pPr>
                  <w:r>
                    <w:rPr>
                      <w:color w:val="auto"/>
                      <w:sz w:val="21"/>
                      <w:szCs w:val="21"/>
                    </w:rPr>
                    <w:t>生活污水、生活垃圾等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color w:val="auto"/>
                      <w:sz w:val="21"/>
                      <w:szCs w:val="21"/>
                    </w:rPr>
                  </w:pPr>
                  <w:r>
                    <w:rPr>
                      <w:color w:val="auto"/>
                      <w:sz w:val="21"/>
                      <w:szCs w:val="21"/>
                    </w:rPr>
                    <w:t>门卫室</w:t>
                  </w:r>
                </w:p>
              </w:tc>
              <w:tc>
                <w:tcPr>
                  <w:tcW w:w="4718" w:type="dxa"/>
                  <w:vAlign w:val="center"/>
                </w:tcPr>
                <w:p>
                  <w:pPr>
                    <w:pStyle w:val="11"/>
                    <w:jc w:val="both"/>
                    <w:rPr>
                      <w:color w:val="auto"/>
                      <w:sz w:val="21"/>
                      <w:szCs w:val="21"/>
                    </w:rPr>
                  </w:pPr>
                  <w:r>
                    <w:rPr>
                      <w:color w:val="auto"/>
                      <w:sz w:val="21"/>
                      <w:szCs w:val="21"/>
                    </w:rPr>
                    <w:t>砖混结构，层高4m，1F，总建筑面积69m</w:t>
                  </w:r>
                  <w:r>
                    <w:rPr>
                      <w:color w:val="auto"/>
                      <w:sz w:val="21"/>
                      <w:szCs w:val="21"/>
                      <w:vertAlign w:val="superscript"/>
                    </w:rPr>
                    <w:t>2</w:t>
                  </w:r>
                  <w:r>
                    <w:rPr>
                      <w:color w:val="auto"/>
                      <w:sz w:val="21"/>
                      <w:szCs w:val="21"/>
                    </w:rPr>
                    <w:t>；</w:t>
                  </w:r>
                </w:p>
              </w:tc>
              <w:tc>
                <w:tcPr>
                  <w:tcW w:w="1138" w:type="dxa"/>
                  <w:vMerge w:val="continue"/>
                  <w:vAlign w:val="center"/>
                </w:tcPr>
                <w:p>
                  <w:pPr>
                    <w:pStyle w:val="11"/>
                    <w:jc w:val="both"/>
                    <w:rPr>
                      <w:color w:val="auto"/>
                      <w:sz w:val="21"/>
                      <w:szCs w:val="21"/>
                    </w:rPr>
                  </w:pPr>
                </w:p>
              </w:tc>
              <w:tc>
                <w:tcPr>
                  <w:tcW w:w="1429" w:type="dxa"/>
                  <w:vAlign w:val="center"/>
                </w:tcPr>
                <w:p>
                  <w:pPr>
                    <w:pStyle w:val="11"/>
                    <w:jc w:val="both"/>
                    <w:rPr>
                      <w:rFonts w:hint="eastAsia" w:eastAsia="宋体"/>
                      <w:color w:val="auto"/>
                      <w:sz w:val="21"/>
                      <w:szCs w:val="21"/>
                      <w:lang w:eastAsia="zh-CN"/>
                    </w:rPr>
                  </w:pPr>
                  <w:r>
                    <w:rPr>
                      <w:color w:val="auto"/>
                      <w:sz w:val="21"/>
                      <w:szCs w:val="21"/>
                    </w:rPr>
                    <w:t>生活污水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restart"/>
                  <w:vAlign w:val="center"/>
                </w:tcPr>
                <w:p>
                  <w:pPr>
                    <w:pStyle w:val="11"/>
                    <w:jc w:val="center"/>
                    <w:rPr>
                      <w:color w:val="auto"/>
                      <w:sz w:val="21"/>
                      <w:szCs w:val="21"/>
                    </w:rPr>
                  </w:pPr>
                  <w:r>
                    <w:rPr>
                      <w:color w:val="auto"/>
                      <w:sz w:val="21"/>
                      <w:szCs w:val="21"/>
                    </w:rPr>
                    <w:t>辅助工程</w:t>
                  </w:r>
                </w:p>
              </w:tc>
              <w:tc>
                <w:tcPr>
                  <w:tcW w:w="751" w:type="dxa"/>
                  <w:vAlign w:val="center"/>
                </w:tcPr>
                <w:p>
                  <w:pPr>
                    <w:pStyle w:val="11"/>
                    <w:jc w:val="center"/>
                    <w:rPr>
                      <w:color w:val="auto"/>
                      <w:sz w:val="21"/>
                      <w:szCs w:val="21"/>
                    </w:rPr>
                  </w:pPr>
                  <w:r>
                    <w:rPr>
                      <w:color w:val="auto"/>
                      <w:sz w:val="21"/>
                      <w:szCs w:val="21"/>
                    </w:rPr>
                    <w:t>机修车间</w:t>
                  </w:r>
                </w:p>
              </w:tc>
              <w:tc>
                <w:tcPr>
                  <w:tcW w:w="4718" w:type="dxa"/>
                  <w:vAlign w:val="center"/>
                </w:tcPr>
                <w:p>
                  <w:pPr>
                    <w:pStyle w:val="11"/>
                    <w:jc w:val="both"/>
                    <w:rPr>
                      <w:color w:val="auto"/>
                      <w:sz w:val="21"/>
                      <w:szCs w:val="21"/>
                    </w:rPr>
                  </w:pPr>
                  <w:r>
                    <w:rPr>
                      <w:color w:val="auto"/>
                      <w:sz w:val="21"/>
                      <w:szCs w:val="21"/>
                    </w:rPr>
                    <w:t>钢混结构，层高8.7m，2F，地下1F，总建筑面积2084m</w:t>
                  </w:r>
                  <w:r>
                    <w:rPr>
                      <w:color w:val="auto"/>
                      <w:sz w:val="21"/>
                      <w:szCs w:val="21"/>
                      <w:vertAlign w:val="superscript"/>
                    </w:rPr>
                    <w:t>2</w:t>
                  </w:r>
                  <w:r>
                    <w:rPr>
                      <w:color w:val="auto"/>
                      <w:sz w:val="21"/>
                      <w:szCs w:val="21"/>
                    </w:rPr>
                    <w:t>；</w:t>
                  </w:r>
                </w:p>
              </w:tc>
              <w:tc>
                <w:tcPr>
                  <w:tcW w:w="1138" w:type="dxa"/>
                  <w:vMerge w:val="continue"/>
                  <w:vAlign w:val="center"/>
                </w:tcPr>
                <w:p>
                  <w:pPr>
                    <w:pStyle w:val="11"/>
                    <w:jc w:val="both"/>
                    <w:rPr>
                      <w:color w:val="auto"/>
                      <w:sz w:val="21"/>
                      <w:szCs w:val="21"/>
                    </w:rPr>
                  </w:pPr>
                </w:p>
              </w:tc>
              <w:tc>
                <w:tcPr>
                  <w:tcW w:w="1429" w:type="dxa"/>
                  <w:vAlign w:val="center"/>
                </w:tcPr>
                <w:p>
                  <w:pPr>
                    <w:pStyle w:val="11"/>
                    <w:jc w:val="both"/>
                    <w:rPr>
                      <w:color w:val="auto"/>
                      <w:sz w:val="21"/>
                      <w:szCs w:val="21"/>
                    </w:rPr>
                  </w:pPr>
                  <w:r>
                    <w:rPr>
                      <w:rFonts w:hint="eastAsia"/>
                      <w:color w:val="auto"/>
                      <w:sz w:val="21"/>
                      <w:szCs w:val="21"/>
                    </w:rPr>
                    <w:t>固体废物、噪声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center"/>
                    <w:rPr>
                      <w:color w:val="auto"/>
                      <w:sz w:val="21"/>
                      <w:szCs w:val="21"/>
                    </w:rPr>
                  </w:pPr>
                </w:p>
              </w:tc>
              <w:tc>
                <w:tcPr>
                  <w:tcW w:w="751"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锅炉房</w:t>
                  </w:r>
                </w:p>
              </w:tc>
              <w:tc>
                <w:tcPr>
                  <w:tcW w:w="4718" w:type="dxa"/>
                  <w:vAlign w:val="center"/>
                </w:tcPr>
                <w:p>
                  <w:pPr>
                    <w:pStyle w:val="11"/>
                    <w:jc w:val="both"/>
                    <w:rPr>
                      <w:rFonts w:ascii="Times New Roman" w:hAnsi="Times New Roman" w:eastAsia="宋体" w:cs="Times New Roman"/>
                      <w:color w:val="auto"/>
                      <w:sz w:val="21"/>
                      <w:szCs w:val="21"/>
                      <w:lang w:val="en-US" w:eastAsia="zh-CN" w:bidi="ar-SA"/>
                    </w:rPr>
                  </w:pPr>
                  <w:r>
                    <w:rPr>
                      <w:color w:val="auto"/>
                      <w:sz w:val="21"/>
                      <w:szCs w:val="21"/>
                    </w:rPr>
                    <w:t>钢混结构，层高8.7m，2F，地下1F，总建筑面积1537m</w:t>
                  </w:r>
                  <w:r>
                    <w:rPr>
                      <w:color w:val="auto"/>
                      <w:sz w:val="21"/>
                      <w:szCs w:val="21"/>
                      <w:vertAlign w:val="superscript"/>
                    </w:rPr>
                    <w:t>2</w:t>
                  </w:r>
                  <w:r>
                    <w:rPr>
                      <w:color w:val="auto"/>
                      <w:sz w:val="21"/>
                      <w:szCs w:val="21"/>
                    </w:rPr>
                    <w:t>，设置2个6t天然气蒸汽锅炉，提供7~8kg压力的蒸汽；</w:t>
                  </w:r>
                </w:p>
              </w:tc>
              <w:tc>
                <w:tcPr>
                  <w:tcW w:w="1138" w:type="dxa"/>
                  <w:vMerge w:val="continue"/>
                  <w:vAlign w:val="center"/>
                </w:tcPr>
                <w:p>
                  <w:pPr>
                    <w:pStyle w:val="11"/>
                    <w:jc w:val="both"/>
                    <w:rPr>
                      <w:color w:val="auto"/>
                      <w:sz w:val="21"/>
                      <w:szCs w:val="21"/>
                    </w:rPr>
                  </w:pPr>
                </w:p>
              </w:tc>
              <w:tc>
                <w:tcPr>
                  <w:tcW w:w="1429" w:type="dxa"/>
                  <w:vAlign w:val="center"/>
                </w:tcPr>
                <w:p>
                  <w:pPr>
                    <w:pStyle w:val="11"/>
                    <w:jc w:val="center"/>
                    <w:rPr>
                      <w:rFonts w:hint="default" w:eastAsia="宋体"/>
                      <w:color w:val="auto"/>
                      <w:sz w:val="21"/>
                      <w:szCs w:val="21"/>
                      <w:lang w:val="en-US" w:eastAsia="zh-CN"/>
                    </w:rPr>
                  </w:pPr>
                  <w:r>
                    <w:rPr>
                      <w:rFonts w:hint="eastAsia"/>
                      <w:color w:val="auto"/>
                      <w:sz w:val="21"/>
                      <w:szCs w:val="21"/>
                      <w:lang w:val="en-US" w:eastAsia="zh-CN"/>
                    </w:rPr>
                    <w:t>噪声、废气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rFonts w:hint="eastAsia" w:eastAsia="宋体"/>
                      <w:color w:val="auto"/>
                      <w:sz w:val="21"/>
                      <w:szCs w:val="21"/>
                      <w:lang w:val="en-US" w:eastAsia="zh-CN"/>
                    </w:rPr>
                  </w:pPr>
                  <w:r>
                    <w:rPr>
                      <w:rFonts w:hint="eastAsia"/>
                      <w:color w:val="auto"/>
                      <w:sz w:val="21"/>
                      <w:szCs w:val="21"/>
                      <w:lang w:val="en-US" w:eastAsia="zh-CN"/>
                    </w:rPr>
                    <w:t>更衣室</w:t>
                  </w:r>
                </w:p>
              </w:tc>
              <w:tc>
                <w:tcPr>
                  <w:tcW w:w="4718" w:type="dxa"/>
                  <w:vAlign w:val="center"/>
                </w:tcPr>
                <w:p>
                  <w:pPr>
                    <w:pStyle w:val="11"/>
                    <w:bidi w:val="0"/>
                    <w:rPr>
                      <w:rFonts w:hint="eastAsia"/>
                      <w:color w:val="auto"/>
                      <w:lang w:val="en-US" w:eastAsia="zh-CN"/>
                    </w:rPr>
                  </w:pPr>
                  <w:r>
                    <w:rPr>
                      <w:rFonts w:hint="eastAsia"/>
                      <w:color w:val="auto"/>
                      <w:lang w:val="en-US" w:eastAsia="zh-CN"/>
                    </w:rPr>
                    <w:t>1号生产车间的</w:t>
                  </w:r>
                  <w:r>
                    <w:rPr>
                      <w:rFonts w:hint="default"/>
                      <w:color w:val="auto"/>
                      <w:lang w:val="en-US" w:eastAsia="zh-CN"/>
                    </w:rPr>
                    <w:t>1F</w:t>
                  </w:r>
                  <w:r>
                    <w:rPr>
                      <w:rFonts w:hint="eastAsia"/>
                      <w:color w:val="auto"/>
                      <w:lang w:val="en-US" w:eastAsia="zh-CN"/>
                    </w:rPr>
                    <w:t>、2F，2号生产车间的</w:t>
                  </w:r>
                  <w:r>
                    <w:rPr>
                      <w:rFonts w:hint="default"/>
                      <w:color w:val="auto"/>
                      <w:lang w:val="en-US" w:eastAsia="zh-CN"/>
                    </w:rPr>
                    <w:t>1F</w:t>
                  </w:r>
                  <w:r>
                    <w:rPr>
                      <w:rFonts w:hint="eastAsia"/>
                      <w:color w:val="auto"/>
                      <w:lang w:val="en-US" w:eastAsia="zh-CN"/>
                    </w:rPr>
                    <w:t xml:space="preserve">，4号生产车间的 </w:t>
                  </w:r>
                  <w:r>
                    <w:rPr>
                      <w:rFonts w:hint="default"/>
                      <w:color w:val="auto"/>
                      <w:lang w:val="en-US" w:eastAsia="zh-CN"/>
                    </w:rPr>
                    <w:t>1F</w:t>
                  </w:r>
                  <w:r>
                    <w:rPr>
                      <w:rFonts w:hint="eastAsia"/>
                      <w:color w:val="auto"/>
                      <w:lang w:val="en-US" w:eastAsia="zh-CN"/>
                    </w:rPr>
                    <w:t>分别设置有更衣室，单个更衣室建筑面积约为25m</w:t>
                  </w:r>
                  <w:r>
                    <w:rPr>
                      <w:rFonts w:hint="eastAsia"/>
                      <w:color w:val="auto"/>
                      <w:vertAlign w:val="superscript"/>
                      <w:lang w:val="en-US" w:eastAsia="zh-CN"/>
                    </w:rPr>
                    <w:t>2</w:t>
                  </w:r>
                  <w:r>
                    <w:rPr>
                      <w:rFonts w:hint="eastAsia"/>
                      <w:color w:val="auto"/>
                      <w:lang w:val="en-US" w:eastAsia="zh-CN"/>
                    </w:rPr>
                    <w:t>，总建筑面积约为100m</w:t>
                  </w:r>
                  <w:r>
                    <w:rPr>
                      <w:rFonts w:hint="eastAsia"/>
                      <w:color w:val="auto"/>
                      <w:vertAlign w:val="superscript"/>
                      <w:lang w:val="en-US" w:eastAsia="zh-CN"/>
                    </w:rPr>
                    <w:t>2</w:t>
                  </w:r>
                  <w:r>
                    <w:rPr>
                      <w:rFonts w:hint="eastAsia"/>
                      <w:color w:val="auto"/>
                      <w:lang w:val="en-US" w:eastAsia="zh-CN"/>
                    </w:rPr>
                    <w:t>，分为男、女更衣区，用于工作人员更换衣物。</w:t>
                  </w:r>
                </w:p>
                <w:p>
                  <w:pPr>
                    <w:pStyle w:val="11"/>
                    <w:bidi w:val="0"/>
                    <w:rPr>
                      <w:color w:val="auto"/>
                      <w:sz w:val="21"/>
                      <w:szCs w:val="21"/>
                    </w:rPr>
                  </w:pPr>
                  <w:r>
                    <w:rPr>
                      <w:rFonts w:hint="eastAsia"/>
                      <w:color w:val="auto"/>
                      <w:lang w:val="en-US" w:eastAsia="zh-CN"/>
                    </w:rPr>
                    <w:t>（注：车间内不单独设置洗衣房、烘干房、晾衣间，</w:t>
                  </w:r>
                  <w:r>
                    <w:rPr>
                      <w:rFonts w:hint="eastAsia"/>
                      <w:color w:val="auto"/>
                    </w:rPr>
                    <w:t>工作服</w:t>
                  </w:r>
                  <w:r>
                    <w:rPr>
                      <w:rFonts w:hint="eastAsia"/>
                      <w:color w:val="auto"/>
                      <w:lang w:val="en-US" w:eastAsia="zh-CN"/>
                    </w:rPr>
                    <w:t>由员工</w:t>
                  </w:r>
                  <w:r>
                    <w:rPr>
                      <w:rFonts w:hint="eastAsia"/>
                      <w:color w:val="auto"/>
                    </w:rPr>
                    <w:t>自行清洗</w:t>
                  </w:r>
                  <w:r>
                    <w:rPr>
                      <w:rFonts w:hint="eastAsia"/>
                      <w:color w:val="auto"/>
                      <w:lang w:val="en-US" w:eastAsia="zh-CN"/>
                    </w:rPr>
                    <w:t>）</w:t>
                  </w:r>
                </w:p>
              </w:tc>
              <w:tc>
                <w:tcPr>
                  <w:tcW w:w="1138" w:type="dxa"/>
                  <w:vMerge w:val="continue"/>
                  <w:vAlign w:val="center"/>
                </w:tcPr>
                <w:p>
                  <w:pPr>
                    <w:pStyle w:val="11"/>
                    <w:jc w:val="both"/>
                    <w:rPr>
                      <w:color w:val="auto"/>
                      <w:sz w:val="21"/>
                      <w:szCs w:val="21"/>
                    </w:rPr>
                  </w:pPr>
                </w:p>
              </w:tc>
              <w:tc>
                <w:tcPr>
                  <w:tcW w:w="1429" w:type="dxa"/>
                  <w:vAlign w:val="center"/>
                </w:tcPr>
                <w:p>
                  <w:pPr>
                    <w:pStyle w:val="11"/>
                    <w:jc w:val="center"/>
                    <w:rPr>
                      <w:color w:val="auto"/>
                      <w:sz w:val="21"/>
                      <w:szCs w:val="21"/>
                    </w:rPr>
                  </w:pPr>
                  <w:r>
                    <w:rPr>
                      <w:color w:val="auto"/>
                      <w:sz w:val="21"/>
                      <w:szCs w:val="21"/>
                    </w:rPr>
                    <w:t>生活垃圾等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rFonts w:hint="default"/>
                      <w:color w:val="auto"/>
                      <w:sz w:val="21"/>
                      <w:szCs w:val="21"/>
                      <w:lang w:val="en-US" w:eastAsia="zh-CN"/>
                    </w:rPr>
                  </w:pPr>
                  <w:r>
                    <w:rPr>
                      <w:rFonts w:hint="eastAsia"/>
                      <w:color w:val="auto"/>
                      <w:sz w:val="21"/>
                      <w:szCs w:val="21"/>
                      <w:lang w:val="en-US" w:eastAsia="zh-CN"/>
                    </w:rPr>
                    <w:t>软水设备</w:t>
                  </w:r>
                </w:p>
              </w:tc>
              <w:tc>
                <w:tcPr>
                  <w:tcW w:w="4718" w:type="dxa"/>
                  <w:vAlign w:val="center"/>
                </w:tcPr>
                <w:p>
                  <w:pPr>
                    <w:pStyle w:val="11"/>
                    <w:bidi w:val="0"/>
                    <w:rPr>
                      <w:rFonts w:hint="eastAsia"/>
                      <w:color w:val="auto"/>
                      <w:lang w:val="en-US" w:eastAsia="zh-CN"/>
                    </w:rPr>
                  </w:pPr>
                  <w:r>
                    <w:rPr>
                      <w:rFonts w:hint="default" w:ascii="Times New Roman" w:hAnsi="Times New Roman" w:cs="Times New Roman"/>
                      <w:color w:val="auto"/>
                      <w:sz w:val="21"/>
                      <w:szCs w:val="21"/>
                      <w:lang w:val="en-US" w:eastAsia="zh-CN"/>
                    </w:rPr>
                    <w:t>位于1号生产车间1F，</w:t>
                  </w:r>
                  <w:r>
                    <w:rPr>
                      <w:rFonts w:hint="eastAsia" w:cs="Times New Roman"/>
                      <w:color w:val="auto"/>
                      <w:sz w:val="21"/>
                      <w:szCs w:val="21"/>
                      <w:lang w:val="en-US" w:eastAsia="zh-CN"/>
                    </w:rPr>
                    <w:t>建筑面积</w:t>
                  </w:r>
                  <w:r>
                    <w:rPr>
                      <w:rFonts w:hint="eastAsia" w:ascii="Times New Roman" w:hAnsi="Times New Roman" w:cs="Times New Roman"/>
                      <w:color w:val="auto"/>
                      <w:sz w:val="21"/>
                      <w:szCs w:val="21"/>
                      <w:lang w:val="en-US" w:eastAsia="zh-CN"/>
                    </w:rPr>
                    <w:t>约</w:t>
                  </w:r>
                  <w:r>
                    <w:rPr>
                      <w:rFonts w:hint="eastAsia" w:cs="Times New Roman"/>
                      <w:color w:val="auto"/>
                      <w:sz w:val="21"/>
                      <w:szCs w:val="21"/>
                      <w:lang w:val="en-US" w:eastAsia="zh-CN"/>
                    </w:rPr>
                    <w:t>50</w:t>
                  </w:r>
                  <w:r>
                    <w:rPr>
                      <w:rFonts w:hint="eastAsia" w:ascii="Times New Roman" w:hAnsi="Times New Roman" w:cs="Times New Roman"/>
                      <w:color w:val="auto"/>
                      <w:sz w:val="21"/>
                      <w:szCs w:val="21"/>
                      <w:lang w:val="en-US" w:eastAsia="zh-CN"/>
                    </w:rPr>
                    <w:t>m</w:t>
                  </w:r>
                  <w:r>
                    <w:rPr>
                      <w:rFonts w:hint="eastAsia"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内设1套软水制备装置，</w:t>
                  </w:r>
                  <w:r>
                    <w:rPr>
                      <w:rFonts w:hint="eastAsia"/>
                      <w:bCs/>
                      <w:color w:val="auto"/>
                    </w:rPr>
                    <w:t>软水设备制水量为15m</w:t>
                  </w:r>
                  <w:r>
                    <w:rPr>
                      <w:rFonts w:hint="eastAsia"/>
                      <w:bCs/>
                      <w:color w:val="auto"/>
                      <w:vertAlign w:val="superscript"/>
                    </w:rPr>
                    <w:t>3</w:t>
                  </w:r>
                  <w:r>
                    <w:rPr>
                      <w:rFonts w:hint="eastAsia"/>
                      <w:bCs/>
                      <w:color w:val="auto"/>
                    </w:rPr>
                    <w:t>/d</w:t>
                  </w:r>
                  <w:r>
                    <w:rPr>
                      <w:color w:val="auto"/>
                      <w:sz w:val="21"/>
                      <w:szCs w:val="21"/>
                    </w:rPr>
                    <w:t>；</w:t>
                  </w:r>
                </w:p>
              </w:tc>
              <w:tc>
                <w:tcPr>
                  <w:tcW w:w="1138" w:type="dxa"/>
                  <w:vMerge w:val="continue"/>
                  <w:vAlign w:val="center"/>
                </w:tcPr>
                <w:p>
                  <w:pPr>
                    <w:pStyle w:val="11"/>
                    <w:jc w:val="both"/>
                    <w:rPr>
                      <w:color w:val="auto"/>
                      <w:sz w:val="21"/>
                      <w:szCs w:val="21"/>
                    </w:rPr>
                  </w:pPr>
                </w:p>
              </w:tc>
              <w:tc>
                <w:tcPr>
                  <w:tcW w:w="1429" w:type="dxa"/>
                  <w:vAlign w:val="center"/>
                </w:tcPr>
                <w:p>
                  <w:pPr>
                    <w:pStyle w:val="11"/>
                    <w:jc w:val="center"/>
                    <w:rPr>
                      <w:rFonts w:hint="default" w:eastAsia="宋体"/>
                      <w:color w:val="auto"/>
                      <w:sz w:val="21"/>
                      <w:szCs w:val="21"/>
                      <w:lang w:val="en-US" w:eastAsia="zh-CN"/>
                    </w:rPr>
                  </w:pPr>
                  <w:r>
                    <w:rPr>
                      <w:rFonts w:hint="eastAsia"/>
                      <w:color w:val="auto"/>
                      <w:sz w:val="21"/>
                      <w:szCs w:val="21"/>
                      <w:lang w:val="en-US" w:eastAsia="zh-CN"/>
                    </w:rPr>
                    <w:t>噪声、废弃滤芯等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59" w:type="dxa"/>
                  <w:vMerge w:val="continue"/>
                  <w:vAlign w:val="center"/>
                </w:tcPr>
                <w:p>
                  <w:pPr>
                    <w:pStyle w:val="11"/>
                    <w:jc w:val="both"/>
                    <w:rPr>
                      <w:color w:val="auto"/>
                      <w:sz w:val="21"/>
                      <w:szCs w:val="21"/>
                    </w:rPr>
                  </w:pPr>
                </w:p>
              </w:tc>
              <w:tc>
                <w:tcPr>
                  <w:tcW w:w="751" w:type="dxa"/>
                  <w:vAlign w:val="center"/>
                </w:tcPr>
                <w:p>
                  <w:pPr>
                    <w:pStyle w:val="11"/>
                    <w:jc w:val="center"/>
                    <w:rPr>
                      <w:rFonts w:hint="default"/>
                      <w:color w:val="auto"/>
                      <w:sz w:val="21"/>
                      <w:szCs w:val="21"/>
                      <w:lang w:val="en-US" w:eastAsia="zh-CN"/>
                    </w:rPr>
                  </w:pPr>
                  <w:r>
                    <w:rPr>
                      <w:rFonts w:hint="eastAsia"/>
                      <w:color w:val="auto"/>
                      <w:sz w:val="21"/>
                      <w:szCs w:val="21"/>
                      <w:lang w:val="en-US" w:eastAsia="zh-CN"/>
                    </w:rPr>
                    <w:t>空压机房</w:t>
                  </w:r>
                </w:p>
              </w:tc>
              <w:tc>
                <w:tcPr>
                  <w:tcW w:w="4718" w:type="dxa"/>
                  <w:vAlign w:val="center"/>
                </w:tcPr>
                <w:p>
                  <w:pPr>
                    <w:pStyle w:val="11"/>
                    <w:bidi w:val="0"/>
                    <w:rPr>
                      <w:rFonts w:hint="default"/>
                      <w:color w:val="auto"/>
                      <w:lang w:val="en-US" w:eastAsia="zh-CN"/>
                    </w:rPr>
                  </w:pPr>
                  <w:r>
                    <w:rPr>
                      <w:rFonts w:hint="default" w:ascii="Times New Roman" w:hAnsi="Times New Roman" w:cs="Times New Roman"/>
                      <w:color w:val="auto"/>
                      <w:sz w:val="21"/>
                      <w:szCs w:val="21"/>
                      <w:lang w:val="en-US" w:eastAsia="zh-CN"/>
                    </w:rPr>
                    <w:t>位于1号生产车间1F，</w:t>
                  </w:r>
                  <w:r>
                    <w:rPr>
                      <w:rFonts w:hint="eastAsia" w:cs="Times New Roman"/>
                      <w:color w:val="auto"/>
                      <w:sz w:val="21"/>
                      <w:szCs w:val="21"/>
                      <w:lang w:val="en-US" w:eastAsia="zh-CN"/>
                    </w:rPr>
                    <w:t>建筑面积</w:t>
                  </w:r>
                  <w:r>
                    <w:rPr>
                      <w:rFonts w:hint="eastAsia" w:ascii="Times New Roman" w:hAnsi="Times New Roman" w:cs="Times New Roman"/>
                      <w:color w:val="auto"/>
                      <w:sz w:val="21"/>
                      <w:szCs w:val="21"/>
                      <w:lang w:val="en-US" w:eastAsia="zh-CN"/>
                    </w:rPr>
                    <w:t>约</w:t>
                  </w:r>
                  <w:r>
                    <w:rPr>
                      <w:rFonts w:hint="eastAsia" w:cs="Times New Roman"/>
                      <w:color w:val="auto"/>
                      <w:sz w:val="21"/>
                      <w:szCs w:val="21"/>
                      <w:lang w:val="en-US" w:eastAsia="zh-CN"/>
                    </w:rPr>
                    <w:t>100</w:t>
                  </w:r>
                  <w:r>
                    <w:rPr>
                      <w:rFonts w:hint="eastAsia" w:ascii="Times New Roman" w:hAnsi="Times New Roman" w:cs="Times New Roman"/>
                      <w:color w:val="auto"/>
                      <w:sz w:val="21"/>
                      <w:szCs w:val="21"/>
                      <w:lang w:val="en-US" w:eastAsia="zh-CN"/>
                    </w:rPr>
                    <w:t>m</w:t>
                  </w:r>
                  <w:r>
                    <w:rPr>
                      <w:rFonts w:hint="eastAsia"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内设1套真空设备，配套1个真空罐1m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，2套空压设备，配套1个储气罐10m</w:t>
                  </w:r>
                  <w:r>
                    <w:rPr>
                      <w:rFonts w:hint="eastAsia" w:cs="Times New Roman"/>
                      <w:color w:val="auto"/>
                      <w:sz w:val="21"/>
                      <w:szCs w:val="21"/>
                      <w:vertAlign w:val="superscript"/>
                      <w:lang w:val="en-US" w:eastAsia="zh-CN"/>
                    </w:rPr>
                    <w:t>3</w:t>
                  </w:r>
                  <w:r>
                    <w:rPr>
                      <w:color w:val="auto"/>
                      <w:sz w:val="21"/>
                      <w:szCs w:val="21"/>
                    </w:rPr>
                    <w:t>；</w:t>
                  </w:r>
                </w:p>
              </w:tc>
              <w:tc>
                <w:tcPr>
                  <w:tcW w:w="1138" w:type="dxa"/>
                  <w:vMerge w:val="continue"/>
                  <w:vAlign w:val="center"/>
                </w:tcPr>
                <w:p>
                  <w:pPr>
                    <w:pStyle w:val="11"/>
                    <w:jc w:val="both"/>
                    <w:rPr>
                      <w:color w:val="auto"/>
                      <w:sz w:val="21"/>
                      <w:szCs w:val="21"/>
                    </w:rPr>
                  </w:pPr>
                </w:p>
              </w:tc>
              <w:tc>
                <w:tcPr>
                  <w:tcW w:w="1429" w:type="dxa"/>
                  <w:vAlign w:val="center"/>
                </w:tcPr>
                <w:p>
                  <w:pPr>
                    <w:pStyle w:val="11"/>
                    <w:jc w:val="center"/>
                    <w:rPr>
                      <w:rFonts w:hint="eastAsia" w:eastAsia="宋体"/>
                      <w:color w:val="auto"/>
                      <w:sz w:val="21"/>
                      <w:szCs w:val="21"/>
                      <w:lang w:val="en-US" w:eastAsia="zh-CN"/>
                    </w:rPr>
                  </w:pPr>
                  <w:r>
                    <w:rPr>
                      <w:rFonts w:hint="eastAsia"/>
                      <w:color w:val="auto"/>
                      <w:sz w:val="21"/>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restart"/>
                  <w:vAlign w:val="center"/>
                </w:tcPr>
                <w:p>
                  <w:pPr>
                    <w:pStyle w:val="11"/>
                    <w:jc w:val="center"/>
                    <w:rPr>
                      <w:color w:val="auto"/>
                      <w:sz w:val="21"/>
                      <w:szCs w:val="21"/>
                    </w:rPr>
                  </w:pPr>
                  <w:r>
                    <w:rPr>
                      <w:color w:val="auto"/>
                      <w:sz w:val="21"/>
                      <w:szCs w:val="21"/>
                    </w:rPr>
                    <w:t>公用工程</w:t>
                  </w:r>
                </w:p>
              </w:tc>
              <w:tc>
                <w:tcPr>
                  <w:tcW w:w="751" w:type="dxa"/>
                  <w:vAlign w:val="center"/>
                </w:tcPr>
                <w:p>
                  <w:pPr>
                    <w:pStyle w:val="11"/>
                    <w:jc w:val="center"/>
                    <w:rPr>
                      <w:color w:val="auto"/>
                      <w:sz w:val="21"/>
                      <w:szCs w:val="21"/>
                    </w:rPr>
                  </w:pPr>
                  <w:r>
                    <w:rPr>
                      <w:color w:val="auto"/>
                      <w:sz w:val="21"/>
                      <w:szCs w:val="21"/>
                    </w:rPr>
                    <w:t>供电</w:t>
                  </w:r>
                </w:p>
              </w:tc>
              <w:tc>
                <w:tcPr>
                  <w:tcW w:w="4718" w:type="dxa"/>
                  <w:vAlign w:val="center"/>
                </w:tcPr>
                <w:p>
                  <w:pPr>
                    <w:pStyle w:val="11"/>
                    <w:jc w:val="center"/>
                    <w:rPr>
                      <w:color w:val="auto"/>
                      <w:sz w:val="21"/>
                      <w:szCs w:val="21"/>
                    </w:rPr>
                  </w:pPr>
                  <w:r>
                    <w:rPr>
                      <w:color w:val="auto"/>
                      <w:sz w:val="21"/>
                      <w:szCs w:val="21"/>
                    </w:rPr>
                    <w:t>市政供电；</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continue"/>
                  <w:vAlign w:val="center"/>
                </w:tcPr>
                <w:p>
                  <w:pPr>
                    <w:pStyle w:val="11"/>
                    <w:jc w:val="center"/>
                    <w:rPr>
                      <w:color w:val="auto"/>
                      <w:sz w:val="21"/>
                      <w:szCs w:val="21"/>
                    </w:rPr>
                  </w:pPr>
                </w:p>
              </w:tc>
              <w:tc>
                <w:tcPr>
                  <w:tcW w:w="751" w:type="dxa"/>
                  <w:vAlign w:val="center"/>
                </w:tcPr>
                <w:p>
                  <w:pPr>
                    <w:pStyle w:val="11"/>
                    <w:jc w:val="center"/>
                    <w:rPr>
                      <w:color w:val="auto"/>
                      <w:sz w:val="21"/>
                      <w:szCs w:val="21"/>
                    </w:rPr>
                  </w:pPr>
                  <w:r>
                    <w:rPr>
                      <w:color w:val="auto"/>
                      <w:sz w:val="21"/>
                      <w:szCs w:val="21"/>
                    </w:rPr>
                    <w:t>供水</w:t>
                  </w:r>
                </w:p>
              </w:tc>
              <w:tc>
                <w:tcPr>
                  <w:tcW w:w="4718" w:type="dxa"/>
                  <w:vAlign w:val="center"/>
                </w:tcPr>
                <w:p>
                  <w:pPr>
                    <w:pStyle w:val="11"/>
                    <w:jc w:val="center"/>
                    <w:rPr>
                      <w:color w:val="auto"/>
                      <w:sz w:val="21"/>
                      <w:szCs w:val="21"/>
                    </w:rPr>
                  </w:pPr>
                  <w:r>
                    <w:rPr>
                      <w:color w:val="auto"/>
                      <w:sz w:val="21"/>
                      <w:szCs w:val="21"/>
                    </w:rPr>
                    <w:t>市政供水；</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continue"/>
                  <w:vAlign w:val="center"/>
                </w:tcPr>
                <w:p>
                  <w:pPr>
                    <w:pStyle w:val="11"/>
                    <w:jc w:val="center"/>
                    <w:rPr>
                      <w:color w:val="auto"/>
                      <w:sz w:val="21"/>
                      <w:szCs w:val="21"/>
                    </w:rPr>
                  </w:pPr>
                </w:p>
              </w:tc>
              <w:tc>
                <w:tcPr>
                  <w:tcW w:w="751" w:type="dxa"/>
                  <w:vAlign w:val="center"/>
                </w:tcPr>
                <w:p>
                  <w:pPr>
                    <w:pStyle w:val="11"/>
                    <w:jc w:val="center"/>
                    <w:rPr>
                      <w:color w:val="auto"/>
                      <w:sz w:val="21"/>
                      <w:szCs w:val="21"/>
                    </w:rPr>
                  </w:pPr>
                  <w:r>
                    <w:rPr>
                      <w:color w:val="auto"/>
                      <w:sz w:val="21"/>
                      <w:szCs w:val="21"/>
                    </w:rPr>
                    <w:t>排水</w:t>
                  </w:r>
                </w:p>
              </w:tc>
              <w:tc>
                <w:tcPr>
                  <w:tcW w:w="4718" w:type="dxa"/>
                  <w:vAlign w:val="center"/>
                </w:tcPr>
                <w:p>
                  <w:pPr>
                    <w:pStyle w:val="11"/>
                    <w:jc w:val="both"/>
                    <w:rPr>
                      <w:color w:val="auto"/>
                      <w:sz w:val="21"/>
                      <w:szCs w:val="21"/>
                    </w:rPr>
                  </w:pPr>
                  <w:r>
                    <w:rPr>
                      <w:color w:val="auto"/>
                      <w:sz w:val="21"/>
                      <w:szCs w:val="21"/>
                    </w:rPr>
                    <w:t>实行雨污分流制，生活污水经</w:t>
                  </w:r>
                  <w:r>
                    <w:rPr>
                      <w:rFonts w:hint="eastAsia"/>
                      <w:color w:val="auto"/>
                      <w:sz w:val="21"/>
                      <w:szCs w:val="21"/>
                      <w:lang w:eastAsia="zh-CN"/>
                    </w:rPr>
                    <w:t>预处理池</w:t>
                  </w:r>
                  <w:r>
                    <w:rPr>
                      <w:color w:val="auto"/>
                      <w:sz w:val="21"/>
                      <w:szCs w:val="21"/>
                    </w:rPr>
                    <w:t>处理达标后进入园区管网，然后由园区工业污水处理厂处理后达标排入州河；</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restart"/>
                  <w:vAlign w:val="center"/>
                </w:tcPr>
                <w:p>
                  <w:pPr>
                    <w:pStyle w:val="11"/>
                    <w:jc w:val="center"/>
                    <w:rPr>
                      <w:color w:val="auto"/>
                      <w:sz w:val="21"/>
                      <w:szCs w:val="21"/>
                    </w:rPr>
                  </w:pPr>
                  <w:r>
                    <w:rPr>
                      <w:color w:val="auto"/>
                      <w:sz w:val="21"/>
                      <w:szCs w:val="21"/>
                    </w:rPr>
                    <w:t>环保工程</w:t>
                  </w:r>
                </w:p>
              </w:tc>
              <w:tc>
                <w:tcPr>
                  <w:tcW w:w="751" w:type="dxa"/>
                  <w:vMerge w:val="restart"/>
                  <w:vAlign w:val="center"/>
                </w:tcPr>
                <w:p>
                  <w:pPr>
                    <w:pStyle w:val="11"/>
                    <w:jc w:val="center"/>
                    <w:rPr>
                      <w:color w:val="auto"/>
                      <w:sz w:val="21"/>
                      <w:szCs w:val="21"/>
                    </w:rPr>
                  </w:pPr>
                  <w:r>
                    <w:rPr>
                      <w:color w:val="auto"/>
                      <w:sz w:val="21"/>
                      <w:szCs w:val="21"/>
                    </w:rPr>
                    <w:t>废水处理</w:t>
                  </w:r>
                </w:p>
              </w:tc>
              <w:tc>
                <w:tcPr>
                  <w:tcW w:w="4718" w:type="dxa"/>
                  <w:vAlign w:val="center"/>
                </w:tcPr>
                <w:p>
                  <w:pPr>
                    <w:pStyle w:val="11"/>
                    <w:jc w:val="both"/>
                    <w:rPr>
                      <w:color w:val="auto"/>
                      <w:sz w:val="21"/>
                      <w:szCs w:val="21"/>
                    </w:rPr>
                  </w:pPr>
                  <w:r>
                    <w:rPr>
                      <w:color w:val="auto"/>
                      <w:sz w:val="21"/>
                      <w:szCs w:val="21"/>
                    </w:rPr>
                    <w:t>生活污水：新建</w:t>
                  </w:r>
                  <w:r>
                    <w:rPr>
                      <w:rFonts w:hint="eastAsia"/>
                      <w:color w:val="auto"/>
                      <w:sz w:val="21"/>
                      <w:szCs w:val="21"/>
                      <w:lang w:eastAsia="zh-CN"/>
                    </w:rPr>
                    <w:t>预处理池</w:t>
                  </w:r>
                  <w:r>
                    <w:rPr>
                      <w:color w:val="auto"/>
                      <w:sz w:val="21"/>
                      <w:szCs w:val="21"/>
                    </w:rPr>
                    <w:t>，</w:t>
                  </w:r>
                  <w:r>
                    <w:rPr>
                      <w:rFonts w:hint="eastAsia"/>
                      <w:color w:val="auto"/>
                      <w:sz w:val="21"/>
                      <w:szCs w:val="21"/>
                    </w:rPr>
                    <w:t>设计</w:t>
                  </w:r>
                  <w:r>
                    <w:rPr>
                      <w:color w:val="auto"/>
                      <w:sz w:val="21"/>
                      <w:szCs w:val="21"/>
                    </w:rPr>
                    <w:t>容积50m³，</w:t>
                  </w:r>
                  <w:r>
                    <w:rPr>
                      <w:rFonts w:hint="eastAsia"/>
                      <w:color w:val="auto"/>
                      <w:sz w:val="21"/>
                      <w:szCs w:val="21"/>
                      <w:lang w:val="en-US" w:eastAsia="zh-CN"/>
                    </w:rPr>
                    <w:t>生活污水</w:t>
                  </w:r>
                  <w:r>
                    <w:rPr>
                      <w:color w:val="auto"/>
                      <w:sz w:val="21"/>
                      <w:szCs w:val="21"/>
                    </w:rPr>
                    <w:t>经处理后排入厂区内污水处理站；</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污泥、恶臭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continue"/>
                  <w:vAlign w:val="center"/>
                </w:tcPr>
                <w:p>
                  <w:pPr>
                    <w:pStyle w:val="11"/>
                    <w:jc w:val="center"/>
                    <w:rPr>
                      <w:color w:val="auto"/>
                      <w:sz w:val="21"/>
                      <w:szCs w:val="21"/>
                    </w:rPr>
                  </w:pPr>
                </w:p>
              </w:tc>
              <w:tc>
                <w:tcPr>
                  <w:tcW w:w="751" w:type="dxa"/>
                  <w:vMerge w:val="continue"/>
                  <w:vAlign w:val="center"/>
                </w:tcPr>
                <w:p>
                  <w:pPr>
                    <w:pStyle w:val="11"/>
                    <w:jc w:val="center"/>
                    <w:rPr>
                      <w:color w:val="auto"/>
                      <w:sz w:val="21"/>
                      <w:szCs w:val="21"/>
                    </w:rPr>
                  </w:pPr>
                </w:p>
              </w:tc>
              <w:tc>
                <w:tcPr>
                  <w:tcW w:w="4718" w:type="dxa"/>
                  <w:vAlign w:val="center"/>
                </w:tcPr>
                <w:p>
                  <w:pPr>
                    <w:pStyle w:val="11"/>
                    <w:jc w:val="both"/>
                    <w:rPr>
                      <w:color w:val="auto"/>
                      <w:sz w:val="21"/>
                      <w:szCs w:val="21"/>
                    </w:rPr>
                  </w:pPr>
                  <w:r>
                    <w:rPr>
                      <w:color w:val="auto"/>
                      <w:sz w:val="21"/>
                      <w:szCs w:val="21"/>
                    </w:rPr>
                    <w:t>蒸汽</w:t>
                  </w:r>
                  <w:r>
                    <w:rPr>
                      <w:rFonts w:hint="eastAsia"/>
                      <w:color w:val="auto"/>
                      <w:sz w:val="21"/>
                      <w:szCs w:val="21"/>
                    </w:rPr>
                    <w:t>锅炉排放水：经厂区内冷却水池冷却后，再</w:t>
                  </w:r>
                  <w:r>
                    <w:rPr>
                      <w:rFonts w:hint="eastAsia"/>
                      <w:bCs/>
                      <w:color w:val="auto"/>
                      <w:sz w:val="21"/>
                      <w:szCs w:val="21"/>
                    </w:rPr>
                    <w:t>经厂区污水处理站处理达标后排入园区污水管网，冷却水池</w:t>
                  </w:r>
                  <w:r>
                    <w:rPr>
                      <w:rFonts w:hint="eastAsia"/>
                      <w:color w:val="auto"/>
                      <w:sz w:val="21"/>
                      <w:szCs w:val="21"/>
                    </w:rPr>
                    <w:t>有效设计</w:t>
                  </w:r>
                  <w:r>
                    <w:rPr>
                      <w:color w:val="auto"/>
                      <w:sz w:val="21"/>
                      <w:szCs w:val="21"/>
                    </w:rPr>
                    <w:t>容积</w:t>
                  </w:r>
                  <w:r>
                    <w:rPr>
                      <w:rFonts w:hint="eastAsia"/>
                      <w:color w:val="auto"/>
                      <w:sz w:val="21"/>
                      <w:szCs w:val="21"/>
                    </w:rPr>
                    <w:t>100</w:t>
                  </w:r>
                  <w:r>
                    <w:rPr>
                      <w:color w:val="auto"/>
                      <w:sz w:val="21"/>
                      <w:szCs w:val="21"/>
                    </w:rPr>
                    <w:t>m³；</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continue"/>
                  <w:vAlign w:val="center"/>
                </w:tcPr>
                <w:p>
                  <w:pPr>
                    <w:pStyle w:val="11"/>
                    <w:jc w:val="center"/>
                    <w:rPr>
                      <w:color w:val="auto"/>
                      <w:sz w:val="21"/>
                      <w:szCs w:val="21"/>
                    </w:rPr>
                  </w:pPr>
                </w:p>
              </w:tc>
              <w:tc>
                <w:tcPr>
                  <w:tcW w:w="751" w:type="dxa"/>
                  <w:vMerge w:val="continue"/>
                  <w:vAlign w:val="center"/>
                </w:tcPr>
                <w:p>
                  <w:pPr>
                    <w:pStyle w:val="11"/>
                    <w:jc w:val="center"/>
                    <w:rPr>
                      <w:color w:val="auto"/>
                      <w:sz w:val="21"/>
                      <w:szCs w:val="21"/>
                    </w:rPr>
                  </w:pPr>
                </w:p>
              </w:tc>
              <w:tc>
                <w:tcPr>
                  <w:tcW w:w="4718" w:type="dxa"/>
                  <w:vAlign w:val="center"/>
                </w:tcPr>
                <w:p>
                  <w:pPr>
                    <w:pStyle w:val="11"/>
                    <w:jc w:val="both"/>
                    <w:rPr>
                      <w:color w:val="auto"/>
                      <w:sz w:val="21"/>
                      <w:szCs w:val="21"/>
                    </w:rPr>
                  </w:pPr>
                  <w:r>
                    <w:rPr>
                      <w:rFonts w:hint="eastAsia"/>
                      <w:color w:val="auto"/>
                      <w:sz w:val="21"/>
                      <w:szCs w:val="21"/>
                    </w:rPr>
                    <w:t>厂区废水</w:t>
                  </w:r>
                  <w:r>
                    <w:rPr>
                      <w:color w:val="auto"/>
                      <w:sz w:val="21"/>
                      <w:szCs w:val="21"/>
                    </w:rPr>
                    <w:t>：</w:t>
                  </w:r>
                  <w:r>
                    <w:rPr>
                      <w:rFonts w:hint="eastAsia"/>
                      <w:color w:val="auto"/>
                      <w:sz w:val="21"/>
                      <w:szCs w:val="21"/>
                    </w:rPr>
                    <w:t>厂区废水</w:t>
                  </w:r>
                  <w:r>
                    <w:rPr>
                      <w:color w:val="auto"/>
                      <w:sz w:val="21"/>
                      <w:szCs w:val="21"/>
                    </w:rPr>
                    <w:t>经“格栅+沉淀+气浮+接触氧化+消毒”工艺处理</w:t>
                  </w:r>
                  <w:r>
                    <w:rPr>
                      <w:rFonts w:hint="eastAsia"/>
                      <w:color w:val="auto"/>
                      <w:sz w:val="21"/>
                      <w:szCs w:val="21"/>
                      <w:lang w:val="en-US" w:eastAsia="zh-CN"/>
                    </w:rPr>
                    <w:t>达标</w:t>
                  </w:r>
                  <w:r>
                    <w:rPr>
                      <w:color w:val="auto"/>
                      <w:sz w:val="21"/>
                      <w:szCs w:val="21"/>
                    </w:rPr>
                    <w:t>后</w:t>
                  </w:r>
                  <w:r>
                    <w:rPr>
                      <w:rFonts w:hint="eastAsia"/>
                      <w:color w:val="auto"/>
                      <w:sz w:val="21"/>
                      <w:szCs w:val="21"/>
                      <w:lang w:val="en-US" w:eastAsia="zh-CN"/>
                    </w:rPr>
                    <w:t>经DW001排放口</w:t>
                  </w:r>
                  <w:r>
                    <w:rPr>
                      <w:rFonts w:hint="eastAsia"/>
                      <w:color w:val="auto"/>
                      <w:sz w:val="21"/>
                      <w:szCs w:val="21"/>
                    </w:rPr>
                    <w:t>排入园区管网</w:t>
                  </w:r>
                  <w:r>
                    <w:rPr>
                      <w:color w:val="auto"/>
                      <w:sz w:val="21"/>
                      <w:szCs w:val="21"/>
                    </w:rPr>
                    <w:t>，设计处理能力300m³/d；</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污泥、恶臭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659" w:type="dxa"/>
                  <w:vMerge w:val="continue"/>
                  <w:vAlign w:val="center"/>
                </w:tcPr>
                <w:p>
                  <w:pPr>
                    <w:pStyle w:val="11"/>
                    <w:jc w:val="center"/>
                    <w:rPr>
                      <w:color w:val="auto"/>
                      <w:sz w:val="21"/>
                      <w:szCs w:val="21"/>
                    </w:rPr>
                  </w:pPr>
                </w:p>
              </w:tc>
              <w:tc>
                <w:tcPr>
                  <w:tcW w:w="751" w:type="dxa"/>
                  <w:vMerge w:val="restart"/>
                  <w:vAlign w:val="center"/>
                </w:tcPr>
                <w:p>
                  <w:pPr>
                    <w:pStyle w:val="11"/>
                    <w:jc w:val="center"/>
                    <w:rPr>
                      <w:color w:val="auto"/>
                      <w:kern w:val="2"/>
                      <w:sz w:val="21"/>
                      <w:szCs w:val="21"/>
                    </w:rPr>
                  </w:pPr>
                  <w:r>
                    <w:rPr>
                      <w:color w:val="auto"/>
                      <w:sz w:val="21"/>
                      <w:szCs w:val="21"/>
                    </w:rPr>
                    <w:t>废气治理</w:t>
                  </w:r>
                </w:p>
              </w:tc>
              <w:tc>
                <w:tcPr>
                  <w:tcW w:w="4718" w:type="dxa"/>
                  <w:vAlign w:val="center"/>
                </w:tcPr>
                <w:p>
                  <w:pPr>
                    <w:pStyle w:val="11"/>
                    <w:rPr>
                      <w:color w:val="auto"/>
                      <w:sz w:val="21"/>
                      <w:szCs w:val="21"/>
                    </w:rPr>
                  </w:pPr>
                  <w:r>
                    <w:rPr>
                      <w:rFonts w:hint="eastAsia"/>
                      <w:color w:val="auto"/>
                      <w:sz w:val="21"/>
                      <w:szCs w:val="21"/>
                    </w:rPr>
                    <w:t>天然气燃烧废气</w:t>
                  </w:r>
                  <w:r>
                    <w:rPr>
                      <w:rFonts w:hint="eastAsia"/>
                      <w:color w:val="auto"/>
                      <w:sz w:val="21"/>
                      <w:szCs w:val="21"/>
                      <w:lang w:eastAsia="zh-CN"/>
                    </w:rPr>
                    <w:t>（</w:t>
                  </w:r>
                  <w:r>
                    <w:rPr>
                      <w:rFonts w:hint="eastAsia"/>
                      <w:color w:val="auto"/>
                      <w:sz w:val="21"/>
                      <w:szCs w:val="21"/>
                      <w:lang w:val="en-US" w:eastAsia="zh-CN"/>
                    </w:rPr>
                    <w:t>位于锅炉房</w:t>
                  </w:r>
                  <w:r>
                    <w:rPr>
                      <w:rFonts w:hint="eastAsia"/>
                      <w:color w:val="auto"/>
                      <w:sz w:val="21"/>
                      <w:szCs w:val="21"/>
                      <w:lang w:eastAsia="zh-CN"/>
                    </w:rPr>
                    <w:t>）</w:t>
                  </w:r>
                  <w:r>
                    <w:rPr>
                      <w:rFonts w:hint="eastAsia"/>
                      <w:color w:val="auto"/>
                      <w:sz w:val="21"/>
                      <w:szCs w:val="21"/>
                    </w:rPr>
                    <w:t>：</w:t>
                  </w:r>
                  <w:r>
                    <w:rPr>
                      <w:rFonts w:hint="eastAsia"/>
                      <w:color w:val="auto"/>
                      <w:sz w:val="21"/>
                      <w:szCs w:val="21"/>
                      <w:lang w:val="en-US" w:eastAsia="zh-CN"/>
                    </w:rPr>
                    <w:t>天然气</w:t>
                  </w:r>
                  <w:r>
                    <w:rPr>
                      <w:rFonts w:hint="eastAsia"/>
                      <w:color w:val="auto"/>
                      <w:sz w:val="21"/>
                      <w:szCs w:val="21"/>
                    </w:rPr>
                    <w:t>经低氮燃烧</w:t>
                  </w:r>
                  <w:r>
                    <w:rPr>
                      <w:rFonts w:hint="eastAsia"/>
                      <w:color w:val="auto"/>
                      <w:sz w:val="21"/>
                      <w:szCs w:val="21"/>
                      <w:lang w:val="zh-TW" w:eastAsia="zh-TW"/>
                    </w:rPr>
                    <w:t>后</w:t>
                  </w:r>
                  <w:r>
                    <w:rPr>
                      <w:rFonts w:hint="eastAsia"/>
                      <w:color w:val="auto"/>
                      <w:sz w:val="21"/>
                      <w:szCs w:val="21"/>
                      <w:lang w:val="zh-TW"/>
                    </w:rPr>
                    <w:t>，</w:t>
                  </w:r>
                  <w:r>
                    <w:rPr>
                      <w:rFonts w:hint="eastAsia"/>
                      <w:color w:val="auto"/>
                      <w:sz w:val="21"/>
                      <w:szCs w:val="21"/>
                      <w:lang w:val="zh-TW" w:eastAsia="zh-TW"/>
                    </w:rPr>
                    <w:t>经直径为</w:t>
                  </w:r>
                  <w:r>
                    <w:rPr>
                      <w:color w:val="auto"/>
                      <w:sz w:val="21"/>
                      <w:szCs w:val="21"/>
                    </w:rPr>
                    <w:t>0.</w:t>
                  </w:r>
                  <w:r>
                    <w:rPr>
                      <w:rFonts w:hint="eastAsia"/>
                      <w:color w:val="auto"/>
                      <w:sz w:val="21"/>
                      <w:szCs w:val="21"/>
                    </w:rPr>
                    <w:t>3</w:t>
                  </w:r>
                  <w:r>
                    <w:rPr>
                      <w:color w:val="auto"/>
                      <w:sz w:val="21"/>
                      <w:szCs w:val="21"/>
                    </w:rPr>
                    <w:t>m</w:t>
                  </w:r>
                  <w:r>
                    <w:rPr>
                      <w:rFonts w:hint="eastAsia"/>
                      <w:color w:val="auto"/>
                      <w:sz w:val="21"/>
                      <w:szCs w:val="21"/>
                    </w:rPr>
                    <w:t>，</w:t>
                  </w:r>
                  <w:r>
                    <w:rPr>
                      <w:rFonts w:hint="eastAsia"/>
                      <w:color w:val="auto"/>
                      <w:sz w:val="21"/>
                      <w:szCs w:val="21"/>
                      <w:lang w:val="zh-TW" w:eastAsia="zh-TW"/>
                    </w:rPr>
                    <w:t>高度为</w:t>
                  </w:r>
                  <w:r>
                    <w:rPr>
                      <w:rFonts w:hint="eastAsia"/>
                      <w:color w:val="auto"/>
                      <w:sz w:val="21"/>
                      <w:szCs w:val="21"/>
                    </w:rPr>
                    <w:t>12.0</w:t>
                  </w:r>
                  <w:r>
                    <w:rPr>
                      <w:color w:val="auto"/>
                      <w:sz w:val="21"/>
                      <w:szCs w:val="21"/>
                    </w:rPr>
                    <w:t>m</w:t>
                  </w:r>
                  <w:r>
                    <w:rPr>
                      <w:rFonts w:hint="eastAsia"/>
                      <w:color w:val="auto"/>
                      <w:sz w:val="21"/>
                      <w:szCs w:val="21"/>
                      <w:lang w:val="zh-TW" w:eastAsia="zh-TW"/>
                    </w:rPr>
                    <w:t>的</w:t>
                  </w:r>
                  <w:r>
                    <w:rPr>
                      <w:rFonts w:hint="eastAsia"/>
                      <w:color w:val="auto"/>
                      <w:sz w:val="21"/>
                      <w:szCs w:val="21"/>
                      <w:lang w:val="en-US" w:eastAsia="zh-CN"/>
                    </w:rPr>
                    <w:t>排气筒</w:t>
                  </w:r>
                  <w:r>
                    <w:rPr>
                      <w:rFonts w:hint="eastAsia" w:cs="Times New Roman"/>
                      <w:color w:val="auto"/>
                      <w:lang w:eastAsia="zh-CN"/>
                    </w:rPr>
                    <w:t>（</w:t>
                  </w:r>
                  <w:r>
                    <w:rPr>
                      <w:rFonts w:hint="eastAsia" w:cs="Times New Roman"/>
                      <w:color w:val="auto"/>
                      <w:lang w:val="en-US" w:eastAsia="zh-CN"/>
                    </w:rPr>
                    <w:t>DA001</w:t>
                  </w:r>
                  <w:r>
                    <w:rPr>
                      <w:rFonts w:hint="eastAsia" w:cs="Times New Roman"/>
                      <w:color w:val="auto"/>
                      <w:lang w:eastAsia="zh-CN"/>
                    </w:rPr>
                    <w:t>）</w:t>
                  </w:r>
                  <w:r>
                    <w:rPr>
                      <w:rFonts w:hint="eastAsia"/>
                      <w:color w:val="auto"/>
                      <w:sz w:val="21"/>
                      <w:szCs w:val="21"/>
                      <w:lang w:val="zh-TW" w:eastAsia="zh-TW"/>
                    </w:rPr>
                    <w:t>排放</w:t>
                  </w:r>
                  <w:r>
                    <w:rPr>
                      <w:rFonts w:hint="eastAsia"/>
                      <w:color w:val="auto"/>
                      <w:sz w:val="21"/>
                      <w:szCs w:val="21"/>
                      <w:lang w:val="zh-TW" w:eastAsia="zh-CN"/>
                    </w:rPr>
                    <w:t>（</w:t>
                  </w:r>
                  <w:r>
                    <w:rPr>
                      <w:rFonts w:hint="eastAsia"/>
                      <w:color w:val="auto"/>
                      <w:sz w:val="21"/>
                      <w:szCs w:val="21"/>
                      <w:lang w:val="en-US" w:eastAsia="zh-CN"/>
                    </w:rPr>
                    <w:t>2台锅炉共用1根排气筒</w:t>
                  </w:r>
                  <w:r>
                    <w:rPr>
                      <w:rFonts w:hint="eastAsia"/>
                      <w:color w:val="auto"/>
                      <w:sz w:val="21"/>
                      <w:szCs w:val="21"/>
                      <w:lang w:val="zh-TW" w:eastAsia="zh-CN"/>
                    </w:rPr>
                    <w:t>）</w:t>
                  </w:r>
                  <w:r>
                    <w:rPr>
                      <w:rFonts w:hint="eastAsia"/>
                      <w:color w:val="auto"/>
                      <w:sz w:val="21"/>
                      <w:szCs w:val="21"/>
                      <w:lang w:val="zh-TW"/>
                    </w:rPr>
                    <w:t>；</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噪声、废气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659" w:type="dxa"/>
                  <w:vMerge w:val="continue"/>
                  <w:vAlign w:val="center"/>
                </w:tcPr>
                <w:p>
                  <w:pPr>
                    <w:pStyle w:val="11"/>
                    <w:jc w:val="both"/>
                    <w:rPr>
                      <w:color w:val="auto"/>
                      <w:sz w:val="21"/>
                      <w:szCs w:val="21"/>
                    </w:rPr>
                  </w:pPr>
                </w:p>
              </w:tc>
              <w:tc>
                <w:tcPr>
                  <w:tcW w:w="751" w:type="dxa"/>
                  <w:vMerge w:val="continue"/>
                  <w:vAlign w:val="center"/>
                </w:tcPr>
                <w:p>
                  <w:pPr>
                    <w:pStyle w:val="11"/>
                    <w:jc w:val="both"/>
                    <w:rPr>
                      <w:color w:val="auto"/>
                      <w:sz w:val="21"/>
                      <w:szCs w:val="21"/>
                    </w:rPr>
                  </w:pPr>
                </w:p>
              </w:tc>
              <w:tc>
                <w:tcPr>
                  <w:tcW w:w="4718" w:type="dxa"/>
                  <w:vAlign w:val="center"/>
                </w:tcPr>
                <w:p>
                  <w:pPr>
                    <w:pStyle w:val="11"/>
                    <w:rPr>
                      <w:color w:val="auto"/>
                      <w:sz w:val="21"/>
                      <w:szCs w:val="21"/>
                    </w:rPr>
                  </w:pPr>
                  <w:r>
                    <w:rPr>
                      <w:rFonts w:hint="eastAsia"/>
                      <w:color w:val="auto"/>
                      <w:sz w:val="21"/>
                      <w:szCs w:val="21"/>
                    </w:rPr>
                    <w:t>油烟废气</w:t>
                  </w:r>
                  <w:r>
                    <w:rPr>
                      <w:rFonts w:hint="eastAsia"/>
                      <w:color w:val="auto"/>
                      <w:sz w:val="21"/>
                      <w:szCs w:val="21"/>
                      <w:lang w:eastAsia="zh-CN"/>
                    </w:rPr>
                    <w:t>（</w:t>
                  </w:r>
                  <w:r>
                    <w:rPr>
                      <w:rFonts w:hint="eastAsia"/>
                      <w:color w:val="auto"/>
                      <w:sz w:val="21"/>
                      <w:szCs w:val="21"/>
                      <w:lang w:val="en-US" w:eastAsia="zh-CN"/>
                    </w:rPr>
                    <w:t>位于红烧肉生产车间</w:t>
                  </w:r>
                  <w:r>
                    <w:rPr>
                      <w:rFonts w:hint="eastAsia"/>
                      <w:color w:val="auto"/>
                      <w:sz w:val="21"/>
                      <w:szCs w:val="21"/>
                      <w:lang w:eastAsia="zh-CN"/>
                    </w:rPr>
                    <w:t>）</w:t>
                  </w:r>
                  <w:r>
                    <w:rPr>
                      <w:rFonts w:hint="eastAsia"/>
                      <w:color w:val="auto"/>
                      <w:sz w:val="21"/>
                      <w:szCs w:val="21"/>
                    </w:rPr>
                    <w:t>：</w:t>
                  </w:r>
                  <w:r>
                    <w:rPr>
                      <w:color w:val="auto"/>
                      <w:sz w:val="21"/>
                      <w:szCs w:val="21"/>
                    </w:rPr>
                    <w:t>采用</w:t>
                  </w:r>
                  <w:r>
                    <w:rPr>
                      <w:rFonts w:hint="eastAsia"/>
                      <w:color w:val="auto"/>
                      <w:sz w:val="21"/>
                      <w:szCs w:val="21"/>
                      <w:lang w:val="en-US" w:eastAsia="zh-CN"/>
                    </w:rPr>
                    <w:t>1</w:t>
                  </w:r>
                  <w:r>
                    <w:rPr>
                      <w:color w:val="auto"/>
                      <w:sz w:val="21"/>
                      <w:szCs w:val="21"/>
                    </w:rPr>
                    <w:t>套“</w:t>
                  </w:r>
                  <w:r>
                    <w:rPr>
                      <w:rFonts w:hint="eastAsia"/>
                      <w:color w:val="auto"/>
                      <w:sz w:val="21"/>
                      <w:szCs w:val="21"/>
                    </w:rPr>
                    <w:t>高效静电除油净化装置</w:t>
                  </w:r>
                  <w:r>
                    <w:rPr>
                      <w:color w:val="auto"/>
                      <w:sz w:val="21"/>
                      <w:szCs w:val="21"/>
                    </w:rPr>
                    <w:t>”装置处理后</w:t>
                  </w:r>
                  <w:r>
                    <w:rPr>
                      <w:rFonts w:hint="eastAsia"/>
                      <w:color w:val="auto"/>
                      <w:sz w:val="21"/>
                      <w:szCs w:val="21"/>
                    </w:rPr>
                    <w:t>达标</w:t>
                  </w:r>
                  <w:r>
                    <w:rPr>
                      <w:color w:val="auto"/>
                      <w:sz w:val="21"/>
                      <w:szCs w:val="21"/>
                    </w:rPr>
                    <w:t>经</w:t>
                  </w:r>
                  <w:r>
                    <w:rPr>
                      <w:rFonts w:hint="eastAsia"/>
                      <w:color w:val="auto"/>
                      <w:sz w:val="21"/>
                      <w:szCs w:val="21"/>
                    </w:rPr>
                    <w:t>18m高</w:t>
                  </w:r>
                  <w:r>
                    <w:rPr>
                      <w:color w:val="auto"/>
                      <w:sz w:val="21"/>
                      <w:szCs w:val="21"/>
                    </w:rPr>
                    <w:t>排气筒</w:t>
                  </w:r>
                  <w:r>
                    <w:rPr>
                      <w:rFonts w:hint="eastAsia" w:cs="Times New Roman"/>
                      <w:color w:val="auto"/>
                      <w:lang w:eastAsia="zh-CN"/>
                    </w:rPr>
                    <w:t>（</w:t>
                  </w:r>
                  <w:r>
                    <w:rPr>
                      <w:rFonts w:hint="eastAsia" w:cs="Times New Roman"/>
                      <w:color w:val="auto"/>
                      <w:lang w:val="en-US" w:eastAsia="zh-CN"/>
                    </w:rPr>
                    <w:t>DA002</w:t>
                  </w:r>
                  <w:r>
                    <w:rPr>
                      <w:rFonts w:hint="eastAsia" w:cs="Times New Roman"/>
                      <w:color w:val="auto"/>
                      <w:lang w:eastAsia="zh-CN"/>
                    </w:rPr>
                    <w:t>）</w:t>
                  </w:r>
                  <w:r>
                    <w:rPr>
                      <w:color w:val="auto"/>
                      <w:sz w:val="21"/>
                      <w:szCs w:val="21"/>
                    </w:rPr>
                    <w:t>排放(风量按</w:t>
                  </w:r>
                  <w:r>
                    <w:rPr>
                      <w:rFonts w:hint="eastAsia"/>
                      <w:color w:val="auto"/>
                      <w:sz w:val="21"/>
                      <w:szCs w:val="21"/>
                    </w:rPr>
                    <w:t>20000m</w:t>
                  </w:r>
                  <w:r>
                    <w:rPr>
                      <w:color w:val="auto"/>
                      <w:sz w:val="21"/>
                      <w:szCs w:val="21"/>
                      <w:vertAlign w:val="superscript"/>
                    </w:rPr>
                    <w:t>3</w:t>
                  </w:r>
                  <w:r>
                    <w:rPr>
                      <w:color w:val="auto"/>
                      <w:sz w:val="21"/>
                      <w:szCs w:val="21"/>
                    </w:rPr>
                    <w:t>/h计算）</w:t>
                  </w:r>
                  <w:r>
                    <w:rPr>
                      <w:rFonts w:hint="eastAsia"/>
                      <w:color w:val="auto"/>
                      <w:sz w:val="21"/>
                      <w:szCs w:val="21"/>
                    </w:rPr>
                    <w:t>；</w:t>
                  </w:r>
                </w:p>
              </w:tc>
              <w:tc>
                <w:tcPr>
                  <w:tcW w:w="1138" w:type="dxa"/>
                  <w:vMerge w:val="continue"/>
                  <w:vAlign w:val="center"/>
                </w:tcPr>
                <w:p>
                  <w:pPr>
                    <w:pStyle w:val="11"/>
                    <w:jc w:val="both"/>
                    <w:rPr>
                      <w:color w:val="auto"/>
                      <w:kern w:val="2"/>
                      <w:sz w:val="21"/>
                      <w:szCs w:val="21"/>
                    </w:rPr>
                  </w:pPr>
                </w:p>
              </w:tc>
              <w:tc>
                <w:tcPr>
                  <w:tcW w:w="1429" w:type="dxa"/>
                  <w:vAlign w:val="center"/>
                </w:tcPr>
                <w:p>
                  <w:pPr>
                    <w:pStyle w:val="11"/>
                    <w:jc w:val="center"/>
                    <w:rPr>
                      <w:color w:val="auto"/>
                      <w:kern w:val="2"/>
                      <w:sz w:val="21"/>
                      <w:szCs w:val="21"/>
                    </w:rPr>
                  </w:pPr>
                  <w:r>
                    <w:rPr>
                      <w:color w:val="auto"/>
                      <w:sz w:val="21"/>
                      <w:szCs w:val="21"/>
                    </w:rPr>
                    <w:t>噪声、废气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659" w:type="dxa"/>
                  <w:vMerge w:val="continue"/>
                  <w:vAlign w:val="center"/>
                </w:tcPr>
                <w:p>
                  <w:pPr>
                    <w:pStyle w:val="11"/>
                    <w:jc w:val="both"/>
                    <w:rPr>
                      <w:color w:val="auto"/>
                      <w:sz w:val="21"/>
                      <w:szCs w:val="21"/>
                    </w:rPr>
                  </w:pPr>
                </w:p>
              </w:tc>
              <w:tc>
                <w:tcPr>
                  <w:tcW w:w="751" w:type="dxa"/>
                  <w:vMerge w:val="continue"/>
                  <w:vAlign w:val="center"/>
                </w:tcPr>
                <w:p>
                  <w:pPr>
                    <w:pStyle w:val="11"/>
                    <w:jc w:val="both"/>
                    <w:rPr>
                      <w:color w:val="auto"/>
                      <w:sz w:val="21"/>
                      <w:szCs w:val="21"/>
                    </w:rPr>
                  </w:pPr>
                </w:p>
              </w:tc>
              <w:tc>
                <w:tcPr>
                  <w:tcW w:w="4718" w:type="dxa"/>
                  <w:vAlign w:val="center"/>
                </w:tcPr>
                <w:p>
                  <w:pPr>
                    <w:pStyle w:val="11"/>
                    <w:rPr>
                      <w:rFonts w:hint="eastAsia"/>
                      <w:color w:val="auto"/>
                      <w:sz w:val="21"/>
                      <w:szCs w:val="21"/>
                    </w:rPr>
                  </w:pPr>
                  <w:r>
                    <w:rPr>
                      <w:rFonts w:hint="eastAsia"/>
                      <w:color w:val="auto"/>
                      <w:sz w:val="21"/>
                      <w:szCs w:val="21"/>
                    </w:rPr>
                    <w:t>油烟废气</w:t>
                  </w:r>
                  <w:r>
                    <w:rPr>
                      <w:rFonts w:hint="eastAsia"/>
                      <w:color w:val="auto"/>
                      <w:sz w:val="21"/>
                      <w:szCs w:val="21"/>
                      <w:lang w:eastAsia="zh-CN"/>
                    </w:rPr>
                    <w:t>（</w:t>
                  </w:r>
                  <w:r>
                    <w:rPr>
                      <w:rFonts w:hint="eastAsia"/>
                      <w:color w:val="auto"/>
                      <w:sz w:val="21"/>
                      <w:szCs w:val="21"/>
                      <w:lang w:val="en-US" w:eastAsia="zh-CN"/>
                    </w:rPr>
                    <w:t>位于小酥肉生产车间</w:t>
                  </w:r>
                  <w:r>
                    <w:rPr>
                      <w:rFonts w:hint="eastAsia"/>
                      <w:color w:val="auto"/>
                      <w:sz w:val="21"/>
                      <w:szCs w:val="21"/>
                      <w:lang w:eastAsia="zh-CN"/>
                    </w:rPr>
                    <w:t>）</w:t>
                  </w:r>
                  <w:r>
                    <w:rPr>
                      <w:rFonts w:hint="eastAsia"/>
                      <w:color w:val="auto"/>
                      <w:sz w:val="21"/>
                      <w:szCs w:val="21"/>
                    </w:rPr>
                    <w:t>：</w:t>
                  </w:r>
                  <w:r>
                    <w:rPr>
                      <w:color w:val="auto"/>
                      <w:sz w:val="21"/>
                      <w:szCs w:val="21"/>
                    </w:rPr>
                    <w:t>采用</w:t>
                  </w:r>
                  <w:r>
                    <w:rPr>
                      <w:rFonts w:hint="eastAsia"/>
                      <w:color w:val="auto"/>
                      <w:sz w:val="21"/>
                      <w:szCs w:val="21"/>
                      <w:lang w:val="en-US" w:eastAsia="zh-CN"/>
                    </w:rPr>
                    <w:t>1</w:t>
                  </w:r>
                  <w:r>
                    <w:rPr>
                      <w:color w:val="auto"/>
                      <w:sz w:val="21"/>
                      <w:szCs w:val="21"/>
                    </w:rPr>
                    <w:t>套“</w:t>
                  </w:r>
                  <w:r>
                    <w:rPr>
                      <w:rFonts w:hint="eastAsia"/>
                      <w:color w:val="auto"/>
                      <w:sz w:val="21"/>
                      <w:szCs w:val="21"/>
                    </w:rPr>
                    <w:t>高效静电除油净化装置</w:t>
                  </w:r>
                  <w:r>
                    <w:rPr>
                      <w:color w:val="auto"/>
                      <w:sz w:val="21"/>
                      <w:szCs w:val="21"/>
                    </w:rPr>
                    <w:t>”装置处理后</w:t>
                  </w:r>
                  <w:r>
                    <w:rPr>
                      <w:rFonts w:hint="eastAsia"/>
                      <w:color w:val="auto"/>
                      <w:sz w:val="21"/>
                      <w:szCs w:val="21"/>
                    </w:rPr>
                    <w:t>达标</w:t>
                  </w:r>
                  <w:r>
                    <w:rPr>
                      <w:color w:val="auto"/>
                      <w:sz w:val="21"/>
                      <w:szCs w:val="21"/>
                    </w:rPr>
                    <w:t>经</w:t>
                  </w:r>
                  <w:r>
                    <w:rPr>
                      <w:rFonts w:hint="eastAsia"/>
                      <w:color w:val="auto"/>
                      <w:sz w:val="21"/>
                      <w:szCs w:val="21"/>
                    </w:rPr>
                    <w:t>18m高</w:t>
                  </w:r>
                  <w:r>
                    <w:rPr>
                      <w:color w:val="auto"/>
                      <w:sz w:val="21"/>
                      <w:szCs w:val="21"/>
                    </w:rPr>
                    <w:t>排气筒</w:t>
                  </w:r>
                  <w:r>
                    <w:rPr>
                      <w:rFonts w:hint="eastAsia" w:cs="Times New Roman"/>
                      <w:color w:val="auto"/>
                      <w:lang w:eastAsia="zh-CN"/>
                    </w:rPr>
                    <w:t>（</w:t>
                  </w:r>
                  <w:r>
                    <w:rPr>
                      <w:rFonts w:hint="eastAsia" w:cs="Times New Roman"/>
                      <w:color w:val="auto"/>
                      <w:lang w:val="en-US" w:eastAsia="zh-CN"/>
                    </w:rPr>
                    <w:t>DA003</w:t>
                  </w:r>
                  <w:r>
                    <w:rPr>
                      <w:rFonts w:hint="eastAsia" w:cs="Times New Roman"/>
                      <w:color w:val="auto"/>
                      <w:lang w:eastAsia="zh-CN"/>
                    </w:rPr>
                    <w:t>）</w:t>
                  </w:r>
                  <w:r>
                    <w:rPr>
                      <w:color w:val="auto"/>
                      <w:sz w:val="21"/>
                      <w:szCs w:val="21"/>
                    </w:rPr>
                    <w:t>排放(风量按</w:t>
                  </w:r>
                  <w:r>
                    <w:rPr>
                      <w:rFonts w:hint="eastAsia"/>
                      <w:color w:val="auto"/>
                      <w:sz w:val="21"/>
                      <w:szCs w:val="21"/>
                    </w:rPr>
                    <w:t>20000m</w:t>
                  </w:r>
                  <w:r>
                    <w:rPr>
                      <w:color w:val="auto"/>
                      <w:sz w:val="21"/>
                      <w:szCs w:val="21"/>
                      <w:vertAlign w:val="superscript"/>
                    </w:rPr>
                    <w:t>3</w:t>
                  </w:r>
                  <w:r>
                    <w:rPr>
                      <w:color w:val="auto"/>
                      <w:sz w:val="21"/>
                      <w:szCs w:val="21"/>
                    </w:rPr>
                    <w:t>/h计算）</w:t>
                  </w:r>
                  <w:r>
                    <w:rPr>
                      <w:rFonts w:hint="eastAsia"/>
                      <w:color w:val="auto"/>
                      <w:sz w:val="21"/>
                      <w:szCs w:val="21"/>
                    </w:rPr>
                    <w:t>；</w:t>
                  </w:r>
                </w:p>
              </w:tc>
              <w:tc>
                <w:tcPr>
                  <w:tcW w:w="1138" w:type="dxa"/>
                  <w:vMerge w:val="continue"/>
                  <w:vAlign w:val="center"/>
                </w:tcPr>
                <w:p>
                  <w:pPr>
                    <w:pStyle w:val="11"/>
                    <w:jc w:val="both"/>
                    <w:rPr>
                      <w:color w:val="auto"/>
                      <w:kern w:val="2"/>
                      <w:sz w:val="21"/>
                      <w:szCs w:val="21"/>
                    </w:rPr>
                  </w:pPr>
                </w:p>
              </w:tc>
              <w:tc>
                <w:tcPr>
                  <w:tcW w:w="1429"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噪声、废气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659" w:type="dxa"/>
                  <w:vMerge w:val="continue"/>
                  <w:vAlign w:val="center"/>
                </w:tcPr>
                <w:p>
                  <w:pPr>
                    <w:pStyle w:val="11"/>
                    <w:jc w:val="both"/>
                    <w:rPr>
                      <w:color w:val="auto"/>
                      <w:sz w:val="21"/>
                      <w:szCs w:val="21"/>
                    </w:rPr>
                  </w:pPr>
                </w:p>
              </w:tc>
              <w:tc>
                <w:tcPr>
                  <w:tcW w:w="751" w:type="dxa"/>
                  <w:vMerge w:val="continue"/>
                  <w:vAlign w:val="center"/>
                </w:tcPr>
                <w:p>
                  <w:pPr>
                    <w:pStyle w:val="11"/>
                    <w:jc w:val="both"/>
                    <w:rPr>
                      <w:color w:val="auto"/>
                      <w:sz w:val="21"/>
                      <w:szCs w:val="21"/>
                    </w:rPr>
                  </w:pPr>
                </w:p>
              </w:tc>
              <w:tc>
                <w:tcPr>
                  <w:tcW w:w="4718" w:type="dxa"/>
                  <w:vAlign w:val="center"/>
                </w:tcPr>
                <w:p>
                  <w:pPr>
                    <w:pStyle w:val="11"/>
                    <w:rPr>
                      <w:rFonts w:hint="default" w:eastAsia="宋体"/>
                      <w:color w:val="auto"/>
                      <w:sz w:val="21"/>
                      <w:szCs w:val="21"/>
                      <w:lang w:val="en-US" w:eastAsia="zh-CN"/>
                    </w:rPr>
                  </w:pPr>
                  <w:r>
                    <w:rPr>
                      <w:rFonts w:hint="default" w:eastAsia="宋体"/>
                      <w:color w:val="auto"/>
                      <w:sz w:val="21"/>
                      <w:szCs w:val="21"/>
                      <w:lang w:val="en-US" w:eastAsia="zh-CN"/>
                    </w:rPr>
                    <w:t>油烟废气（位于</w:t>
                  </w:r>
                  <w:r>
                    <w:rPr>
                      <w:rFonts w:hint="eastAsia"/>
                      <w:color w:val="auto"/>
                      <w:sz w:val="21"/>
                      <w:szCs w:val="21"/>
                      <w:lang w:val="en-US" w:eastAsia="zh-CN"/>
                    </w:rPr>
                    <w:t>灯影牛肉</w:t>
                  </w:r>
                  <w:r>
                    <w:rPr>
                      <w:rFonts w:hint="default" w:eastAsia="宋体"/>
                      <w:color w:val="auto"/>
                      <w:sz w:val="21"/>
                      <w:szCs w:val="21"/>
                      <w:lang w:val="en-US" w:eastAsia="zh-CN"/>
                    </w:rPr>
                    <w:t>生产车间）：采用1套“高效静电除油净化装置”装置处理后达标经18m高排气筒（DA00</w:t>
                  </w:r>
                  <w:r>
                    <w:rPr>
                      <w:rFonts w:hint="eastAsia"/>
                      <w:color w:val="auto"/>
                      <w:sz w:val="21"/>
                      <w:szCs w:val="21"/>
                      <w:lang w:val="en-US" w:eastAsia="zh-CN"/>
                    </w:rPr>
                    <w:t>4</w:t>
                  </w:r>
                  <w:r>
                    <w:rPr>
                      <w:rFonts w:hint="default" w:eastAsia="宋体"/>
                      <w:color w:val="auto"/>
                      <w:sz w:val="21"/>
                      <w:szCs w:val="21"/>
                      <w:lang w:val="en-US" w:eastAsia="zh-CN"/>
                    </w:rPr>
                    <w:t>）排放(风量按20000m</w:t>
                  </w:r>
                  <w:r>
                    <w:rPr>
                      <w:rFonts w:hint="default" w:eastAsia="宋体"/>
                      <w:color w:val="auto"/>
                      <w:sz w:val="21"/>
                      <w:szCs w:val="21"/>
                      <w:vertAlign w:val="superscript"/>
                      <w:lang w:val="en-US" w:eastAsia="zh-CN"/>
                    </w:rPr>
                    <w:t>3</w:t>
                  </w:r>
                  <w:r>
                    <w:rPr>
                      <w:rFonts w:hint="default" w:eastAsia="宋体"/>
                      <w:color w:val="auto"/>
                      <w:sz w:val="21"/>
                      <w:szCs w:val="21"/>
                      <w:lang w:val="en-US" w:eastAsia="zh-CN"/>
                    </w:rPr>
                    <w:t>/h计算）；</w:t>
                  </w:r>
                </w:p>
              </w:tc>
              <w:tc>
                <w:tcPr>
                  <w:tcW w:w="1138" w:type="dxa"/>
                  <w:vMerge w:val="continue"/>
                  <w:vAlign w:val="center"/>
                </w:tcPr>
                <w:p>
                  <w:pPr>
                    <w:pStyle w:val="11"/>
                    <w:jc w:val="both"/>
                    <w:rPr>
                      <w:color w:val="auto"/>
                      <w:kern w:val="2"/>
                      <w:sz w:val="21"/>
                      <w:szCs w:val="21"/>
                    </w:rPr>
                  </w:pPr>
                </w:p>
              </w:tc>
              <w:tc>
                <w:tcPr>
                  <w:tcW w:w="1429"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噪声、废气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659" w:type="dxa"/>
                  <w:vMerge w:val="continue"/>
                  <w:vAlign w:val="center"/>
                </w:tcPr>
                <w:p>
                  <w:pPr>
                    <w:pStyle w:val="11"/>
                    <w:jc w:val="both"/>
                    <w:rPr>
                      <w:color w:val="auto"/>
                      <w:sz w:val="21"/>
                      <w:szCs w:val="21"/>
                    </w:rPr>
                  </w:pPr>
                </w:p>
              </w:tc>
              <w:tc>
                <w:tcPr>
                  <w:tcW w:w="751" w:type="dxa"/>
                  <w:vMerge w:val="continue"/>
                  <w:vAlign w:val="center"/>
                </w:tcPr>
                <w:p>
                  <w:pPr>
                    <w:pStyle w:val="11"/>
                    <w:jc w:val="both"/>
                    <w:rPr>
                      <w:color w:val="auto"/>
                      <w:sz w:val="21"/>
                      <w:szCs w:val="21"/>
                    </w:rPr>
                  </w:pPr>
                </w:p>
              </w:tc>
              <w:tc>
                <w:tcPr>
                  <w:tcW w:w="4718" w:type="dxa"/>
                  <w:vAlign w:val="center"/>
                </w:tcPr>
                <w:p>
                  <w:pPr>
                    <w:pStyle w:val="11"/>
                    <w:rPr>
                      <w:rFonts w:hint="eastAsia"/>
                      <w:color w:val="auto"/>
                      <w:sz w:val="21"/>
                      <w:szCs w:val="21"/>
                    </w:rPr>
                  </w:pPr>
                  <w:r>
                    <w:rPr>
                      <w:rFonts w:hint="eastAsia"/>
                      <w:color w:val="auto"/>
                      <w:sz w:val="21"/>
                      <w:szCs w:val="21"/>
                    </w:rPr>
                    <w:t>油烟废气</w:t>
                  </w:r>
                  <w:r>
                    <w:rPr>
                      <w:rFonts w:hint="eastAsia"/>
                      <w:color w:val="auto"/>
                      <w:sz w:val="21"/>
                      <w:szCs w:val="21"/>
                      <w:lang w:eastAsia="zh-CN"/>
                    </w:rPr>
                    <w:t>（</w:t>
                  </w:r>
                  <w:r>
                    <w:rPr>
                      <w:rFonts w:hint="eastAsia"/>
                      <w:color w:val="auto"/>
                      <w:sz w:val="21"/>
                      <w:szCs w:val="21"/>
                      <w:lang w:val="en-US" w:eastAsia="zh-CN"/>
                    </w:rPr>
                    <w:t>位于牛肉干生产车间</w:t>
                  </w:r>
                  <w:r>
                    <w:rPr>
                      <w:rFonts w:hint="eastAsia"/>
                      <w:color w:val="auto"/>
                      <w:sz w:val="21"/>
                      <w:szCs w:val="21"/>
                      <w:lang w:eastAsia="zh-CN"/>
                    </w:rPr>
                    <w:t>）</w:t>
                  </w:r>
                  <w:r>
                    <w:rPr>
                      <w:rFonts w:hint="eastAsia"/>
                      <w:color w:val="auto"/>
                      <w:sz w:val="21"/>
                      <w:szCs w:val="21"/>
                    </w:rPr>
                    <w:t>：采用</w:t>
                  </w:r>
                  <w:r>
                    <w:rPr>
                      <w:rFonts w:hint="eastAsia"/>
                      <w:color w:val="auto"/>
                      <w:sz w:val="21"/>
                      <w:szCs w:val="21"/>
                      <w:lang w:val="en-US" w:eastAsia="zh-CN"/>
                    </w:rPr>
                    <w:t>1</w:t>
                  </w:r>
                  <w:r>
                    <w:rPr>
                      <w:rFonts w:hint="eastAsia"/>
                      <w:color w:val="auto"/>
                      <w:sz w:val="21"/>
                      <w:szCs w:val="21"/>
                    </w:rPr>
                    <w:t>套“高效静电除油净化装置”装置处理后达标经18m高排气筒</w:t>
                  </w:r>
                  <w:r>
                    <w:rPr>
                      <w:rFonts w:hint="eastAsia"/>
                      <w:color w:val="auto"/>
                      <w:sz w:val="21"/>
                      <w:szCs w:val="21"/>
                      <w:lang w:eastAsia="zh-CN"/>
                    </w:rPr>
                    <w:t>（</w:t>
                  </w:r>
                  <w:r>
                    <w:rPr>
                      <w:rFonts w:hint="eastAsia"/>
                      <w:color w:val="auto"/>
                      <w:sz w:val="21"/>
                      <w:szCs w:val="21"/>
                      <w:lang w:val="en-US" w:eastAsia="zh-CN"/>
                    </w:rPr>
                    <w:t>DA005</w:t>
                  </w:r>
                  <w:r>
                    <w:rPr>
                      <w:rFonts w:hint="eastAsia"/>
                      <w:color w:val="auto"/>
                      <w:sz w:val="21"/>
                      <w:szCs w:val="21"/>
                      <w:lang w:eastAsia="zh-CN"/>
                    </w:rPr>
                    <w:t>）</w:t>
                  </w:r>
                  <w:r>
                    <w:rPr>
                      <w:rFonts w:hint="eastAsia"/>
                      <w:color w:val="auto"/>
                      <w:sz w:val="21"/>
                      <w:szCs w:val="21"/>
                    </w:rPr>
                    <w:t>排放(风量按20000m</w:t>
                  </w:r>
                  <w:r>
                    <w:rPr>
                      <w:rFonts w:hint="eastAsia"/>
                      <w:color w:val="auto"/>
                      <w:sz w:val="21"/>
                      <w:szCs w:val="21"/>
                      <w:vertAlign w:val="superscript"/>
                    </w:rPr>
                    <w:t>3</w:t>
                  </w:r>
                  <w:r>
                    <w:rPr>
                      <w:rFonts w:hint="eastAsia"/>
                      <w:color w:val="auto"/>
                      <w:sz w:val="21"/>
                      <w:szCs w:val="21"/>
                    </w:rPr>
                    <w:t>/h计算）；</w:t>
                  </w:r>
                </w:p>
              </w:tc>
              <w:tc>
                <w:tcPr>
                  <w:tcW w:w="1138" w:type="dxa"/>
                  <w:vMerge w:val="continue"/>
                  <w:vAlign w:val="center"/>
                </w:tcPr>
                <w:p>
                  <w:pPr>
                    <w:pStyle w:val="11"/>
                    <w:jc w:val="both"/>
                    <w:rPr>
                      <w:color w:val="auto"/>
                      <w:kern w:val="2"/>
                      <w:sz w:val="21"/>
                      <w:szCs w:val="21"/>
                    </w:rPr>
                  </w:pPr>
                </w:p>
              </w:tc>
              <w:tc>
                <w:tcPr>
                  <w:tcW w:w="1429" w:type="dxa"/>
                  <w:vAlign w:val="center"/>
                </w:tcPr>
                <w:p>
                  <w:pPr>
                    <w:pStyle w:val="11"/>
                    <w:jc w:val="center"/>
                    <w:rPr>
                      <w:rFonts w:ascii="Times New Roman" w:hAnsi="Times New Roman" w:eastAsia="宋体" w:cs="Times New Roman"/>
                      <w:color w:val="auto"/>
                      <w:kern w:val="2"/>
                      <w:sz w:val="21"/>
                      <w:szCs w:val="21"/>
                      <w:lang w:val="en-US" w:eastAsia="zh-CN" w:bidi="ar-SA"/>
                    </w:rPr>
                  </w:pPr>
                  <w:r>
                    <w:rPr>
                      <w:color w:val="auto"/>
                      <w:sz w:val="21"/>
                      <w:szCs w:val="21"/>
                    </w:rPr>
                    <w:t>噪声、废气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659" w:type="dxa"/>
                  <w:vMerge w:val="continue"/>
                  <w:vAlign w:val="center"/>
                </w:tcPr>
                <w:p>
                  <w:pPr>
                    <w:pStyle w:val="11"/>
                    <w:jc w:val="both"/>
                    <w:rPr>
                      <w:color w:val="auto"/>
                      <w:sz w:val="21"/>
                      <w:szCs w:val="21"/>
                    </w:rPr>
                  </w:pPr>
                </w:p>
              </w:tc>
              <w:tc>
                <w:tcPr>
                  <w:tcW w:w="751" w:type="dxa"/>
                  <w:vMerge w:val="continue"/>
                  <w:vAlign w:val="center"/>
                </w:tcPr>
                <w:p>
                  <w:pPr>
                    <w:pStyle w:val="11"/>
                    <w:jc w:val="both"/>
                    <w:rPr>
                      <w:color w:val="auto"/>
                      <w:sz w:val="21"/>
                      <w:szCs w:val="21"/>
                    </w:rPr>
                  </w:pPr>
                </w:p>
              </w:tc>
              <w:tc>
                <w:tcPr>
                  <w:tcW w:w="4718" w:type="dxa"/>
                  <w:vAlign w:val="center"/>
                </w:tcPr>
                <w:p>
                  <w:pPr>
                    <w:pStyle w:val="11"/>
                    <w:rPr>
                      <w:color w:val="auto"/>
                      <w:sz w:val="21"/>
                      <w:szCs w:val="21"/>
                    </w:rPr>
                  </w:pPr>
                  <w:r>
                    <w:rPr>
                      <w:rFonts w:hint="eastAsia"/>
                      <w:color w:val="auto"/>
                      <w:sz w:val="21"/>
                      <w:szCs w:val="21"/>
                    </w:rPr>
                    <w:t>污水处理站恶臭气体：</w:t>
                  </w:r>
                  <w:r>
                    <w:rPr>
                      <w:color w:val="auto"/>
                      <w:sz w:val="21"/>
                      <w:szCs w:val="21"/>
                    </w:rPr>
                    <w:t>恶臭气体</w:t>
                  </w:r>
                  <w:r>
                    <w:rPr>
                      <w:rFonts w:hint="eastAsia"/>
                      <w:color w:val="auto"/>
                      <w:sz w:val="21"/>
                      <w:szCs w:val="21"/>
                    </w:rPr>
                    <w:t>经</w:t>
                  </w:r>
                  <w:r>
                    <w:rPr>
                      <w:color w:val="auto"/>
                      <w:sz w:val="21"/>
                      <w:szCs w:val="21"/>
                    </w:rPr>
                    <w:t>专用管道引入地表</w:t>
                  </w:r>
                  <w:r>
                    <w:rPr>
                      <w:rFonts w:hint="eastAsia"/>
                      <w:color w:val="auto"/>
                      <w:sz w:val="21"/>
                      <w:szCs w:val="21"/>
                    </w:rPr>
                    <w:t>绿化带</w:t>
                  </w:r>
                  <w:r>
                    <w:rPr>
                      <w:color w:val="auto"/>
                      <w:sz w:val="21"/>
                      <w:szCs w:val="21"/>
                    </w:rPr>
                    <w:t>排放</w:t>
                  </w:r>
                  <w:r>
                    <w:rPr>
                      <w:rFonts w:hint="eastAsia"/>
                      <w:color w:val="auto"/>
                      <w:sz w:val="21"/>
                      <w:szCs w:val="21"/>
                    </w:rPr>
                    <w:t>，</w:t>
                  </w:r>
                  <w:r>
                    <w:rPr>
                      <w:color w:val="auto"/>
                      <w:sz w:val="21"/>
                      <w:szCs w:val="21"/>
                    </w:rPr>
                    <w:t>污水处理站周围种植</w:t>
                  </w:r>
                  <w:r>
                    <w:rPr>
                      <w:rFonts w:hint="eastAsia"/>
                      <w:color w:val="auto"/>
                      <w:sz w:val="21"/>
                      <w:szCs w:val="21"/>
                    </w:rPr>
                    <w:t>低矮灌丛</w:t>
                  </w:r>
                  <w:r>
                    <w:rPr>
                      <w:color w:val="auto"/>
                      <w:sz w:val="21"/>
                      <w:szCs w:val="21"/>
                    </w:rPr>
                    <w:t>吸收恶臭气体</w:t>
                  </w:r>
                  <w:r>
                    <w:rPr>
                      <w:rFonts w:hint="eastAsia"/>
                      <w:color w:val="auto"/>
                      <w:sz w:val="21"/>
                      <w:szCs w:val="21"/>
                    </w:rPr>
                    <w:t>；</w:t>
                  </w:r>
                </w:p>
              </w:tc>
              <w:tc>
                <w:tcPr>
                  <w:tcW w:w="1138" w:type="dxa"/>
                  <w:vMerge w:val="continue"/>
                  <w:vAlign w:val="center"/>
                </w:tcPr>
                <w:p>
                  <w:pPr>
                    <w:pStyle w:val="11"/>
                    <w:jc w:val="both"/>
                    <w:rPr>
                      <w:color w:val="auto"/>
                      <w:kern w:val="2"/>
                      <w:sz w:val="21"/>
                      <w:szCs w:val="21"/>
                    </w:rPr>
                  </w:pPr>
                </w:p>
              </w:tc>
              <w:tc>
                <w:tcPr>
                  <w:tcW w:w="1429" w:type="dxa"/>
                  <w:vAlign w:val="center"/>
                </w:tcPr>
                <w:p>
                  <w:pPr>
                    <w:pStyle w:val="11"/>
                    <w:jc w:val="center"/>
                    <w:rPr>
                      <w:color w:val="auto"/>
                      <w:kern w:val="2"/>
                      <w:sz w:val="21"/>
                      <w:szCs w:val="21"/>
                    </w:rPr>
                  </w:pPr>
                  <w:r>
                    <w:rPr>
                      <w:color w:val="auto"/>
                      <w:sz w:val="21"/>
                      <w:szCs w:val="21"/>
                    </w:rPr>
                    <w:t>噪声、废气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659" w:type="dxa"/>
                  <w:vMerge w:val="continue"/>
                  <w:vAlign w:val="center"/>
                </w:tcPr>
                <w:p>
                  <w:pPr>
                    <w:pStyle w:val="11"/>
                    <w:jc w:val="both"/>
                    <w:rPr>
                      <w:color w:val="auto"/>
                      <w:kern w:val="2"/>
                      <w:sz w:val="21"/>
                      <w:szCs w:val="21"/>
                    </w:rPr>
                  </w:pPr>
                </w:p>
              </w:tc>
              <w:tc>
                <w:tcPr>
                  <w:tcW w:w="751" w:type="dxa"/>
                  <w:vMerge w:val="continue"/>
                  <w:vAlign w:val="center"/>
                </w:tcPr>
                <w:p>
                  <w:pPr>
                    <w:pStyle w:val="11"/>
                    <w:jc w:val="both"/>
                    <w:rPr>
                      <w:color w:val="auto"/>
                      <w:kern w:val="2"/>
                      <w:sz w:val="21"/>
                      <w:szCs w:val="21"/>
                    </w:rPr>
                  </w:pPr>
                </w:p>
              </w:tc>
              <w:tc>
                <w:tcPr>
                  <w:tcW w:w="4718" w:type="dxa"/>
                  <w:vAlign w:val="center"/>
                </w:tcPr>
                <w:p>
                  <w:pPr>
                    <w:pStyle w:val="11"/>
                    <w:jc w:val="both"/>
                    <w:rPr>
                      <w:rFonts w:eastAsiaTheme="minorEastAsia"/>
                      <w:color w:val="auto"/>
                      <w:kern w:val="2"/>
                      <w:sz w:val="21"/>
                      <w:szCs w:val="21"/>
                    </w:rPr>
                  </w:pPr>
                  <w:r>
                    <w:rPr>
                      <w:color w:val="auto"/>
                      <w:sz w:val="21"/>
                      <w:szCs w:val="21"/>
                    </w:rPr>
                    <w:t>食堂油烟</w:t>
                  </w:r>
                  <w:r>
                    <w:rPr>
                      <w:rFonts w:hint="eastAsia"/>
                      <w:color w:val="auto"/>
                      <w:sz w:val="21"/>
                      <w:szCs w:val="21"/>
                    </w:rPr>
                    <w:t>：经油烟净化器处理后引入通风管道</w:t>
                  </w:r>
                  <w:r>
                    <w:rPr>
                      <w:rFonts w:hint="eastAsia" w:cs="Times New Roman"/>
                      <w:color w:val="auto"/>
                      <w:lang w:eastAsia="zh-CN"/>
                    </w:rPr>
                    <w:t>（</w:t>
                  </w:r>
                  <w:r>
                    <w:rPr>
                      <w:rFonts w:hint="eastAsia" w:cs="Times New Roman"/>
                      <w:color w:val="auto"/>
                      <w:lang w:val="en-US" w:eastAsia="zh-CN"/>
                    </w:rPr>
                    <w:t>DA006</w:t>
                  </w:r>
                  <w:r>
                    <w:rPr>
                      <w:rFonts w:hint="eastAsia" w:cs="Times New Roman"/>
                      <w:color w:val="auto"/>
                      <w:lang w:eastAsia="zh-CN"/>
                    </w:rPr>
                    <w:t>）</w:t>
                  </w:r>
                  <w:r>
                    <w:rPr>
                      <w:rFonts w:hint="eastAsia"/>
                      <w:color w:val="auto"/>
                      <w:sz w:val="21"/>
                      <w:szCs w:val="21"/>
                    </w:rPr>
                    <w:t>后排放</w:t>
                  </w:r>
                  <w:r>
                    <w:rPr>
                      <w:color w:val="auto"/>
                      <w:sz w:val="21"/>
                      <w:szCs w:val="21"/>
                    </w:rPr>
                    <w:t>(风量按</w:t>
                  </w:r>
                  <w:r>
                    <w:rPr>
                      <w:rFonts w:hint="eastAsia"/>
                      <w:color w:val="auto"/>
                      <w:sz w:val="21"/>
                      <w:szCs w:val="21"/>
                    </w:rPr>
                    <w:t>5000m</w:t>
                  </w:r>
                  <w:r>
                    <w:rPr>
                      <w:color w:val="auto"/>
                      <w:sz w:val="21"/>
                      <w:szCs w:val="21"/>
                      <w:vertAlign w:val="superscript"/>
                    </w:rPr>
                    <w:t>3</w:t>
                  </w:r>
                  <w:r>
                    <w:rPr>
                      <w:color w:val="auto"/>
                      <w:sz w:val="21"/>
                      <w:szCs w:val="21"/>
                    </w:rPr>
                    <w:t>/h计算）</w:t>
                  </w:r>
                  <w:r>
                    <w:rPr>
                      <w:rFonts w:hint="eastAsia"/>
                      <w:color w:val="auto"/>
                      <w:sz w:val="21"/>
                      <w:szCs w:val="21"/>
                    </w:rPr>
                    <w:t>；</w:t>
                  </w:r>
                </w:p>
              </w:tc>
              <w:tc>
                <w:tcPr>
                  <w:tcW w:w="1138" w:type="dxa"/>
                  <w:vMerge w:val="continue"/>
                  <w:vAlign w:val="center"/>
                </w:tcPr>
                <w:p>
                  <w:pPr>
                    <w:pStyle w:val="11"/>
                    <w:jc w:val="both"/>
                    <w:rPr>
                      <w:color w:val="auto"/>
                      <w:kern w:val="2"/>
                      <w:sz w:val="21"/>
                      <w:szCs w:val="21"/>
                    </w:rPr>
                  </w:pPr>
                </w:p>
              </w:tc>
              <w:tc>
                <w:tcPr>
                  <w:tcW w:w="1429" w:type="dxa"/>
                  <w:vAlign w:val="center"/>
                </w:tcPr>
                <w:p>
                  <w:pPr>
                    <w:pStyle w:val="11"/>
                    <w:jc w:val="center"/>
                    <w:rPr>
                      <w:color w:val="auto"/>
                      <w:kern w:val="2"/>
                      <w:sz w:val="21"/>
                      <w:szCs w:val="21"/>
                    </w:rPr>
                  </w:pPr>
                  <w:r>
                    <w:rPr>
                      <w:color w:val="auto"/>
                      <w:sz w:val="21"/>
                      <w:szCs w:val="21"/>
                    </w:rPr>
                    <w:t>噪声、废气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continue"/>
                  <w:vAlign w:val="center"/>
                </w:tcPr>
                <w:p>
                  <w:pPr>
                    <w:pStyle w:val="11"/>
                    <w:jc w:val="center"/>
                    <w:rPr>
                      <w:color w:val="auto"/>
                      <w:sz w:val="21"/>
                      <w:szCs w:val="21"/>
                    </w:rPr>
                  </w:pPr>
                </w:p>
              </w:tc>
              <w:tc>
                <w:tcPr>
                  <w:tcW w:w="751" w:type="dxa"/>
                  <w:vAlign w:val="center"/>
                </w:tcPr>
                <w:p>
                  <w:pPr>
                    <w:pStyle w:val="11"/>
                    <w:jc w:val="center"/>
                    <w:rPr>
                      <w:color w:val="auto"/>
                      <w:sz w:val="21"/>
                      <w:szCs w:val="21"/>
                    </w:rPr>
                  </w:pPr>
                  <w:r>
                    <w:rPr>
                      <w:color w:val="auto"/>
                      <w:sz w:val="21"/>
                      <w:szCs w:val="21"/>
                    </w:rPr>
                    <w:t>噪声治理</w:t>
                  </w:r>
                </w:p>
              </w:tc>
              <w:tc>
                <w:tcPr>
                  <w:tcW w:w="4718" w:type="dxa"/>
                  <w:vAlign w:val="center"/>
                </w:tcPr>
                <w:p>
                  <w:pPr>
                    <w:pStyle w:val="11"/>
                    <w:jc w:val="both"/>
                    <w:rPr>
                      <w:color w:val="auto"/>
                      <w:sz w:val="21"/>
                      <w:szCs w:val="21"/>
                    </w:rPr>
                  </w:pPr>
                  <w:r>
                    <w:rPr>
                      <w:color w:val="auto"/>
                      <w:sz w:val="21"/>
                      <w:szCs w:val="21"/>
                    </w:rPr>
                    <w:t>车间封闭隔声，机械设备基础设减震垫，通风排气管采取软性连接等；</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continue"/>
                  <w:vAlign w:val="center"/>
                </w:tcPr>
                <w:p>
                  <w:pPr>
                    <w:pStyle w:val="11"/>
                    <w:jc w:val="center"/>
                    <w:rPr>
                      <w:color w:val="auto"/>
                      <w:sz w:val="21"/>
                      <w:szCs w:val="21"/>
                    </w:rPr>
                  </w:pPr>
                </w:p>
              </w:tc>
              <w:tc>
                <w:tcPr>
                  <w:tcW w:w="751" w:type="dxa"/>
                  <w:vMerge w:val="restart"/>
                  <w:vAlign w:val="center"/>
                </w:tcPr>
                <w:p>
                  <w:pPr>
                    <w:pStyle w:val="11"/>
                    <w:jc w:val="center"/>
                    <w:rPr>
                      <w:color w:val="auto"/>
                      <w:sz w:val="21"/>
                      <w:szCs w:val="21"/>
                    </w:rPr>
                  </w:pPr>
                  <w:r>
                    <w:rPr>
                      <w:color w:val="auto"/>
                      <w:sz w:val="21"/>
                      <w:szCs w:val="21"/>
                    </w:rPr>
                    <w:t>固废处理</w:t>
                  </w:r>
                </w:p>
              </w:tc>
              <w:tc>
                <w:tcPr>
                  <w:tcW w:w="4718" w:type="dxa"/>
                  <w:vAlign w:val="center"/>
                </w:tcPr>
                <w:p>
                  <w:pPr>
                    <w:pStyle w:val="11"/>
                    <w:jc w:val="both"/>
                    <w:rPr>
                      <w:color w:val="auto"/>
                      <w:sz w:val="21"/>
                      <w:szCs w:val="21"/>
                    </w:rPr>
                  </w:pPr>
                  <w:r>
                    <w:rPr>
                      <w:color w:val="auto"/>
                      <w:sz w:val="21"/>
                      <w:szCs w:val="21"/>
                    </w:rPr>
                    <w:t>设置固废储存区，其中一般固废储存区面积约200m</w:t>
                  </w:r>
                  <w:r>
                    <w:rPr>
                      <w:color w:val="auto"/>
                      <w:sz w:val="21"/>
                      <w:szCs w:val="21"/>
                      <w:vertAlign w:val="superscript"/>
                    </w:rPr>
                    <w:t>2</w:t>
                  </w:r>
                  <w:r>
                    <w:rPr>
                      <w:color w:val="auto"/>
                      <w:sz w:val="21"/>
                      <w:szCs w:val="21"/>
                    </w:rPr>
                    <w:t>，位于</w:t>
                  </w:r>
                  <w:r>
                    <w:rPr>
                      <w:rFonts w:hint="eastAsia"/>
                      <w:color w:val="auto"/>
                      <w:sz w:val="21"/>
                      <w:szCs w:val="21"/>
                    </w:rPr>
                    <w:t>4号车间西南侧</w:t>
                  </w:r>
                  <w:r>
                    <w:rPr>
                      <w:color w:val="auto"/>
                      <w:sz w:val="21"/>
                      <w:szCs w:val="21"/>
                    </w:rPr>
                    <w:t>；</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噪声、废气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9" w:type="dxa"/>
                  <w:vMerge w:val="continue"/>
                  <w:vAlign w:val="center"/>
                </w:tcPr>
                <w:p>
                  <w:pPr>
                    <w:pStyle w:val="11"/>
                    <w:jc w:val="center"/>
                    <w:rPr>
                      <w:color w:val="auto"/>
                      <w:sz w:val="21"/>
                      <w:szCs w:val="21"/>
                    </w:rPr>
                  </w:pPr>
                </w:p>
              </w:tc>
              <w:tc>
                <w:tcPr>
                  <w:tcW w:w="751" w:type="dxa"/>
                  <w:vMerge w:val="continue"/>
                  <w:vAlign w:val="center"/>
                </w:tcPr>
                <w:p>
                  <w:pPr>
                    <w:pStyle w:val="11"/>
                    <w:jc w:val="center"/>
                    <w:rPr>
                      <w:color w:val="auto"/>
                      <w:sz w:val="21"/>
                      <w:szCs w:val="21"/>
                    </w:rPr>
                  </w:pPr>
                </w:p>
              </w:tc>
              <w:tc>
                <w:tcPr>
                  <w:tcW w:w="4718" w:type="dxa"/>
                  <w:vAlign w:val="center"/>
                </w:tcPr>
                <w:p>
                  <w:pPr>
                    <w:pStyle w:val="11"/>
                    <w:jc w:val="both"/>
                    <w:rPr>
                      <w:color w:val="auto"/>
                      <w:sz w:val="21"/>
                      <w:szCs w:val="21"/>
                    </w:rPr>
                  </w:pPr>
                  <w:r>
                    <w:rPr>
                      <w:color w:val="auto"/>
                      <w:sz w:val="21"/>
                      <w:szCs w:val="21"/>
                    </w:rPr>
                    <w:t>危废暂存间面积约为20m</w:t>
                  </w:r>
                  <w:r>
                    <w:rPr>
                      <w:color w:val="auto"/>
                      <w:sz w:val="21"/>
                      <w:szCs w:val="21"/>
                      <w:vertAlign w:val="superscript"/>
                    </w:rPr>
                    <w:t>2</w:t>
                  </w:r>
                  <w:r>
                    <w:rPr>
                      <w:color w:val="auto"/>
                      <w:sz w:val="21"/>
                      <w:szCs w:val="21"/>
                    </w:rPr>
                    <w:t>，位于</w:t>
                  </w:r>
                  <w:r>
                    <w:rPr>
                      <w:rFonts w:hint="eastAsia"/>
                      <w:color w:val="auto"/>
                      <w:sz w:val="21"/>
                      <w:szCs w:val="21"/>
                    </w:rPr>
                    <w:t>机修车间西南侧</w:t>
                  </w:r>
                  <w:r>
                    <w:rPr>
                      <w:color w:val="auto"/>
                      <w:sz w:val="21"/>
                      <w:szCs w:val="21"/>
                    </w:rPr>
                    <w:t>，委托有资质的单位处置，要求按照《危险废物贮存污染控制标准》的规定，做好防风、防雨、防晒、防渗漏“四防”措施；</w:t>
                  </w:r>
                </w:p>
              </w:tc>
              <w:tc>
                <w:tcPr>
                  <w:tcW w:w="1138" w:type="dxa"/>
                  <w:vMerge w:val="continue"/>
                  <w:vAlign w:val="center"/>
                </w:tcPr>
                <w:p>
                  <w:pPr>
                    <w:pStyle w:val="11"/>
                    <w:jc w:val="center"/>
                    <w:rPr>
                      <w:color w:val="auto"/>
                      <w:sz w:val="21"/>
                      <w:szCs w:val="21"/>
                    </w:rPr>
                  </w:pPr>
                </w:p>
              </w:tc>
              <w:tc>
                <w:tcPr>
                  <w:tcW w:w="1429" w:type="dxa"/>
                  <w:vAlign w:val="center"/>
                </w:tcPr>
                <w:p>
                  <w:pPr>
                    <w:pStyle w:val="11"/>
                    <w:jc w:val="center"/>
                    <w:rPr>
                      <w:color w:val="auto"/>
                      <w:sz w:val="21"/>
                      <w:szCs w:val="21"/>
                    </w:rPr>
                  </w:pPr>
                  <w:r>
                    <w:rPr>
                      <w:color w:val="auto"/>
                      <w:sz w:val="21"/>
                      <w:szCs w:val="21"/>
                    </w:rPr>
                    <w:t>/</w:t>
                  </w:r>
                </w:p>
              </w:tc>
            </w:tr>
          </w:tbl>
          <w:p>
            <w:pPr>
              <w:adjustRightInd w:val="0"/>
              <w:snapToGrid w:val="0"/>
              <w:ind w:firstLine="482"/>
              <w:rPr>
                <w:b/>
                <w:color w:val="auto"/>
                <w:szCs w:val="21"/>
              </w:rPr>
            </w:pPr>
            <w:r>
              <w:rPr>
                <w:b/>
                <w:color w:val="auto"/>
                <w:szCs w:val="21"/>
              </w:rPr>
              <w:t>4、主要原辅料</w:t>
            </w:r>
          </w:p>
          <w:p>
            <w:pPr>
              <w:adjustRightInd w:val="0"/>
              <w:snapToGrid w:val="0"/>
              <w:ind w:firstLine="480"/>
              <w:rPr>
                <w:bCs/>
                <w:color w:val="auto"/>
                <w:szCs w:val="21"/>
              </w:rPr>
            </w:pPr>
            <w:r>
              <w:rPr>
                <w:bCs/>
                <w:color w:val="auto"/>
                <w:szCs w:val="21"/>
              </w:rPr>
              <w:t>本项目主要原辅材料、动力消耗及来源见表2-3所示。</w:t>
            </w:r>
          </w:p>
          <w:p>
            <w:pPr>
              <w:adjustRightInd w:val="0"/>
              <w:snapToGrid w:val="0"/>
              <w:spacing w:line="240" w:lineRule="auto"/>
              <w:ind w:firstLine="0" w:firstLineChars="0"/>
              <w:jc w:val="center"/>
              <w:rPr>
                <w:rFonts w:hint="default" w:eastAsia="宋体"/>
                <w:b/>
                <w:color w:val="auto"/>
                <w:sz w:val="21"/>
                <w:szCs w:val="21"/>
                <w:lang w:val="en-US" w:eastAsia="zh-CN"/>
              </w:rPr>
            </w:pPr>
            <w:r>
              <w:rPr>
                <w:b/>
                <w:color w:val="auto"/>
                <w:sz w:val="21"/>
                <w:szCs w:val="21"/>
              </w:rPr>
              <w:t>表2-3     主要原辅料及能源消耗表     单位：t</w:t>
            </w:r>
          </w:p>
          <w:tbl>
            <w:tblPr>
              <w:tblStyle w:val="6"/>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31"/>
              <w:gridCol w:w="1680"/>
              <w:gridCol w:w="1140"/>
              <w:gridCol w:w="2418"/>
              <w:gridCol w:w="1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dxa"/>
                  <w:gridSpan w:val="2"/>
                  <w:vAlign w:val="center"/>
                </w:tcPr>
                <w:p>
                  <w:pPr>
                    <w:pStyle w:val="11"/>
                    <w:jc w:val="center"/>
                    <w:rPr>
                      <w:b/>
                      <w:bCs/>
                      <w:color w:val="auto"/>
                      <w:sz w:val="21"/>
                      <w:szCs w:val="21"/>
                    </w:rPr>
                  </w:pPr>
                  <w:r>
                    <w:rPr>
                      <w:b/>
                      <w:bCs/>
                      <w:color w:val="auto"/>
                      <w:sz w:val="21"/>
                      <w:szCs w:val="21"/>
                    </w:rPr>
                    <w:t>名称</w:t>
                  </w:r>
                </w:p>
              </w:tc>
              <w:tc>
                <w:tcPr>
                  <w:tcW w:w="1680" w:type="dxa"/>
                  <w:vAlign w:val="center"/>
                </w:tcPr>
                <w:p>
                  <w:pPr>
                    <w:pStyle w:val="11"/>
                    <w:jc w:val="center"/>
                    <w:rPr>
                      <w:b/>
                      <w:bCs/>
                      <w:color w:val="auto"/>
                      <w:sz w:val="21"/>
                      <w:szCs w:val="21"/>
                    </w:rPr>
                  </w:pPr>
                  <w:r>
                    <w:rPr>
                      <w:b/>
                      <w:bCs/>
                      <w:color w:val="auto"/>
                      <w:sz w:val="21"/>
                      <w:szCs w:val="21"/>
                    </w:rPr>
                    <w:t>型号</w:t>
                  </w:r>
                </w:p>
              </w:tc>
              <w:tc>
                <w:tcPr>
                  <w:tcW w:w="1140" w:type="dxa"/>
                  <w:vAlign w:val="center"/>
                </w:tcPr>
                <w:p>
                  <w:pPr>
                    <w:pStyle w:val="11"/>
                    <w:jc w:val="center"/>
                    <w:rPr>
                      <w:b/>
                      <w:bCs/>
                      <w:color w:val="auto"/>
                      <w:sz w:val="21"/>
                      <w:szCs w:val="21"/>
                    </w:rPr>
                  </w:pPr>
                  <w:r>
                    <w:rPr>
                      <w:b/>
                      <w:bCs/>
                      <w:color w:val="auto"/>
                      <w:sz w:val="21"/>
                      <w:szCs w:val="21"/>
                    </w:rPr>
                    <w:t>年耗量</w:t>
                  </w:r>
                </w:p>
              </w:tc>
              <w:tc>
                <w:tcPr>
                  <w:tcW w:w="2418" w:type="dxa"/>
                  <w:vAlign w:val="center"/>
                </w:tcPr>
                <w:p>
                  <w:pPr>
                    <w:pStyle w:val="11"/>
                    <w:jc w:val="center"/>
                    <w:rPr>
                      <w:b/>
                      <w:bCs/>
                      <w:color w:val="auto"/>
                      <w:sz w:val="21"/>
                      <w:szCs w:val="21"/>
                    </w:rPr>
                  </w:pPr>
                  <w:r>
                    <w:rPr>
                      <w:rFonts w:hint="eastAsia"/>
                      <w:b/>
                      <w:bCs/>
                      <w:color w:val="auto"/>
                      <w:sz w:val="21"/>
                      <w:szCs w:val="21"/>
                    </w:rPr>
                    <w:t>最大储存量</w:t>
                  </w:r>
                </w:p>
              </w:tc>
              <w:tc>
                <w:tcPr>
                  <w:tcW w:w="1520" w:type="dxa"/>
                  <w:vAlign w:val="center"/>
                </w:tcPr>
                <w:p>
                  <w:pPr>
                    <w:pStyle w:val="11"/>
                    <w:jc w:val="center"/>
                    <w:rPr>
                      <w:b/>
                      <w:bCs/>
                      <w:color w:val="auto"/>
                      <w:sz w:val="21"/>
                      <w:szCs w:val="21"/>
                    </w:rPr>
                  </w:pPr>
                  <w:r>
                    <w:rPr>
                      <w:b/>
                      <w:bCs/>
                      <w:color w:val="auto"/>
                      <w:sz w:val="21"/>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vAlign w:val="center"/>
                </w:tcPr>
                <w:p>
                  <w:pPr>
                    <w:pStyle w:val="11"/>
                    <w:jc w:val="center"/>
                    <w:rPr>
                      <w:color w:val="auto"/>
                      <w:sz w:val="21"/>
                      <w:szCs w:val="21"/>
                    </w:rPr>
                  </w:pPr>
                  <w:r>
                    <w:rPr>
                      <w:color w:val="auto"/>
                      <w:sz w:val="21"/>
                      <w:szCs w:val="21"/>
                    </w:rPr>
                    <w:t>生产原料</w:t>
                  </w:r>
                </w:p>
              </w:tc>
              <w:tc>
                <w:tcPr>
                  <w:tcW w:w="1031" w:type="dxa"/>
                  <w:vMerge w:val="restart"/>
                  <w:vAlign w:val="center"/>
                </w:tcPr>
                <w:p>
                  <w:pPr>
                    <w:pStyle w:val="11"/>
                    <w:jc w:val="center"/>
                    <w:rPr>
                      <w:color w:val="auto"/>
                      <w:sz w:val="21"/>
                      <w:szCs w:val="21"/>
                    </w:rPr>
                  </w:pPr>
                  <w:r>
                    <w:rPr>
                      <w:rFonts w:hint="eastAsia"/>
                      <w:color w:val="auto"/>
                      <w:sz w:val="21"/>
                      <w:szCs w:val="21"/>
                    </w:rPr>
                    <w:t>主料</w:t>
                  </w:r>
                </w:p>
              </w:tc>
              <w:tc>
                <w:tcPr>
                  <w:tcW w:w="1680" w:type="dxa"/>
                  <w:vAlign w:val="center"/>
                </w:tcPr>
                <w:p>
                  <w:pPr>
                    <w:pStyle w:val="11"/>
                    <w:jc w:val="center"/>
                    <w:rPr>
                      <w:color w:val="auto"/>
                      <w:sz w:val="21"/>
                      <w:szCs w:val="21"/>
                    </w:rPr>
                  </w:pPr>
                  <w:r>
                    <w:rPr>
                      <w:rFonts w:hint="eastAsia"/>
                      <w:color w:val="auto"/>
                      <w:sz w:val="21"/>
                      <w:szCs w:val="21"/>
                    </w:rPr>
                    <w:t>猪肉2号肉</w:t>
                  </w:r>
                </w:p>
              </w:tc>
              <w:tc>
                <w:tcPr>
                  <w:tcW w:w="1140" w:type="dxa"/>
                  <w:vAlign w:val="center"/>
                </w:tcPr>
                <w:p>
                  <w:pPr>
                    <w:pStyle w:val="11"/>
                    <w:jc w:val="center"/>
                    <w:rPr>
                      <w:color w:val="auto"/>
                      <w:sz w:val="21"/>
                      <w:szCs w:val="21"/>
                    </w:rPr>
                  </w:pPr>
                  <w:r>
                    <w:rPr>
                      <w:rFonts w:hint="eastAsia"/>
                      <w:color w:val="auto"/>
                      <w:sz w:val="21"/>
                      <w:szCs w:val="21"/>
                    </w:rPr>
                    <w:t>6000</w:t>
                  </w:r>
                </w:p>
              </w:tc>
              <w:tc>
                <w:tcPr>
                  <w:tcW w:w="2418" w:type="dxa"/>
                  <w:vAlign w:val="center"/>
                </w:tcPr>
                <w:p>
                  <w:pPr>
                    <w:pStyle w:val="11"/>
                    <w:jc w:val="center"/>
                    <w:rPr>
                      <w:color w:val="auto"/>
                      <w:sz w:val="21"/>
                      <w:szCs w:val="21"/>
                    </w:rPr>
                  </w:pPr>
                  <w:r>
                    <w:rPr>
                      <w:rFonts w:hint="eastAsia"/>
                      <w:color w:val="auto"/>
                      <w:sz w:val="21"/>
                      <w:szCs w:val="21"/>
                    </w:rPr>
                    <w:t>200</w:t>
                  </w:r>
                </w:p>
              </w:tc>
              <w:tc>
                <w:tcPr>
                  <w:tcW w:w="1520" w:type="dxa"/>
                  <w:vMerge w:val="restart"/>
                  <w:vAlign w:val="center"/>
                </w:tcPr>
                <w:p>
                  <w:pPr>
                    <w:pStyle w:val="11"/>
                    <w:jc w:val="center"/>
                    <w:rPr>
                      <w:color w:val="auto"/>
                      <w:sz w:val="21"/>
                      <w:szCs w:val="21"/>
                    </w:rPr>
                  </w:pPr>
                  <w:r>
                    <w:rPr>
                      <w:color w:val="auto"/>
                      <w:sz w:val="21"/>
                      <w:szCs w:val="21"/>
                    </w:rPr>
                    <w:t>外购</w:t>
                  </w:r>
                  <w:r>
                    <w:rPr>
                      <w:rFonts w:hint="eastAsia"/>
                      <w:color w:val="auto"/>
                      <w:sz w:val="21"/>
                      <w:szCs w:val="21"/>
                      <w:lang w:val="en-US" w:eastAsia="zh-CN"/>
                    </w:rPr>
                    <w:t>于</w:t>
                  </w:r>
                  <w:r>
                    <w:rPr>
                      <w:color w:val="auto"/>
                    </w:rPr>
                    <w:t>食品生产企业备案的肉联厂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continue"/>
                  <w:vAlign w:val="center"/>
                </w:tcPr>
                <w:p>
                  <w:pPr>
                    <w:pStyle w:val="11"/>
                    <w:jc w:val="center"/>
                    <w:rPr>
                      <w:color w:val="auto"/>
                      <w:sz w:val="21"/>
                      <w:szCs w:val="21"/>
                    </w:rPr>
                  </w:pPr>
                </w:p>
              </w:tc>
              <w:tc>
                <w:tcPr>
                  <w:tcW w:w="1680" w:type="dxa"/>
                  <w:vAlign w:val="center"/>
                </w:tcPr>
                <w:p>
                  <w:pPr>
                    <w:pStyle w:val="11"/>
                    <w:jc w:val="center"/>
                    <w:rPr>
                      <w:color w:val="auto"/>
                      <w:sz w:val="21"/>
                      <w:szCs w:val="21"/>
                    </w:rPr>
                  </w:pPr>
                  <w:r>
                    <w:rPr>
                      <w:rFonts w:hint="eastAsia"/>
                      <w:color w:val="auto"/>
                      <w:sz w:val="21"/>
                      <w:szCs w:val="21"/>
                    </w:rPr>
                    <w:t>猪肉4号肉</w:t>
                  </w:r>
                </w:p>
              </w:tc>
              <w:tc>
                <w:tcPr>
                  <w:tcW w:w="1140" w:type="dxa"/>
                  <w:vAlign w:val="center"/>
                </w:tcPr>
                <w:p>
                  <w:pPr>
                    <w:pStyle w:val="11"/>
                    <w:jc w:val="center"/>
                    <w:rPr>
                      <w:color w:val="auto"/>
                      <w:sz w:val="21"/>
                      <w:szCs w:val="21"/>
                    </w:rPr>
                  </w:pPr>
                  <w:r>
                    <w:rPr>
                      <w:rFonts w:hint="eastAsia"/>
                      <w:color w:val="auto"/>
                      <w:sz w:val="21"/>
                      <w:szCs w:val="21"/>
                    </w:rPr>
                    <w:t>6000</w:t>
                  </w:r>
                </w:p>
              </w:tc>
              <w:tc>
                <w:tcPr>
                  <w:tcW w:w="2418" w:type="dxa"/>
                  <w:vAlign w:val="center"/>
                </w:tcPr>
                <w:p>
                  <w:pPr>
                    <w:pStyle w:val="11"/>
                    <w:jc w:val="center"/>
                    <w:rPr>
                      <w:color w:val="auto"/>
                      <w:sz w:val="21"/>
                      <w:szCs w:val="21"/>
                    </w:rPr>
                  </w:pPr>
                  <w:r>
                    <w:rPr>
                      <w:rFonts w:hint="eastAsia"/>
                      <w:color w:val="auto"/>
                      <w:sz w:val="21"/>
                      <w:szCs w:val="21"/>
                    </w:rPr>
                    <w:t>200</w:t>
                  </w:r>
                </w:p>
              </w:tc>
              <w:tc>
                <w:tcPr>
                  <w:tcW w:w="1520" w:type="dxa"/>
                  <w:vMerge w:val="continue"/>
                  <w:vAlign w:val="center"/>
                </w:tcPr>
                <w:p>
                  <w:pPr>
                    <w:pStyle w:val="11"/>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continue"/>
                  <w:vAlign w:val="center"/>
                </w:tcPr>
                <w:p>
                  <w:pPr>
                    <w:pStyle w:val="11"/>
                    <w:jc w:val="center"/>
                    <w:rPr>
                      <w:color w:val="auto"/>
                      <w:sz w:val="21"/>
                      <w:szCs w:val="21"/>
                    </w:rPr>
                  </w:pPr>
                </w:p>
              </w:tc>
              <w:tc>
                <w:tcPr>
                  <w:tcW w:w="1680" w:type="dxa"/>
                  <w:vAlign w:val="center"/>
                </w:tcPr>
                <w:p>
                  <w:pPr>
                    <w:pStyle w:val="11"/>
                    <w:jc w:val="center"/>
                    <w:rPr>
                      <w:color w:val="auto"/>
                      <w:sz w:val="21"/>
                      <w:szCs w:val="21"/>
                    </w:rPr>
                  </w:pPr>
                  <w:r>
                    <w:rPr>
                      <w:rFonts w:hint="eastAsia"/>
                      <w:color w:val="auto"/>
                      <w:sz w:val="21"/>
                      <w:szCs w:val="21"/>
                    </w:rPr>
                    <w:t>去皮肥膘</w:t>
                  </w:r>
                </w:p>
              </w:tc>
              <w:tc>
                <w:tcPr>
                  <w:tcW w:w="1140" w:type="dxa"/>
                  <w:vAlign w:val="center"/>
                </w:tcPr>
                <w:p>
                  <w:pPr>
                    <w:pStyle w:val="11"/>
                    <w:jc w:val="center"/>
                    <w:rPr>
                      <w:color w:val="auto"/>
                      <w:sz w:val="21"/>
                      <w:szCs w:val="21"/>
                    </w:rPr>
                  </w:pPr>
                  <w:r>
                    <w:rPr>
                      <w:rFonts w:hint="eastAsia"/>
                      <w:color w:val="auto"/>
                      <w:sz w:val="21"/>
                      <w:szCs w:val="21"/>
                    </w:rPr>
                    <w:t>5000</w:t>
                  </w:r>
                </w:p>
              </w:tc>
              <w:tc>
                <w:tcPr>
                  <w:tcW w:w="2418" w:type="dxa"/>
                  <w:vAlign w:val="center"/>
                </w:tcPr>
                <w:p>
                  <w:pPr>
                    <w:pStyle w:val="11"/>
                    <w:jc w:val="center"/>
                    <w:rPr>
                      <w:color w:val="auto"/>
                      <w:sz w:val="21"/>
                      <w:szCs w:val="21"/>
                    </w:rPr>
                  </w:pPr>
                  <w:r>
                    <w:rPr>
                      <w:rFonts w:hint="eastAsia"/>
                      <w:color w:val="auto"/>
                      <w:sz w:val="21"/>
                      <w:szCs w:val="21"/>
                    </w:rPr>
                    <w:t>200</w:t>
                  </w:r>
                </w:p>
              </w:tc>
              <w:tc>
                <w:tcPr>
                  <w:tcW w:w="1520" w:type="dxa"/>
                  <w:vMerge w:val="continue"/>
                  <w:vAlign w:val="center"/>
                </w:tcPr>
                <w:p>
                  <w:pPr>
                    <w:pStyle w:val="11"/>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continue"/>
                  <w:vAlign w:val="center"/>
                </w:tcPr>
                <w:p>
                  <w:pPr>
                    <w:pStyle w:val="11"/>
                    <w:jc w:val="center"/>
                    <w:rPr>
                      <w:color w:val="auto"/>
                      <w:sz w:val="21"/>
                      <w:szCs w:val="21"/>
                    </w:rPr>
                  </w:pPr>
                </w:p>
              </w:tc>
              <w:tc>
                <w:tcPr>
                  <w:tcW w:w="1680" w:type="dxa"/>
                  <w:vAlign w:val="center"/>
                </w:tcPr>
                <w:p>
                  <w:pPr>
                    <w:pStyle w:val="11"/>
                    <w:jc w:val="center"/>
                    <w:rPr>
                      <w:color w:val="auto"/>
                      <w:sz w:val="21"/>
                      <w:szCs w:val="21"/>
                    </w:rPr>
                  </w:pPr>
                  <w:r>
                    <w:rPr>
                      <w:rFonts w:hint="eastAsia"/>
                      <w:color w:val="auto"/>
                      <w:sz w:val="21"/>
                      <w:szCs w:val="21"/>
                    </w:rPr>
                    <w:t>带皮肥膘</w:t>
                  </w:r>
                </w:p>
              </w:tc>
              <w:tc>
                <w:tcPr>
                  <w:tcW w:w="1140" w:type="dxa"/>
                  <w:vAlign w:val="center"/>
                </w:tcPr>
                <w:p>
                  <w:pPr>
                    <w:pStyle w:val="11"/>
                    <w:jc w:val="center"/>
                    <w:rPr>
                      <w:color w:val="auto"/>
                      <w:sz w:val="21"/>
                      <w:szCs w:val="21"/>
                    </w:rPr>
                  </w:pPr>
                  <w:r>
                    <w:rPr>
                      <w:rFonts w:hint="eastAsia"/>
                      <w:color w:val="auto"/>
                      <w:sz w:val="21"/>
                      <w:szCs w:val="21"/>
                    </w:rPr>
                    <w:t>5000</w:t>
                  </w:r>
                </w:p>
              </w:tc>
              <w:tc>
                <w:tcPr>
                  <w:tcW w:w="2418" w:type="dxa"/>
                  <w:vAlign w:val="center"/>
                </w:tcPr>
                <w:p>
                  <w:pPr>
                    <w:pStyle w:val="11"/>
                    <w:jc w:val="center"/>
                    <w:rPr>
                      <w:color w:val="auto"/>
                      <w:sz w:val="21"/>
                      <w:szCs w:val="21"/>
                    </w:rPr>
                  </w:pPr>
                  <w:r>
                    <w:rPr>
                      <w:rFonts w:hint="eastAsia"/>
                      <w:color w:val="auto"/>
                      <w:sz w:val="21"/>
                      <w:szCs w:val="21"/>
                    </w:rPr>
                    <w:t>200</w:t>
                  </w:r>
                </w:p>
              </w:tc>
              <w:tc>
                <w:tcPr>
                  <w:tcW w:w="1520" w:type="dxa"/>
                  <w:vMerge w:val="continue"/>
                  <w:vAlign w:val="center"/>
                </w:tcPr>
                <w:p>
                  <w:pPr>
                    <w:pStyle w:val="11"/>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continue"/>
                  <w:vAlign w:val="center"/>
                </w:tcPr>
                <w:p>
                  <w:pPr>
                    <w:pStyle w:val="11"/>
                    <w:jc w:val="center"/>
                    <w:rPr>
                      <w:color w:val="auto"/>
                      <w:sz w:val="21"/>
                      <w:szCs w:val="21"/>
                    </w:rPr>
                  </w:pPr>
                </w:p>
              </w:tc>
              <w:tc>
                <w:tcPr>
                  <w:tcW w:w="1680" w:type="dxa"/>
                  <w:vAlign w:val="center"/>
                </w:tcPr>
                <w:p>
                  <w:pPr>
                    <w:pStyle w:val="11"/>
                    <w:jc w:val="center"/>
                    <w:rPr>
                      <w:rFonts w:hint="eastAsia" w:eastAsia="宋体"/>
                      <w:color w:val="auto"/>
                      <w:sz w:val="21"/>
                      <w:szCs w:val="21"/>
                      <w:lang w:eastAsia="zh-CN"/>
                    </w:rPr>
                  </w:pPr>
                  <w:r>
                    <w:rPr>
                      <w:rFonts w:hint="eastAsia"/>
                      <w:color w:val="auto"/>
                      <w:sz w:val="21"/>
                      <w:szCs w:val="21"/>
                      <w:lang w:eastAsia="zh-CN"/>
                    </w:rPr>
                    <w:t>精碎肉</w:t>
                  </w:r>
                </w:p>
              </w:tc>
              <w:tc>
                <w:tcPr>
                  <w:tcW w:w="1140" w:type="dxa"/>
                  <w:vAlign w:val="center"/>
                </w:tcPr>
                <w:p>
                  <w:pPr>
                    <w:pStyle w:val="11"/>
                    <w:jc w:val="center"/>
                    <w:rPr>
                      <w:color w:val="auto"/>
                      <w:sz w:val="21"/>
                      <w:szCs w:val="21"/>
                    </w:rPr>
                  </w:pPr>
                  <w:r>
                    <w:rPr>
                      <w:rFonts w:hint="eastAsia"/>
                      <w:color w:val="auto"/>
                      <w:sz w:val="21"/>
                      <w:szCs w:val="21"/>
                    </w:rPr>
                    <w:t>3000</w:t>
                  </w:r>
                </w:p>
              </w:tc>
              <w:tc>
                <w:tcPr>
                  <w:tcW w:w="2418" w:type="dxa"/>
                  <w:vAlign w:val="center"/>
                </w:tcPr>
                <w:p>
                  <w:pPr>
                    <w:pStyle w:val="11"/>
                    <w:jc w:val="center"/>
                    <w:rPr>
                      <w:color w:val="auto"/>
                      <w:sz w:val="21"/>
                      <w:szCs w:val="21"/>
                    </w:rPr>
                  </w:pPr>
                  <w:r>
                    <w:rPr>
                      <w:rFonts w:hint="eastAsia"/>
                      <w:color w:val="auto"/>
                      <w:sz w:val="21"/>
                      <w:szCs w:val="21"/>
                    </w:rPr>
                    <w:t>100</w:t>
                  </w:r>
                </w:p>
              </w:tc>
              <w:tc>
                <w:tcPr>
                  <w:tcW w:w="1520" w:type="dxa"/>
                  <w:vMerge w:val="continue"/>
                  <w:vAlign w:val="center"/>
                </w:tcPr>
                <w:p>
                  <w:pPr>
                    <w:pStyle w:val="11"/>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continue"/>
                  <w:vAlign w:val="center"/>
                </w:tcPr>
                <w:p>
                  <w:pPr>
                    <w:pStyle w:val="11"/>
                    <w:jc w:val="center"/>
                    <w:rPr>
                      <w:color w:val="auto"/>
                      <w:sz w:val="21"/>
                      <w:szCs w:val="21"/>
                    </w:rPr>
                  </w:pPr>
                </w:p>
              </w:tc>
              <w:tc>
                <w:tcPr>
                  <w:tcW w:w="1680" w:type="dxa"/>
                  <w:vAlign w:val="center"/>
                </w:tcPr>
                <w:p>
                  <w:pPr>
                    <w:pStyle w:val="11"/>
                    <w:jc w:val="center"/>
                    <w:rPr>
                      <w:color w:val="auto"/>
                      <w:sz w:val="21"/>
                      <w:szCs w:val="21"/>
                    </w:rPr>
                  </w:pPr>
                  <w:r>
                    <w:rPr>
                      <w:rFonts w:hint="eastAsia"/>
                      <w:color w:val="auto"/>
                      <w:sz w:val="21"/>
                      <w:szCs w:val="21"/>
                    </w:rPr>
                    <w:t>牛肉统货</w:t>
                  </w:r>
                </w:p>
              </w:tc>
              <w:tc>
                <w:tcPr>
                  <w:tcW w:w="1140" w:type="dxa"/>
                  <w:vAlign w:val="center"/>
                </w:tcPr>
                <w:p>
                  <w:pPr>
                    <w:pStyle w:val="11"/>
                    <w:jc w:val="center"/>
                    <w:rPr>
                      <w:color w:val="auto"/>
                      <w:sz w:val="21"/>
                      <w:szCs w:val="21"/>
                    </w:rPr>
                  </w:pPr>
                  <w:r>
                    <w:rPr>
                      <w:rFonts w:hint="eastAsia"/>
                      <w:color w:val="auto"/>
                      <w:sz w:val="21"/>
                      <w:szCs w:val="21"/>
                    </w:rPr>
                    <w:t>15000</w:t>
                  </w:r>
                </w:p>
              </w:tc>
              <w:tc>
                <w:tcPr>
                  <w:tcW w:w="2418" w:type="dxa"/>
                  <w:vAlign w:val="center"/>
                </w:tcPr>
                <w:p>
                  <w:pPr>
                    <w:pStyle w:val="11"/>
                    <w:jc w:val="center"/>
                    <w:rPr>
                      <w:color w:val="auto"/>
                      <w:sz w:val="21"/>
                      <w:szCs w:val="21"/>
                    </w:rPr>
                  </w:pPr>
                  <w:r>
                    <w:rPr>
                      <w:rFonts w:hint="eastAsia"/>
                      <w:color w:val="auto"/>
                      <w:sz w:val="21"/>
                      <w:szCs w:val="21"/>
                    </w:rPr>
                    <w:t>500</w:t>
                  </w:r>
                </w:p>
              </w:tc>
              <w:tc>
                <w:tcPr>
                  <w:tcW w:w="1520" w:type="dxa"/>
                  <w:vMerge w:val="continue"/>
                  <w:vAlign w:val="center"/>
                </w:tcPr>
                <w:p>
                  <w:pPr>
                    <w:pStyle w:val="11"/>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restart"/>
                  <w:vAlign w:val="center"/>
                </w:tcPr>
                <w:p>
                  <w:pPr>
                    <w:pStyle w:val="11"/>
                    <w:jc w:val="center"/>
                    <w:rPr>
                      <w:color w:val="auto"/>
                      <w:sz w:val="21"/>
                      <w:szCs w:val="21"/>
                    </w:rPr>
                  </w:pPr>
                  <w:r>
                    <w:rPr>
                      <w:rFonts w:hint="eastAsia"/>
                      <w:color w:val="auto"/>
                      <w:sz w:val="21"/>
                      <w:szCs w:val="21"/>
                    </w:rPr>
                    <w:t>辅料</w:t>
                  </w:r>
                </w:p>
              </w:tc>
              <w:tc>
                <w:tcPr>
                  <w:tcW w:w="1680" w:type="dxa"/>
                  <w:vAlign w:val="center"/>
                </w:tcPr>
                <w:p>
                  <w:pPr>
                    <w:pStyle w:val="11"/>
                    <w:jc w:val="center"/>
                    <w:rPr>
                      <w:color w:val="auto"/>
                      <w:sz w:val="21"/>
                      <w:szCs w:val="21"/>
                    </w:rPr>
                  </w:pPr>
                  <w:r>
                    <w:rPr>
                      <w:rFonts w:hint="eastAsia"/>
                      <w:color w:val="auto"/>
                      <w:sz w:val="21"/>
                      <w:szCs w:val="21"/>
                    </w:rPr>
                    <w:t>食用油</w:t>
                  </w:r>
                </w:p>
              </w:tc>
              <w:tc>
                <w:tcPr>
                  <w:tcW w:w="1140" w:type="dxa"/>
                  <w:vAlign w:val="center"/>
                </w:tcPr>
                <w:p>
                  <w:pPr>
                    <w:pStyle w:val="11"/>
                    <w:jc w:val="center"/>
                    <w:rPr>
                      <w:color w:val="auto"/>
                      <w:sz w:val="21"/>
                      <w:szCs w:val="21"/>
                    </w:rPr>
                  </w:pPr>
                  <w:r>
                    <w:rPr>
                      <w:rFonts w:hint="eastAsia"/>
                      <w:color w:val="auto"/>
                      <w:sz w:val="21"/>
                      <w:szCs w:val="21"/>
                      <w:lang w:val="en-US" w:eastAsia="zh-CN"/>
                    </w:rPr>
                    <w:t>3</w:t>
                  </w:r>
                  <w:r>
                    <w:rPr>
                      <w:rFonts w:hint="eastAsia"/>
                      <w:color w:val="auto"/>
                      <w:sz w:val="21"/>
                      <w:szCs w:val="21"/>
                    </w:rPr>
                    <w:t>000</w:t>
                  </w:r>
                </w:p>
              </w:tc>
              <w:tc>
                <w:tcPr>
                  <w:tcW w:w="2418" w:type="dxa"/>
                  <w:vAlign w:val="center"/>
                </w:tcPr>
                <w:p>
                  <w:pPr>
                    <w:pStyle w:val="11"/>
                    <w:jc w:val="center"/>
                    <w:rPr>
                      <w:color w:val="auto"/>
                      <w:sz w:val="21"/>
                      <w:szCs w:val="21"/>
                    </w:rPr>
                  </w:pPr>
                  <w:r>
                    <w:rPr>
                      <w:rFonts w:hint="eastAsia"/>
                      <w:color w:val="auto"/>
                      <w:sz w:val="21"/>
                      <w:szCs w:val="21"/>
                    </w:rPr>
                    <w:t>100</w:t>
                  </w:r>
                </w:p>
              </w:tc>
              <w:tc>
                <w:tcPr>
                  <w:tcW w:w="1520" w:type="dxa"/>
                  <w:vMerge w:val="restart"/>
                  <w:vAlign w:val="center"/>
                </w:tcPr>
                <w:p>
                  <w:pPr>
                    <w:pStyle w:val="11"/>
                    <w:jc w:val="center"/>
                    <w:rPr>
                      <w:color w:val="auto"/>
                      <w:sz w:val="21"/>
                      <w:szCs w:val="21"/>
                    </w:rPr>
                  </w:pPr>
                  <w:r>
                    <w:rPr>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continue"/>
                  <w:vAlign w:val="center"/>
                </w:tcPr>
                <w:p>
                  <w:pPr>
                    <w:pStyle w:val="11"/>
                    <w:jc w:val="center"/>
                    <w:rPr>
                      <w:rFonts w:hint="eastAsia"/>
                      <w:color w:val="auto"/>
                      <w:sz w:val="21"/>
                      <w:szCs w:val="21"/>
                    </w:rPr>
                  </w:pPr>
                </w:p>
              </w:tc>
              <w:tc>
                <w:tcPr>
                  <w:tcW w:w="1680" w:type="dxa"/>
                  <w:vAlign w:val="center"/>
                </w:tcPr>
                <w:p>
                  <w:pPr>
                    <w:pStyle w:val="11"/>
                    <w:jc w:val="center"/>
                    <w:rPr>
                      <w:rFonts w:hint="eastAsia" w:eastAsia="宋体"/>
                      <w:color w:val="auto"/>
                      <w:sz w:val="21"/>
                      <w:szCs w:val="21"/>
                      <w:lang w:val="en-US" w:eastAsia="zh-CN"/>
                    </w:rPr>
                  </w:pPr>
                  <w:r>
                    <w:rPr>
                      <w:rFonts w:hint="eastAsia"/>
                      <w:color w:val="auto"/>
                      <w:sz w:val="21"/>
                      <w:szCs w:val="21"/>
                      <w:lang w:val="en-US" w:eastAsia="zh-CN"/>
                    </w:rPr>
                    <w:t>淀粉</w:t>
                  </w:r>
                </w:p>
              </w:tc>
              <w:tc>
                <w:tcPr>
                  <w:tcW w:w="1140" w:type="dxa"/>
                  <w:vAlign w:val="center"/>
                </w:tcPr>
                <w:p>
                  <w:pPr>
                    <w:pStyle w:val="11"/>
                    <w:jc w:val="center"/>
                    <w:rPr>
                      <w:rFonts w:hint="default" w:eastAsia="宋体"/>
                      <w:color w:val="auto"/>
                      <w:sz w:val="21"/>
                      <w:szCs w:val="21"/>
                      <w:lang w:val="en-US" w:eastAsia="zh-CN"/>
                    </w:rPr>
                  </w:pPr>
                  <w:r>
                    <w:rPr>
                      <w:rFonts w:hint="eastAsia"/>
                      <w:color w:val="auto"/>
                      <w:sz w:val="21"/>
                      <w:szCs w:val="21"/>
                      <w:lang w:val="en-US" w:eastAsia="zh-CN"/>
                    </w:rPr>
                    <w:t>500</w:t>
                  </w:r>
                </w:p>
              </w:tc>
              <w:tc>
                <w:tcPr>
                  <w:tcW w:w="2418" w:type="dxa"/>
                  <w:vAlign w:val="center"/>
                </w:tcPr>
                <w:p>
                  <w:pPr>
                    <w:pStyle w:val="11"/>
                    <w:jc w:val="center"/>
                    <w:rPr>
                      <w:rFonts w:hint="default" w:eastAsia="宋体"/>
                      <w:color w:val="auto"/>
                      <w:sz w:val="21"/>
                      <w:szCs w:val="21"/>
                      <w:lang w:val="en-US" w:eastAsia="zh-CN"/>
                    </w:rPr>
                  </w:pPr>
                  <w:r>
                    <w:rPr>
                      <w:rFonts w:hint="eastAsia"/>
                      <w:color w:val="auto"/>
                      <w:sz w:val="21"/>
                      <w:szCs w:val="21"/>
                      <w:lang w:val="en-US" w:eastAsia="zh-CN"/>
                    </w:rPr>
                    <w:t>50</w:t>
                  </w:r>
                </w:p>
              </w:tc>
              <w:tc>
                <w:tcPr>
                  <w:tcW w:w="1520" w:type="dxa"/>
                  <w:vMerge w:val="continue"/>
                  <w:vAlign w:val="center"/>
                </w:tcPr>
                <w:p>
                  <w:pPr>
                    <w:pStyle w:val="11"/>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continue"/>
                  <w:vAlign w:val="center"/>
                </w:tcPr>
                <w:p>
                  <w:pPr>
                    <w:pStyle w:val="11"/>
                    <w:jc w:val="center"/>
                    <w:rPr>
                      <w:rFonts w:hint="eastAsia"/>
                      <w:color w:val="auto"/>
                      <w:sz w:val="21"/>
                      <w:szCs w:val="21"/>
                    </w:rPr>
                  </w:pPr>
                </w:p>
              </w:tc>
              <w:tc>
                <w:tcPr>
                  <w:tcW w:w="1680" w:type="dxa"/>
                  <w:vAlign w:val="center"/>
                </w:tcPr>
                <w:p>
                  <w:pPr>
                    <w:pStyle w:val="11"/>
                    <w:jc w:val="center"/>
                    <w:rPr>
                      <w:rFonts w:hint="eastAsia" w:ascii="Times New Roman" w:hAnsi="Times New Roman" w:eastAsia="宋体" w:cs="Times New Roman"/>
                      <w:color w:val="auto"/>
                      <w:sz w:val="21"/>
                      <w:szCs w:val="21"/>
                      <w:lang w:val="en-US" w:eastAsia="zh-CN" w:bidi="ar-SA"/>
                    </w:rPr>
                  </w:pPr>
                  <w:r>
                    <w:rPr>
                      <w:color w:val="auto"/>
                      <w:sz w:val="21"/>
                      <w:szCs w:val="21"/>
                    </w:rPr>
                    <w:t>复配天然香料</w:t>
                  </w:r>
                </w:p>
              </w:tc>
              <w:tc>
                <w:tcPr>
                  <w:tcW w:w="1140"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0</w:t>
                  </w:r>
                  <w:r>
                    <w:rPr>
                      <w:rFonts w:hint="eastAsia"/>
                      <w:color w:val="auto"/>
                      <w:sz w:val="21"/>
                      <w:szCs w:val="21"/>
                    </w:rPr>
                    <w:t>00</w:t>
                  </w:r>
                </w:p>
              </w:tc>
              <w:tc>
                <w:tcPr>
                  <w:tcW w:w="2418"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100</w:t>
                  </w:r>
                </w:p>
              </w:tc>
              <w:tc>
                <w:tcPr>
                  <w:tcW w:w="1520" w:type="dxa"/>
                  <w:vMerge w:val="continue"/>
                  <w:vAlign w:val="center"/>
                </w:tcPr>
                <w:p>
                  <w:pPr>
                    <w:pStyle w:val="11"/>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continue"/>
                  <w:vAlign w:val="center"/>
                </w:tcPr>
                <w:p>
                  <w:pPr>
                    <w:pStyle w:val="11"/>
                    <w:jc w:val="center"/>
                    <w:rPr>
                      <w:rFonts w:hint="eastAsia"/>
                      <w:color w:val="auto"/>
                      <w:sz w:val="21"/>
                      <w:szCs w:val="21"/>
                    </w:rPr>
                  </w:pPr>
                </w:p>
              </w:tc>
              <w:tc>
                <w:tcPr>
                  <w:tcW w:w="1680" w:type="dxa"/>
                  <w:vAlign w:val="center"/>
                </w:tcPr>
                <w:p>
                  <w:pPr>
                    <w:pStyle w:val="11"/>
                    <w:jc w:val="center"/>
                    <w:rPr>
                      <w:rFonts w:hint="eastAsia" w:eastAsia="宋体"/>
                      <w:color w:val="auto"/>
                      <w:sz w:val="21"/>
                      <w:szCs w:val="21"/>
                      <w:lang w:val="en-US" w:eastAsia="zh-CN"/>
                    </w:rPr>
                  </w:pPr>
                  <w:r>
                    <w:rPr>
                      <w:rFonts w:hint="eastAsia"/>
                      <w:color w:val="auto"/>
                      <w:sz w:val="21"/>
                      <w:szCs w:val="21"/>
                      <w:lang w:val="en-US" w:eastAsia="zh-CN"/>
                    </w:rPr>
                    <w:t>鸡蛋</w:t>
                  </w:r>
                </w:p>
              </w:tc>
              <w:tc>
                <w:tcPr>
                  <w:tcW w:w="1140"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100</w:t>
                  </w:r>
                </w:p>
              </w:tc>
              <w:tc>
                <w:tcPr>
                  <w:tcW w:w="2418"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20</w:t>
                  </w:r>
                </w:p>
              </w:tc>
              <w:tc>
                <w:tcPr>
                  <w:tcW w:w="1520" w:type="dxa"/>
                  <w:vMerge w:val="continue"/>
                  <w:vAlign w:val="center"/>
                </w:tcPr>
                <w:p>
                  <w:pPr>
                    <w:pStyle w:val="11"/>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jc w:val="center"/>
                    <w:rPr>
                      <w:color w:val="auto"/>
                      <w:sz w:val="21"/>
                      <w:szCs w:val="21"/>
                    </w:rPr>
                  </w:pPr>
                </w:p>
              </w:tc>
              <w:tc>
                <w:tcPr>
                  <w:tcW w:w="1031" w:type="dxa"/>
                  <w:vMerge w:val="continue"/>
                  <w:vAlign w:val="center"/>
                </w:tcPr>
                <w:p>
                  <w:pPr>
                    <w:pStyle w:val="11"/>
                    <w:jc w:val="center"/>
                    <w:rPr>
                      <w:color w:val="auto"/>
                      <w:sz w:val="21"/>
                      <w:szCs w:val="21"/>
                    </w:rPr>
                  </w:pPr>
                </w:p>
              </w:tc>
              <w:tc>
                <w:tcPr>
                  <w:tcW w:w="1680" w:type="dxa"/>
                  <w:vAlign w:val="center"/>
                </w:tcPr>
                <w:p>
                  <w:pPr>
                    <w:pStyle w:val="11"/>
                    <w:jc w:val="center"/>
                    <w:rPr>
                      <w:rFonts w:hint="default" w:eastAsia="宋体"/>
                      <w:color w:val="auto"/>
                      <w:sz w:val="21"/>
                      <w:szCs w:val="21"/>
                      <w:lang w:val="en-US" w:eastAsia="zh-CN"/>
                    </w:rPr>
                  </w:pPr>
                  <w:r>
                    <w:rPr>
                      <w:rFonts w:hint="eastAsia"/>
                      <w:color w:val="auto"/>
                      <w:sz w:val="21"/>
                      <w:szCs w:val="21"/>
                      <w:lang w:val="en-US" w:eastAsia="zh-CN"/>
                    </w:rPr>
                    <w:t>食用盐</w:t>
                  </w:r>
                </w:p>
              </w:tc>
              <w:tc>
                <w:tcPr>
                  <w:tcW w:w="1140" w:type="dxa"/>
                  <w:vAlign w:val="center"/>
                </w:tcPr>
                <w:p>
                  <w:pPr>
                    <w:pStyle w:val="11"/>
                    <w:jc w:val="center"/>
                    <w:rPr>
                      <w:rFonts w:hint="default" w:eastAsia="宋体"/>
                      <w:color w:val="auto"/>
                      <w:sz w:val="21"/>
                      <w:szCs w:val="21"/>
                      <w:lang w:val="en-US" w:eastAsia="zh-CN"/>
                    </w:rPr>
                  </w:pPr>
                  <w:r>
                    <w:rPr>
                      <w:rFonts w:hint="eastAsia"/>
                      <w:color w:val="auto"/>
                      <w:sz w:val="21"/>
                      <w:szCs w:val="21"/>
                      <w:lang w:val="en-US" w:eastAsia="zh-CN"/>
                    </w:rPr>
                    <w:t>200</w:t>
                  </w:r>
                </w:p>
              </w:tc>
              <w:tc>
                <w:tcPr>
                  <w:tcW w:w="2418" w:type="dxa"/>
                  <w:vAlign w:val="center"/>
                </w:tcPr>
                <w:p>
                  <w:pPr>
                    <w:pStyle w:val="11"/>
                    <w:jc w:val="center"/>
                    <w:rPr>
                      <w:rFonts w:hint="default" w:eastAsia="宋体"/>
                      <w:color w:val="auto"/>
                      <w:sz w:val="21"/>
                      <w:szCs w:val="21"/>
                      <w:lang w:val="en-US" w:eastAsia="zh-CN"/>
                    </w:rPr>
                  </w:pPr>
                  <w:r>
                    <w:rPr>
                      <w:rFonts w:hint="eastAsia"/>
                      <w:color w:val="auto"/>
                      <w:sz w:val="21"/>
                      <w:szCs w:val="21"/>
                      <w:lang w:val="en-US" w:eastAsia="zh-CN"/>
                    </w:rPr>
                    <w:t>20</w:t>
                  </w:r>
                </w:p>
              </w:tc>
              <w:tc>
                <w:tcPr>
                  <w:tcW w:w="1520" w:type="dxa"/>
                  <w:vMerge w:val="continue"/>
                  <w:vAlign w:val="center"/>
                </w:tcPr>
                <w:p>
                  <w:pPr>
                    <w:pStyle w:val="11"/>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vAlign w:val="center"/>
                </w:tcPr>
                <w:p>
                  <w:pPr>
                    <w:pStyle w:val="11"/>
                    <w:rPr>
                      <w:color w:val="auto"/>
                      <w:sz w:val="21"/>
                      <w:szCs w:val="21"/>
                    </w:rPr>
                  </w:pPr>
                  <w:r>
                    <w:rPr>
                      <w:color w:val="auto"/>
                      <w:sz w:val="21"/>
                      <w:szCs w:val="21"/>
                    </w:rPr>
                    <w:t>其它</w:t>
                  </w:r>
                </w:p>
              </w:tc>
              <w:tc>
                <w:tcPr>
                  <w:tcW w:w="1031" w:type="dxa"/>
                  <w:vAlign w:val="center"/>
                </w:tcPr>
                <w:p>
                  <w:pPr>
                    <w:pStyle w:val="11"/>
                    <w:jc w:val="center"/>
                    <w:rPr>
                      <w:rFonts w:hint="eastAsia"/>
                      <w:color w:val="auto"/>
                      <w:sz w:val="21"/>
                      <w:szCs w:val="21"/>
                      <w:lang w:val="en-US" w:eastAsia="zh-CN"/>
                    </w:rPr>
                  </w:pPr>
                  <w:r>
                    <w:rPr>
                      <w:rFonts w:hint="eastAsia"/>
                      <w:color w:val="auto"/>
                      <w:sz w:val="21"/>
                      <w:szCs w:val="21"/>
                      <w:lang w:val="en-US" w:eastAsia="zh-CN"/>
                    </w:rPr>
                    <w:t>包装</w:t>
                  </w:r>
                </w:p>
                <w:p>
                  <w:pPr>
                    <w:pStyle w:val="11"/>
                    <w:jc w:val="center"/>
                    <w:rPr>
                      <w:rFonts w:hint="default" w:eastAsia="宋体"/>
                      <w:color w:val="auto"/>
                      <w:sz w:val="21"/>
                      <w:szCs w:val="21"/>
                      <w:lang w:val="en-US" w:eastAsia="zh-CN"/>
                    </w:rPr>
                  </w:pPr>
                  <w:r>
                    <w:rPr>
                      <w:rFonts w:hint="eastAsia"/>
                      <w:color w:val="auto"/>
                      <w:sz w:val="21"/>
                      <w:szCs w:val="21"/>
                      <w:lang w:val="en-US" w:eastAsia="zh-CN"/>
                    </w:rPr>
                    <w:t>材料</w:t>
                  </w:r>
                </w:p>
              </w:tc>
              <w:tc>
                <w:tcPr>
                  <w:tcW w:w="1680" w:type="dxa"/>
                  <w:vAlign w:val="center"/>
                </w:tcPr>
                <w:p>
                  <w:pPr>
                    <w:pStyle w:val="11"/>
                    <w:jc w:val="center"/>
                    <w:rPr>
                      <w:color w:val="auto"/>
                      <w:sz w:val="21"/>
                      <w:szCs w:val="21"/>
                    </w:rPr>
                  </w:pPr>
                  <w:r>
                    <w:rPr>
                      <w:color w:val="auto"/>
                      <w:sz w:val="21"/>
                      <w:szCs w:val="21"/>
                    </w:rPr>
                    <w:t>/</w:t>
                  </w:r>
                </w:p>
              </w:tc>
              <w:tc>
                <w:tcPr>
                  <w:tcW w:w="1140" w:type="dxa"/>
                  <w:vAlign w:val="center"/>
                </w:tcPr>
                <w:p>
                  <w:pPr>
                    <w:pStyle w:val="11"/>
                    <w:jc w:val="center"/>
                    <w:rPr>
                      <w:rFonts w:hint="default" w:eastAsia="宋体"/>
                      <w:color w:val="auto"/>
                      <w:sz w:val="21"/>
                      <w:szCs w:val="21"/>
                      <w:lang w:val="en-US" w:eastAsia="zh-CN"/>
                    </w:rPr>
                  </w:pPr>
                  <w:r>
                    <w:rPr>
                      <w:rFonts w:hint="eastAsia"/>
                      <w:color w:val="auto"/>
                      <w:sz w:val="21"/>
                      <w:szCs w:val="21"/>
                      <w:lang w:val="en-US" w:eastAsia="zh-CN"/>
                    </w:rPr>
                    <w:t>100</w:t>
                  </w:r>
                </w:p>
              </w:tc>
              <w:tc>
                <w:tcPr>
                  <w:tcW w:w="2418" w:type="dxa"/>
                  <w:vAlign w:val="center"/>
                </w:tcPr>
                <w:p>
                  <w:pPr>
                    <w:pStyle w:val="11"/>
                    <w:jc w:val="center"/>
                    <w:rPr>
                      <w:color w:val="auto"/>
                      <w:sz w:val="21"/>
                      <w:szCs w:val="21"/>
                    </w:rPr>
                  </w:pPr>
                  <w:r>
                    <w:rPr>
                      <w:rFonts w:hint="eastAsia"/>
                      <w:color w:val="auto"/>
                      <w:sz w:val="21"/>
                      <w:szCs w:val="21"/>
                      <w:lang w:val="en-US" w:eastAsia="zh-CN"/>
                    </w:rPr>
                    <w:t>20</w:t>
                  </w:r>
                </w:p>
              </w:tc>
              <w:tc>
                <w:tcPr>
                  <w:tcW w:w="1520" w:type="dxa"/>
                  <w:vMerge w:val="restart"/>
                  <w:vAlign w:val="center"/>
                </w:tcPr>
                <w:p>
                  <w:pPr>
                    <w:pStyle w:val="11"/>
                    <w:jc w:val="center"/>
                    <w:rPr>
                      <w:color w:val="auto"/>
                      <w:sz w:val="21"/>
                      <w:szCs w:val="21"/>
                    </w:rPr>
                  </w:pPr>
                  <w:r>
                    <w:rPr>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8" w:type="dxa"/>
                  <w:vMerge w:val="continue"/>
                  <w:vAlign w:val="center"/>
                </w:tcPr>
                <w:p>
                  <w:pPr>
                    <w:pStyle w:val="11"/>
                    <w:rPr>
                      <w:color w:val="auto"/>
                      <w:sz w:val="21"/>
                      <w:szCs w:val="21"/>
                    </w:rPr>
                  </w:pPr>
                </w:p>
              </w:tc>
              <w:tc>
                <w:tcPr>
                  <w:tcW w:w="1031"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机油</w:t>
                  </w:r>
                </w:p>
              </w:tc>
              <w:tc>
                <w:tcPr>
                  <w:tcW w:w="1680"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1140"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2418"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1520" w:type="dxa"/>
                  <w:vMerge w:val="continue"/>
                  <w:vAlign w:val="center"/>
                </w:tcPr>
                <w:p>
                  <w:pPr>
                    <w:pStyle w:val="11"/>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rPr>
                      <w:color w:val="auto"/>
                      <w:sz w:val="21"/>
                      <w:szCs w:val="21"/>
                    </w:rPr>
                  </w:pPr>
                </w:p>
              </w:tc>
              <w:tc>
                <w:tcPr>
                  <w:tcW w:w="1031" w:type="dxa"/>
                  <w:vAlign w:val="center"/>
                </w:tcPr>
                <w:p>
                  <w:pPr>
                    <w:pStyle w:val="11"/>
                    <w:jc w:val="center"/>
                    <w:rPr>
                      <w:color w:val="auto"/>
                      <w:sz w:val="21"/>
                      <w:szCs w:val="21"/>
                    </w:rPr>
                  </w:pPr>
                  <w:r>
                    <w:rPr>
                      <w:color w:val="auto"/>
                      <w:sz w:val="21"/>
                      <w:szCs w:val="21"/>
                    </w:rPr>
                    <w:t>液压油</w:t>
                  </w:r>
                </w:p>
              </w:tc>
              <w:tc>
                <w:tcPr>
                  <w:tcW w:w="1680" w:type="dxa"/>
                  <w:vAlign w:val="center"/>
                </w:tcPr>
                <w:p>
                  <w:pPr>
                    <w:pStyle w:val="11"/>
                    <w:jc w:val="center"/>
                    <w:rPr>
                      <w:color w:val="auto"/>
                      <w:sz w:val="21"/>
                      <w:szCs w:val="21"/>
                    </w:rPr>
                  </w:pPr>
                  <w:r>
                    <w:rPr>
                      <w:color w:val="auto"/>
                      <w:sz w:val="21"/>
                      <w:szCs w:val="21"/>
                    </w:rPr>
                    <w:t>/</w:t>
                  </w:r>
                </w:p>
              </w:tc>
              <w:tc>
                <w:tcPr>
                  <w:tcW w:w="1140" w:type="dxa"/>
                  <w:vAlign w:val="center"/>
                </w:tcPr>
                <w:p>
                  <w:pPr>
                    <w:pStyle w:val="11"/>
                    <w:jc w:val="center"/>
                    <w:rPr>
                      <w:color w:val="auto"/>
                      <w:sz w:val="21"/>
                      <w:szCs w:val="21"/>
                    </w:rPr>
                  </w:pPr>
                  <w:r>
                    <w:rPr>
                      <w:color w:val="auto"/>
                      <w:sz w:val="21"/>
                      <w:szCs w:val="21"/>
                    </w:rPr>
                    <w:t>0.1</w:t>
                  </w:r>
                </w:p>
              </w:tc>
              <w:tc>
                <w:tcPr>
                  <w:tcW w:w="2418" w:type="dxa"/>
                  <w:vAlign w:val="center"/>
                </w:tcPr>
                <w:p>
                  <w:pPr>
                    <w:pStyle w:val="11"/>
                    <w:jc w:val="center"/>
                    <w:rPr>
                      <w:color w:val="auto"/>
                      <w:sz w:val="21"/>
                      <w:szCs w:val="21"/>
                    </w:rPr>
                  </w:pPr>
                  <w:r>
                    <w:rPr>
                      <w:color w:val="auto"/>
                      <w:sz w:val="21"/>
                      <w:szCs w:val="21"/>
                    </w:rPr>
                    <w:t>/</w:t>
                  </w:r>
                </w:p>
              </w:tc>
              <w:tc>
                <w:tcPr>
                  <w:tcW w:w="1520" w:type="dxa"/>
                  <w:vMerge w:val="continue"/>
                  <w:vAlign w:val="center"/>
                </w:tcPr>
                <w:p>
                  <w:pPr>
                    <w:pStyle w:val="11"/>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rPr>
                      <w:color w:val="auto"/>
                      <w:sz w:val="21"/>
                      <w:szCs w:val="21"/>
                    </w:rPr>
                  </w:pPr>
                </w:p>
              </w:tc>
              <w:tc>
                <w:tcPr>
                  <w:tcW w:w="1031" w:type="dxa"/>
                  <w:vAlign w:val="center"/>
                </w:tcPr>
                <w:p>
                  <w:pPr>
                    <w:pStyle w:val="11"/>
                    <w:jc w:val="center"/>
                    <w:rPr>
                      <w:color w:val="auto"/>
                      <w:sz w:val="21"/>
                      <w:szCs w:val="21"/>
                    </w:rPr>
                  </w:pPr>
                  <w:r>
                    <w:rPr>
                      <w:color w:val="auto"/>
                      <w:sz w:val="21"/>
                      <w:szCs w:val="21"/>
                    </w:rPr>
                    <w:t>PAC</w:t>
                  </w:r>
                </w:p>
              </w:tc>
              <w:tc>
                <w:tcPr>
                  <w:tcW w:w="1680" w:type="dxa"/>
                  <w:vAlign w:val="center"/>
                </w:tcPr>
                <w:p>
                  <w:pPr>
                    <w:pStyle w:val="11"/>
                    <w:jc w:val="center"/>
                    <w:rPr>
                      <w:color w:val="auto"/>
                      <w:sz w:val="21"/>
                      <w:szCs w:val="21"/>
                    </w:rPr>
                  </w:pPr>
                  <w:r>
                    <w:rPr>
                      <w:color w:val="auto"/>
                      <w:sz w:val="21"/>
                      <w:szCs w:val="21"/>
                    </w:rPr>
                    <w:t>/</w:t>
                  </w:r>
                </w:p>
              </w:tc>
              <w:tc>
                <w:tcPr>
                  <w:tcW w:w="1140" w:type="dxa"/>
                  <w:vAlign w:val="center"/>
                </w:tcPr>
                <w:p>
                  <w:pPr>
                    <w:pStyle w:val="11"/>
                    <w:jc w:val="center"/>
                    <w:rPr>
                      <w:color w:val="auto"/>
                      <w:sz w:val="21"/>
                      <w:szCs w:val="21"/>
                    </w:rPr>
                  </w:pPr>
                  <w:r>
                    <w:rPr>
                      <w:color w:val="auto"/>
                      <w:sz w:val="21"/>
                      <w:szCs w:val="21"/>
                    </w:rPr>
                    <w:t>1</w:t>
                  </w:r>
                  <w:r>
                    <w:rPr>
                      <w:rFonts w:hint="eastAsia"/>
                      <w:color w:val="auto"/>
                      <w:sz w:val="21"/>
                      <w:szCs w:val="21"/>
                    </w:rPr>
                    <w:t>0</w:t>
                  </w:r>
                  <w:r>
                    <w:rPr>
                      <w:color w:val="auto"/>
                      <w:sz w:val="21"/>
                      <w:szCs w:val="21"/>
                    </w:rPr>
                    <w:t>.0</w:t>
                  </w:r>
                </w:p>
              </w:tc>
              <w:tc>
                <w:tcPr>
                  <w:tcW w:w="2418" w:type="dxa"/>
                  <w:vAlign w:val="center"/>
                </w:tcPr>
                <w:p>
                  <w:pPr>
                    <w:pStyle w:val="11"/>
                    <w:jc w:val="center"/>
                    <w:rPr>
                      <w:color w:val="auto"/>
                      <w:sz w:val="21"/>
                      <w:szCs w:val="21"/>
                    </w:rPr>
                  </w:pPr>
                  <w:r>
                    <w:rPr>
                      <w:color w:val="auto"/>
                      <w:sz w:val="21"/>
                      <w:szCs w:val="21"/>
                    </w:rPr>
                    <w:t>/</w:t>
                  </w:r>
                </w:p>
              </w:tc>
              <w:tc>
                <w:tcPr>
                  <w:tcW w:w="1520" w:type="dxa"/>
                  <w:vMerge w:val="continue"/>
                  <w:vAlign w:val="center"/>
                </w:tcPr>
                <w:p>
                  <w:pPr>
                    <w:pStyle w:val="11"/>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rPr>
                      <w:color w:val="auto"/>
                      <w:sz w:val="21"/>
                      <w:szCs w:val="21"/>
                    </w:rPr>
                  </w:pPr>
                </w:p>
              </w:tc>
              <w:tc>
                <w:tcPr>
                  <w:tcW w:w="1031" w:type="dxa"/>
                  <w:vAlign w:val="center"/>
                </w:tcPr>
                <w:p>
                  <w:pPr>
                    <w:pStyle w:val="11"/>
                    <w:jc w:val="center"/>
                    <w:rPr>
                      <w:color w:val="auto"/>
                      <w:sz w:val="21"/>
                      <w:szCs w:val="21"/>
                    </w:rPr>
                  </w:pPr>
                  <w:r>
                    <w:rPr>
                      <w:color w:val="auto"/>
                      <w:sz w:val="21"/>
                      <w:szCs w:val="21"/>
                    </w:rPr>
                    <w:t>PAM</w:t>
                  </w:r>
                </w:p>
              </w:tc>
              <w:tc>
                <w:tcPr>
                  <w:tcW w:w="1680" w:type="dxa"/>
                  <w:vAlign w:val="center"/>
                </w:tcPr>
                <w:p>
                  <w:pPr>
                    <w:pStyle w:val="11"/>
                    <w:jc w:val="center"/>
                    <w:rPr>
                      <w:color w:val="auto"/>
                      <w:sz w:val="21"/>
                      <w:szCs w:val="21"/>
                    </w:rPr>
                  </w:pPr>
                  <w:r>
                    <w:rPr>
                      <w:color w:val="auto"/>
                      <w:sz w:val="21"/>
                      <w:szCs w:val="21"/>
                    </w:rPr>
                    <w:t>/</w:t>
                  </w:r>
                </w:p>
              </w:tc>
              <w:tc>
                <w:tcPr>
                  <w:tcW w:w="1140" w:type="dxa"/>
                  <w:vAlign w:val="center"/>
                </w:tcPr>
                <w:p>
                  <w:pPr>
                    <w:pStyle w:val="11"/>
                    <w:jc w:val="center"/>
                    <w:rPr>
                      <w:color w:val="auto"/>
                      <w:sz w:val="21"/>
                      <w:szCs w:val="21"/>
                    </w:rPr>
                  </w:pPr>
                  <w:r>
                    <w:rPr>
                      <w:color w:val="auto"/>
                      <w:sz w:val="21"/>
                      <w:szCs w:val="21"/>
                    </w:rPr>
                    <w:t>1.0</w:t>
                  </w:r>
                </w:p>
              </w:tc>
              <w:tc>
                <w:tcPr>
                  <w:tcW w:w="2418" w:type="dxa"/>
                  <w:vAlign w:val="center"/>
                </w:tcPr>
                <w:p>
                  <w:pPr>
                    <w:pStyle w:val="11"/>
                    <w:jc w:val="center"/>
                    <w:rPr>
                      <w:color w:val="auto"/>
                      <w:sz w:val="21"/>
                      <w:szCs w:val="21"/>
                    </w:rPr>
                  </w:pPr>
                  <w:r>
                    <w:rPr>
                      <w:color w:val="auto"/>
                      <w:sz w:val="21"/>
                      <w:szCs w:val="21"/>
                    </w:rPr>
                    <w:t>/</w:t>
                  </w:r>
                </w:p>
              </w:tc>
              <w:tc>
                <w:tcPr>
                  <w:tcW w:w="1520" w:type="dxa"/>
                  <w:vMerge w:val="continue"/>
                  <w:vAlign w:val="center"/>
                </w:tcPr>
                <w:p>
                  <w:pPr>
                    <w:pStyle w:val="11"/>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pStyle w:val="11"/>
                    <w:rPr>
                      <w:color w:val="auto"/>
                      <w:sz w:val="21"/>
                      <w:szCs w:val="21"/>
                    </w:rPr>
                  </w:pPr>
                  <w:r>
                    <w:rPr>
                      <w:color w:val="auto"/>
                      <w:sz w:val="21"/>
                      <w:szCs w:val="21"/>
                    </w:rPr>
                    <w:t>能源</w:t>
                  </w:r>
                </w:p>
              </w:tc>
              <w:tc>
                <w:tcPr>
                  <w:tcW w:w="1031" w:type="dxa"/>
                  <w:vAlign w:val="center"/>
                </w:tcPr>
                <w:p>
                  <w:pPr>
                    <w:pStyle w:val="11"/>
                    <w:jc w:val="center"/>
                    <w:rPr>
                      <w:color w:val="auto"/>
                      <w:sz w:val="21"/>
                      <w:szCs w:val="21"/>
                    </w:rPr>
                  </w:pPr>
                  <w:r>
                    <w:rPr>
                      <w:color w:val="auto"/>
                      <w:sz w:val="21"/>
                      <w:szCs w:val="21"/>
                    </w:rPr>
                    <w:t>电（KW•h）</w:t>
                  </w:r>
                </w:p>
              </w:tc>
              <w:tc>
                <w:tcPr>
                  <w:tcW w:w="1680" w:type="dxa"/>
                  <w:vAlign w:val="center"/>
                </w:tcPr>
                <w:p>
                  <w:pPr>
                    <w:pStyle w:val="11"/>
                    <w:jc w:val="center"/>
                    <w:rPr>
                      <w:color w:val="auto"/>
                      <w:sz w:val="21"/>
                      <w:szCs w:val="21"/>
                    </w:rPr>
                  </w:pPr>
                  <w:r>
                    <w:rPr>
                      <w:color w:val="auto"/>
                      <w:sz w:val="21"/>
                      <w:szCs w:val="21"/>
                    </w:rPr>
                    <w:t>/</w:t>
                  </w:r>
                </w:p>
              </w:tc>
              <w:tc>
                <w:tcPr>
                  <w:tcW w:w="1140" w:type="dxa"/>
                  <w:vAlign w:val="center"/>
                </w:tcPr>
                <w:p>
                  <w:pPr>
                    <w:pStyle w:val="11"/>
                    <w:jc w:val="center"/>
                    <w:rPr>
                      <w:color w:val="auto"/>
                      <w:sz w:val="21"/>
                      <w:szCs w:val="21"/>
                    </w:rPr>
                  </w:pPr>
                  <w:r>
                    <w:rPr>
                      <w:rFonts w:hint="eastAsia"/>
                      <w:color w:val="auto"/>
                      <w:sz w:val="21"/>
                      <w:szCs w:val="21"/>
                    </w:rPr>
                    <w:t>200万</w:t>
                  </w:r>
                </w:p>
              </w:tc>
              <w:tc>
                <w:tcPr>
                  <w:tcW w:w="2418" w:type="dxa"/>
                  <w:vAlign w:val="center"/>
                </w:tcPr>
                <w:p>
                  <w:pPr>
                    <w:pStyle w:val="11"/>
                    <w:jc w:val="center"/>
                    <w:rPr>
                      <w:color w:val="auto"/>
                      <w:sz w:val="21"/>
                      <w:szCs w:val="21"/>
                    </w:rPr>
                  </w:pPr>
                  <w:r>
                    <w:rPr>
                      <w:color w:val="auto"/>
                      <w:sz w:val="21"/>
                      <w:szCs w:val="21"/>
                    </w:rPr>
                    <w:t>/</w:t>
                  </w:r>
                </w:p>
              </w:tc>
              <w:tc>
                <w:tcPr>
                  <w:tcW w:w="1520" w:type="dxa"/>
                  <w:vAlign w:val="center"/>
                </w:tcPr>
                <w:p>
                  <w:pPr>
                    <w:pStyle w:val="11"/>
                    <w:jc w:val="center"/>
                    <w:rPr>
                      <w:color w:val="auto"/>
                      <w:sz w:val="21"/>
                      <w:szCs w:val="21"/>
                    </w:rPr>
                  </w:pPr>
                  <w:r>
                    <w:rPr>
                      <w:color w:val="auto"/>
                      <w:sz w:val="21"/>
                      <w:szCs w:val="21"/>
                    </w:rP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8" w:type="dxa"/>
                  <w:vAlign w:val="center"/>
                </w:tcPr>
                <w:p>
                  <w:pPr>
                    <w:pStyle w:val="11"/>
                    <w:rPr>
                      <w:color w:val="auto"/>
                      <w:sz w:val="21"/>
                      <w:szCs w:val="21"/>
                    </w:rPr>
                  </w:pPr>
                  <w:r>
                    <w:rPr>
                      <w:color w:val="auto"/>
                      <w:sz w:val="21"/>
                      <w:szCs w:val="21"/>
                    </w:rPr>
                    <w:t>水量</w:t>
                  </w:r>
                </w:p>
              </w:tc>
              <w:tc>
                <w:tcPr>
                  <w:tcW w:w="1031" w:type="dxa"/>
                  <w:vAlign w:val="center"/>
                </w:tcPr>
                <w:p>
                  <w:pPr>
                    <w:pStyle w:val="11"/>
                    <w:jc w:val="center"/>
                    <w:rPr>
                      <w:color w:val="auto"/>
                      <w:sz w:val="21"/>
                      <w:szCs w:val="21"/>
                    </w:rPr>
                  </w:pPr>
                  <w:r>
                    <w:rPr>
                      <w:color w:val="auto"/>
                      <w:sz w:val="21"/>
                      <w:szCs w:val="21"/>
                    </w:rPr>
                    <w:t>用水</w:t>
                  </w:r>
                </w:p>
              </w:tc>
              <w:tc>
                <w:tcPr>
                  <w:tcW w:w="1680" w:type="dxa"/>
                  <w:vAlign w:val="center"/>
                </w:tcPr>
                <w:p>
                  <w:pPr>
                    <w:pStyle w:val="11"/>
                    <w:jc w:val="center"/>
                    <w:rPr>
                      <w:color w:val="auto"/>
                      <w:sz w:val="21"/>
                      <w:szCs w:val="21"/>
                    </w:rPr>
                  </w:pPr>
                  <w:r>
                    <w:rPr>
                      <w:color w:val="auto"/>
                      <w:sz w:val="21"/>
                      <w:szCs w:val="21"/>
                    </w:rPr>
                    <w:t>/</w:t>
                  </w:r>
                </w:p>
              </w:tc>
              <w:tc>
                <w:tcPr>
                  <w:tcW w:w="1140" w:type="dxa"/>
                  <w:vAlign w:val="center"/>
                </w:tcPr>
                <w:p>
                  <w:pPr>
                    <w:pStyle w:val="11"/>
                    <w:jc w:val="center"/>
                    <w:rPr>
                      <w:color w:val="auto"/>
                      <w:sz w:val="21"/>
                      <w:szCs w:val="21"/>
                    </w:rPr>
                  </w:pPr>
                  <w:r>
                    <w:rPr>
                      <w:rFonts w:hint="eastAsia"/>
                      <w:color w:val="auto"/>
                      <w:sz w:val="21"/>
                      <w:szCs w:val="21"/>
                    </w:rPr>
                    <w:t>9万m</w:t>
                  </w:r>
                  <w:r>
                    <w:rPr>
                      <w:rFonts w:hint="eastAsia"/>
                      <w:color w:val="auto"/>
                      <w:sz w:val="21"/>
                      <w:szCs w:val="21"/>
                      <w:vertAlign w:val="superscript"/>
                    </w:rPr>
                    <w:t>3</w:t>
                  </w:r>
                </w:p>
              </w:tc>
              <w:tc>
                <w:tcPr>
                  <w:tcW w:w="2418" w:type="dxa"/>
                  <w:vAlign w:val="center"/>
                </w:tcPr>
                <w:p>
                  <w:pPr>
                    <w:pStyle w:val="11"/>
                    <w:jc w:val="center"/>
                    <w:rPr>
                      <w:color w:val="auto"/>
                      <w:sz w:val="21"/>
                      <w:szCs w:val="21"/>
                    </w:rPr>
                  </w:pPr>
                  <w:r>
                    <w:rPr>
                      <w:color w:val="auto"/>
                      <w:sz w:val="21"/>
                      <w:szCs w:val="21"/>
                    </w:rPr>
                    <w:t>/</w:t>
                  </w:r>
                </w:p>
              </w:tc>
              <w:tc>
                <w:tcPr>
                  <w:tcW w:w="1520" w:type="dxa"/>
                  <w:vAlign w:val="center"/>
                </w:tcPr>
                <w:p>
                  <w:pPr>
                    <w:pStyle w:val="11"/>
                    <w:jc w:val="center"/>
                    <w:rPr>
                      <w:color w:val="auto"/>
                      <w:sz w:val="21"/>
                      <w:szCs w:val="21"/>
                    </w:rPr>
                  </w:pPr>
                  <w:r>
                    <w:rPr>
                      <w:color w:val="auto"/>
                      <w:sz w:val="21"/>
                      <w:szCs w:val="21"/>
                    </w:rPr>
                    <w:t>园区管网</w:t>
                  </w:r>
                </w:p>
              </w:tc>
            </w:tr>
          </w:tbl>
          <w:p>
            <w:pPr>
              <w:adjustRightInd w:val="0"/>
              <w:snapToGrid w:val="0"/>
              <w:ind w:firstLine="482"/>
              <w:rPr>
                <w:b/>
                <w:color w:val="auto"/>
                <w:szCs w:val="21"/>
              </w:rPr>
            </w:pPr>
            <w:r>
              <w:rPr>
                <w:b/>
                <w:color w:val="auto"/>
                <w:szCs w:val="21"/>
              </w:rPr>
              <w:t>5、主要设备清单</w:t>
            </w:r>
          </w:p>
          <w:p>
            <w:pPr>
              <w:pStyle w:val="11"/>
              <w:jc w:val="center"/>
              <w:rPr>
                <w:b/>
                <w:bCs/>
                <w:color w:val="auto"/>
              </w:rPr>
            </w:pPr>
            <w:r>
              <w:rPr>
                <w:b/>
                <w:bCs/>
                <w:color w:val="auto"/>
              </w:rPr>
              <w:t>表2-4   主要</w:t>
            </w:r>
            <w:r>
              <w:rPr>
                <w:rFonts w:hint="eastAsia"/>
                <w:b/>
                <w:bCs/>
                <w:color w:val="auto"/>
              </w:rPr>
              <w:t>生产</w:t>
            </w:r>
            <w:r>
              <w:rPr>
                <w:b/>
                <w:bCs/>
                <w:color w:val="auto"/>
              </w:rPr>
              <w:t>设备一览表</w:t>
            </w:r>
          </w:p>
          <w:tbl>
            <w:tblPr>
              <w:tblStyle w:val="6"/>
              <w:tblW w:w="865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06"/>
              <w:gridCol w:w="417"/>
              <w:gridCol w:w="1558"/>
              <w:gridCol w:w="2078"/>
              <w:gridCol w:w="1781"/>
              <w:gridCol w:w="141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tcBorders>
                    <w:tl2br w:val="nil"/>
                    <w:tr2bl w:val="nil"/>
                  </w:tcBorders>
                  <w:shd w:val="clear" w:color="auto" w:fill="auto"/>
                  <w:vAlign w:val="center"/>
                </w:tcPr>
                <w:p>
                  <w:pPr>
                    <w:pStyle w:val="11"/>
                    <w:jc w:val="center"/>
                    <w:rPr>
                      <w:b/>
                      <w:bCs/>
                      <w:color w:val="auto"/>
                    </w:rPr>
                  </w:pPr>
                  <w:r>
                    <w:rPr>
                      <w:rFonts w:hint="eastAsia"/>
                      <w:b/>
                      <w:bCs/>
                      <w:color w:val="auto"/>
                    </w:rPr>
                    <w:t>安装位置</w:t>
                  </w:r>
                </w:p>
              </w:tc>
              <w:tc>
                <w:tcPr>
                  <w:tcW w:w="1975" w:type="dxa"/>
                  <w:gridSpan w:val="2"/>
                  <w:tcBorders>
                    <w:tl2br w:val="nil"/>
                    <w:tr2bl w:val="nil"/>
                  </w:tcBorders>
                  <w:shd w:val="clear" w:color="auto" w:fill="auto"/>
                  <w:vAlign w:val="center"/>
                </w:tcPr>
                <w:p>
                  <w:pPr>
                    <w:pStyle w:val="11"/>
                    <w:jc w:val="center"/>
                    <w:rPr>
                      <w:b/>
                      <w:bCs/>
                      <w:color w:val="auto"/>
                    </w:rPr>
                  </w:pPr>
                  <w:r>
                    <w:rPr>
                      <w:rFonts w:hint="eastAsia"/>
                      <w:b/>
                      <w:bCs/>
                      <w:color w:val="auto"/>
                    </w:rPr>
                    <w:t>使用工段</w:t>
                  </w:r>
                </w:p>
              </w:tc>
              <w:tc>
                <w:tcPr>
                  <w:tcW w:w="2078" w:type="dxa"/>
                  <w:tcBorders>
                    <w:tl2br w:val="nil"/>
                    <w:tr2bl w:val="nil"/>
                  </w:tcBorders>
                  <w:shd w:val="clear" w:color="auto" w:fill="auto"/>
                  <w:vAlign w:val="center"/>
                </w:tcPr>
                <w:p>
                  <w:pPr>
                    <w:pStyle w:val="11"/>
                    <w:jc w:val="center"/>
                    <w:rPr>
                      <w:b/>
                      <w:bCs/>
                      <w:color w:val="auto"/>
                    </w:rPr>
                  </w:pPr>
                  <w:r>
                    <w:rPr>
                      <w:rFonts w:hint="eastAsia"/>
                      <w:b/>
                      <w:bCs/>
                      <w:color w:val="auto"/>
                    </w:rPr>
                    <w:t>设备</w:t>
                  </w:r>
                </w:p>
              </w:tc>
              <w:tc>
                <w:tcPr>
                  <w:tcW w:w="1781" w:type="dxa"/>
                  <w:tcBorders>
                    <w:tl2br w:val="nil"/>
                    <w:tr2bl w:val="nil"/>
                  </w:tcBorders>
                  <w:shd w:val="clear" w:color="auto" w:fill="auto"/>
                  <w:vAlign w:val="center"/>
                </w:tcPr>
                <w:p>
                  <w:pPr>
                    <w:pStyle w:val="11"/>
                    <w:jc w:val="center"/>
                    <w:rPr>
                      <w:b/>
                      <w:bCs/>
                      <w:color w:val="auto"/>
                    </w:rPr>
                  </w:pPr>
                  <w:r>
                    <w:rPr>
                      <w:rFonts w:hint="eastAsia"/>
                      <w:b/>
                      <w:bCs/>
                      <w:color w:val="auto"/>
                    </w:rPr>
                    <w:t>型号</w:t>
                  </w:r>
                </w:p>
              </w:tc>
              <w:tc>
                <w:tcPr>
                  <w:tcW w:w="1410" w:type="dxa"/>
                  <w:tcBorders>
                    <w:tl2br w:val="nil"/>
                    <w:tr2bl w:val="nil"/>
                  </w:tcBorders>
                  <w:shd w:val="clear" w:color="auto" w:fill="auto"/>
                  <w:vAlign w:val="center"/>
                </w:tcPr>
                <w:p>
                  <w:pPr>
                    <w:pStyle w:val="11"/>
                    <w:jc w:val="center"/>
                    <w:rPr>
                      <w:b/>
                      <w:bCs/>
                      <w:color w:val="auto"/>
                    </w:rPr>
                  </w:pPr>
                  <w:r>
                    <w:rPr>
                      <w:rFonts w:hint="eastAsia"/>
                      <w:b/>
                      <w:bCs/>
                      <w:color w:val="auto"/>
                    </w:rPr>
                    <w:t>数量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restart"/>
                  <w:tcBorders>
                    <w:tl2br w:val="nil"/>
                    <w:tr2bl w:val="nil"/>
                  </w:tcBorders>
                  <w:shd w:val="clear" w:color="auto" w:fill="auto"/>
                  <w:vAlign w:val="center"/>
                </w:tcPr>
                <w:p>
                  <w:pPr>
                    <w:pStyle w:val="11"/>
                    <w:jc w:val="center"/>
                    <w:rPr>
                      <w:color w:val="auto"/>
                    </w:rPr>
                  </w:pPr>
                  <w:r>
                    <w:rPr>
                      <w:rFonts w:hint="eastAsia"/>
                      <w:color w:val="auto"/>
                    </w:rPr>
                    <w:t>1号</w:t>
                  </w:r>
                </w:p>
                <w:p>
                  <w:pPr>
                    <w:pStyle w:val="11"/>
                    <w:jc w:val="center"/>
                    <w:rPr>
                      <w:color w:val="auto"/>
                    </w:rPr>
                  </w:pPr>
                  <w:r>
                    <w:rPr>
                      <w:color w:val="auto"/>
                    </w:rPr>
                    <w:t>生产车间</w:t>
                  </w:r>
                </w:p>
              </w:tc>
              <w:tc>
                <w:tcPr>
                  <w:tcW w:w="1975" w:type="dxa"/>
                  <w:gridSpan w:val="2"/>
                  <w:tcBorders>
                    <w:tl2br w:val="nil"/>
                    <w:tr2bl w:val="nil"/>
                  </w:tcBorders>
                  <w:shd w:val="clear" w:color="auto" w:fill="auto"/>
                  <w:vAlign w:val="center"/>
                </w:tcPr>
                <w:p>
                  <w:pPr>
                    <w:pStyle w:val="11"/>
                    <w:jc w:val="center"/>
                    <w:rPr>
                      <w:color w:val="auto"/>
                    </w:rPr>
                  </w:pPr>
                  <w:r>
                    <w:rPr>
                      <w:rFonts w:hint="eastAsia"/>
                      <w:color w:val="auto"/>
                    </w:rPr>
                    <w:t>辅助生产</w:t>
                  </w:r>
                </w:p>
              </w:tc>
              <w:tc>
                <w:tcPr>
                  <w:tcW w:w="2078" w:type="dxa"/>
                  <w:tcBorders>
                    <w:tl2br w:val="nil"/>
                    <w:tr2bl w:val="nil"/>
                  </w:tcBorders>
                  <w:shd w:val="clear" w:color="auto" w:fill="auto"/>
                  <w:vAlign w:val="center"/>
                </w:tcPr>
                <w:p>
                  <w:pPr>
                    <w:pStyle w:val="11"/>
                    <w:jc w:val="center"/>
                    <w:rPr>
                      <w:color w:val="auto"/>
                    </w:rPr>
                  </w:pPr>
                  <w:r>
                    <w:rPr>
                      <w:rFonts w:hint="eastAsia"/>
                      <w:color w:val="auto"/>
                      <w:lang w:val="en-US" w:eastAsia="zh-CN"/>
                    </w:rPr>
                    <w:t>软水</w:t>
                  </w:r>
                  <w:r>
                    <w:rPr>
                      <w:rFonts w:hint="eastAsia"/>
                      <w:color w:val="auto"/>
                    </w:rPr>
                    <w:t>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C</w:t>
                  </w:r>
                  <w:r>
                    <w:rPr>
                      <w:color w:val="auto"/>
                    </w:rPr>
                    <w:t>M1F</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tcBorders>
                    <w:tl2br w:val="nil"/>
                    <w:tr2bl w:val="nil"/>
                  </w:tcBorders>
                  <w:shd w:val="clear" w:color="auto" w:fill="auto"/>
                  <w:vAlign w:val="center"/>
                </w:tcPr>
                <w:p>
                  <w:pPr>
                    <w:pStyle w:val="11"/>
                    <w:jc w:val="center"/>
                    <w:rPr>
                      <w:color w:val="auto"/>
                    </w:rPr>
                  </w:pPr>
                  <w:r>
                    <w:rPr>
                      <w:rFonts w:hint="eastAsia"/>
                      <w:color w:val="auto"/>
                    </w:rPr>
                    <w:t>辅助生产</w:t>
                  </w:r>
                </w:p>
              </w:tc>
              <w:tc>
                <w:tcPr>
                  <w:tcW w:w="2078" w:type="dxa"/>
                  <w:tcBorders>
                    <w:tl2br w:val="nil"/>
                    <w:tr2bl w:val="nil"/>
                  </w:tcBorders>
                  <w:shd w:val="clear" w:color="auto" w:fill="auto"/>
                  <w:vAlign w:val="center"/>
                </w:tcPr>
                <w:p>
                  <w:pPr>
                    <w:pStyle w:val="11"/>
                    <w:jc w:val="center"/>
                    <w:rPr>
                      <w:color w:val="auto"/>
                    </w:rPr>
                  </w:pPr>
                  <w:r>
                    <w:rPr>
                      <w:rFonts w:hint="eastAsia"/>
                      <w:color w:val="auto"/>
                    </w:rPr>
                    <w:t>空压机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4.5KW</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tcBorders>
                    <w:tl2br w:val="nil"/>
                    <w:tr2bl w:val="nil"/>
                  </w:tcBorders>
                  <w:shd w:val="clear" w:color="auto" w:fill="auto"/>
                  <w:vAlign w:val="center"/>
                </w:tcPr>
                <w:p>
                  <w:pPr>
                    <w:pStyle w:val="11"/>
                    <w:jc w:val="center"/>
                    <w:rPr>
                      <w:color w:val="auto"/>
                    </w:rPr>
                  </w:pPr>
                  <w:r>
                    <w:rPr>
                      <w:rFonts w:hint="eastAsia"/>
                      <w:color w:val="auto"/>
                    </w:rPr>
                    <w:t>冻库</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制冷机组</w:t>
                  </w:r>
                </w:p>
              </w:tc>
              <w:tc>
                <w:tcPr>
                  <w:tcW w:w="1781" w:type="dxa"/>
                  <w:tcBorders>
                    <w:tl2br w:val="nil"/>
                    <w:tr2bl w:val="nil"/>
                  </w:tcBorders>
                  <w:shd w:val="clear" w:color="auto" w:fill="auto"/>
                  <w:vAlign w:val="center"/>
                </w:tcPr>
                <w:p>
                  <w:pPr>
                    <w:pStyle w:val="11"/>
                    <w:jc w:val="center"/>
                    <w:rPr>
                      <w:color w:val="auto"/>
                    </w:rPr>
                  </w:pPr>
                  <w:r>
                    <w:rPr>
                      <w:rFonts w:hint="eastAsia"/>
                      <w:color w:val="auto"/>
                    </w:rPr>
                    <w:t>C</w:t>
                  </w:r>
                  <w:r>
                    <w:rPr>
                      <w:color w:val="auto"/>
                    </w:rPr>
                    <w:t>XJZDL-40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restart"/>
                  <w:tcBorders>
                    <w:tl2br w:val="nil"/>
                    <w:tr2bl w:val="nil"/>
                  </w:tcBorders>
                  <w:shd w:val="clear" w:color="auto" w:fill="auto"/>
                  <w:vAlign w:val="center"/>
                </w:tcPr>
                <w:p>
                  <w:pPr>
                    <w:pStyle w:val="11"/>
                    <w:jc w:val="center"/>
                    <w:rPr>
                      <w:color w:val="auto"/>
                    </w:rPr>
                  </w:pPr>
                  <w:r>
                    <w:rPr>
                      <w:rFonts w:hint="eastAsia"/>
                      <w:color w:val="auto"/>
                    </w:rPr>
                    <w:t>午餐肉加工区</w:t>
                  </w:r>
                </w:p>
              </w:tc>
              <w:tc>
                <w:tcPr>
                  <w:tcW w:w="1558" w:type="dxa"/>
                  <w:tcBorders>
                    <w:tl2br w:val="nil"/>
                    <w:tr2bl w:val="nil"/>
                  </w:tcBorders>
                  <w:shd w:val="clear" w:color="auto" w:fill="auto"/>
                  <w:vAlign w:val="center"/>
                </w:tcPr>
                <w:p>
                  <w:pPr>
                    <w:pStyle w:val="11"/>
                    <w:jc w:val="center"/>
                    <w:rPr>
                      <w:color w:val="auto"/>
                    </w:rPr>
                  </w:pPr>
                  <w:r>
                    <w:rPr>
                      <w:rFonts w:hint="eastAsia"/>
                      <w:color w:val="auto"/>
                    </w:rPr>
                    <w:t>解冻</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冷风机/冷库</w:t>
                  </w:r>
                </w:p>
              </w:tc>
              <w:tc>
                <w:tcPr>
                  <w:tcW w:w="1781" w:type="dxa"/>
                  <w:tcBorders>
                    <w:tl2br w:val="nil"/>
                    <w:tr2bl w:val="nil"/>
                  </w:tcBorders>
                  <w:shd w:val="clear" w:color="auto" w:fill="auto"/>
                  <w:vAlign w:val="center"/>
                </w:tcPr>
                <w:p>
                  <w:pPr>
                    <w:pStyle w:val="11"/>
                    <w:jc w:val="center"/>
                    <w:rPr>
                      <w:color w:val="auto"/>
                    </w:rPr>
                  </w:pPr>
                  <w:r>
                    <w:rPr>
                      <w:rFonts w:hint="eastAsia"/>
                      <w:color w:val="auto"/>
                    </w:rPr>
                    <w:t>D</w:t>
                  </w:r>
                  <w:r>
                    <w:rPr>
                      <w:color w:val="auto"/>
                    </w:rPr>
                    <w:t>L-260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restart"/>
                  <w:tcBorders>
                    <w:tl2br w:val="nil"/>
                    <w:tr2bl w:val="nil"/>
                  </w:tcBorders>
                  <w:shd w:val="clear" w:color="auto" w:fill="auto"/>
                  <w:vAlign w:val="center"/>
                </w:tcPr>
                <w:p>
                  <w:pPr>
                    <w:pStyle w:val="11"/>
                    <w:jc w:val="center"/>
                    <w:rPr>
                      <w:rFonts w:hint="eastAsia" w:eastAsia="宋体"/>
                      <w:color w:val="auto"/>
                      <w:lang w:eastAsia="zh-CN"/>
                    </w:rPr>
                  </w:pPr>
                  <w:r>
                    <w:rPr>
                      <w:rFonts w:hint="eastAsia"/>
                      <w:color w:val="auto"/>
                      <w:lang w:val="en-US" w:eastAsia="zh-CN"/>
                    </w:rPr>
                    <w:t>切块</w:t>
                  </w:r>
                </w:p>
              </w:tc>
              <w:tc>
                <w:tcPr>
                  <w:tcW w:w="2078" w:type="dxa"/>
                  <w:tcBorders>
                    <w:tl2br w:val="nil"/>
                    <w:tr2bl w:val="nil"/>
                  </w:tcBorders>
                  <w:shd w:val="clear" w:color="auto" w:fill="auto"/>
                  <w:vAlign w:val="center"/>
                </w:tcPr>
                <w:p>
                  <w:pPr>
                    <w:pStyle w:val="11"/>
                    <w:jc w:val="center"/>
                    <w:rPr>
                      <w:color w:val="auto"/>
                    </w:rPr>
                  </w:pPr>
                  <w:r>
                    <w:rPr>
                      <w:rFonts w:hint="eastAsia"/>
                      <w:color w:val="auto"/>
                    </w:rPr>
                    <w:t>8工位双层分割线</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lang w:val="en-US" w:eastAsia="zh-CN"/>
                    </w:rPr>
                    <w:t>切肉</w:t>
                  </w:r>
                  <w:r>
                    <w:rPr>
                      <w:rFonts w:hint="eastAsia"/>
                      <w:color w:val="auto"/>
                    </w:rPr>
                    <w:t>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X</w:t>
                  </w:r>
                  <w:r>
                    <w:rPr>
                      <w:color w:val="auto"/>
                    </w:rPr>
                    <w:t>FP-300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螺旋上料机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搅拌机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X</w:t>
                  </w:r>
                  <w:r>
                    <w:rPr>
                      <w:color w:val="auto"/>
                    </w:rPr>
                    <w:t>FP-750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提升机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X</w:t>
                  </w:r>
                  <w:r>
                    <w:rPr>
                      <w:color w:val="auto"/>
                    </w:rPr>
                    <w:t>FP</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腌制</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冷风机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D</w:t>
                  </w:r>
                  <w:r>
                    <w:rPr>
                      <w:color w:val="auto"/>
                    </w:rPr>
                    <w:t>L-260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restart"/>
                  <w:tcBorders>
                    <w:tl2br w:val="nil"/>
                    <w:tr2bl w:val="nil"/>
                  </w:tcBorders>
                  <w:shd w:val="clear" w:color="auto" w:fill="auto"/>
                  <w:vAlign w:val="center"/>
                </w:tcPr>
                <w:p>
                  <w:pPr>
                    <w:pStyle w:val="11"/>
                    <w:jc w:val="center"/>
                    <w:rPr>
                      <w:color w:val="auto"/>
                    </w:rPr>
                  </w:pPr>
                  <w:r>
                    <w:rPr>
                      <w:rFonts w:hint="eastAsia"/>
                      <w:color w:val="auto"/>
                    </w:rPr>
                    <w:t>拌</w:t>
                  </w:r>
                  <w:r>
                    <w:rPr>
                      <w:rFonts w:hint="eastAsia"/>
                      <w:color w:val="auto"/>
                      <w:lang w:val="en-US" w:eastAsia="zh-CN"/>
                    </w:rPr>
                    <w:t>和</w:t>
                  </w:r>
                </w:p>
              </w:tc>
              <w:tc>
                <w:tcPr>
                  <w:tcW w:w="2078" w:type="dxa"/>
                  <w:tcBorders>
                    <w:tl2br w:val="nil"/>
                    <w:tr2bl w:val="nil"/>
                  </w:tcBorders>
                  <w:shd w:val="clear" w:color="auto" w:fill="auto"/>
                  <w:vAlign w:val="center"/>
                </w:tcPr>
                <w:p>
                  <w:pPr>
                    <w:pStyle w:val="11"/>
                    <w:jc w:val="center"/>
                    <w:rPr>
                      <w:color w:val="auto"/>
                    </w:rPr>
                  </w:pPr>
                  <w:r>
                    <w:rPr>
                      <w:rFonts w:hint="eastAsia"/>
                      <w:color w:val="auto"/>
                    </w:rPr>
                    <w:t>供料系统</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rFonts w:hint="eastAsia" w:eastAsia="宋体"/>
                      <w:color w:val="auto"/>
                      <w:lang w:val="en-US" w:eastAsia="zh-CN"/>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高速斩拌机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接收罐</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搅拌机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restart"/>
                  <w:tcBorders>
                    <w:tl2br w:val="nil"/>
                    <w:tr2bl w:val="nil"/>
                  </w:tcBorders>
                  <w:shd w:val="clear" w:color="auto" w:fill="auto"/>
                  <w:vAlign w:val="center"/>
                </w:tcPr>
                <w:p>
                  <w:pPr>
                    <w:pStyle w:val="11"/>
                    <w:jc w:val="center"/>
                    <w:rPr>
                      <w:color w:val="auto"/>
                    </w:rPr>
                  </w:pPr>
                  <w:r>
                    <w:rPr>
                      <w:rFonts w:hint="eastAsia"/>
                      <w:color w:val="auto"/>
                    </w:rPr>
                    <w:t>灌装</w:t>
                  </w:r>
                </w:p>
              </w:tc>
              <w:tc>
                <w:tcPr>
                  <w:tcW w:w="2078" w:type="dxa"/>
                  <w:tcBorders>
                    <w:tl2br w:val="nil"/>
                    <w:tr2bl w:val="nil"/>
                  </w:tcBorders>
                  <w:shd w:val="clear" w:color="auto" w:fill="auto"/>
                  <w:vAlign w:val="center"/>
                </w:tcPr>
                <w:p>
                  <w:pPr>
                    <w:pStyle w:val="11"/>
                    <w:jc w:val="center"/>
                    <w:rPr>
                      <w:color w:val="auto"/>
                    </w:rPr>
                  </w:pPr>
                  <w:r>
                    <w:rPr>
                      <w:rFonts w:hint="eastAsia"/>
                      <w:color w:val="auto"/>
                    </w:rPr>
                    <w:t>提升机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X</w:t>
                  </w:r>
                  <w:r>
                    <w:rPr>
                      <w:color w:val="auto"/>
                    </w:rPr>
                    <w:t>FP</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灌装机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封口机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restart"/>
                  <w:tcBorders>
                    <w:tl2br w:val="nil"/>
                    <w:tr2bl w:val="nil"/>
                  </w:tcBorders>
                  <w:shd w:val="clear" w:color="auto" w:fill="auto"/>
                  <w:vAlign w:val="center"/>
                </w:tcPr>
                <w:p>
                  <w:pPr>
                    <w:pStyle w:val="11"/>
                    <w:jc w:val="center"/>
                    <w:rPr>
                      <w:color w:val="auto"/>
                    </w:rPr>
                  </w:pPr>
                  <w:r>
                    <w:rPr>
                      <w:rFonts w:hint="eastAsia"/>
                      <w:color w:val="auto"/>
                    </w:rPr>
                    <w:t>红烧肉加工区</w:t>
                  </w:r>
                </w:p>
              </w:tc>
              <w:tc>
                <w:tcPr>
                  <w:tcW w:w="1558" w:type="dxa"/>
                  <w:tcBorders>
                    <w:tl2br w:val="nil"/>
                    <w:tr2bl w:val="nil"/>
                  </w:tcBorders>
                  <w:shd w:val="clear" w:color="auto" w:fill="auto"/>
                  <w:vAlign w:val="center"/>
                </w:tcPr>
                <w:p>
                  <w:pPr>
                    <w:pStyle w:val="11"/>
                    <w:jc w:val="center"/>
                    <w:rPr>
                      <w:color w:val="auto"/>
                    </w:rPr>
                  </w:pPr>
                  <w:r>
                    <w:rPr>
                      <w:rFonts w:hint="eastAsia"/>
                      <w:color w:val="auto"/>
                    </w:rPr>
                    <w:t>解冻</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冷风机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D</w:t>
                  </w:r>
                  <w:r>
                    <w:rPr>
                      <w:color w:val="auto"/>
                    </w:rPr>
                    <w:t>L-260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烧皮</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分拣平台</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restart"/>
                  <w:tcBorders>
                    <w:tl2br w:val="nil"/>
                    <w:tr2bl w:val="nil"/>
                  </w:tcBorders>
                  <w:shd w:val="clear" w:color="auto" w:fill="auto"/>
                  <w:vAlign w:val="center"/>
                </w:tcPr>
                <w:p>
                  <w:pPr>
                    <w:pStyle w:val="11"/>
                    <w:jc w:val="center"/>
                    <w:rPr>
                      <w:color w:val="auto"/>
                    </w:rPr>
                  </w:pPr>
                  <w:r>
                    <w:rPr>
                      <w:rFonts w:hint="eastAsia"/>
                      <w:color w:val="auto"/>
                    </w:rPr>
                    <w:t>预煮</w:t>
                  </w:r>
                </w:p>
              </w:tc>
              <w:tc>
                <w:tcPr>
                  <w:tcW w:w="2078" w:type="dxa"/>
                  <w:tcBorders>
                    <w:tl2br w:val="nil"/>
                    <w:tr2bl w:val="nil"/>
                  </w:tcBorders>
                  <w:shd w:val="clear" w:color="auto" w:fill="auto"/>
                  <w:vAlign w:val="center"/>
                </w:tcPr>
                <w:p>
                  <w:pPr>
                    <w:pStyle w:val="11"/>
                    <w:jc w:val="center"/>
                    <w:rPr>
                      <w:color w:val="auto"/>
                    </w:rPr>
                  </w:pPr>
                  <w:r>
                    <w:rPr>
                      <w:rFonts w:hint="eastAsia"/>
                      <w:color w:val="auto"/>
                    </w:rPr>
                    <w:t>水煮设备</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双层分割设备</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上色卤制设备</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restart"/>
                  <w:tcBorders>
                    <w:tl2br w:val="nil"/>
                    <w:tr2bl w:val="nil"/>
                  </w:tcBorders>
                  <w:shd w:val="clear" w:color="auto" w:fill="auto"/>
                  <w:vAlign w:val="center"/>
                </w:tcPr>
                <w:p>
                  <w:pPr>
                    <w:pStyle w:val="11"/>
                    <w:jc w:val="center"/>
                    <w:rPr>
                      <w:color w:val="auto"/>
                    </w:rPr>
                  </w:pPr>
                  <w:r>
                    <w:rPr>
                      <w:rFonts w:hint="eastAsia"/>
                      <w:color w:val="auto"/>
                    </w:rPr>
                    <w:t>油炸</w:t>
                  </w:r>
                </w:p>
              </w:tc>
              <w:tc>
                <w:tcPr>
                  <w:tcW w:w="2078" w:type="dxa"/>
                  <w:tcBorders>
                    <w:tl2br w:val="nil"/>
                    <w:tr2bl w:val="nil"/>
                  </w:tcBorders>
                  <w:shd w:val="clear" w:color="auto" w:fill="auto"/>
                  <w:vAlign w:val="center"/>
                </w:tcPr>
                <w:p>
                  <w:pPr>
                    <w:pStyle w:val="11"/>
                    <w:jc w:val="center"/>
                    <w:rPr>
                      <w:color w:val="auto"/>
                    </w:rPr>
                  </w:pPr>
                  <w:r>
                    <w:rPr>
                      <w:rFonts w:hint="eastAsia"/>
                      <w:color w:val="auto"/>
                    </w:rPr>
                    <w:t>油炸机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物料降温机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双层分割线</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restart"/>
                  <w:tcBorders>
                    <w:tl2br w:val="nil"/>
                    <w:tr2bl w:val="nil"/>
                  </w:tcBorders>
                  <w:shd w:val="clear" w:color="auto" w:fill="auto"/>
                  <w:vAlign w:val="center"/>
                </w:tcPr>
                <w:p>
                  <w:pPr>
                    <w:pStyle w:val="11"/>
                    <w:jc w:val="center"/>
                    <w:rPr>
                      <w:color w:val="auto"/>
                    </w:rPr>
                  </w:pPr>
                  <w:r>
                    <w:rPr>
                      <w:rFonts w:hint="eastAsia"/>
                      <w:color w:val="auto"/>
                    </w:rPr>
                    <w:t>灌装</w:t>
                  </w:r>
                </w:p>
              </w:tc>
              <w:tc>
                <w:tcPr>
                  <w:tcW w:w="2078" w:type="dxa"/>
                  <w:tcBorders>
                    <w:tl2br w:val="nil"/>
                    <w:tr2bl w:val="nil"/>
                  </w:tcBorders>
                  <w:shd w:val="clear" w:color="auto" w:fill="auto"/>
                  <w:vAlign w:val="center"/>
                </w:tcPr>
                <w:p>
                  <w:pPr>
                    <w:pStyle w:val="11"/>
                    <w:jc w:val="center"/>
                    <w:rPr>
                      <w:color w:val="auto"/>
                    </w:rPr>
                  </w:pPr>
                  <w:r>
                    <w:rPr>
                      <w:rFonts w:hint="eastAsia"/>
                      <w:color w:val="auto"/>
                    </w:rPr>
                    <w:t>伺服活塞灌装机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封口机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真空封口机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vMerge w:val="restart"/>
                  <w:tcBorders>
                    <w:tl2br w:val="nil"/>
                    <w:tr2bl w:val="nil"/>
                  </w:tcBorders>
                  <w:shd w:val="clear" w:color="auto" w:fill="auto"/>
                  <w:vAlign w:val="center"/>
                </w:tcPr>
                <w:p>
                  <w:pPr>
                    <w:pStyle w:val="11"/>
                    <w:jc w:val="center"/>
                    <w:rPr>
                      <w:color w:val="auto"/>
                    </w:rPr>
                  </w:pPr>
                  <w:r>
                    <w:rPr>
                      <w:rFonts w:hint="eastAsia"/>
                      <w:color w:val="auto"/>
                    </w:rPr>
                    <w:t>杀菌</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实罐清洗机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自动装笼机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自动卸笼机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转向移栽机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实罐清洗机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风刀除水机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烘干机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6</w:t>
                  </w:r>
                  <w:r>
                    <w:rPr>
                      <w:color w:val="auto"/>
                    </w:rPr>
                    <w:t>500*850mm</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喷码机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1975" w:type="dxa"/>
                  <w:gridSpan w:val="2"/>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rFonts w:hint="eastAsia" w:eastAsia="宋体"/>
                      <w:color w:val="auto"/>
                      <w:lang w:eastAsia="zh-CN"/>
                    </w:rPr>
                  </w:pPr>
                  <w:r>
                    <w:rPr>
                      <w:rFonts w:hint="eastAsia"/>
                      <w:color w:val="auto"/>
                      <w:lang w:eastAsia="zh-CN"/>
                    </w:rPr>
                    <w:t>加热釜</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restart"/>
                  <w:tcBorders>
                    <w:tl2br w:val="nil"/>
                    <w:tr2bl w:val="nil"/>
                  </w:tcBorders>
                  <w:shd w:val="clear" w:color="auto" w:fill="auto"/>
                  <w:vAlign w:val="center"/>
                </w:tcPr>
                <w:p>
                  <w:pPr>
                    <w:pStyle w:val="11"/>
                    <w:jc w:val="center"/>
                    <w:rPr>
                      <w:color w:val="auto"/>
                    </w:rPr>
                  </w:pPr>
                  <w:r>
                    <w:rPr>
                      <w:rFonts w:hint="eastAsia"/>
                      <w:color w:val="auto"/>
                    </w:rPr>
                    <w:t>包装区</w:t>
                  </w:r>
                </w:p>
              </w:tc>
              <w:tc>
                <w:tcPr>
                  <w:tcW w:w="1558" w:type="dxa"/>
                  <w:vMerge w:val="restart"/>
                  <w:tcBorders>
                    <w:tl2br w:val="nil"/>
                    <w:tr2bl w:val="nil"/>
                  </w:tcBorders>
                  <w:shd w:val="clear" w:color="auto" w:fill="auto"/>
                  <w:vAlign w:val="center"/>
                </w:tcPr>
                <w:p>
                  <w:pPr>
                    <w:pStyle w:val="11"/>
                    <w:jc w:val="center"/>
                    <w:rPr>
                      <w:color w:val="auto"/>
                    </w:rPr>
                  </w:pPr>
                  <w:r>
                    <w:rPr>
                      <w:rFonts w:hint="eastAsia"/>
                      <w:color w:val="auto"/>
                    </w:rPr>
                    <w:t>包装</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实罐码垛机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方罐、圆罐通用</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实罐卸垛机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卧式浆糊贴标机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自动开箱机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机器人自动装箱机(四轴）</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机器人自动放隔板机(四轴）</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隔板搁置机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伺服分道机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自动封箱机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纸箱码垛机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栈板输送机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自动供栈机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restart"/>
                  <w:tcBorders>
                    <w:tl2br w:val="nil"/>
                    <w:tr2bl w:val="nil"/>
                  </w:tcBorders>
                  <w:shd w:val="clear" w:color="auto" w:fill="auto"/>
                  <w:vAlign w:val="center"/>
                </w:tcPr>
                <w:p>
                  <w:pPr>
                    <w:pStyle w:val="11"/>
                    <w:jc w:val="center"/>
                    <w:rPr>
                      <w:rFonts w:hint="eastAsia" w:eastAsia="宋体"/>
                      <w:color w:val="auto"/>
                      <w:lang w:eastAsia="zh-CN"/>
                    </w:rPr>
                  </w:pPr>
                  <w:r>
                    <w:rPr>
                      <w:rFonts w:hint="eastAsia"/>
                      <w:color w:val="auto"/>
                      <w:lang w:eastAsia="zh-CN"/>
                    </w:rPr>
                    <w:t>实罐清洗</w:t>
                  </w:r>
                </w:p>
              </w:tc>
              <w:tc>
                <w:tcPr>
                  <w:tcW w:w="2078" w:type="dxa"/>
                  <w:tcBorders>
                    <w:tl2br w:val="nil"/>
                    <w:tr2bl w:val="nil"/>
                  </w:tcBorders>
                  <w:shd w:val="clear" w:color="auto" w:fill="auto"/>
                  <w:vAlign w:val="center"/>
                </w:tcPr>
                <w:p>
                  <w:pPr>
                    <w:pStyle w:val="11"/>
                    <w:jc w:val="center"/>
                    <w:rPr>
                      <w:color w:val="auto"/>
                    </w:rPr>
                  </w:pPr>
                  <w:r>
                    <w:rPr>
                      <w:rFonts w:hint="eastAsia"/>
                      <w:color w:val="auto"/>
                      <w:lang w:eastAsia="zh-CN"/>
                    </w:rPr>
                    <w:t>实罐</w:t>
                  </w:r>
                  <w:r>
                    <w:rPr>
                      <w:rFonts w:hint="eastAsia"/>
                      <w:color w:val="auto"/>
                    </w:rPr>
                    <w:t>卸垛机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马口铁磁力洗罐机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方罐、圆罐通用</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对夹下降机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restart"/>
                  <w:tcBorders>
                    <w:tl2br w:val="nil"/>
                    <w:tr2bl w:val="nil"/>
                  </w:tcBorders>
                  <w:shd w:val="clear" w:color="auto" w:fill="auto"/>
                  <w:vAlign w:val="center"/>
                </w:tcPr>
                <w:p>
                  <w:pPr>
                    <w:pStyle w:val="11"/>
                    <w:jc w:val="center"/>
                    <w:rPr>
                      <w:color w:val="auto"/>
                    </w:rPr>
                  </w:pPr>
                  <w:r>
                    <w:rPr>
                      <w:rFonts w:hint="eastAsia"/>
                      <w:color w:val="auto"/>
                    </w:rPr>
                    <w:t>小酥肉</w:t>
                  </w:r>
                </w:p>
              </w:tc>
              <w:tc>
                <w:tcPr>
                  <w:tcW w:w="1558" w:type="dxa"/>
                  <w:tcBorders>
                    <w:tl2br w:val="nil"/>
                    <w:tr2bl w:val="nil"/>
                  </w:tcBorders>
                  <w:shd w:val="clear" w:color="auto" w:fill="auto"/>
                  <w:vAlign w:val="center"/>
                </w:tcPr>
                <w:p>
                  <w:pPr>
                    <w:pStyle w:val="11"/>
                    <w:jc w:val="center"/>
                    <w:rPr>
                      <w:color w:val="auto"/>
                    </w:rPr>
                  </w:pPr>
                  <w:r>
                    <w:rPr>
                      <w:rFonts w:hint="eastAsia"/>
                      <w:color w:val="auto"/>
                    </w:rPr>
                    <w:t>解冻</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冷风机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D</w:t>
                  </w:r>
                  <w:r>
                    <w:rPr>
                      <w:color w:val="auto"/>
                    </w:rPr>
                    <w:t>L-260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切条</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切条机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restart"/>
                  <w:tcBorders>
                    <w:tl2br w:val="nil"/>
                    <w:tr2bl w:val="nil"/>
                  </w:tcBorders>
                  <w:shd w:val="clear" w:color="auto" w:fill="auto"/>
                  <w:vAlign w:val="center"/>
                </w:tcPr>
                <w:p>
                  <w:pPr>
                    <w:pStyle w:val="11"/>
                    <w:jc w:val="center"/>
                    <w:rPr>
                      <w:color w:val="auto"/>
                    </w:rPr>
                  </w:pPr>
                  <w:r>
                    <w:rPr>
                      <w:rFonts w:hint="eastAsia"/>
                      <w:color w:val="auto"/>
                    </w:rPr>
                    <w:t>油炸</w:t>
                  </w:r>
                </w:p>
              </w:tc>
              <w:tc>
                <w:tcPr>
                  <w:tcW w:w="2078" w:type="dxa"/>
                  <w:tcBorders>
                    <w:tl2br w:val="nil"/>
                    <w:tr2bl w:val="nil"/>
                  </w:tcBorders>
                  <w:shd w:val="clear" w:color="auto" w:fill="auto"/>
                  <w:vAlign w:val="center"/>
                </w:tcPr>
                <w:p>
                  <w:pPr>
                    <w:pStyle w:val="11"/>
                    <w:jc w:val="center"/>
                    <w:rPr>
                      <w:color w:val="auto"/>
                    </w:rPr>
                  </w:pPr>
                  <w:r>
                    <w:rPr>
                      <w:rFonts w:hint="eastAsia"/>
                      <w:color w:val="auto"/>
                    </w:rPr>
                    <w:t>真空滚揉机（裹浆）</w:t>
                  </w:r>
                </w:p>
              </w:tc>
              <w:tc>
                <w:tcPr>
                  <w:tcW w:w="1781" w:type="dxa"/>
                  <w:tcBorders>
                    <w:tl2br w:val="nil"/>
                    <w:tr2bl w:val="nil"/>
                  </w:tcBorders>
                  <w:shd w:val="clear" w:color="auto" w:fill="auto"/>
                  <w:vAlign w:val="center"/>
                </w:tcPr>
                <w:p>
                  <w:pPr>
                    <w:pStyle w:val="11"/>
                    <w:jc w:val="center"/>
                    <w:rPr>
                      <w:color w:val="auto"/>
                    </w:rPr>
                  </w:pPr>
                  <w:r>
                    <w:rPr>
                      <w:rFonts w:hint="eastAsia"/>
                      <w:color w:val="auto"/>
                    </w:rPr>
                    <w:t>5</w:t>
                  </w:r>
                  <w:r>
                    <w:rPr>
                      <w:color w:val="auto"/>
                    </w:rPr>
                    <w:t>0L</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小酥肉油炸线</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小酥肉预炸线</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速冻</w:t>
                  </w:r>
                </w:p>
              </w:tc>
              <w:tc>
                <w:tcPr>
                  <w:tcW w:w="2078" w:type="dxa"/>
                  <w:tcBorders>
                    <w:tl2br w:val="nil"/>
                    <w:tr2bl w:val="nil"/>
                  </w:tcBorders>
                  <w:shd w:val="clear" w:color="auto" w:fill="auto"/>
                  <w:vAlign w:val="center"/>
                </w:tcPr>
                <w:p>
                  <w:pPr>
                    <w:pStyle w:val="11"/>
                    <w:jc w:val="center"/>
                    <w:rPr>
                      <w:color w:val="auto"/>
                    </w:rPr>
                  </w:pPr>
                  <w:r>
                    <w:rPr>
                      <w:rFonts w:hint="eastAsia"/>
                      <w:color w:val="auto"/>
                    </w:rPr>
                    <w:t>速冻机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包装</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多头秤</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冻库</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压缩机组</w:t>
                  </w:r>
                </w:p>
              </w:tc>
              <w:tc>
                <w:tcPr>
                  <w:tcW w:w="1781" w:type="dxa"/>
                  <w:tcBorders>
                    <w:tl2br w:val="nil"/>
                    <w:tr2bl w:val="nil"/>
                  </w:tcBorders>
                  <w:shd w:val="clear" w:color="auto" w:fill="auto"/>
                  <w:vAlign w:val="center"/>
                </w:tcPr>
                <w:p>
                  <w:pPr>
                    <w:pStyle w:val="11"/>
                    <w:jc w:val="center"/>
                    <w:rPr>
                      <w:color w:val="auto"/>
                    </w:rPr>
                  </w:pPr>
                  <w:r>
                    <w:rPr>
                      <w:rFonts w:hint="eastAsia"/>
                      <w:color w:val="auto"/>
                    </w:rPr>
                    <w:t>4</w:t>
                  </w:r>
                  <w:r>
                    <w:rPr>
                      <w:color w:val="auto"/>
                    </w:rPr>
                    <w:t>PES-15</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1406" w:type="dxa"/>
                  <w:vMerge w:val="restart"/>
                  <w:tcBorders>
                    <w:tl2br w:val="nil"/>
                    <w:tr2bl w:val="nil"/>
                  </w:tcBorders>
                  <w:shd w:val="clear" w:color="auto" w:fill="auto"/>
                  <w:vAlign w:val="center"/>
                </w:tcPr>
                <w:p>
                  <w:pPr>
                    <w:pStyle w:val="11"/>
                    <w:jc w:val="center"/>
                    <w:rPr>
                      <w:color w:val="auto"/>
                    </w:rPr>
                  </w:pPr>
                  <w:r>
                    <w:rPr>
                      <w:rFonts w:hint="eastAsia"/>
                      <w:color w:val="auto"/>
                    </w:rPr>
                    <w:t>2号生产车间</w:t>
                  </w:r>
                </w:p>
              </w:tc>
              <w:tc>
                <w:tcPr>
                  <w:tcW w:w="417" w:type="dxa"/>
                  <w:vMerge w:val="restart"/>
                  <w:tcBorders>
                    <w:tl2br w:val="nil"/>
                    <w:tr2bl w:val="nil"/>
                  </w:tcBorders>
                  <w:shd w:val="clear" w:color="auto" w:fill="auto"/>
                  <w:vAlign w:val="center"/>
                </w:tcPr>
                <w:p>
                  <w:pPr>
                    <w:pStyle w:val="11"/>
                    <w:jc w:val="center"/>
                    <w:rPr>
                      <w:color w:val="auto"/>
                    </w:rPr>
                  </w:pPr>
                  <w:r>
                    <w:rPr>
                      <w:rFonts w:hint="eastAsia"/>
                      <w:color w:val="auto"/>
                      <w:lang w:val="en-US" w:eastAsia="zh-CN"/>
                    </w:rPr>
                    <w:t>预制菜</w:t>
                  </w:r>
                  <w:r>
                    <w:rPr>
                      <w:rFonts w:hint="eastAsia"/>
                      <w:color w:val="auto"/>
                    </w:rPr>
                    <w:t>生产区</w:t>
                  </w:r>
                </w:p>
              </w:tc>
              <w:tc>
                <w:tcPr>
                  <w:tcW w:w="1558" w:type="dxa"/>
                  <w:tcBorders>
                    <w:tl2br w:val="nil"/>
                    <w:tr2bl w:val="nil"/>
                  </w:tcBorders>
                  <w:shd w:val="clear" w:color="auto" w:fill="auto"/>
                  <w:vAlign w:val="center"/>
                </w:tcPr>
                <w:p>
                  <w:pPr>
                    <w:pStyle w:val="11"/>
                    <w:jc w:val="center"/>
                    <w:rPr>
                      <w:color w:val="auto"/>
                    </w:rPr>
                  </w:pPr>
                  <w:r>
                    <w:rPr>
                      <w:rFonts w:hint="eastAsia"/>
                      <w:color w:val="auto"/>
                    </w:rPr>
                    <w:t>冻库</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冻库</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解冻</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冷风机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D</w:t>
                  </w:r>
                  <w:r>
                    <w:rPr>
                      <w:color w:val="auto"/>
                    </w:rPr>
                    <w:t>L-260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分割</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切片机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JZW360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滚肉、腌制</w:t>
                  </w:r>
                </w:p>
              </w:tc>
              <w:tc>
                <w:tcPr>
                  <w:tcW w:w="2078" w:type="dxa"/>
                  <w:tcBorders>
                    <w:tl2br w:val="nil"/>
                    <w:tr2bl w:val="nil"/>
                  </w:tcBorders>
                  <w:shd w:val="clear" w:color="auto" w:fill="auto"/>
                  <w:vAlign w:val="center"/>
                </w:tcPr>
                <w:p>
                  <w:pPr>
                    <w:pStyle w:val="11"/>
                    <w:jc w:val="center"/>
                    <w:rPr>
                      <w:color w:val="auto"/>
                    </w:rPr>
                  </w:pPr>
                  <w:r>
                    <w:rPr>
                      <w:rFonts w:hint="eastAsia"/>
                      <w:color w:val="auto"/>
                    </w:rPr>
                    <w:t>滚揉机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5</w:t>
                  </w:r>
                  <w:r>
                    <w:rPr>
                      <w:color w:val="auto"/>
                    </w:rPr>
                    <w:t>0L</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包装</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全自动包装机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restart"/>
                  <w:tcBorders>
                    <w:tl2br w:val="nil"/>
                    <w:tr2bl w:val="nil"/>
                  </w:tcBorders>
                  <w:shd w:val="clear" w:color="auto" w:fill="auto"/>
                  <w:vAlign w:val="center"/>
                </w:tcPr>
                <w:p>
                  <w:pPr>
                    <w:pStyle w:val="11"/>
                    <w:jc w:val="center"/>
                    <w:rPr>
                      <w:color w:val="auto"/>
                    </w:rPr>
                  </w:pPr>
                  <w:r>
                    <w:rPr>
                      <w:rFonts w:hint="eastAsia"/>
                      <w:color w:val="auto"/>
                    </w:rPr>
                    <w:t>灯影牛肉生产区</w:t>
                  </w:r>
                </w:p>
              </w:tc>
              <w:tc>
                <w:tcPr>
                  <w:tcW w:w="1558" w:type="dxa"/>
                  <w:tcBorders>
                    <w:tl2br w:val="nil"/>
                    <w:tr2bl w:val="nil"/>
                  </w:tcBorders>
                  <w:shd w:val="clear" w:color="auto" w:fill="auto"/>
                  <w:vAlign w:val="center"/>
                </w:tcPr>
                <w:p>
                  <w:pPr>
                    <w:pStyle w:val="11"/>
                    <w:jc w:val="center"/>
                    <w:rPr>
                      <w:color w:val="auto"/>
                    </w:rPr>
                  </w:pPr>
                  <w:r>
                    <w:rPr>
                      <w:rFonts w:hint="eastAsia"/>
                      <w:color w:val="auto"/>
                    </w:rPr>
                    <w:t>解冻库</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冷风机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D</w:t>
                  </w:r>
                  <w:r>
                    <w:rPr>
                      <w:color w:val="auto"/>
                    </w:rPr>
                    <w:t>L-260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切割</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切片机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JZW360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搅拌</w:t>
                  </w:r>
                </w:p>
              </w:tc>
              <w:tc>
                <w:tcPr>
                  <w:tcW w:w="2078" w:type="dxa"/>
                  <w:tcBorders>
                    <w:tl2br w:val="nil"/>
                    <w:tr2bl w:val="nil"/>
                  </w:tcBorders>
                  <w:shd w:val="clear" w:color="auto" w:fill="auto"/>
                  <w:vAlign w:val="center"/>
                </w:tcPr>
                <w:p>
                  <w:pPr>
                    <w:pStyle w:val="11"/>
                    <w:jc w:val="center"/>
                    <w:rPr>
                      <w:color w:val="auto"/>
                    </w:rPr>
                  </w:pPr>
                  <w:r>
                    <w:rPr>
                      <w:rFonts w:hint="eastAsia"/>
                      <w:color w:val="auto"/>
                    </w:rPr>
                    <w:t>搅拌机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烘烤</w:t>
                  </w:r>
                </w:p>
              </w:tc>
              <w:tc>
                <w:tcPr>
                  <w:tcW w:w="2078" w:type="dxa"/>
                  <w:tcBorders>
                    <w:tl2br w:val="nil"/>
                    <w:tr2bl w:val="nil"/>
                  </w:tcBorders>
                  <w:shd w:val="clear" w:color="auto" w:fill="auto"/>
                  <w:vAlign w:val="center"/>
                </w:tcPr>
                <w:p>
                  <w:pPr>
                    <w:pStyle w:val="11"/>
                    <w:jc w:val="center"/>
                    <w:rPr>
                      <w:color w:val="auto"/>
                    </w:rPr>
                  </w:pPr>
                  <w:r>
                    <w:rPr>
                      <w:rFonts w:hint="eastAsia"/>
                      <w:color w:val="auto"/>
                    </w:rPr>
                    <w:t>烘干机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RFX</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包装</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全自动包装机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restart"/>
                  <w:tcBorders>
                    <w:tl2br w:val="nil"/>
                    <w:tr2bl w:val="nil"/>
                  </w:tcBorders>
                  <w:shd w:val="clear" w:color="auto" w:fill="auto"/>
                  <w:vAlign w:val="center"/>
                </w:tcPr>
                <w:p>
                  <w:pPr>
                    <w:pStyle w:val="11"/>
                    <w:jc w:val="center"/>
                    <w:rPr>
                      <w:color w:val="auto"/>
                    </w:rPr>
                  </w:pPr>
                  <w:r>
                    <w:rPr>
                      <w:rFonts w:hint="eastAsia"/>
                      <w:color w:val="auto"/>
                    </w:rPr>
                    <w:t>4号</w:t>
                  </w:r>
                </w:p>
                <w:p>
                  <w:pPr>
                    <w:pStyle w:val="11"/>
                    <w:jc w:val="center"/>
                    <w:rPr>
                      <w:color w:val="auto"/>
                    </w:rPr>
                  </w:pPr>
                  <w:r>
                    <w:rPr>
                      <w:rFonts w:hint="eastAsia"/>
                      <w:color w:val="auto"/>
                    </w:rPr>
                    <w:t>生产车间</w:t>
                  </w:r>
                </w:p>
              </w:tc>
              <w:tc>
                <w:tcPr>
                  <w:tcW w:w="417" w:type="dxa"/>
                  <w:vMerge w:val="restart"/>
                  <w:tcBorders>
                    <w:tl2br w:val="nil"/>
                    <w:tr2bl w:val="nil"/>
                  </w:tcBorders>
                  <w:shd w:val="clear" w:color="auto" w:fill="auto"/>
                  <w:vAlign w:val="center"/>
                </w:tcPr>
                <w:p>
                  <w:pPr>
                    <w:pStyle w:val="11"/>
                    <w:jc w:val="center"/>
                    <w:rPr>
                      <w:color w:val="auto"/>
                    </w:rPr>
                  </w:pPr>
                  <w:r>
                    <w:rPr>
                      <w:rFonts w:hint="eastAsia"/>
                      <w:color w:val="auto"/>
                    </w:rPr>
                    <w:t>牛肉干生产区</w:t>
                  </w:r>
                </w:p>
              </w:tc>
              <w:tc>
                <w:tcPr>
                  <w:tcW w:w="1558" w:type="dxa"/>
                  <w:tcBorders>
                    <w:tl2br w:val="nil"/>
                    <w:tr2bl w:val="nil"/>
                  </w:tcBorders>
                  <w:shd w:val="clear" w:color="auto" w:fill="auto"/>
                  <w:vAlign w:val="center"/>
                </w:tcPr>
                <w:p>
                  <w:pPr>
                    <w:pStyle w:val="11"/>
                    <w:jc w:val="center"/>
                    <w:rPr>
                      <w:color w:val="auto"/>
                    </w:rPr>
                  </w:pPr>
                  <w:r>
                    <w:rPr>
                      <w:rFonts w:hint="eastAsia"/>
                      <w:color w:val="auto"/>
                    </w:rPr>
                    <w:t>解冻库</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冷风机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D</w:t>
                  </w:r>
                  <w:r>
                    <w:rPr>
                      <w:color w:val="auto"/>
                    </w:rPr>
                    <w:t>L-260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预煮</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双层锅</w:t>
                  </w:r>
                </w:p>
              </w:tc>
              <w:tc>
                <w:tcPr>
                  <w:tcW w:w="1781" w:type="dxa"/>
                  <w:tcBorders>
                    <w:tl2br w:val="nil"/>
                    <w:tr2bl w:val="nil"/>
                  </w:tcBorders>
                  <w:shd w:val="clear" w:color="auto" w:fill="auto"/>
                  <w:vAlign w:val="center"/>
                </w:tcPr>
                <w:p>
                  <w:pPr>
                    <w:pStyle w:val="11"/>
                    <w:jc w:val="center"/>
                    <w:rPr>
                      <w:color w:val="auto"/>
                    </w:rPr>
                  </w:pPr>
                  <w:r>
                    <w:rPr>
                      <w:rFonts w:hint="eastAsia"/>
                      <w:color w:val="auto"/>
                    </w:rPr>
                    <w:t>500L</w:t>
                  </w:r>
                </w:p>
              </w:tc>
              <w:tc>
                <w:tcPr>
                  <w:tcW w:w="1410" w:type="dxa"/>
                  <w:tcBorders>
                    <w:tl2br w:val="nil"/>
                    <w:tr2bl w:val="nil"/>
                  </w:tcBorders>
                  <w:shd w:val="clear" w:color="auto" w:fill="auto"/>
                  <w:vAlign w:val="center"/>
                </w:tcPr>
                <w:p>
                  <w:pPr>
                    <w:pStyle w:val="11"/>
                    <w:jc w:val="center"/>
                    <w:rPr>
                      <w:color w:val="auto"/>
                    </w:rPr>
                  </w:pPr>
                  <w:r>
                    <w:rPr>
                      <w:rFonts w:hint="eastAsia"/>
                      <w:color w:val="auto"/>
                    </w:rPr>
                    <w:t>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炒料</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卧式炒松机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CSJ-4</w:t>
                  </w:r>
                </w:p>
              </w:tc>
              <w:tc>
                <w:tcPr>
                  <w:tcW w:w="1410" w:type="dxa"/>
                  <w:tcBorders>
                    <w:tl2br w:val="nil"/>
                    <w:tr2bl w:val="nil"/>
                  </w:tcBorders>
                  <w:shd w:val="clear" w:color="auto" w:fill="auto"/>
                  <w:vAlign w:val="center"/>
                </w:tcPr>
                <w:p>
                  <w:pPr>
                    <w:pStyle w:val="11"/>
                    <w:jc w:val="center"/>
                    <w:rPr>
                      <w:color w:val="auto"/>
                    </w:rPr>
                  </w:pPr>
                  <w:r>
                    <w:rPr>
                      <w:rFonts w:hint="eastAsia"/>
                      <w:color w:val="auto"/>
                    </w:rPr>
                    <w:t>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restart"/>
                  <w:tcBorders>
                    <w:tl2br w:val="nil"/>
                    <w:tr2bl w:val="nil"/>
                  </w:tcBorders>
                  <w:shd w:val="clear" w:color="auto" w:fill="auto"/>
                  <w:vAlign w:val="center"/>
                </w:tcPr>
                <w:p>
                  <w:pPr>
                    <w:pStyle w:val="11"/>
                    <w:jc w:val="center"/>
                    <w:rPr>
                      <w:color w:val="auto"/>
                    </w:rPr>
                  </w:pPr>
                  <w:r>
                    <w:rPr>
                      <w:rFonts w:hint="eastAsia"/>
                      <w:color w:val="auto"/>
                    </w:rPr>
                    <w:t>切割</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切条机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ZWCD78</w:t>
                  </w:r>
                </w:p>
              </w:tc>
              <w:tc>
                <w:tcPr>
                  <w:tcW w:w="1410" w:type="dxa"/>
                  <w:tcBorders>
                    <w:tl2br w:val="nil"/>
                    <w:tr2bl w:val="nil"/>
                  </w:tcBorders>
                  <w:shd w:val="clear" w:color="auto" w:fill="auto"/>
                  <w:vAlign w:val="center"/>
                </w:tcPr>
                <w:p>
                  <w:pPr>
                    <w:pStyle w:val="11"/>
                    <w:jc w:val="center"/>
                    <w:rPr>
                      <w:color w:val="auto"/>
                    </w:rPr>
                  </w:pPr>
                  <w:r>
                    <w:rPr>
                      <w:rFonts w:hint="eastAsia"/>
                      <w:color w:val="auto"/>
                    </w:rPr>
                    <w:t>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切肉机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500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vMerge w:val="continue"/>
                  <w:tcBorders>
                    <w:tl2br w:val="nil"/>
                    <w:tr2bl w:val="nil"/>
                  </w:tcBorders>
                  <w:shd w:val="clear" w:color="auto" w:fill="auto"/>
                  <w:vAlign w:val="center"/>
                </w:tcPr>
                <w:p>
                  <w:pPr>
                    <w:pStyle w:val="11"/>
                    <w:jc w:val="center"/>
                    <w:rPr>
                      <w:color w:val="auto"/>
                    </w:rPr>
                  </w:pPr>
                </w:p>
              </w:tc>
              <w:tc>
                <w:tcPr>
                  <w:tcW w:w="2078" w:type="dxa"/>
                  <w:tcBorders>
                    <w:tl2br w:val="nil"/>
                    <w:tr2bl w:val="nil"/>
                  </w:tcBorders>
                  <w:shd w:val="clear" w:color="auto" w:fill="auto"/>
                  <w:vAlign w:val="center"/>
                </w:tcPr>
                <w:p>
                  <w:pPr>
                    <w:pStyle w:val="11"/>
                    <w:jc w:val="center"/>
                    <w:rPr>
                      <w:color w:val="auto"/>
                    </w:rPr>
                  </w:pPr>
                  <w:r>
                    <w:rPr>
                      <w:rFonts w:hint="eastAsia"/>
                      <w:color w:val="auto"/>
                    </w:rPr>
                    <w:t>切片机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JZW360</w:t>
                  </w:r>
                </w:p>
              </w:tc>
              <w:tc>
                <w:tcPr>
                  <w:tcW w:w="1410" w:type="dxa"/>
                  <w:tcBorders>
                    <w:tl2br w:val="nil"/>
                    <w:tr2bl w:val="nil"/>
                  </w:tcBorders>
                  <w:shd w:val="clear" w:color="auto" w:fill="auto"/>
                  <w:vAlign w:val="center"/>
                </w:tcPr>
                <w:p>
                  <w:pPr>
                    <w:pStyle w:val="11"/>
                    <w:jc w:val="center"/>
                    <w:rPr>
                      <w:color w:val="auto"/>
                    </w:rPr>
                  </w:pPr>
                  <w:r>
                    <w:rPr>
                      <w:rFonts w:hint="eastAsia"/>
                      <w:color w:val="auto"/>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烘烤</w:t>
                  </w:r>
                </w:p>
              </w:tc>
              <w:tc>
                <w:tcPr>
                  <w:tcW w:w="2078" w:type="dxa"/>
                  <w:tcBorders>
                    <w:tl2br w:val="nil"/>
                    <w:tr2bl w:val="nil"/>
                  </w:tcBorders>
                  <w:shd w:val="clear" w:color="auto" w:fill="auto"/>
                  <w:vAlign w:val="center"/>
                </w:tcPr>
                <w:p>
                  <w:pPr>
                    <w:pStyle w:val="11"/>
                    <w:jc w:val="center"/>
                    <w:rPr>
                      <w:color w:val="auto"/>
                    </w:rPr>
                  </w:pPr>
                  <w:r>
                    <w:rPr>
                      <w:rFonts w:hint="eastAsia"/>
                      <w:color w:val="auto"/>
                    </w:rPr>
                    <w:t>烘干机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RFX</w:t>
                  </w:r>
                </w:p>
              </w:tc>
              <w:tc>
                <w:tcPr>
                  <w:tcW w:w="1410" w:type="dxa"/>
                  <w:tcBorders>
                    <w:tl2br w:val="nil"/>
                    <w:tr2bl w:val="nil"/>
                  </w:tcBorders>
                  <w:shd w:val="clear" w:color="auto" w:fill="auto"/>
                  <w:vAlign w:val="center"/>
                </w:tcPr>
                <w:p>
                  <w:pPr>
                    <w:pStyle w:val="11"/>
                    <w:jc w:val="center"/>
                    <w:rPr>
                      <w:color w:val="auto"/>
                    </w:rPr>
                  </w:pPr>
                  <w:r>
                    <w:rPr>
                      <w:rFonts w:hint="eastAsia"/>
                      <w:color w:val="auto"/>
                    </w:rPr>
                    <w:t>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1406" w:type="dxa"/>
                  <w:vMerge w:val="continue"/>
                  <w:tcBorders>
                    <w:tl2br w:val="nil"/>
                    <w:tr2bl w:val="nil"/>
                  </w:tcBorders>
                  <w:shd w:val="clear" w:color="auto" w:fill="auto"/>
                  <w:vAlign w:val="center"/>
                </w:tcPr>
                <w:p>
                  <w:pPr>
                    <w:pStyle w:val="11"/>
                    <w:jc w:val="center"/>
                    <w:rPr>
                      <w:color w:val="auto"/>
                    </w:rPr>
                  </w:pPr>
                </w:p>
              </w:tc>
              <w:tc>
                <w:tcPr>
                  <w:tcW w:w="417" w:type="dxa"/>
                  <w:vMerge w:val="continue"/>
                  <w:tcBorders>
                    <w:tl2br w:val="nil"/>
                    <w:tr2bl w:val="nil"/>
                  </w:tcBorders>
                  <w:shd w:val="clear" w:color="auto" w:fill="auto"/>
                  <w:vAlign w:val="center"/>
                </w:tcPr>
                <w:p>
                  <w:pPr>
                    <w:pStyle w:val="11"/>
                    <w:jc w:val="center"/>
                    <w:rPr>
                      <w:color w:val="auto"/>
                    </w:rPr>
                  </w:pPr>
                </w:p>
              </w:tc>
              <w:tc>
                <w:tcPr>
                  <w:tcW w:w="1558" w:type="dxa"/>
                  <w:tcBorders>
                    <w:tl2br w:val="nil"/>
                    <w:tr2bl w:val="nil"/>
                  </w:tcBorders>
                  <w:shd w:val="clear" w:color="auto" w:fill="auto"/>
                  <w:vAlign w:val="center"/>
                </w:tcPr>
                <w:p>
                  <w:pPr>
                    <w:pStyle w:val="11"/>
                    <w:jc w:val="center"/>
                    <w:rPr>
                      <w:color w:val="auto"/>
                    </w:rPr>
                  </w:pPr>
                  <w:r>
                    <w:rPr>
                      <w:rFonts w:hint="eastAsia"/>
                      <w:color w:val="auto"/>
                    </w:rPr>
                    <w:t>包装</w:t>
                  </w:r>
                </w:p>
              </w:tc>
              <w:tc>
                <w:tcPr>
                  <w:tcW w:w="2078" w:type="dxa"/>
                  <w:tcBorders>
                    <w:tl2br w:val="nil"/>
                    <w:tr2bl w:val="nil"/>
                  </w:tcBorders>
                  <w:shd w:val="clear" w:color="auto" w:fill="auto"/>
                  <w:vAlign w:val="center"/>
                </w:tcPr>
                <w:p>
                  <w:pPr>
                    <w:pStyle w:val="11"/>
                    <w:jc w:val="center"/>
                    <w:rPr>
                      <w:color w:val="auto"/>
                    </w:rPr>
                  </w:pPr>
                  <w:r>
                    <w:rPr>
                      <w:rFonts w:hint="eastAsia"/>
                      <w:color w:val="auto"/>
                    </w:rPr>
                    <w:t>全自动包装机</w:t>
                  </w:r>
                </w:p>
              </w:tc>
              <w:tc>
                <w:tcPr>
                  <w:tcW w:w="1781" w:type="dxa"/>
                  <w:tcBorders>
                    <w:tl2br w:val="nil"/>
                    <w:tr2bl w:val="nil"/>
                  </w:tcBorders>
                  <w:shd w:val="clear" w:color="auto" w:fill="auto"/>
                  <w:vAlign w:val="center"/>
                </w:tcPr>
                <w:p>
                  <w:pPr>
                    <w:pStyle w:val="11"/>
                    <w:jc w:val="center"/>
                    <w:rPr>
                      <w:color w:val="auto"/>
                    </w:rPr>
                  </w:pPr>
                  <w:r>
                    <w:rPr>
                      <w:rFonts w:hint="eastAsia"/>
                      <w:color w:val="auto"/>
                    </w:rPr>
                    <w:t>/</w:t>
                  </w:r>
                </w:p>
              </w:tc>
              <w:tc>
                <w:tcPr>
                  <w:tcW w:w="1410" w:type="dxa"/>
                  <w:tcBorders>
                    <w:tl2br w:val="nil"/>
                    <w:tr2bl w:val="nil"/>
                  </w:tcBorders>
                  <w:shd w:val="clear" w:color="auto" w:fill="auto"/>
                  <w:vAlign w:val="center"/>
                </w:tcPr>
                <w:p>
                  <w:pPr>
                    <w:pStyle w:val="11"/>
                    <w:jc w:val="center"/>
                    <w:rPr>
                      <w:color w:val="auto"/>
                    </w:rPr>
                  </w:pPr>
                  <w:r>
                    <w:rPr>
                      <w:rFonts w:hint="eastAsia"/>
                      <w:color w:val="auto"/>
                    </w:rPr>
                    <w:t>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 w:hRule="atLeast"/>
                <w:jc w:val="center"/>
              </w:trPr>
              <w:tc>
                <w:tcPr>
                  <w:tcW w:w="8650" w:type="dxa"/>
                  <w:gridSpan w:val="6"/>
                  <w:tcBorders>
                    <w:tl2br w:val="nil"/>
                    <w:tr2bl w:val="nil"/>
                  </w:tcBorders>
                  <w:shd w:val="clear" w:color="auto" w:fill="auto"/>
                  <w:vAlign w:val="center"/>
                </w:tcPr>
                <w:p>
                  <w:pPr>
                    <w:pStyle w:val="11"/>
                    <w:jc w:val="both"/>
                    <w:rPr>
                      <w:color w:val="auto"/>
                    </w:rPr>
                  </w:pPr>
                  <w:r>
                    <w:rPr>
                      <w:rFonts w:hint="eastAsia"/>
                      <w:color w:val="auto"/>
                    </w:rPr>
                    <w:t>注：部分生产设备型号尚未确定；</w:t>
                  </w:r>
                </w:p>
              </w:tc>
            </w:tr>
          </w:tbl>
          <w:p>
            <w:pPr>
              <w:adjustRightInd w:val="0"/>
              <w:snapToGrid w:val="0"/>
              <w:ind w:firstLine="482"/>
              <w:rPr>
                <w:rFonts w:hint="default"/>
                <w:b/>
                <w:color w:val="auto"/>
                <w:szCs w:val="21"/>
                <w:lang w:val="en-US"/>
              </w:rPr>
            </w:pPr>
            <w:r>
              <w:rPr>
                <w:b/>
                <w:color w:val="auto"/>
                <w:szCs w:val="21"/>
              </w:rPr>
              <w:t>6、</w:t>
            </w:r>
            <w:r>
              <w:rPr>
                <w:rFonts w:hint="eastAsia"/>
                <w:b/>
                <w:color w:val="auto"/>
                <w:szCs w:val="21"/>
                <w:lang w:val="en-US" w:eastAsia="zh-CN"/>
              </w:rPr>
              <w:t>公辅工程</w:t>
            </w:r>
          </w:p>
          <w:p>
            <w:pPr>
              <w:adjustRightInd w:val="0"/>
              <w:snapToGrid w:val="0"/>
              <w:ind w:firstLine="480"/>
              <w:rPr>
                <w:bCs/>
                <w:color w:val="auto"/>
                <w:szCs w:val="21"/>
              </w:rPr>
            </w:pPr>
            <w:r>
              <w:rPr>
                <w:bCs/>
                <w:color w:val="auto"/>
                <w:szCs w:val="21"/>
              </w:rPr>
              <w:t>（1）给排水</w:t>
            </w:r>
          </w:p>
          <w:p>
            <w:pPr>
              <w:adjustRightInd w:val="0"/>
              <w:snapToGrid w:val="0"/>
              <w:ind w:firstLine="480"/>
              <w:rPr>
                <w:bCs/>
                <w:color w:val="auto"/>
                <w:szCs w:val="21"/>
              </w:rPr>
            </w:pPr>
            <w:r>
              <w:rPr>
                <w:bCs/>
                <w:color w:val="auto"/>
                <w:szCs w:val="21"/>
              </w:rPr>
              <w:t>项目用水主要由市政自来水公司供给，项目实行雨污分流。项目</w:t>
            </w:r>
            <w:r>
              <w:rPr>
                <w:rFonts w:hint="eastAsia"/>
                <w:bCs/>
                <w:color w:val="auto"/>
                <w:szCs w:val="21"/>
              </w:rPr>
              <w:t>污水经污水站处理达标后排入魏兴场镇污水处理厂（园区污水厂），</w:t>
            </w:r>
            <w:r>
              <w:rPr>
                <w:bCs/>
                <w:color w:val="auto"/>
                <w:szCs w:val="21"/>
              </w:rPr>
              <w:t>雨水</w:t>
            </w:r>
            <w:r>
              <w:rPr>
                <w:bCs/>
                <w:color w:val="auto"/>
                <w:szCs w:val="21"/>
                <w:lang w:val="fr-FR"/>
              </w:rPr>
              <w:t>进入市政</w:t>
            </w:r>
            <w:r>
              <w:rPr>
                <w:bCs/>
                <w:color w:val="auto"/>
                <w:szCs w:val="21"/>
              </w:rPr>
              <w:t>雨</w:t>
            </w:r>
            <w:r>
              <w:rPr>
                <w:bCs/>
                <w:color w:val="auto"/>
                <w:szCs w:val="21"/>
                <w:lang w:val="fr-FR"/>
              </w:rPr>
              <w:t>水管道</w:t>
            </w:r>
            <w:r>
              <w:rPr>
                <w:bCs/>
                <w:color w:val="auto"/>
                <w:szCs w:val="21"/>
              </w:rPr>
              <w:t>。</w:t>
            </w:r>
          </w:p>
          <w:p>
            <w:pPr>
              <w:adjustRightInd w:val="0"/>
              <w:snapToGrid w:val="0"/>
              <w:ind w:firstLine="480"/>
              <w:rPr>
                <w:bCs/>
                <w:color w:val="auto"/>
                <w:szCs w:val="21"/>
              </w:rPr>
            </w:pPr>
            <w:r>
              <w:rPr>
                <w:bCs/>
                <w:color w:val="auto"/>
                <w:szCs w:val="21"/>
              </w:rPr>
              <w:t>（2）供配电</w:t>
            </w:r>
          </w:p>
          <w:p>
            <w:pPr>
              <w:adjustRightInd w:val="0"/>
              <w:snapToGrid w:val="0"/>
              <w:ind w:firstLine="480"/>
              <w:rPr>
                <w:bCs/>
                <w:color w:val="auto"/>
                <w:szCs w:val="21"/>
              </w:rPr>
            </w:pPr>
            <w:r>
              <w:rPr>
                <w:bCs/>
                <w:color w:val="auto"/>
                <w:szCs w:val="21"/>
              </w:rPr>
              <w:t>项目用电市政供应</w:t>
            </w:r>
            <w:r>
              <w:rPr>
                <w:rFonts w:hint="eastAsia"/>
                <w:bCs/>
                <w:color w:val="auto"/>
                <w:szCs w:val="21"/>
              </w:rPr>
              <w:t>，</w:t>
            </w:r>
            <w:r>
              <w:rPr>
                <w:bCs/>
                <w:color w:val="auto"/>
                <w:szCs w:val="21"/>
              </w:rPr>
              <w:t>供电电压为10kV，</w:t>
            </w:r>
            <w:r>
              <w:rPr>
                <w:rFonts w:hint="eastAsia"/>
                <w:bCs/>
                <w:color w:val="auto"/>
                <w:szCs w:val="21"/>
              </w:rPr>
              <w:t>生产</w:t>
            </w:r>
            <w:r>
              <w:rPr>
                <w:bCs/>
                <w:color w:val="auto"/>
                <w:szCs w:val="21"/>
              </w:rPr>
              <w:t>电压为380V，照明电压为220V。</w:t>
            </w:r>
          </w:p>
          <w:p>
            <w:pPr>
              <w:bidi w:val="0"/>
              <w:rPr>
                <w:rFonts w:hint="eastAsia"/>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锅炉房</w:t>
            </w:r>
          </w:p>
          <w:p>
            <w:pPr>
              <w:adjustRightInd w:val="0"/>
              <w:snapToGrid w:val="0"/>
              <w:ind w:firstLine="480"/>
              <w:rPr>
                <w:rFonts w:hint="eastAsia" w:eastAsia="宋体"/>
                <w:bCs/>
                <w:color w:val="auto"/>
                <w:szCs w:val="21"/>
                <w:lang w:val="en-US" w:eastAsia="zh-CN"/>
              </w:rPr>
            </w:pPr>
            <w:r>
              <w:rPr>
                <w:rFonts w:hint="eastAsia"/>
                <w:bCs/>
                <w:color w:val="auto"/>
                <w:szCs w:val="21"/>
                <w:lang w:val="en-US" w:eastAsia="zh-CN"/>
              </w:rPr>
              <w:t>项目</w:t>
            </w:r>
            <w:r>
              <w:rPr>
                <w:bCs/>
                <w:color w:val="auto"/>
                <w:szCs w:val="21"/>
              </w:rPr>
              <w:t>设置2个6t天然气蒸汽锅炉，提供7~8kg压力的蒸汽</w:t>
            </w:r>
            <w:r>
              <w:rPr>
                <w:rFonts w:hint="eastAsia"/>
                <w:bCs/>
                <w:color w:val="auto"/>
                <w:szCs w:val="21"/>
                <w:lang w:eastAsia="zh-CN"/>
              </w:rPr>
              <w:t>，</w:t>
            </w:r>
            <w:r>
              <w:rPr>
                <w:rFonts w:hint="eastAsia"/>
                <w:color w:val="auto"/>
              </w:rPr>
              <w:t>产生的蒸汽通过管道输送至分</w:t>
            </w:r>
            <w:r>
              <w:rPr>
                <w:rFonts w:hint="eastAsia"/>
                <w:color w:val="auto"/>
                <w:lang w:eastAsia="zh-CN"/>
              </w:rPr>
              <w:t>加热釜</w:t>
            </w:r>
            <w:r>
              <w:rPr>
                <w:rFonts w:hint="eastAsia"/>
                <w:color w:val="auto"/>
              </w:rPr>
              <w:t>，然后用于消毒杀菌等工序</w:t>
            </w:r>
            <w:r>
              <w:rPr>
                <w:rFonts w:hint="eastAsia"/>
                <w:bCs/>
                <w:color w:val="auto"/>
                <w:szCs w:val="21"/>
                <w:lang w:eastAsia="zh-CN"/>
              </w:rPr>
              <w:t>。</w:t>
            </w:r>
          </w:p>
          <w:p>
            <w:pPr>
              <w:bidi w:val="0"/>
              <w:rPr>
                <w:rFonts w:hint="eastAsia"/>
                <w:color w:val="auto"/>
                <w:lang w:val="en-US" w:eastAsia="zh-CN"/>
              </w:rPr>
            </w:pPr>
            <w:r>
              <w:rPr>
                <w:rFonts w:hint="eastAsia"/>
                <w:color w:val="auto"/>
                <w:lang w:val="en-US" w:eastAsia="zh-CN"/>
              </w:rPr>
              <w:t>（4）软水制备间</w:t>
            </w:r>
          </w:p>
          <w:p>
            <w:pPr>
              <w:adjustRightInd w:val="0"/>
              <w:snapToGrid w:val="0"/>
              <w:ind w:firstLine="480"/>
              <w:rPr>
                <w:rFonts w:hint="eastAsia"/>
                <w:bCs/>
                <w:color w:val="auto"/>
                <w:szCs w:val="21"/>
                <w:lang w:eastAsia="zh-CN"/>
              </w:rPr>
            </w:pPr>
            <w:r>
              <w:rPr>
                <w:rFonts w:hint="eastAsia"/>
                <w:bCs/>
                <w:color w:val="auto"/>
                <w:szCs w:val="21"/>
                <w:lang w:val="en-US" w:eastAsia="zh-CN"/>
              </w:rPr>
              <w:t>项目采用</w:t>
            </w:r>
            <w:r>
              <w:rPr>
                <w:bCs/>
                <w:color w:val="auto"/>
              </w:rPr>
              <w:t>软化水制备设备制备</w:t>
            </w:r>
            <w:r>
              <w:rPr>
                <w:rFonts w:hint="eastAsia"/>
                <w:bCs/>
                <w:color w:val="auto"/>
                <w:lang w:eastAsia="zh-CN"/>
              </w:rPr>
              <w:t>预煮</w:t>
            </w:r>
            <w:r>
              <w:rPr>
                <w:rFonts w:hint="eastAsia"/>
                <w:bCs/>
                <w:color w:val="auto"/>
              </w:rPr>
              <w:t>用水</w:t>
            </w:r>
            <w:r>
              <w:rPr>
                <w:bCs/>
                <w:color w:val="auto"/>
              </w:rPr>
              <w:t>，</w:t>
            </w:r>
            <w:r>
              <w:rPr>
                <w:rFonts w:hint="eastAsia"/>
                <w:bCs/>
                <w:color w:val="auto"/>
              </w:rPr>
              <w:t>软水设备制水量为15m</w:t>
            </w:r>
            <w:r>
              <w:rPr>
                <w:rFonts w:hint="eastAsia"/>
                <w:bCs/>
                <w:color w:val="auto"/>
                <w:vertAlign w:val="superscript"/>
              </w:rPr>
              <w:t>3</w:t>
            </w:r>
            <w:r>
              <w:rPr>
                <w:rFonts w:hint="eastAsia"/>
                <w:bCs/>
                <w:color w:val="auto"/>
              </w:rPr>
              <w:t>/d</w:t>
            </w:r>
            <w:r>
              <w:rPr>
                <w:rFonts w:hint="eastAsia"/>
                <w:color w:val="auto"/>
              </w:rPr>
              <w:t>，用于肉类原材料的</w:t>
            </w:r>
            <w:r>
              <w:rPr>
                <w:rFonts w:hint="eastAsia"/>
                <w:color w:val="auto"/>
                <w:lang w:eastAsia="zh-CN"/>
              </w:rPr>
              <w:t>预煮</w:t>
            </w:r>
            <w:r>
              <w:rPr>
                <w:rFonts w:hint="eastAsia"/>
                <w:color w:val="auto"/>
              </w:rPr>
              <w:t>等工序</w:t>
            </w:r>
            <w:r>
              <w:rPr>
                <w:rFonts w:hint="eastAsia"/>
                <w:bCs/>
                <w:color w:val="auto"/>
                <w:szCs w:val="21"/>
                <w:lang w:eastAsia="zh-CN"/>
              </w:rPr>
              <w:t>。</w:t>
            </w:r>
          </w:p>
          <w:p>
            <w:pPr>
              <w:adjustRightInd w:val="0"/>
              <w:snapToGrid w:val="0"/>
              <w:ind w:firstLine="480"/>
              <w:rPr>
                <w:rFonts w:hint="eastAsia"/>
                <w:bCs/>
                <w:color w:val="auto"/>
                <w:szCs w:val="21"/>
                <w:lang w:val="en-US" w:eastAsia="zh-CN"/>
              </w:rPr>
            </w:pPr>
            <w:r>
              <w:rPr>
                <w:rFonts w:hint="eastAsia"/>
                <w:bCs/>
                <w:color w:val="auto"/>
                <w:szCs w:val="21"/>
                <w:lang w:eastAsia="zh-CN"/>
              </w:rPr>
              <w:t>（</w:t>
            </w:r>
            <w:r>
              <w:rPr>
                <w:rFonts w:hint="eastAsia"/>
                <w:bCs/>
                <w:color w:val="auto"/>
                <w:szCs w:val="21"/>
                <w:lang w:val="en-US" w:eastAsia="zh-CN"/>
              </w:rPr>
              <w:t>5</w:t>
            </w:r>
            <w:r>
              <w:rPr>
                <w:rFonts w:hint="eastAsia"/>
                <w:bCs/>
                <w:color w:val="auto"/>
                <w:szCs w:val="21"/>
                <w:lang w:eastAsia="zh-CN"/>
              </w:rPr>
              <w:t>）</w:t>
            </w:r>
            <w:r>
              <w:rPr>
                <w:rFonts w:hint="eastAsia"/>
                <w:bCs/>
                <w:color w:val="auto"/>
                <w:szCs w:val="21"/>
                <w:lang w:val="en-US" w:eastAsia="zh-CN"/>
              </w:rPr>
              <w:t>空压机房</w:t>
            </w:r>
          </w:p>
          <w:p>
            <w:pPr>
              <w:adjustRightInd w:val="0"/>
              <w:snapToGrid w:val="0"/>
              <w:ind w:firstLine="482"/>
              <w:rPr>
                <w:b/>
                <w:color w:val="auto"/>
                <w:szCs w:val="21"/>
              </w:rPr>
            </w:pPr>
            <w:r>
              <w:rPr>
                <w:b/>
                <w:color w:val="auto"/>
                <w:szCs w:val="21"/>
              </w:rPr>
              <w:t>7、劳动定员与工作制度</w:t>
            </w:r>
          </w:p>
          <w:p>
            <w:pPr>
              <w:adjustRightInd w:val="0"/>
              <w:snapToGrid w:val="0"/>
              <w:ind w:firstLine="480"/>
              <w:rPr>
                <w:bCs/>
                <w:color w:val="auto"/>
                <w:szCs w:val="21"/>
              </w:rPr>
            </w:pPr>
            <w:r>
              <w:rPr>
                <w:bCs/>
                <w:color w:val="auto"/>
                <w:szCs w:val="21"/>
              </w:rPr>
              <w:t>工作制度：年工作日300天，每天工作时间为</w:t>
            </w:r>
            <w:r>
              <w:rPr>
                <w:rFonts w:hint="eastAsia"/>
                <w:bCs/>
                <w:color w:val="auto"/>
                <w:szCs w:val="21"/>
              </w:rPr>
              <w:t>10</w:t>
            </w:r>
            <w:r>
              <w:rPr>
                <w:bCs/>
                <w:color w:val="auto"/>
                <w:szCs w:val="21"/>
              </w:rPr>
              <w:t>h。劳动定员：项目劳动定员</w:t>
            </w:r>
            <w:r>
              <w:rPr>
                <w:rFonts w:hint="eastAsia"/>
                <w:bCs/>
                <w:color w:val="auto"/>
                <w:szCs w:val="21"/>
              </w:rPr>
              <w:t>160</w:t>
            </w:r>
            <w:r>
              <w:rPr>
                <w:bCs/>
                <w:color w:val="auto"/>
                <w:szCs w:val="21"/>
              </w:rPr>
              <w:t>人。</w:t>
            </w:r>
          </w:p>
          <w:p>
            <w:pPr>
              <w:adjustRightInd w:val="0"/>
              <w:snapToGrid w:val="0"/>
              <w:ind w:firstLine="482"/>
              <w:rPr>
                <w:b/>
                <w:color w:val="auto"/>
                <w:szCs w:val="21"/>
              </w:rPr>
            </w:pPr>
            <w:r>
              <w:rPr>
                <w:b/>
                <w:color w:val="auto"/>
                <w:szCs w:val="21"/>
              </w:rPr>
              <w:t>8、公辅设施依托情况</w:t>
            </w:r>
          </w:p>
          <w:p>
            <w:pPr>
              <w:adjustRightInd w:val="0"/>
              <w:snapToGrid w:val="0"/>
              <w:ind w:firstLine="480"/>
              <w:rPr>
                <w:bCs/>
                <w:color w:val="auto"/>
                <w:szCs w:val="21"/>
              </w:rPr>
            </w:pPr>
            <w:r>
              <w:rPr>
                <w:bCs/>
                <w:color w:val="auto"/>
                <w:szCs w:val="21"/>
              </w:rPr>
              <w:t>本项目部分公辅设施依托原有项目，见下表。</w:t>
            </w:r>
          </w:p>
          <w:p>
            <w:pPr>
              <w:pStyle w:val="11"/>
              <w:jc w:val="center"/>
              <w:rPr>
                <w:b/>
                <w:bCs/>
                <w:color w:val="auto"/>
              </w:rPr>
            </w:pPr>
            <w:r>
              <w:rPr>
                <w:b/>
                <w:bCs/>
                <w:color w:val="auto"/>
              </w:rPr>
              <w:t>表2-5   项目依托规模和能力</w:t>
            </w:r>
          </w:p>
          <w:tbl>
            <w:tblPr>
              <w:tblStyle w:val="6"/>
              <w:tblW w:w="863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11"/>
              <w:gridCol w:w="3814"/>
              <w:gridCol w:w="32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11" w:type="dxa"/>
                  <w:vAlign w:val="center"/>
                </w:tcPr>
                <w:p>
                  <w:pPr>
                    <w:pStyle w:val="11"/>
                    <w:jc w:val="center"/>
                    <w:rPr>
                      <w:b/>
                      <w:bCs/>
                      <w:color w:val="auto"/>
                    </w:rPr>
                  </w:pPr>
                  <w:r>
                    <w:rPr>
                      <w:b/>
                      <w:bCs/>
                      <w:color w:val="auto"/>
                    </w:rPr>
                    <w:t>依托设施</w:t>
                  </w:r>
                </w:p>
              </w:tc>
              <w:tc>
                <w:tcPr>
                  <w:tcW w:w="3814" w:type="dxa"/>
                  <w:vAlign w:val="center"/>
                </w:tcPr>
                <w:p>
                  <w:pPr>
                    <w:pStyle w:val="11"/>
                    <w:jc w:val="center"/>
                    <w:rPr>
                      <w:b/>
                      <w:bCs/>
                      <w:color w:val="auto"/>
                    </w:rPr>
                  </w:pPr>
                  <w:r>
                    <w:rPr>
                      <w:b/>
                      <w:bCs/>
                      <w:color w:val="auto"/>
                    </w:rPr>
                    <w:t>规模</w:t>
                  </w:r>
                </w:p>
              </w:tc>
              <w:tc>
                <w:tcPr>
                  <w:tcW w:w="3205" w:type="dxa"/>
                  <w:vAlign w:val="center"/>
                </w:tcPr>
                <w:p>
                  <w:pPr>
                    <w:pStyle w:val="11"/>
                    <w:jc w:val="center"/>
                    <w:rPr>
                      <w:b/>
                      <w:bCs/>
                      <w:color w:val="auto"/>
                    </w:rPr>
                  </w:pPr>
                  <w:r>
                    <w:rPr>
                      <w:b/>
                      <w:bCs/>
                      <w:color w:val="auto"/>
                    </w:rPr>
                    <w:t>能否满足本项目要求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11" w:type="dxa"/>
                  <w:vAlign w:val="center"/>
                </w:tcPr>
                <w:p>
                  <w:pPr>
                    <w:pStyle w:val="11"/>
                    <w:jc w:val="center"/>
                    <w:rPr>
                      <w:color w:val="auto"/>
                    </w:rPr>
                  </w:pPr>
                  <w:r>
                    <w:rPr>
                      <w:color w:val="auto"/>
                    </w:rPr>
                    <w:t>供电工程</w:t>
                  </w:r>
                </w:p>
              </w:tc>
              <w:tc>
                <w:tcPr>
                  <w:tcW w:w="3814" w:type="dxa"/>
                  <w:vAlign w:val="center"/>
                </w:tcPr>
                <w:p>
                  <w:pPr>
                    <w:pStyle w:val="11"/>
                    <w:jc w:val="center"/>
                    <w:rPr>
                      <w:color w:val="auto"/>
                    </w:rPr>
                  </w:pPr>
                  <w:r>
                    <w:rPr>
                      <w:color w:val="auto"/>
                    </w:rPr>
                    <w:t>依托市政电网</w:t>
                  </w:r>
                </w:p>
              </w:tc>
              <w:tc>
                <w:tcPr>
                  <w:tcW w:w="3205" w:type="dxa"/>
                  <w:vAlign w:val="center"/>
                </w:tcPr>
                <w:p>
                  <w:pPr>
                    <w:pStyle w:val="11"/>
                    <w:jc w:val="center"/>
                    <w:rPr>
                      <w:color w:val="auto"/>
                    </w:rPr>
                  </w:pPr>
                  <w:r>
                    <w:rPr>
                      <w:color w:val="auto"/>
                    </w:rPr>
                    <w:t>能满足本项目要求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11" w:type="dxa"/>
                  <w:vAlign w:val="center"/>
                </w:tcPr>
                <w:p>
                  <w:pPr>
                    <w:pStyle w:val="11"/>
                    <w:jc w:val="center"/>
                    <w:rPr>
                      <w:color w:val="auto"/>
                    </w:rPr>
                  </w:pPr>
                  <w:r>
                    <w:rPr>
                      <w:color w:val="auto"/>
                    </w:rPr>
                    <w:t>供水工程</w:t>
                  </w:r>
                </w:p>
              </w:tc>
              <w:tc>
                <w:tcPr>
                  <w:tcW w:w="3814" w:type="dxa"/>
                  <w:vAlign w:val="center"/>
                </w:tcPr>
                <w:p>
                  <w:pPr>
                    <w:pStyle w:val="11"/>
                    <w:jc w:val="center"/>
                    <w:rPr>
                      <w:color w:val="auto"/>
                    </w:rPr>
                  </w:pPr>
                  <w:r>
                    <w:rPr>
                      <w:color w:val="auto"/>
                    </w:rPr>
                    <w:t>依托园区管网</w:t>
                  </w:r>
                </w:p>
              </w:tc>
              <w:tc>
                <w:tcPr>
                  <w:tcW w:w="3205" w:type="dxa"/>
                  <w:vAlign w:val="center"/>
                </w:tcPr>
                <w:p>
                  <w:pPr>
                    <w:pStyle w:val="11"/>
                    <w:jc w:val="center"/>
                    <w:rPr>
                      <w:color w:val="auto"/>
                    </w:rPr>
                  </w:pPr>
                  <w:r>
                    <w:rPr>
                      <w:color w:val="auto"/>
                    </w:rPr>
                    <w:t>能满足本项目要求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11" w:type="dxa"/>
                  <w:vAlign w:val="center"/>
                </w:tcPr>
                <w:p>
                  <w:pPr>
                    <w:pStyle w:val="11"/>
                    <w:jc w:val="center"/>
                    <w:rPr>
                      <w:color w:val="auto"/>
                    </w:rPr>
                  </w:pPr>
                  <w:r>
                    <w:rPr>
                      <w:color w:val="auto"/>
                    </w:rPr>
                    <w:t>排水工程</w:t>
                  </w:r>
                </w:p>
              </w:tc>
              <w:tc>
                <w:tcPr>
                  <w:tcW w:w="3814" w:type="dxa"/>
                  <w:vAlign w:val="center"/>
                </w:tcPr>
                <w:p>
                  <w:pPr>
                    <w:pStyle w:val="11"/>
                    <w:jc w:val="both"/>
                    <w:rPr>
                      <w:color w:val="auto"/>
                    </w:rPr>
                  </w:pPr>
                  <w:r>
                    <w:rPr>
                      <w:color w:val="auto"/>
                    </w:rPr>
                    <w:t>排水采用雨污分流制，生活污水收集经</w:t>
                  </w:r>
                  <w:r>
                    <w:rPr>
                      <w:rFonts w:hint="eastAsia"/>
                      <w:color w:val="auto"/>
                      <w:lang w:eastAsia="zh-CN"/>
                    </w:rPr>
                    <w:t>预处理池</w:t>
                  </w:r>
                  <w:r>
                    <w:rPr>
                      <w:color w:val="auto"/>
                    </w:rPr>
                    <w:t>处理后进入园区管网，然后由污水处理厂处理后达标排入州河（</w:t>
                  </w:r>
                  <w:r>
                    <w:rPr>
                      <w:rFonts w:hint="eastAsia"/>
                      <w:color w:val="auto"/>
                    </w:rPr>
                    <w:t>魏家河</w:t>
                  </w:r>
                  <w:r>
                    <w:rPr>
                      <w:color w:val="auto"/>
                    </w:rPr>
                    <w:t>）。</w:t>
                  </w:r>
                </w:p>
              </w:tc>
              <w:tc>
                <w:tcPr>
                  <w:tcW w:w="3205" w:type="dxa"/>
                  <w:vAlign w:val="center"/>
                </w:tcPr>
                <w:p>
                  <w:pPr>
                    <w:pStyle w:val="11"/>
                    <w:jc w:val="center"/>
                    <w:rPr>
                      <w:color w:val="auto"/>
                    </w:rPr>
                  </w:pPr>
                  <w:r>
                    <w:rPr>
                      <w:color w:val="auto"/>
                    </w:rPr>
                    <w:t>能满足本项目要求</w:t>
                  </w:r>
                </w:p>
              </w:tc>
            </w:tr>
          </w:tbl>
          <w:p>
            <w:pPr>
              <w:adjustRightInd w:val="0"/>
              <w:snapToGrid w:val="0"/>
              <w:ind w:firstLine="482"/>
              <w:rPr>
                <w:b/>
                <w:color w:val="auto"/>
                <w:szCs w:val="21"/>
              </w:rPr>
            </w:pPr>
            <w:r>
              <w:rPr>
                <w:b/>
                <w:color w:val="auto"/>
                <w:szCs w:val="21"/>
              </w:rPr>
              <w:t>9、项目平面布置合理性</w:t>
            </w:r>
          </w:p>
          <w:p>
            <w:pPr>
              <w:adjustRightInd w:val="0"/>
              <w:snapToGrid w:val="0"/>
              <w:ind w:firstLine="480"/>
              <w:rPr>
                <w:color w:val="auto"/>
              </w:rPr>
            </w:pPr>
            <w:r>
              <w:rPr>
                <w:color w:val="auto"/>
              </w:rPr>
              <w:t>本项目根据厂区“分区合理、工艺流畅、物流短捷、突出环保与安全”的原则，结合场地的用地条件及生产工艺，综合考虑环保、劳动卫生等要求，对选址进行了统筹安排，项目</w:t>
            </w:r>
            <w:r>
              <w:rPr>
                <w:rFonts w:hint="eastAsia"/>
                <w:color w:val="auto"/>
              </w:rPr>
              <w:t>厂区总</w:t>
            </w:r>
            <w:r>
              <w:rPr>
                <w:color w:val="auto"/>
              </w:rPr>
              <w:t>平面布置图见附图</w:t>
            </w:r>
            <w:r>
              <w:rPr>
                <w:rFonts w:hint="eastAsia"/>
                <w:color w:val="auto"/>
              </w:rPr>
              <w:t>4</w:t>
            </w:r>
            <w:r>
              <w:rPr>
                <w:color w:val="auto"/>
              </w:rPr>
              <w:t>。</w:t>
            </w:r>
          </w:p>
          <w:p>
            <w:pPr>
              <w:adjustRightInd w:val="0"/>
              <w:snapToGrid w:val="0"/>
              <w:ind w:firstLine="480"/>
              <w:rPr>
                <w:bCs/>
                <w:color w:val="auto"/>
                <w:szCs w:val="21"/>
              </w:rPr>
            </w:pPr>
            <w:r>
              <w:rPr>
                <w:color w:val="auto"/>
              </w:rPr>
              <w:t>本项目</w:t>
            </w:r>
            <w:r>
              <w:rPr>
                <w:bCs/>
                <w:color w:val="auto"/>
                <w:szCs w:val="21"/>
              </w:rPr>
              <w:t>各功能区划比较明确。</w:t>
            </w:r>
            <w:r>
              <w:rPr>
                <w:rFonts w:hint="eastAsia"/>
                <w:color w:val="auto"/>
              </w:rPr>
              <w:t>办公区位于项目厂区的北侧，位于主导风向的上风向，生产车间内</w:t>
            </w:r>
            <w:r>
              <w:rPr>
                <w:color w:val="auto"/>
              </w:rPr>
              <w:t>生产设备按生产工序的先后顺序依次布置，缩短了物料运输距离，便于物料运输，人员通行</w:t>
            </w:r>
            <w:r>
              <w:rPr>
                <w:bCs/>
                <w:color w:val="auto"/>
                <w:szCs w:val="21"/>
              </w:rPr>
              <w:t>。</w:t>
            </w:r>
          </w:p>
          <w:p>
            <w:pPr>
              <w:ind w:firstLine="480"/>
              <w:rPr>
                <w:color w:val="auto"/>
              </w:rPr>
            </w:pPr>
            <w:r>
              <w:rPr>
                <w:color w:val="auto"/>
              </w:rPr>
              <w:t>拟建项目营运过程主要污染源自于生产区设备运行，主要环境影响为</w:t>
            </w:r>
            <w:r>
              <w:rPr>
                <w:rFonts w:hint="eastAsia"/>
                <w:color w:val="auto"/>
              </w:rPr>
              <w:t>生产过程中油烟废气、生产废水及设备噪声</w:t>
            </w:r>
            <w:r>
              <w:rPr>
                <w:color w:val="auto"/>
              </w:rPr>
              <w:t>；项目将生产区域布置在厂区中部，车间四周封闭</w:t>
            </w:r>
            <w:r>
              <w:rPr>
                <w:rFonts w:hint="eastAsia"/>
                <w:color w:val="auto"/>
              </w:rPr>
              <w:t>，设置油烟收集净化装置</w:t>
            </w:r>
            <w:r>
              <w:rPr>
                <w:color w:val="auto"/>
              </w:rPr>
              <w:t>，降低了生产过程中</w:t>
            </w:r>
            <w:r>
              <w:rPr>
                <w:rFonts w:hint="eastAsia"/>
                <w:color w:val="auto"/>
              </w:rPr>
              <w:t>油烟</w:t>
            </w:r>
            <w:r>
              <w:rPr>
                <w:color w:val="auto"/>
              </w:rPr>
              <w:t>和设备噪声对周围环境的影响</w:t>
            </w:r>
            <w:r>
              <w:rPr>
                <w:rFonts w:hint="eastAsia"/>
                <w:color w:val="auto"/>
              </w:rPr>
              <w:t>，项目污水经厂区内污水处理站处理后排放园区管网，</w:t>
            </w:r>
            <w:r>
              <w:rPr>
                <w:color w:val="auto"/>
              </w:rPr>
              <w:t>办公区</w:t>
            </w:r>
            <w:r>
              <w:rPr>
                <w:rFonts w:hint="eastAsia"/>
                <w:color w:val="auto"/>
              </w:rPr>
              <w:t>远离生产区，</w:t>
            </w:r>
            <w:r>
              <w:rPr>
                <w:color w:val="auto"/>
              </w:rPr>
              <w:t>生产办公互不影响。</w:t>
            </w:r>
          </w:p>
          <w:p>
            <w:pPr>
              <w:adjustRightInd w:val="0"/>
              <w:snapToGrid w:val="0"/>
              <w:ind w:firstLine="480"/>
              <w:rPr>
                <w:color w:val="auto"/>
              </w:rPr>
            </w:pPr>
            <w:r>
              <w:rPr>
                <w:color w:val="auto"/>
              </w:rPr>
              <w:t>综上，本项目总平面布置功能分区清晰，工艺流程顺畅，物流短捷，人流、物流互不交叉干扰，有利的协调了投入与产出的关系，建设与保护的关系，故本项目总图布置从环保角度而言合理可行。</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adjustRightInd w:val="0"/>
              <w:snapToGrid w:val="0"/>
              <w:ind w:firstLine="48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3" w:hRule="atLeast"/>
          <w:jc w:val="center"/>
        </w:trPr>
        <w:tc>
          <w:tcPr>
            <w:tcW w:w="1131" w:type="dxa"/>
            <w:vAlign w:val="center"/>
          </w:tcPr>
          <w:p>
            <w:pPr>
              <w:pStyle w:val="11"/>
              <w:jc w:val="center"/>
              <w:rPr>
                <w:b/>
                <w:bCs/>
                <w:color w:val="auto"/>
              </w:rPr>
            </w:pPr>
            <w:r>
              <w:rPr>
                <w:b/>
                <w:bCs/>
                <w:color w:val="auto"/>
                <w:sz w:val="24"/>
                <w:szCs w:val="24"/>
              </w:rPr>
              <w:t>工艺流程和产排污环节</w:t>
            </w:r>
          </w:p>
        </w:tc>
        <w:tc>
          <w:tcPr>
            <w:tcW w:w="9150" w:type="dxa"/>
          </w:tcPr>
          <w:p>
            <w:pPr>
              <w:adjustRightInd w:val="0"/>
              <w:snapToGrid w:val="0"/>
              <w:ind w:firstLine="482"/>
              <w:rPr>
                <w:b/>
                <w:color w:val="auto"/>
                <w:szCs w:val="21"/>
              </w:rPr>
            </w:pPr>
            <w:r>
              <w:rPr>
                <w:b/>
                <w:color w:val="auto"/>
                <w:szCs w:val="21"/>
              </w:rPr>
              <w:t>工艺流程</w:t>
            </w:r>
          </w:p>
          <w:p>
            <w:pPr>
              <w:adjustRightInd w:val="0"/>
              <w:snapToGrid w:val="0"/>
              <w:ind w:firstLine="482"/>
              <w:rPr>
                <w:b/>
                <w:color w:val="auto"/>
                <w:szCs w:val="21"/>
              </w:rPr>
            </w:pPr>
            <w:r>
              <w:rPr>
                <w:b/>
                <w:color w:val="auto"/>
                <w:szCs w:val="21"/>
              </w:rPr>
              <w:t>（一）</w:t>
            </w:r>
            <w:r>
              <w:rPr>
                <w:rFonts w:hint="eastAsia"/>
                <w:b/>
                <w:color w:val="auto"/>
                <w:szCs w:val="21"/>
              </w:rPr>
              <w:t>午餐肉罐头</w:t>
            </w:r>
            <w:r>
              <w:rPr>
                <w:b/>
                <w:color w:val="auto"/>
                <w:szCs w:val="21"/>
              </w:rPr>
              <w:t>产品工艺流程</w:t>
            </w:r>
          </w:p>
          <w:p>
            <w:pPr>
              <w:pStyle w:val="11"/>
              <w:bidi w:val="0"/>
            </w:pPr>
            <w:r>
              <w:object>
                <v:shape id="_x0000_i1025" o:spt="75" type="#_x0000_t75" style="height:527.95pt;width:447pt;" o:ole="t" filled="f" o:preferrelative="t" stroked="f" coordsize="21600,21600">
                  <v:path/>
                  <v:fill on="f" focussize="0,0"/>
                  <v:stroke on="f"/>
                  <v:imagedata r:id="rId18" o:title=""/>
                  <o:lock v:ext="edit" aspectratio="f"/>
                  <w10:wrap type="none"/>
                  <w10:anchorlock/>
                </v:shape>
                <o:OLEObject Type="Embed" ProgID="Word.Document.8" ShapeID="_x0000_i1025" DrawAspect="Content" ObjectID="_1468075725" r:id="rId17">
                  <o:LockedField>false</o:LockedField>
                </o:OLEObject>
              </w:object>
            </w:r>
          </w:p>
          <w:p>
            <w:pPr>
              <w:pStyle w:val="11"/>
              <w:bidi w:val="0"/>
            </w:pPr>
          </w:p>
          <w:p>
            <w:pPr>
              <w:pStyle w:val="11"/>
              <w:jc w:val="center"/>
              <w:rPr>
                <w:b/>
                <w:bCs/>
                <w:color w:val="auto"/>
              </w:rPr>
            </w:pPr>
            <w:r>
              <w:rPr>
                <w:b/>
                <w:bCs/>
                <w:color w:val="auto"/>
              </w:rPr>
              <w:t xml:space="preserve">图2-1 </w:t>
            </w:r>
            <w:r>
              <w:rPr>
                <w:rFonts w:hint="eastAsia"/>
                <w:b/>
                <w:bCs/>
                <w:color w:val="auto"/>
              </w:rPr>
              <w:t xml:space="preserve">  午餐肉罐头</w:t>
            </w:r>
            <w:r>
              <w:rPr>
                <w:b/>
                <w:bCs/>
                <w:color w:val="auto"/>
              </w:rPr>
              <w:t>生产工艺流程及产污环节图</w:t>
            </w:r>
          </w:p>
          <w:p>
            <w:pPr>
              <w:pStyle w:val="11"/>
              <w:bidi w:val="0"/>
              <w:rPr>
                <w:rFonts w:hint="eastAsia"/>
                <w:lang w:val="en-US" w:eastAsia="zh-CN"/>
              </w:rPr>
            </w:pPr>
          </w:p>
          <w:p>
            <w:pPr>
              <w:rPr>
                <w:color w:val="auto"/>
              </w:rPr>
            </w:pPr>
            <w:r>
              <w:rPr>
                <w:rFonts w:hint="eastAsia"/>
                <w:color w:val="auto"/>
                <w:lang w:val="en-US" w:eastAsia="zh-CN"/>
              </w:rPr>
              <w:t>午餐肉产品生产线位于1号生产车间第1层，午</w:t>
            </w:r>
            <w:r>
              <w:rPr>
                <w:rFonts w:hint="eastAsia"/>
                <w:color w:val="auto"/>
              </w:rPr>
              <w:t>餐肉罐头</w:t>
            </w:r>
            <w:r>
              <w:rPr>
                <w:color w:val="auto"/>
              </w:rPr>
              <w:t>生产工艺流程</w:t>
            </w:r>
            <w:r>
              <w:rPr>
                <w:rFonts w:hint="eastAsia"/>
                <w:color w:val="auto"/>
                <w:lang w:val="en-US" w:eastAsia="zh-CN"/>
              </w:rPr>
              <w:t>如下</w:t>
            </w:r>
            <w:r>
              <w:rPr>
                <w:color w:val="auto"/>
              </w:rPr>
              <w:t>：</w:t>
            </w:r>
          </w:p>
          <w:p>
            <w:pPr>
              <w:ind w:firstLine="480"/>
              <w:rPr>
                <w:color w:val="auto"/>
              </w:rPr>
            </w:pPr>
            <w:r>
              <w:rPr>
                <w:color w:val="auto"/>
              </w:rPr>
              <w:t>①原料的验收：来自非疫区健康良好的畜禽，宰前宰后经兽医检验合格的原料。有动物检疫合格证明，出口产品的原料要来源于出口食品生产企业备案的肉联厂。</w:t>
            </w:r>
          </w:p>
          <w:p>
            <w:pPr>
              <w:ind w:firstLine="480"/>
              <w:rPr>
                <w:color w:val="auto"/>
              </w:rPr>
            </w:pPr>
            <w:r>
              <w:rPr>
                <w:color w:val="auto"/>
              </w:rPr>
              <w:t>进场肉原料在厂区内冻库中暂存中转，</w:t>
            </w:r>
            <w:r>
              <w:rPr>
                <w:rFonts w:hint="eastAsia"/>
                <w:color w:val="auto"/>
                <w:lang w:val="en-US" w:eastAsia="zh-CN"/>
              </w:rPr>
              <w:t>1号冻库设计储存约400t原材料，储存周期约10d</w:t>
            </w:r>
            <w:r>
              <w:rPr>
                <w:rFonts w:hint="eastAsia"/>
                <w:color w:val="auto"/>
                <w:lang w:eastAsia="zh-CN"/>
              </w:rPr>
              <w:t>，</w:t>
            </w:r>
            <w:r>
              <w:rPr>
                <w:color w:val="auto"/>
              </w:rPr>
              <w:t>使用R404A作为环保制冷剂，冷库内温度保持在零下12到17摄氏度。</w:t>
            </w:r>
          </w:p>
          <w:p>
            <w:pPr>
              <w:ind w:firstLine="480"/>
              <w:rPr>
                <w:rFonts w:hint="eastAsia" w:eastAsia="宋体"/>
                <w:color w:val="auto"/>
                <w:lang w:eastAsia="zh-CN"/>
              </w:rPr>
            </w:pPr>
            <w:r>
              <w:rPr>
                <w:color w:val="auto"/>
              </w:rPr>
              <w:t>②原料解冻：肉原料解冻按生产需要采取自然解冻</w:t>
            </w:r>
            <w:r>
              <w:rPr>
                <w:rFonts w:hint="eastAsia"/>
                <w:color w:val="auto"/>
                <w:lang w:eastAsia="zh-CN"/>
              </w:rPr>
              <w:t>，</w:t>
            </w:r>
            <w:r>
              <w:rPr>
                <w:color w:val="auto"/>
              </w:rPr>
              <w:t>解冻室湿度</w:t>
            </w:r>
            <w:r>
              <w:rPr>
                <w:rFonts w:hint="eastAsia"/>
                <w:color w:val="auto"/>
                <w:lang w:val="en-US" w:eastAsia="zh-CN"/>
              </w:rPr>
              <w:t>控制在</w:t>
            </w:r>
            <w:r>
              <w:rPr>
                <w:color w:val="auto"/>
              </w:rPr>
              <w:t>85%</w:t>
            </w:r>
            <w:r>
              <w:rPr>
                <w:rFonts w:hint="eastAsia"/>
                <w:color w:val="auto"/>
                <w:lang w:val="en-US" w:eastAsia="zh-CN"/>
              </w:rPr>
              <w:t>左右</w:t>
            </w:r>
            <w:r>
              <w:rPr>
                <w:color w:val="auto"/>
              </w:rPr>
              <w:t>、</w:t>
            </w:r>
            <w:r>
              <w:rPr>
                <w:rFonts w:hint="eastAsia"/>
                <w:color w:val="auto"/>
                <w:lang w:val="en-US" w:eastAsia="zh-CN"/>
              </w:rPr>
              <w:t>温度控制在0~5</w:t>
            </w:r>
            <w:r>
              <w:rPr>
                <w:color w:val="auto"/>
              </w:rPr>
              <w:t>℃，</w:t>
            </w:r>
            <w:r>
              <w:rPr>
                <w:rFonts w:hint="eastAsia"/>
                <w:color w:val="auto"/>
                <w:lang w:val="en-US" w:eastAsia="zh-CN"/>
              </w:rPr>
              <w:t>为</w:t>
            </w:r>
            <w:r>
              <w:rPr>
                <w:color w:val="auto"/>
              </w:rPr>
              <w:t>防止肉汁流失，或解冻过度</w:t>
            </w:r>
            <w:r>
              <w:rPr>
                <w:rFonts w:hint="eastAsia"/>
                <w:color w:val="auto"/>
                <w:lang w:eastAsia="zh-CN"/>
              </w:rPr>
              <w:t>，</w:t>
            </w:r>
            <w:r>
              <w:rPr>
                <w:color w:val="auto"/>
              </w:rPr>
              <w:t>夏秋季节解冻时间</w:t>
            </w:r>
            <w:r>
              <w:rPr>
                <w:rFonts w:hint="eastAsia"/>
                <w:color w:val="auto"/>
                <w:lang w:val="en-US" w:eastAsia="zh-CN"/>
              </w:rPr>
              <w:t>为</w:t>
            </w:r>
            <w:r>
              <w:rPr>
                <w:color w:val="auto"/>
              </w:rPr>
              <w:t>9~12小时，冬春季节</w:t>
            </w:r>
            <w:r>
              <w:rPr>
                <w:rFonts w:hint="eastAsia"/>
                <w:color w:val="auto"/>
                <w:lang w:val="en-US" w:eastAsia="zh-CN"/>
              </w:rPr>
              <w:t>解冻</w:t>
            </w:r>
            <w:r>
              <w:rPr>
                <w:color w:val="auto"/>
              </w:rPr>
              <w:t>时间</w:t>
            </w:r>
            <w:r>
              <w:rPr>
                <w:rFonts w:hint="eastAsia"/>
                <w:color w:val="auto"/>
                <w:lang w:val="en-US" w:eastAsia="zh-CN"/>
              </w:rPr>
              <w:t>为</w:t>
            </w:r>
            <w:r>
              <w:rPr>
                <w:color w:val="auto"/>
              </w:rPr>
              <w:t>20~24小时。</w:t>
            </w:r>
          </w:p>
          <w:p>
            <w:pPr>
              <w:ind w:firstLine="480"/>
              <w:rPr>
                <w:color w:val="auto"/>
              </w:rPr>
            </w:pPr>
            <w:r>
              <w:rPr>
                <w:color w:val="auto"/>
              </w:rPr>
              <w:t>③清洗：用</w:t>
            </w:r>
            <w:r>
              <w:rPr>
                <w:rFonts w:hint="eastAsia"/>
                <w:color w:val="auto"/>
                <w:lang w:val="en-US" w:eastAsia="zh-CN"/>
              </w:rPr>
              <w:t>清水对解冻后的肉原料进行</w:t>
            </w:r>
            <w:r>
              <w:rPr>
                <w:color w:val="auto"/>
              </w:rPr>
              <w:t>清洗，洗去表面的污物</w:t>
            </w:r>
            <w:r>
              <w:rPr>
                <w:rFonts w:hint="eastAsia"/>
                <w:color w:val="auto"/>
                <w:lang w:eastAsia="zh-CN"/>
              </w:rPr>
              <w:t>，</w:t>
            </w:r>
            <w:r>
              <w:rPr>
                <w:rFonts w:hint="eastAsia"/>
                <w:color w:val="auto"/>
                <w:lang w:val="en-US" w:eastAsia="zh-CN"/>
              </w:rPr>
              <w:t>该工序会产生清洗废水</w:t>
            </w:r>
            <w:r>
              <w:rPr>
                <w:color w:val="auto"/>
              </w:rPr>
              <w:t>。</w:t>
            </w:r>
          </w:p>
          <w:p>
            <w:pPr>
              <w:ind w:firstLine="480"/>
              <w:rPr>
                <w:rFonts w:hint="eastAsia" w:eastAsia="宋体"/>
                <w:color w:val="auto"/>
                <w:lang w:val="en-US" w:eastAsia="zh-CN"/>
              </w:rPr>
            </w:pPr>
            <w:r>
              <w:rPr>
                <w:color w:val="auto"/>
              </w:rPr>
              <w:t>④切块：对肉进行逐块检查，</w:t>
            </w:r>
            <w:r>
              <w:rPr>
                <w:rFonts w:hint="eastAsia"/>
                <w:color w:val="auto"/>
                <w:lang w:val="en-US" w:eastAsia="zh-CN"/>
              </w:rPr>
              <w:t>人工剔除</w:t>
            </w:r>
            <w:r>
              <w:rPr>
                <w:color w:val="auto"/>
              </w:rPr>
              <w:t>出</w:t>
            </w:r>
            <w:r>
              <w:rPr>
                <w:rFonts w:hint="eastAsia"/>
                <w:color w:val="auto"/>
                <w:lang w:eastAsia="zh-CN"/>
              </w:rPr>
              <w:t>毛发</w:t>
            </w:r>
            <w:r>
              <w:rPr>
                <w:color w:val="auto"/>
              </w:rPr>
              <w:t>、骨渣、修去伤肉、淋巴及其它杂质并</w:t>
            </w:r>
            <w:r>
              <w:rPr>
                <w:rFonts w:hint="eastAsia"/>
                <w:color w:val="auto"/>
                <w:lang w:val="en-US" w:eastAsia="zh-CN"/>
              </w:rPr>
              <w:t>使用切肉机设备将肉原料</w:t>
            </w:r>
            <w:r>
              <w:rPr>
                <w:color w:val="auto"/>
              </w:rPr>
              <w:t>切为</w:t>
            </w:r>
            <w:r>
              <w:rPr>
                <w:rFonts w:hint="eastAsia"/>
                <w:color w:val="auto"/>
                <w:lang w:val="en-US" w:eastAsia="zh-CN"/>
              </w:rPr>
              <w:t>约2cm尺寸</w:t>
            </w:r>
            <w:r>
              <w:rPr>
                <w:rFonts w:hint="eastAsia"/>
                <w:color w:val="auto"/>
                <w:vertAlign w:val="baseline"/>
                <w:lang w:val="en-US" w:eastAsia="zh-CN"/>
              </w:rPr>
              <w:t>大小的块状或细条状，</w:t>
            </w:r>
            <w:r>
              <w:rPr>
                <w:rFonts w:hint="eastAsia"/>
                <w:color w:val="auto"/>
                <w:lang w:val="en-US" w:eastAsia="zh-CN"/>
              </w:rPr>
              <w:t>该工序会产生</w:t>
            </w:r>
            <w:r>
              <w:rPr>
                <w:rFonts w:hint="eastAsia"/>
                <w:color w:val="auto"/>
              </w:rPr>
              <w:t>边角料</w:t>
            </w:r>
            <w:r>
              <w:rPr>
                <w:rFonts w:hint="eastAsia"/>
                <w:color w:val="auto"/>
                <w:lang w:eastAsia="zh-CN"/>
              </w:rPr>
              <w:t>。</w:t>
            </w:r>
          </w:p>
          <w:p>
            <w:pPr>
              <w:ind w:firstLine="480"/>
              <w:rPr>
                <w:rFonts w:hint="eastAsia" w:eastAsia="宋体"/>
                <w:color w:val="auto"/>
                <w:lang w:val="en-US" w:eastAsia="zh-CN"/>
              </w:rPr>
            </w:pPr>
            <w:r>
              <w:rPr>
                <w:color w:val="auto"/>
              </w:rPr>
              <w:t>⑤腌制：先按配方配制好天然复合香料</w:t>
            </w:r>
            <w:r>
              <w:rPr>
                <w:rFonts w:hint="eastAsia"/>
                <w:color w:val="auto"/>
                <w:lang w:eastAsia="zh-CN"/>
              </w:rPr>
              <w:t>、</w:t>
            </w:r>
            <w:r>
              <w:rPr>
                <w:rFonts w:hint="eastAsia"/>
                <w:color w:val="auto"/>
                <w:lang w:val="en-US" w:eastAsia="zh-CN"/>
              </w:rPr>
              <w:t>淀粉、食用盐等辅料，经供料系统</w:t>
            </w:r>
            <w:r>
              <w:rPr>
                <w:color w:val="auto"/>
              </w:rPr>
              <w:t>将称量好</w:t>
            </w:r>
            <w:r>
              <w:rPr>
                <w:rFonts w:hint="eastAsia"/>
                <w:color w:val="auto"/>
                <w:lang w:val="en-US" w:eastAsia="zh-CN"/>
              </w:rPr>
              <w:t>辅料</w:t>
            </w:r>
            <w:r>
              <w:rPr>
                <w:color w:val="auto"/>
              </w:rPr>
              <w:t>按工艺要求的比例</w:t>
            </w:r>
            <w:r>
              <w:rPr>
                <w:rFonts w:hint="eastAsia"/>
                <w:color w:val="auto"/>
                <w:lang w:val="en-US" w:eastAsia="zh-CN"/>
              </w:rPr>
              <w:t>与肉原料经搅拌机进行充分混合腌制</w:t>
            </w:r>
            <w:r>
              <w:rPr>
                <w:color w:val="auto"/>
              </w:rPr>
              <w:t>，腌制时间</w:t>
            </w:r>
            <w:r>
              <w:rPr>
                <w:rFonts w:hint="eastAsia"/>
                <w:color w:val="auto"/>
                <w:lang w:val="en-US" w:eastAsia="zh-CN"/>
              </w:rPr>
              <w:t>控制在</w:t>
            </w:r>
            <w:r>
              <w:rPr>
                <w:color w:val="auto"/>
              </w:rPr>
              <w:t>24~48</w:t>
            </w:r>
            <w:r>
              <w:rPr>
                <w:rFonts w:hint="eastAsia"/>
                <w:color w:val="auto"/>
                <w:lang w:val="en-US" w:eastAsia="zh-CN"/>
              </w:rPr>
              <w:t>h范围内</w:t>
            </w:r>
            <w:r>
              <w:rPr>
                <w:color w:val="auto"/>
              </w:rPr>
              <w:t>，腌制室温</w:t>
            </w:r>
            <w:r>
              <w:rPr>
                <w:rFonts w:hint="eastAsia"/>
                <w:color w:val="auto"/>
                <w:lang w:val="en-US" w:eastAsia="zh-CN"/>
              </w:rPr>
              <w:t>控制在</w:t>
            </w:r>
            <w:r>
              <w:rPr>
                <w:color w:val="auto"/>
              </w:rPr>
              <w:t>0~4℃</w:t>
            </w:r>
            <w:r>
              <w:rPr>
                <w:rFonts w:hint="eastAsia"/>
                <w:color w:val="auto"/>
                <w:lang w:val="en-US" w:eastAsia="zh-CN"/>
              </w:rPr>
              <w:t>范围内</w:t>
            </w:r>
            <w:r>
              <w:rPr>
                <w:rFonts w:hint="eastAsia"/>
                <w:color w:val="auto"/>
                <w:lang w:eastAsia="zh-CN"/>
              </w:rPr>
              <w:t>，</w:t>
            </w:r>
            <w:r>
              <w:rPr>
                <w:rFonts w:hint="eastAsia"/>
                <w:color w:val="auto"/>
                <w:lang w:val="en-US" w:eastAsia="zh-CN"/>
              </w:rPr>
              <w:t>该工序会产生设备噪声</w:t>
            </w:r>
            <w:r>
              <w:rPr>
                <w:rFonts w:hint="eastAsia"/>
                <w:color w:val="auto"/>
                <w:lang w:eastAsia="zh-CN"/>
              </w:rPr>
              <w:t>。</w:t>
            </w:r>
          </w:p>
          <w:p>
            <w:pPr>
              <w:ind w:firstLine="480"/>
              <w:rPr>
                <w:rFonts w:hint="default"/>
                <w:color w:val="auto"/>
                <w:lang w:val="en-US"/>
              </w:rPr>
            </w:pPr>
            <w:r>
              <w:rPr>
                <w:rFonts w:hint="eastAsia"/>
                <w:color w:val="auto"/>
                <w:lang w:val="en-US" w:eastAsia="zh-CN"/>
              </w:rPr>
              <w:t>⑥</w:t>
            </w:r>
            <w:r>
              <w:rPr>
                <w:color w:val="auto"/>
              </w:rPr>
              <w:t>拌和</w:t>
            </w:r>
            <w:r>
              <w:rPr>
                <w:rFonts w:hint="eastAsia"/>
                <w:color w:val="auto"/>
                <w:lang w:eastAsia="zh-CN"/>
              </w:rPr>
              <w:t>：</w:t>
            </w:r>
            <w:r>
              <w:rPr>
                <w:color w:val="auto"/>
              </w:rPr>
              <w:t>腌制结束的原料</w:t>
            </w:r>
            <w:r>
              <w:rPr>
                <w:rFonts w:hint="eastAsia"/>
                <w:color w:val="auto"/>
                <w:lang w:val="en-US" w:eastAsia="zh-CN"/>
              </w:rPr>
              <w:t>由传送带经金属检测仪进行检测</w:t>
            </w:r>
            <w:r>
              <w:rPr>
                <w:color w:val="auto"/>
              </w:rPr>
              <w:t>，</w:t>
            </w:r>
            <w:r>
              <w:rPr>
                <w:rFonts w:hint="eastAsia"/>
                <w:color w:val="auto"/>
                <w:lang w:val="en-US" w:eastAsia="zh-CN"/>
              </w:rPr>
              <w:t>检测通过的原料经搅拌机、斩拌机等设备拌和成均匀的乳状物</w:t>
            </w:r>
            <w:r>
              <w:rPr>
                <w:rFonts w:hint="eastAsia"/>
                <w:color w:val="auto"/>
                <w:lang w:eastAsia="zh-CN"/>
              </w:rPr>
              <w:t>，</w:t>
            </w:r>
            <w:r>
              <w:rPr>
                <w:rFonts w:hint="eastAsia"/>
                <w:color w:val="auto"/>
                <w:lang w:val="en-US" w:eastAsia="zh-CN"/>
              </w:rPr>
              <w:t>该工序会产生设备噪声</w:t>
            </w:r>
            <w:r>
              <w:rPr>
                <w:rFonts w:hint="eastAsia"/>
                <w:color w:val="auto"/>
                <w:lang w:eastAsia="zh-CN"/>
              </w:rPr>
              <w:t>。</w:t>
            </w:r>
          </w:p>
          <w:p>
            <w:pPr>
              <w:ind w:firstLine="480"/>
              <w:rPr>
                <w:color w:val="auto"/>
              </w:rPr>
            </w:pPr>
            <w:r>
              <w:rPr>
                <w:rFonts w:hint="eastAsia"/>
                <w:color w:val="auto"/>
                <w:lang w:val="en-US" w:eastAsia="zh-CN"/>
              </w:rPr>
              <w:t>注：本项目检测工段不涉及使用X光检测设备，金属检测仪的剔除方式采用声光报警、传送带自动停止的方式，</w:t>
            </w:r>
            <w:r>
              <w:rPr>
                <w:color w:val="auto"/>
              </w:rPr>
              <w:t>对剔出的</w:t>
            </w:r>
            <w:r>
              <w:rPr>
                <w:rFonts w:hint="eastAsia"/>
                <w:color w:val="auto"/>
                <w:lang w:val="en-US" w:eastAsia="zh-CN"/>
              </w:rPr>
              <w:t>物料</w:t>
            </w:r>
            <w:r>
              <w:rPr>
                <w:color w:val="auto"/>
              </w:rPr>
              <w:t>反复过机两次，如果仍被剔出，须取出送质检部切片找出异物。</w:t>
            </w:r>
          </w:p>
          <w:p>
            <w:pPr>
              <w:ind w:firstLine="480"/>
              <w:rPr>
                <w:rFonts w:hint="default" w:eastAsia="宋体"/>
                <w:color w:val="auto"/>
                <w:lang w:val="en-US" w:eastAsia="zh-CN"/>
              </w:rPr>
            </w:pPr>
            <w:r>
              <w:rPr>
                <w:rFonts w:hint="eastAsia"/>
                <w:color w:val="auto"/>
                <w:lang w:val="en-US" w:eastAsia="zh-CN"/>
              </w:rPr>
              <w:t>⑦</w:t>
            </w:r>
            <w:r>
              <w:rPr>
                <w:color w:val="auto"/>
              </w:rPr>
              <w:t>装罐：</w:t>
            </w:r>
            <w:r>
              <w:rPr>
                <w:rFonts w:hint="eastAsia"/>
                <w:color w:val="auto"/>
                <w:lang w:val="en-US" w:eastAsia="zh-CN"/>
              </w:rPr>
              <w:t>经腌制、拌和完成的原材料</w:t>
            </w:r>
            <w:r>
              <w:rPr>
                <w:color w:val="auto"/>
              </w:rPr>
              <w:t>按规定的配方进行准确称量</w:t>
            </w:r>
            <w:r>
              <w:rPr>
                <w:rFonts w:hint="eastAsia"/>
                <w:color w:val="auto"/>
                <w:lang w:eastAsia="zh-CN"/>
              </w:rPr>
              <w:t>，</w:t>
            </w:r>
            <w:r>
              <w:rPr>
                <w:rFonts w:hint="eastAsia"/>
                <w:color w:val="auto"/>
                <w:lang w:val="en-US" w:eastAsia="zh-CN"/>
              </w:rPr>
              <w:t>称量完成的原料经灌装设备</w:t>
            </w:r>
            <w:r>
              <w:rPr>
                <w:color w:val="auto"/>
              </w:rPr>
              <w:t>进行</w:t>
            </w:r>
            <w:r>
              <w:rPr>
                <w:rFonts w:hint="eastAsia"/>
                <w:color w:val="auto"/>
                <w:lang w:val="en-US" w:eastAsia="zh-CN"/>
              </w:rPr>
              <w:t>填充灌装</w:t>
            </w:r>
            <w:r>
              <w:rPr>
                <w:color w:val="auto"/>
              </w:rPr>
              <w:t>，500克以下的装罐量允许误差为±3%；装罐量在1000克或以上的产品其装罐允许误差﹤1%。装罐过程中每5min对装罐量进行</w:t>
            </w:r>
            <w:r>
              <w:rPr>
                <w:rFonts w:hint="eastAsia"/>
                <w:color w:val="auto"/>
                <w:lang w:val="en-US" w:eastAsia="zh-CN"/>
              </w:rPr>
              <w:t>人工复称</w:t>
            </w:r>
            <w:r>
              <w:rPr>
                <w:color w:val="auto"/>
              </w:rPr>
              <w:t>抽查，每</w:t>
            </w:r>
            <w:r>
              <w:rPr>
                <w:rFonts w:hint="eastAsia"/>
                <w:color w:val="auto"/>
                <w:lang w:val="en-US" w:eastAsia="zh-CN"/>
              </w:rPr>
              <w:t>1h</w:t>
            </w:r>
            <w:r>
              <w:rPr>
                <w:color w:val="auto"/>
              </w:rPr>
              <w:t>记录一次。</w:t>
            </w:r>
          </w:p>
          <w:p>
            <w:pPr>
              <w:ind w:firstLine="480"/>
              <w:rPr>
                <w:b w:val="0"/>
                <w:bCs w:val="0"/>
                <w:color w:val="auto"/>
              </w:rPr>
            </w:pPr>
            <w:r>
              <w:rPr>
                <w:b w:val="0"/>
                <w:bCs w:val="0"/>
                <w:color w:val="auto"/>
              </w:rPr>
              <w:t>⑧封口</w:t>
            </w:r>
            <w:r>
              <w:rPr>
                <w:rFonts w:hint="eastAsia"/>
                <w:b w:val="0"/>
                <w:bCs w:val="0"/>
                <w:color w:val="auto"/>
                <w:lang w:eastAsia="zh-CN"/>
              </w:rPr>
              <w:t>：</w:t>
            </w:r>
            <w:r>
              <w:rPr>
                <w:b w:val="0"/>
                <w:bCs w:val="0"/>
                <w:color w:val="auto"/>
              </w:rPr>
              <w:t>在正式封口前对</w:t>
            </w:r>
            <w:r>
              <w:rPr>
                <w:rFonts w:hint="eastAsia"/>
                <w:b w:val="0"/>
                <w:bCs w:val="0"/>
                <w:color w:val="auto"/>
                <w:lang w:val="en-US" w:eastAsia="zh-CN"/>
              </w:rPr>
              <w:t>自动</w:t>
            </w:r>
            <w:r>
              <w:rPr>
                <w:b w:val="0"/>
                <w:bCs w:val="0"/>
                <w:color w:val="auto"/>
              </w:rPr>
              <w:t>封口机进行校车，当封口三率达到规定要求</w:t>
            </w:r>
            <w:r>
              <w:rPr>
                <w:color w:val="auto"/>
              </w:rPr>
              <w:t>（</w:t>
            </w:r>
            <w:r>
              <w:rPr>
                <w:rFonts w:hint="eastAsia"/>
                <w:color w:val="auto"/>
              </w:rPr>
              <w:t>迭接率、紧密度和完整率</w:t>
            </w:r>
            <w:r>
              <w:rPr>
                <w:color w:val="auto"/>
              </w:rPr>
              <w:t>）</w:t>
            </w:r>
            <w:r>
              <w:rPr>
                <w:b w:val="0"/>
                <w:bCs w:val="0"/>
                <w:color w:val="auto"/>
              </w:rPr>
              <w:t>后才能开始封口作业。封口真空度要求达到0.02~0.04MPa；操作工每5分钟对卷边外观质量目测一次，每小时记录一次，有问题时及时记录，每2小时对卷边结构解剖检查一次并记录。</w:t>
            </w:r>
          </w:p>
          <w:p>
            <w:pPr>
              <w:ind w:firstLine="480"/>
              <w:rPr>
                <w:b w:val="0"/>
                <w:bCs w:val="0"/>
                <w:color w:val="auto"/>
              </w:rPr>
            </w:pPr>
            <w:r>
              <w:rPr>
                <w:rFonts w:hint="eastAsia"/>
                <w:b w:val="0"/>
                <w:bCs w:val="0"/>
                <w:color w:val="auto"/>
                <w:lang w:val="en-US" w:eastAsia="zh-CN"/>
              </w:rPr>
              <w:t>注：装罐</w:t>
            </w:r>
            <w:r>
              <w:rPr>
                <w:b w:val="0"/>
                <w:bCs w:val="0"/>
                <w:color w:val="auto"/>
              </w:rPr>
              <w:t>封口前选盖工人先核对罐盖是否和生产所需一致，再逐个对盖子的质量进行检查将不符合要求的罐盖选出（如：断胶、涂料明显划伤、明显的露铁点和卷边宽度不够等）。</w:t>
            </w:r>
          </w:p>
          <w:p>
            <w:pPr>
              <w:ind w:firstLine="480"/>
              <w:rPr>
                <w:rFonts w:hint="default" w:ascii="Times New Roman" w:hAnsi="Times New Roman" w:cs="Times New Roman"/>
                <w:color w:val="auto"/>
              </w:rPr>
            </w:pPr>
            <w:r>
              <w:rPr>
                <w:rFonts w:hint="default" w:ascii="Times New Roman" w:hAnsi="Times New Roman" w:cs="Times New Roman"/>
                <w:color w:val="auto"/>
              </w:rPr>
              <w:t>⑨</w:t>
            </w:r>
            <w:r>
              <w:rPr>
                <w:rFonts w:hint="default" w:ascii="Times New Roman" w:hAnsi="Times New Roman" w:cs="Times New Roman"/>
                <w:color w:val="auto"/>
                <w:lang w:val="en-US" w:eastAsia="zh-CN"/>
              </w:rPr>
              <w:t>熟化</w:t>
            </w:r>
            <w:r>
              <w:rPr>
                <w:rFonts w:hint="default" w:ascii="Times New Roman" w:hAnsi="Times New Roman" w:cs="Times New Roman"/>
                <w:color w:val="auto"/>
              </w:rPr>
              <w:t>杀菌</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使用</w:t>
            </w:r>
            <w:r>
              <w:rPr>
                <w:rFonts w:hint="default" w:ascii="Times New Roman" w:hAnsi="Times New Roman" w:cs="Times New Roman"/>
                <w:color w:val="auto"/>
              </w:rPr>
              <w:t>清洗机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对经装罐封口完成的罐体进行清洗，罐体经清洗完成后经烘干设备（采用电加热方式）烘干后多余水分后，使用喷码机对罐体进行激光喷码标记，标记完成的罐体经加热</w:t>
            </w:r>
            <w:r>
              <w:rPr>
                <w:rFonts w:hint="default" w:ascii="Times New Roman" w:hAnsi="Times New Roman" w:cs="Times New Roman"/>
                <w:color w:val="auto"/>
              </w:rPr>
              <w:t>釜</w:t>
            </w:r>
            <w:r>
              <w:rPr>
                <w:rFonts w:hint="default" w:ascii="Times New Roman" w:hAnsi="Times New Roman" w:cs="Times New Roman"/>
                <w:color w:val="auto"/>
                <w:lang w:val="en-US" w:eastAsia="zh-CN"/>
              </w:rPr>
              <w:t>（采用电加热方式）进行熟化杀菌，项目主要使用水浴蒸汽式和风机蒸汽式（即蒸汽空气混合式）类型的加热釜，其杀菌的工作原理主要是通过120℃蒸汽进行熟化杀菌，熟化</w:t>
            </w:r>
            <w:r>
              <w:rPr>
                <w:rFonts w:hint="default" w:ascii="Times New Roman" w:hAnsi="Times New Roman" w:cs="Times New Roman"/>
                <w:color w:val="auto"/>
              </w:rPr>
              <w:t>杀菌</w:t>
            </w:r>
            <w:r>
              <w:rPr>
                <w:rFonts w:hint="default" w:ascii="Times New Roman" w:hAnsi="Times New Roman" w:cs="Times New Roman"/>
                <w:color w:val="auto"/>
                <w:lang w:val="en-US" w:eastAsia="zh-CN"/>
              </w:rPr>
              <w:t>工作</w:t>
            </w:r>
            <w:r>
              <w:rPr>
                <w:rFonts w:hint="default" w:ascii="Times New Roman" w:hAnsi="Times New Roman" w:cs="Times New Roman"/>
                <w:color w:val="auto"/>
              </w:rPr>
              <w:t>时间为</w:t>
            </w:r>
            <w:r>
              <w:rPr>
                <w:rFonts w:hint="default" w:ascii="Times New Roman" w:hAnsi="Times New Roman" w:cs="Times New Roman"/>
                <w:color w:val="auto"/>
                <w:lang w:val="en-US" w:eastAsia="zh-CN"/>
              </w:rPr>
              <w:t>60</w:t>
            </w:r>
            <w:r>
              <w:rPr>
                <w:rFonts w:hint="default" w:ascii="Times New Roman" w:hAnsi="Times New Roman" w:cs="Times New Roman"/>
                <w:color w:val="auto"/>
              </w:rPr>
              <w:t>min。</w:t>
            </w:r>
          </w:p>
          <w:p>
            <w:pPr>
              <w:ind w:firstLine="480"/>
              <w:rPr>
                <w:rFonts w:hint="default" w:eastAsia="宋体"/>
                <w:color w:val="auto"/>
                <w:lang w:val="en-US" w:eastAsia="zh-CN"/>
              </w:rPr>
            </w:pPr>
            <w:r>
              <w:rPr>
                <w:rFonts w:hint="eastAsia"/>
                <w:color w:val="auto"/>
                <w:u w:val="single"/>
                <w:lang w:val="en-US" w:eastAsia="zh-CN"/>
              </w:rPr>
              <w:t>注：午餐肉属于先包装后熟化制作的食品，经熟化杀菌后的午餐肉含菌量极少，可以使得午餐肉有较长的保质期</w:t>
            </w:r>
            <w:r>
              <w:rPr>
                <w:rFonts w:hint="eastAsia"/>
                <w:color w:val="auto"/>
                <w:lang w:val="en-US" w:eastAsia="zh-CN"/>
              </w:rPr>
              <w:t>。</w:t>
            </w:r>
          </w:p>
          <w:p>
            <w:pPr>
              <w:ind w:firstLine="480"/>
              <w:rPr>
                <w:color w:val="auto"/>
              </w:rPr>
            </w:pPr>
            <w:r>
              <w:rPr>
                <w:color w:val="auto"/>
              </w:rPr>
              <w:t>⑩包装</w:t>
            </w:r>
            <w:r>
              <w:rPr>
                <w:rFonts w:hint="eastAsia"/>
                <w:color w:val="auto"/>
                <w:lang w:val="en-US" w:eastAsia="zh-CN"/>
              </w:rPr>
              <w:t>入库：经杀菌完成的罐体，在全自动包装生产线进行生产包装，由工人运送至库房</w:t>
            </w:r>
            <w:r>
              <w:rPr>
                <w:rFonts w:hint="eastAsia"/>
                <w:color w:val="auto"/>
                <w:lang w:eastAsia="zh-CN"/>
              </w:rPr>
              <w:t>，</w:t>
            </w:r>
            <w:r>
              <w:rPr>
                <w:color w:val="auto"/>
              </w:rPr>
              <w:t>发运前库房应向质检部提出检验申请，经质检部检验合格</w:t>
            </w:r>
            <w:r>
              <w:rPr>
                <w:rFonts w:hint="eastAsia"/>
                <w:color w:val="auto"/>
                <w:lang w:eastAsia="zh-CN"/>
              </w:rPr>
              <w:t>（</w:t>
            </w:r>
            <w:r>
              <w:rPr>
                <w:color w:val="auto"/>
              </w:rPr>
              <w:t>挑选出漏听和胖听、严重瘪罐以及封口有缺陷的产品</w:t>
            </w:r>
            <w:r>
              <w:rPr>
                <w:rFonts w:hint="eastAsia"/>
                <w:color w:val="auto"/>
                <w:lang w:eastAsia="zh-CN"/>
              </w:rPr>
              <w:t>）</w:t>
            </w:r>
            <w:r>
              <w:rPr>
                <w:color w:val="auto"/>
              </w:rPr>
              <w:t>的成品才能发运。成品库清洁、干燥，运输车辆清洁无污染。</w:t>
            </w:r>
          </w:p>
          <w:p>
            <w:pPr>
              <w:adjustRightInd w:val="0"/>
              <w:snapToGrid w:val="0"/>
              <w:ind w:firstLine="482"/>
              <w:rPr>
                <w:b/>
                <w:color w:val="auto"/>
                <w:szCs w:val="21"/>
              </w:rPr>
            </w:pPr>
            <w:r>
              <w:rPr>
                <w:b/>
                <w:color w:val="auto"/>
                <w:szCs w:val="21"/>
              </w:rPr>
              <w:t>（</w:t>
            </w:r>
            <w:r>
              <w:rPr>
                <w:rFonts w:hint="eastAsia"/>
                <w:b/>
                <w:color w:val="auto"/>
                <w:szCs w:val="21"/>
              </w:rPr>
              <w:t>二</w:t>
            </w:r>
            <w:r>
              <w:rPr>
                <w:b/>
                <w:color w:val="auto"/>
                <w:szCs w:val="21"/>
              </w:rPr>
              <w:t>）</w:t>
            </w:r>
            <w:r>
              <w:rPr>
                <w:rFonts w:hint="eastAsia"/>
                <w:b/>
                <w:color w:val="auto"/>
                <w:szCs w:val="21"/>
              </w:rPr>
              <w:t>红烧肉罐头</w:t>
            </w:r>
            <w:r>
              <w:rPr>
                <w:b/>
                <w:color w:val="auto"/>
                <w:szCs w:val="21"/>
              </w:rPr>
              <w:t>产品工艺流程</w:t>
            </w: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0" w:firstLineChars="0"/>
              <w:jc w:val="both"/>
              <w:rPr>
                <w:bCs/>
                <w:color w:val="auto"/>
                <w:szCs w:val="21"/>
              </w:rPr>
            </w:pPr>
            <w:r>
              <w:rPr>
                <w:bCs/>
                <w:color w:val="auto"/>
                <w:szCs w:val="21"/>
              </w:rPr>
              <w:object>
                <v:shape id="_x0000_i1026" o:spt="75" type="#_x0000_t75" style="height:596.25pt;width:446.6pt;" o:ole="t" filled="f" o:preferrelative="t" stroked="f" coordsize="21600,21600">
                  <v:path/>
                  <v:fill on="f" focussize="0,0"/>
                  <v:stroke on="f"/>
                  <v:imagedata r:id="rId20" o:title=""/>
                  <o:lock v:ext="edit" aspectratio="f"/>
                  <w10:wrap type="none"/>
                  <w10:anchorlock/>
                </v:shape>
                <o:OLEObject Type="Embed" ProgID="Word.Document.8" ShapeID="_x0000_i1026" DrawAspect="Content" ObjectID="_1468075726" r:id="rId19">
                  <o:LockedField>false</o:LockedField>
                </o:OLEObject>
              </w:object>
            </w:r>
          </w:p>
          <w:p>
            <w:pPr>
              <w:pStyle w:val="11"/>
              <w:jc w:val="center"/>
              <w:rPr>
                <w:b/>
                <w:bCs/>
                <w:color w:val="auto"/>
              </w:rPr>
            </w:pPr>
            <w:r>
              <w:rPr>
                <w:b/>
                <w:bCs/>
                <w:color w:val="auto"/>
              </w:rPr>
              <w:t>图2-</w:t>
            </w:r>
            <w:r>
              <w:rPr>
                <w:rFonts w:hint="eastAsia"/>
                <w:b/>
                <w:bCs/>
                <w:color w:val="auto"/>
              </w:rPr>
              <w:t>2</w:t>
            </w:r>
            <w:r>
              <w:rPr>
                <w:b/>
                <w:bCs/>
                <w:color w:val="auto"/>
              </w:rPr>
              <w:t xml:space="preserve"> </w:t>
            </w:r>
            <w:r>
              <w:rPr>
                <w:rFonts w:hint="eastAsia"/>
                <w:b/>
                <w:bCs/>
                <w:color w:val="auto"/>
              </w:rPr>
              <w:t>红烧肉罐头</w:t>
            </w:r>
            <w:r>
              <w:rPr>
                <w:b/>
                <w:bCs/>
                <w:color w:val="auto"/>
              </w:rPr>
              <w:t>生产工艺流程及产污环节图</w:t>
            </w:r>
          </w:p>
          <w:p>
            <w:pPr>
              <w:spacing w:line="240" w:lineRule="auto"/>
              <w:ind w:firstLine="480"/>
              <w:rPr>
                <w:rFonts w:hint="eastAsia"/>
                <w:color w:val="auto"/>
                <w:lang w:val="en-US" w:eastAsia="zh-CN"/>
              </w:rPr>
            </w:pPr>
          </w:p>
          <w:p>
            <w:pPr>
              <w:ind w:firstLine="480"/>
              <w:rPr>
                <w:color w:val="auto"/>
              </w:rPr>
            </w:pPr>
            <w:r>
              <w:rPr>
                <w:rFonts w:hint="eastAsia"/>
                <w:color w:val="auto"/>
                <w:lang w:val="en-US" w:eastAsia="zh-CN"/>
              </w:rPr>
              <w:t>红烧肉产品生产线位于1号生产车间第1层，其</w:t>
            </w:r>
            <w:r>
              <w:rPr>
                <w:color w:val="auto"/>
              </w:rPr>
              <w:t>工艺流程</w:t>
            </w:r>
            <w:r>
              <w:rPr>
                <w:rFonts w:hint="eastAsia"/>
                <w:color w:val="auto"/>
                <w:lang w:val="en-US" w:eastAsia="zh-CN"/>
              </w:rPr>
              <w:t>如下</w:t>
            </w:r>
            <w:r>
              <w:rPr>
                <w:color w:val="auto"/>
              </w:rPr>
              <w:t>：</w:t>
            </w:r>
          </w:p>
          <w:p>
            <w:pPr>
              <w:ind w:firstLine="480"/>
              <w:rPr>
                <w:color w:val="auto"/>
              </w:rPr>
            </w:pPr>
            <w:r>
              <w:rPr>
                <w:color w:val="auto"/>
              </w:rPr>
              <w:t>①原料的验收：来自非疫区健康良好的畜禽，宰前宰后经兽医检验合格的原料。有动物检疫合格证明，出口产品的原料要来源于出口食品生产企业备案的肉联厂。</w:t>
            </w:r>
          </w:p>
          <w:p>
            <w:pPr>
              <w:ind w:firstLine="480"/>
              <w:rPr>
                <w:color w:val="auto"/>
              </w:rPr>
            </w:pPr>
            <w:r>
              <w:rPr>
                <w:color w:val="auto"/>
              </w:rPr>
              <w:t>进场肉原料在厂区内冻库中暂存中转，</w:t>
            </w:r>
            <w:r>
              <w:rPr>
                <w:rFonts w:hint="eastAsia"/>
                <w:color w:val="auto"/>
                <w:lang w:val="en-US" w:eastAsia="zh-CN"/>
              </w:rPr>
              <w:t>1号冻库设计储存约400t原材料，储存周期约10d</w:t>
            </w:r>
            <w:r>
              <w:rPr>
                <w:rFonts w:hint="eastAsia"/>
                <w:color w:val="auto"/>
                <w:lang w:eastAsia="zh-CN"/>
              </w:rPr>
              <w:t>，</w:t>
            </w:r>
            <w:r>
              <w:rPr>
                <w:color w:val="auto"/>
              </w:rPr>
              <w:t>使用R404A作为环保制冷剂，冷库内温度保持在零下12到17摄氏度。</w:t>
            </w:r>
          </w:p>
          <w:p>
            <w:pPr>
              <w:ind w:firstLine="480"/>
              <w:rPr>
                <w:rFonts w:hint="eastAsia" w:eastAsia="宋体"/>
                <w:color w:val="auto"/>
                <w:lang w:eastAsia="zh-CN"/>
              </w:rPr>
            </w:pPr>
            <w:r>
              <w:rPr>
                <w:color w:val="auto"/>
              </w:rPr>
              <w:t>②原料解冻：肉原料解冻按生产需要采取自然解冻</w:t>
            </w:r>
            <w:r>
              <w:rPr>
                <w:rFonts w:hint="eastAsia"/>
                <w:color w:val="auto"/>
                <w:lang w:eastAsia="zh-CN"/>
              </w:rPr>
              <w:t>，</w:t>
            </w:r>
            <w:r>
              <w:rPr>
                <w:color w:val="auto"/>
              </w:rPr>
              <w:t>解冻室湿度</w:t>
            </w:r>
            <w:r>
              <w:rPr>
                <w:rFonts w:hint="eastAsia"/>
                <w:color w:val="auto"/>
                <w:lang w:val="en-US" w:eastAsia="zh-CN"/>
              </w:rPr>
              <w:t>控制在</w:t>
            </w:r>
            <w:r>
              <w:rPr>
                <w:color w:val="auto"/>
              </w:rPr>
              <w:t>85%</w:t>
            </w:r>
            <w:r>
              <w:rPr>
                <w:rFonts w:hint="eastAsia"/>
                <w:color w:val="auto"/>
                <w:lang w:val="en-US" w:eastAsia="zh-CN"/>
              </w:rPr>
              <w:t>左右</w:t>
            </w:r>
            <w:r>
              <w:rPr>
                <w:color w:val="auto"/>
              </w:rPr>
              <w:t>、</w:t>
            </w:r>
            <w:r>
              <w:rPr>
                <w:rFonts w:hint="eastAsia"/>
                <w:color w:val="auto"/>
                <w:lang w:val="en-US" w:eastAsia="zh-CN"/>
              </w:rPr>
              <w:t>温度控制在0~5</w:t>
            </w:r>
            <w:r>
              <w:rPr>
                <w:color w:val="auto"/>
              </w:rPr>
              <w:t>℃，</w:t>
            </w:r>
            <w:r>
              <w:rPr>
                <w:rFonts w:hint="eastAsia"/>
                <w:color w:val="auto"/>
                <w:lang w:val="en-US" w:eastAsia="zh-CN"/>
              </w:rPr>
              <w:t>为</w:t>
            </w:r>
            <w:r>
              <w:rPr>
                <w:color w:val="auto"/>
              </w:rPr>
              <w:t>防止肉汁流失，或解冻过度</w:t>
            </w:r>
            <w:r>
              <w:rPr>
                <w:rFonts w:hint="eastAsia"/>
                <w:color w:val="auto"/>
                <w:lang w:eastAsia="zh-CN"/>
              </w:rPr>
              <w:t>，</w:t>
            </w:r>
            <w:r>
              <w:rPr>
                <w:color w:val="auto"/>
              </w:rPr>
              <w:t>夏秋季节解冻时间</w:t>
            </w:r>
            <w:r>
              <w:rPr>
                <w:rFonts w:hint="eastAsia"/>
                <w:color w:val="auto"/>
                <w:lang w:val="en-US" w:eastAsia="zh-CN"/>
              </w:rPr>
              <w:t>为</w:t>
            </w:r>
            <w:r>
              <w:rPr>
                <w:color w:val="auto"/>
              </w:rPr>
              <w:t>9~12小时，冬春季节</w:t>
            </w:r>
            <w:r>
              <w:rPr>
                <w:rFonts w:hint="eastAsia"/>
                <w:color w:val="auto"/>
                <w:lang w:val="en-US" w:eastAsia="zh-CN"/>
              </w:rPr>
              <w:t>解冻</w:t>
            </w:r>
            <w:r>
              <w:rPr>
                <w:color w:val="auto"/>
              </w:rPr>
              <w:t>时间</w:t>
            </w:r>
            <w:r>
              <w:rPr>
                <w:rFonts w:hint="eastAsia"/>
                <w:color w:val="auto"/>
                <w:lang w:val="en-US" w:eastAsia="zh-CN"/>
              </w:rPr>
              <w:t>为</w:t>
            </w:r>
            <w:r>
              <w:rPr>
                <w:color w:val="auto"/>
              </w:rPr>
              <w:t>20~24小时。</w:t>
            </w:r>
          </w:p>
          <w:p>
            <w:pPr>
              <w:ind w:firstLine="480"/>
              <w:rPr>
                <w:color w:val="auto"/>
              </w:rPr>
            </w:pPr>
            <w:r>
              <w:rPr>
                <w:color w:val="auto"/>
              </w:rPr>
              <w:t>③</w:t>
            </w:r>
            <w:r>
              <w:rPr>
                <w:rFonts w:hint="eastAsia"/>
                <w:color w:val="auto"/>
                <w:lang w:val="en-US" w:eastAsia="zh-CN"/>
              </w:rPr>
              <w:t>修整：人工</w:t>
            </w:r>
            <w:r>
              <w:rPr>
                <w:color w:val="auto"/>
              </w:rPr>
              <w:t>对肉</w:t>
            </w:r>
            <w:r>
              <w:rPr>
                <w:rFonts w:hint="eastAsia"/>
                <w:color w:val="auto"/>
                <w:lang w:val="en-US" w:eastAsia="zh-CN"/>
              </w:rPr>
              <w:t>原料</w:t>
            </w:r>
            <w:r>
              <w:rPr>
                <w:color w:val="auto"/>
              </w:rPr>
              <w:t>进行逐块检查，选出</w:t>
            </w:r>
            <w:r>
              <w:rPr>
                <w:rFonts w:hint="eastAsia"/>
                <w:color w:val="auto"/>
                <w:lang w:eastAsia="zh-CN"/>
              </w:rPr>
              <w:t>毛发</w:t>
            </w:r>
            <w:r>
              <w:rPr>
                <w:color w:val="auto"/>
              </w:rPr>
              <w:t>、骨渣、修去伤肉、淋巴及其它杂质并切为宽约20cm，长约40cm的大块肉</w:t>
            </w:r>
            <w:r>
              <w:rPr>
                <w:rFonts w:hint="eastAsia"/>
                <w:color w:val="auto"/>
                <w:lang w:eastAsia="zh-CN"/>
              </w:rPr>
              <w:t>，</w:t>
            </w:r>
            <w:r>
              <w:rPr>
                <w:rFonts w:hint="eastAsia"/>
                <w:color w:val="auto"/>
                <w:lang w:val="en-US" w:eastAsia="zh-CN"/>
              </w:rPr>
              <w:t>该工序会产生边角料</w:t>
            </w:r>
            <w:r>
              <w:rPr>
                <w:color w:val="auto"/>
              </w:rPr>
              <w:t>。</w:t>
            </w:r>
          </w:p>
          <w:p>
            <w:pPr>
              <w:ind w:firstLine="480"/>
              <w:rPr>
                <w:color w:val="auto"/>
              </w:rPr>
            </w:pPr>
            <w:r>
              <w:rPr>
                <w:color w:val="auto"/>
              </w:rPr>
              <w:t>④清洗：用</w:t>
            </w:r>
            <w:r>
              <w:rPr>
                <w:rFonts w:hint="eastAsia"/>
                <w:color w:val="auto"/>
                <w:lang w:val="en-US" w:eastAsia="zh-CN"/>
              </w:rPr>
              <w:t>清水对修整后的肉原料进行</w:t>
            </w:r>
            <w:r>
              <w:rPr>
                <w:color w:val="auto"/>
              </w:rPr>
              <w:t>清洗，洗去表面的污物</w:t>
            </w:r>
            <w:r>
              <w:rPr>
                <w:rFonts w:hint="eastAsia"/>
                <w:color w:val="auto"/>
                <w:lang w:eastAsia="zh-CN"/>
              </w:rPr>
              <w:t>，</w:t>
            </w:r>
            <w:r>
              <w:rPr>
                <w:rFonts w:hint="eastAsia"/>
                <w:color w:val="auto"/>
                <w:lang w:val="en-US" w:eastAsia="zh-CN"/>
              </w:rPr>
              <w:t>该工序会产生清洗废水</w:t>
            </w:r>
            <w:r>
              <w:rPr>
                <w:color w:val="auto"/>
              </w:rPr>
              <w:t>。</w:t>
            </w:r>
          </w:p>
          <w:p>
            <w:pPr>
              <w:ind w:firstLine="480"/>
              <w:rPr>
                <w:color w:val="auto"/>
              </w:rPr>
            </w:pPr>
            <w:r>
              <w:rPr>
                <w:color w:val="auto"/>
              </w:rPr>
              <w:t>⑤预煮：先按配方配制好天然复合香料</w:t>
            </w:r>
            <w:r>
              <w:rPr>
                <w:rFonts w:hint="eastAsia"/>
                <w:color w:val="auto"/>
                <w:lang w:eastAsia="zh-CN"/>
              </w:rPr>
              <w:t>、</w:t>
            </w:r>
            <w:r>
              <w:rPr>
                <w:rFonts w:hint="eastAsia"/>
                <w:color w:val="auto"/>
                <w:lang w:val="en-US" w:eastAsia="zh-CN"/>
              </w:rPr>
              <w:t>食用盐等辅料，经供料系统</w:t>
            </w:r>
            <w:r>
              <w:rPr>
                <w:color w:val="auto"/>
              </w:rPr>
              <w:t>将称量好</w:t>
            </w:r>
            <w:r>
              <w:rPr>
                <w:rFonts w:hint="eastAsia"/>
                <w:color w:val="auto"/>
                <w:lang w:val="en-US" w:eastAsia="zh-CN"/>
              </w:rPr>
              <w:t>辅料</w:t>
            </w:r>
            <w:r>
              <w:rPr>
                <w:color w:val="auto"/>
              </w:rPr>
              <w:t>按工艺要求的比例</w:t>
            </w:r>
            <w:r>
              <w:rPr>
                <w:rFonts w:hint="eastAsia"/>
                <w:color w:val="auto"/>
                <w:lang w:val="en-US" w:eastAsia="zh-CN"/>
              </w:rPr>
              <w:t>与肉原料一起经卤制生产线进行预煮卤制，</w:t>
            </w:r>
            <w:r>
              <w:rPr>
                <w:color w:val="auto"/>
              </w:rPr>
              <w:t>在预煮的过程中对肉进行</w:t>
            </w:r>
            <w:r>
              <w:rPr>
                <w:rFonts w:hint="eastAsia"/>
                <w:color w:val="auto"/>
                <w:lang w:val="en-US" w:eastAsia="zh-CN"/>
              </w:rPr>
              <w:t>机械</w:t>
            </w:r>
            <w:r>
              <w:rPr>
                <w:color w:val="auto"/>
              </w:rPr>
              <w:t>翻动</w:t>
            </w:r>
            <w:r>
              <w:rPr>
                <w:rFonts w:hint="eastAsia"/>
                <w:color w:val="auto"/>
                <w:lang w:eastAsia="zh-CN"/>
              </w:rPr>
              <w:t>，</w:t>
            </w:r>
            <w:r>
              <w:rPr>
                <w:color w:val="auto"/>
              </w:rPr>
              <w:t>时间30~45分钟</w:t>
            </w:r>
            <w:r>
              <w:rPr>
                <w:rFonts w:hint="eastAsia"/>
                <w:color w:val="auto"/>
                <w:lang w:eastAsia="zh-CN"/>
              </w:rPr>
              <w:t>，</w:t>
            </w:r>
            <w:r>
              <w:rPr>
                <w:color w:val="auto"/>
              </w:rPr>
              <w:t>煮至肉皮发软，并有粘性，同时肉煮熟</w:t>
            </w:r>
            <w:r>
              <w:rPr>
                <w:rFonts w:hint="eastAsia"/>
                <w:color w:val="auto"/>
                <w:lang w:eastAsia="zh-CN"/>
              </w:rPr>
              <w:t>，</w:t>
            </w:r>
            <w:r>
              <w:rPr>
                <w:rFonts w:hint="eastAsia"/>
                <w:color w:val="auto"/>
                <w:lang w:val="en-US" w:eastAsia="zh-CN"/>
              </w:rPr>
              <w:t>该工序完成后需要沥干水分</w:t>
            </w:r>
            <w:r>
              <w:rPr>
                <w:rFonts w:hint="eastAsia"/>
                <w:color w:val="auto"/>
                <w:lang w:eastAsia="zh-CN"/>
              </w:rPr>
              <w:t>，</w:t>
            </w:r>
            <w:r>
              <w:rPr>
                <w:rFonts w:hint="eastAsia"/>
                <w:color w:val="auto"/>
                <w:lang w:val="en-US" w:eastAsia="zh-CN"/>
              </w:rPr>
              <w:t>该工序会产生预煮废水</w:t>
            </w:r>
            <w:r>
              <w:rPr>
                <w:color w:val="auto"/>
              </w:rPr>
              <w:t>。</w:t>
            </w:r>
          </w:p>
          <w:p>
            <w:pPr>
              <w:ind w:firstLine="480"/>
              <w:rPr>
                <w:rFonts w:hint="default" w:eastAsia="宋体"/>
                <w:color w:val="auto"/>
                <w:lang w:val="en-US" w:eastAsia="zh-CN"/>
              </w:rPr>
            </w:pPr>
            <w:r>
              <w:rPr>
                <w:color w:val="auto"/>
              </w:rPr>
              <w:t>⑥油炸：</w:t>
            </w:r>
            <w:r>
              <w:rPr>
                <w:rFonts w:hint="eastAsia"/>
                <w:color w:val="auto"/>
                <w:lang w:val="en-US" w:eastAsia="zh-CN"/>
              </w:rPr>
              <w:t>经预煮工序完成并沥干水分的肉原料经油炸生产线进行油炸，在油炸的过程中，油温控制在</w:t>
            </w:r>
            <w:r>
              <w:rPr>
                <w:color w:val="auto"/>
              </w:rPr>
              <w:t>180℃~210℃，炸至肉皮呈酱红色或棕红色，油炸时间15秒～20秒</w:t>
            </w:r>
            <w:r>
              <w:rPr>
                <w:rFonts w:hint="eastAsia"/>
                <w:color w:val="auto"/>
                <w:lang w:eastAsia="zh-CN"/>
              </w:rPr>
              <w:t>，</w:t>
            </w:r>
            <w:r>
              <w:rPr>
                <w:rFonts w:hint="eastAsia"/>
                <w:color w:val="auto"/>
                <w:lang w:val="en-US" w:eastAsia="zh-CN"/>
              </w:rPr>
              <w:t>该工序会产生油炸废气</w:t>
            </w:r>
            <w:r>
              <w:rPr>
                <w:color w:val="auto"/>
              </w:rPr>
              <w:t>。</w:t>
            </w:r>
          </w:p>
          <w:p>
            <w:pPr>
              <w:ind w:firstLine="480"/>
              <w:rPr>
                <w:rFonts w:hint="default" w:eastAsia="宋体"/>
                <w:color w:val="auto"/>
                <w:lang w:val="en-US" w:eastAsia="zh-CN"/>
              </w:rPr>
            </w:pPr>
            <w:r>
              <w:rPr>
                <w:rFonts w:hint="eastAsia"/>
                <w:color w:val="auto"/>
                <w:lang w:val="en-US" w:eastAsia="zh-CN"/>
              </w:rPr>
              <w:t>注：本项目的食用油储存在油罐中，车间共设置3个16t储油罐，共计储存约48t食用油，经管道计量设备运送至油炸生产线，经业主单位介绍，项目油炸工序未使用完的食用油循环使用，一般循环2~3次即可使用完毕，不外排食用油。</w:t>
            </w:r>
          </w:p>
          <w:p>
            <w:pPr>
              <w:ind w:firstLine="480"/>
              <w:rPr>
                <w:rFonts w:hint="eastAsia" w:eastAsia="宋体"/>
                <w:color w:val="auto"/>
                <w:lang w:val="en-US" w:eastAsia="zh-CN"/>
              </w:rPr>
            </w:pPr>
            <w:r>
              <w:rPr>
                <w:color w:val="auto"/>
              </w:rPr>
              <w:t>⑦</w:t>
            </w:r>
            <w:r>
              <w:rPr>
                <w:rFonts w:hint="eastAsia"/>
                <w:color w:val="auto"/>
              </w:rPr>
              <w:t>切块：</w:t>
            </w:r>
            <w:r>
              <w:rPr>
                <w:rFonts w:hint="eastAsia"/>
                <w:color w:val="auto"/>
                <w:lang w:val="en-US" w:eastAsia="zh-CN"/>
              </w:rPr>
              <w:t>使用切肉机设备将大块肉原料，先切条，然后</w:t>
            </w:r>
            <w:r>
              <w:rPr>
                <w:color w:val="auto"/>
              </w:rPr>
              <w:t>切为长宽各约</w:t>
            </w:r>
            <w:r>
              <w:rPr>
                <w:rFonts w:hint="eastAsia"/>
                <w:color w:val="auto"/>
                <w:lang w:val="en-US" w:eastAsia="zh-CN"/>
              </w:rPr>
              <w:t>2cm尺寸</w:t>
            </w:r>
            <w:r>
              <w:rPr>
                <w:rFonts w:hint="eastAsia"/>
                <w:color w:val="auto"/>
                <w:vertAlign w:val="baseline"/>
                <w:lang w:val="en-US" w:eastAsia="zh-CN"/>
              </w:rPr>
              <w:t>大小的块状或细条状</w:t>
            </w:r>
            <w:r>
              <w:rPr>
                <w:color w:val="auto"/>
              </w:rPr>
              <w:t>后</w:t>
            </w:r>
            <w:r>
              <w:rPr>
                <w:rFonts w:hint="eastAsia"/>
                <w:color w:val="auto"/>
                <w:lang w:val="en-US" w:eastAsia="zh-CN"/>
              </w:rPr>
              <w:t>由传送带经金属检测仪进行检测</w:t>
            </w:r>
            <w:r>
              <w:rPr>
                <w:color w:val="auto"/>
              </w:rPr>
              <w:t>，</w:t>
            </w:r>
            <w:r>
              <w:rPr>
                <w:rFonts w:hint="eastAsia"/>
                <w:color w:val="auto"/>
                <w:lang w:val="en-US" w:eastAsia="zh-CN"/>
              </w:rPr>
              <w:t>检测通过的原料准备计进行</w:t>
            </w:r>
            <w:r>
              <w:rPr>
                <w:color w:val="auto"/>
              </w:rPr>
              <w:t>装罐</w:t>
            </w:r>
            <w:r>
              <w:rPr>
                <w:rFonts w:hint="eastAsia"/>
                <w:color w:val="auto"/>
                <w:vertAlign w:val="baseline"/>
                <w:lang w:val="en-US" w:eastAsia="zh-CN"/>
              </w:rPr>
              <w:t>，</w:t>
            </w:r>
            <w:r>
              <w:rPr>
                <w:rFonts w:hint="eastAsia"/>
                <w:color w:val="auto"/>
                <w:lang w:val="en-US" w:eastAsia="zh-CN"/>
              </w:rPr>
              <w:t>该工序会产生</w:t>
            </w:r>
            <w:r>
              <w:rPr>
                <w:rFonts w:hint="eastAsia"/>
                <w:color w:val="auto"/>
              </w:rPr>
              <w:t>边角料</w:t>
            </w:r>
            <w:r>
              <w:rPr>
                <w:rFonts w:hint="eastAsia"/>
                <w:color w:val="auto"/>
                <w:lang w:eastAsia="zh-CN"/>
              </w:rPr>
              <w:t>。</w:t>
            </w:r>
          </w:p>
          <w:p>
            <w:pPr>
              <w:ind w:firstLine="480"/>
              <w:rPr>
                <w:color w:val="auto"/>
              </w:rPr>
            </w:pPr>
            <w:r>
              <w:rPr>
                <w:rFonts w:hint="eastAsia"/>
                <w:color w:val="auto"/>
                <w:lang w:val="en-US" w:eastAsia="zh-CN"/>
              </w:rPr>
              <w:t>注：本项目检测工段不涉及使用X光检测设备，金属检测仪的剔除方式采用声光报警、传送带自动停止的方式，</w:t>
            </w:r>
            <w:r>
              <w:rPr>
                <w:color w:val="auto"/>
              </w:rPr>
              <w:t>对剔出的</w:t>
            </w:r>
            <w:r>
              <w:rPr>
                <w:rFonts w:hint="eastAsia"/>
                <w:color w:val="auto"/>
                <w:lang w:val="en-US" w:eastAsia="zh-CN"/>
              </w:rPr>
              <w:t>物料</w:t>
            </w:r>
            <w:r>
              <w:rPr>
                <w:color w:val="auto"/>
              </w:rPr>
              <w:t>反复过机两次，如果仍被剔出，须取出送质检部切片找出异物。</w:t>
            </w:r>
          </w:p>
          <w:p>
            <w:pPr>
              <w:ind w:firstLine="480"/>
              <w:rPr>
                <w:rFonts w:hint="default" w:eastAsia="宋体"/>
                <w:color w:val="auto"/>
                <w:lang w:val="en-US" w:eastAsia="zh-CN"/>
              </w:rPr>
            </w:pPr>
            <w:r>
              <w:rPr>
                <w:rFonts w:hint="eastAsia"/>
                <w:color w:val="auto"/>
                <w:lang w:val="en-US" w:eastAsia="zh-CN"/>
              </w:rPr>
              <w:t>⑧</w:t>
            </w:r>
            <w:r>
              <w:rPr>
                <w:color w:val="auto"/>
              </w:rPr>
              <w:t>装罐：</w:t>
            </w:r>
            <w:r>
              <w:rPr>
                <w:rFonts w:hint="eastAsia"/>
                <w:color w:val="auto"/>
                <w:lang w:val="en-US" w:eastAsia="zh-CN"/>
              </w:rPr>
              <w:t>经检验合格的原材料</w:t>
            </w:r>
            <w:r>
              <w:rPr>
                <w:color w:val="auto"/>
              </w:rPr>
              <w:t>按规定的配方进行准确称量</w:t>
            </w:r>
            <w:r>
              <w:rPr>
                <w:rFonts w:hint="eastAsia"/>
                <w:color w:val="auto"/>
                <w:lang w:eastAsia="zh-CN"/>
              </w:rPr>
              <w:t>，</w:t>
            </w:r>
            <w:r>
              <w:rPr>
                <w:rFonts w:hint="eastAsia"/>
                <w:color w:val="auto"/>
                <w:lang w:val="en-US" w:eastAsia="zh-CN"/>
              </w:rPr>
              <w:t>称量完成的原料经灌装设备</w:t>
            </w:r>
            <w:r>
              <w:rPr>
                <w:color w:val="auto"/>
              </w:rPr>
              <w:t>进行</w:t>
            </w:r>
            <w:r>
              <w:rPr>
                <w:rFonts w:hint="eastAsia"/>
                <w:color w:val="auto"/>
                <w:lang w:val="en-US" w:eastAsia="zh-CN"/>
              </w:rPr>
              <w:t>填充灌装</w:t>
            </w:r>
            <w:r>
              <w:rPr>
                <w:color w:val="auto"/>
              </w:rPr>
              <w:t>，500克以下的装罐量允许误差为±3%；装罐量在1000克或以上的产品其装罐允许误差﹤1%。装罐过程中每5min对装罐量进行</w:t>
            </w:r>
            <w:r>
              <w:rPr>
                <w:rFonts w:hint="eastAsia"/>
                <w:color w:val="auto"/>
                <w:lang w:val="en-US" w:eastAsia="zh-CN"/>
              </w:rPr>
              <w:t>人工复称</w:t>
            </w:r>
            <w:r>
              <w:rPr>
                <w:color w:val="auto"/>
              </w:rPr>
              <w:t>抽查，每</w:t>
            </w:r>
            <w:r>
              <w:rPr>
                <w:rFonts w:hint="eastAsia"/>
                <w:color w:val="auto"/>
                <w:lang w:val="en-US" w:eastAsia="zh-CN"/>
              </w:rPr>
              <w:t>1h</w:t>
            </w:r>
            <w:r>
              <w:rPr>
                <w:color w:val="auto"/>
              </w:rPr>
              <w:t>记录一次。</w:t>
            </w:r>
          </w:p>
          <w:p>
            <w:pPr>
              <w:ind w:firstLine="480"/>
              <w:rPr>
                <w:b w:val="0"/>
                <w:bCs w:val="0"/>
                <w:color w:val="auto"/>
              </w:rPr>
            </w:pPr>
            <w:r>
              <w:rPr>
                <w:rFonts w:hint="eastAsia"/>
                <w:color w:val="auto"/>
                <w:lang w:val="en-US" w:eastAsia="zh-CN"/>
              </w:rPr>
              <w:t>⑨</w:t>
            </w:r>
            <w:r>
              <w:rPr>
                <w:b w:val="0"/>
                <w:bCs w:val="0"/>
                <w:color w:val="auto"/>
              </w:rPr>
              <w:t>封口</w:t>
            </w:r>
            <w:r>
              <w:rPr>
                <w:rFonts w:hint="eastAsia"/>
                <w:b w:val="0"/>
                <w:bCs w:val="0"/>
                <w:color w:val="auto"/>
                <w:lang w:eastAsia="zh-CN"/>
              </w:rPr>
              <w:t>：</w:t>
            </w:r>
            <w:r>
              <w:rPr>
                <w:b w:val="0"/>
                <w:bCs w:val="0"/>
                <w:color w:val="auto"/>
              </w:rPr>
              <w:t>在正式封口前对</w:t>
            </w:r>
            <w:r>
              <w:rPr>
                <w:rFonts w:hint="eastAsia"/>
                <w:b w:val="0"/>
                <w:bCs w:val="0"/>
                <w:color w:val="auto"/>
                <w:lang w:val="en-US" w:eastAsia="zh-CN"/>
              </w:rPr>
              <w:t>自动</w:t>
            </w:r>
            <w:r>
              <w:rPr>
                <w:b w:val="0"/>
                <w:bCs w:val="0"/>
                <w:color w:val="auto"/>
              </w:rPr>
              <w:t>封口机进行校车，当封口三率达到规定要求</w:t>
            </w:r>
            <w:r>
              <w:rPr>
                <w:color w:val="auto"/>
              </w:rPr>
              <w:t>（</w:t>
            </w:r>
            <w:r>
              <w:rPr>
                <w:rFonts w:hint="eastAsia"/>
                <w:color w:val="auto"/>
              </w:rPr>
              <w:t>迭接率、紧密度和完整率</w:t>
            </w:r>
            <w:r>
              <w:rPr>
                <w:color w:val="auto"/>
              </w:rPr>
              <w:t>）</w:t>
            </w:r>
            <w:r>
              <w:rPr>
                <w:b w:val="0"/>
                <w:bCs w:val="0"/>
                <w:color w:val="auto"/>
              </w:rPr>
              <w:t>后才能开始封口作业。封口真空度要求达到0.02~0.04MPa；操作工每5分钟对卷边外观质量目测一次，每小时记录一次，有问题时及时记录，每2小时对卷边结构解剖检查一次并记录。</w:t>
            </w:r>
          </w:p>
          <w:p>
            <w:pPr>
              <w:ind w:firstLine="480"/>
              <w:rPr>
                <w:b w:val="0"/>
                <w:bCs w:val="0"/>
                <w:color w:val="auto"/>
              </w:rPr>
            </w:pPr>
            <w:r>
              <w:rPr>
                <w:rFonts w:hint="eastAsia"/>
                <w:b w:val="0"/>
                <w:bCs w:val="0"/>
                <w:color w:val="auto"/>
                <w:lang w:val="en-US" w:eastAsia="zh-CN"/>
              </w:rPr>
              <w:t>注：装罐</w:t>
            </w:r>
            <w:r>
              <w:rPr>
                <w:b w:val="0"/>
                <w:bCs w:val="0"/>
                <w:color w:val="auto"/>
              </w:rPr>
              <w:t>封口前选盖工人先核对罐盖是否和生产所需一致，再逐个对盖子的质量进行检查将不符合要求的罐盖选出（如：断胶、涂料明显划伤、明显的露铁点和卷边宽度不够等）。</w:t>
            </w:r>
          </w:p>
          <w:p>
            <w:pPr>
              <w:ind w:firstLine="480"/>
              <w:rPr>
                <w:color w:val="auto"/>
              </w:rPr>
            </w:pPr>
            <w:r>
              <w:rPr>
                <w:rFonts w:hint="eastAsia"/>
                <w:color w:val="auto"/>
              </w:rPr>
              <w:t>⑩</w:t>
            </w:r>
            <w:r>
              <w:rPr>
                <w:color w:val="auto"/>
              </w:rPr>
              <w:t>杀菌</w:t>
            </w:r>
            <w:r>
              <w:rPr>
                <w:rFonts w:hint="eastAsia"/>
                <w:color w:val="auto"/>
                <w:lang w:eastAsia="zh-CN"/>
              </w:rPr>
              <w:t>：</w:t>
            </w:r>
            <w:r>
              <w:rPr>
                <w:rFonts w:hint="eastAsia"/>
                <w:color w:val="auto"/>
                <w:lang w:val="en-US" w:eastAsia="zh-CN"/>
              </w:rPr>
              <w:t>使用</w:t>
            </w:r>
            <w:r>
              <w:rPr>
                <w:rFonts w:hint="eastAsia"/>
                <w:color w:val="auto"/>
              </w:rPr>
              <w:t>清洗机</w:t>
            </w:r>
            <w:r>
              <w:rPr>
                <w:rFonts w:hint="eastAsia"/>
                <w:color w:val="auto"/>
                <w:lang w:eastAsia="zh-CN"/>
              </w:rPr>
              <w:t>，</w:t>
            </w:r>
            <w:r>
              <w:rPr>
                <w:rFonts w:hint="eastAsia"/>
                <w:color w:val="auto"/>
                <w:lang w:val="en-US" w:eastAsia="zh-CN"/>
              </w:rPr>
              <w:t>对经装罐封口完成的罐体进行清洗，罐体经清洗完成后经烘干设备（采用电加热方式）烘干后多余水分后，使用喷码机对罐体进行激光喷码标记，标记完成的罐体经</w:t>
            </w:r>
            <w:r>
              <w:rPr>
                <w:rFonts w:hint="eastAsia"/>
                <w:color w:val="auto"/>
                <w:lang w:eastAsia="zh-CN"/>
              </w:rPr>
              <w:t>加热釜</w:t>
            </w:r>
            <w:r>
              <w:rPr>
                <w:rFonts w:hint="eastAsia"/>
                <w:color w:val="auto"/>
                <w:lang w:val="en-US" w:eastAsia="zh-CN"/>
              </w:rPr>
              <w:t>（采用电加热方式）进行消毒杀菌，项目主要使用水浴蒸汽式和风机蒸汽式（即蒸汽空气混合式）类型的加热釜，其杀菌的工作原理主要是通过高温蒸汽进行杀菌，</w:t>
            </w:r>
            <w:r>
              <w:rPr>
                <w:color w:val="auto"/>
              </w:rPr>
              <w:t>根据不同的产品确定不同的杀菌时间</w:t>
            </w:r>
            <w:r>
              <w:rPr>
                <w:rFonts w:hint="eastAsia"/>
                <w:color w:val="auto"/>
              </w:rPr>
              <w:t>，杀菌时间为</w:t>
            </w:r>
            <w:r>
              <w:rPr>
                <w:rFonts w:hint="eastAsia"/>
                <w:color w:val="auto"/>
                <w:lang w:val="en-US" w:eastAsia="zh-CN"/>
              </w:rPr>
              <w:t>10</w:t>
            </w:r>
            <w:r>
              <w:rPr>
                <w:rFonts w:hint="eastAsia"/>
                <w:color w:val="auto"/>
              </w:rPr>
              <w:t>~</w:t>
            </w:r>
            <w:r>
              <w:rPr>
                <w:rFonts w:hint="eastAsia"/>
                <w:color w:val="auto"/>
                <w:lang w:val="en-US" w:eastAsia="zh-CN"/>
              </w:rPr>
              <w:t>1</w:t>
            </w:r>
            <w:r>
              <w:rPr>
                <w:rFonts w:hint="eastAsia"/>
                <w:color w:val="auto"/>
              </w:rPr>
              <w:t>5min</w:t>
            </w:r>
            <w:r>
              <w:rPr>
                <w:color w:val="auto"/>
              </w:rPr>
              <w:t>。</w:t>
            </w:r>
          </w:p>
          <w:p>
            <w:pPr>
              <w:ind w:firstLine="480"/>
              <w:rPr>
                <w:color w:val="auto"/>
              </w:rPr>
            </w:pPr>
            <w:r>
              <w:rPr>
                <w:rFonts w:hint="eastAsia" w:ascii="微软雅黑" w:hAnsi="微软雅黑" w:eastAsia="微软雅黑" w:cs="微软雅黑"/>
                <w:color w:val="auto"/>
              </w:rPr>
              <w:t>⑪</w:t>
            </w:r>
            <w:r>
              <w:rPr>
                <w:color w:val="auto"/>
              </w:rPr>
              <w:t>包装</w:t>
            </w:r>
            <w:r>
              <w:rPr>
                <w:rFonts w:hint="eastAsia"/>
                <w:color w:val="auto"/>
                <w:lang w:val="en-US" w:eastAsia="zh-CN"/>
              </w:rPr>
              <w:t>入库：经杀菌完成的罐体，在全自动包装生产线进行生产包装，由工人运送至库房</w:t>
            </w:r>
            <w:r>
              <w:rPr>
                <w:rFonts w:hint="eastAsia"/>
                <w:color w:val="auto"/>
                <w:lang w:eastAsia="zh-CN"/>
              </w:rPr>
              <w:t>，</w:t>
            </w:r>
            <w:r>
              <w:rPr>
                <w:color w:val="auto"/>
              </w:rPr>
              <w:t>发运前库房应向质检部提出检验申请，经质检部检验合格</w:t>
            </w:r>
            <w:r>
              <w:rPr>
                <w:rFonts w:hint="eastAsia"/>
                <w:color w:val="auto"/>
                <w:lang w:eastAsia="zh-CN"/>
              </w:rPr>
              <w:t>（</w:t>
            </w:r>
            <w:r>
              <w:rPr>
                <w:color w:val="auto"/>
              </w:rPr>
              <w:t>挑选出漏听和胖听、严重瘪罐以及封口有缺陷的产品</w:t>
            </w:r>
            <w:r>
              <w:rPr>
                <w:rFonts w:hint="eastAsia"/>
                <w:color w:val="auto"/>
                <w:lang w:eastAsia="zh-CN"/>
              </w:rPr>
              <w:t>）</w:t>
            </w:r>
            <w:r>
              <w:rPr>
                <w:color w:val="auto"/>
              </w:rPr>
              <w:t>的成品才能发运。成品库清洁、干燥，运输车辆清洁无污染。</w:t>
            </w: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r>
              <w:rPr>
                <w:b/>
                <w:color w:val="auto"/>
                <w:szCs w:val="21"/>
              </w:rPr>
              <w:t>（</w:t>
            </w:r>
            <w:r>
              <w:rPr>
                <w:rFonts w:hint="eastAsia"/>
                <w:b/>
                <w:color w:val="auto"/>
                <w:szCs w:val="21"/>
              </w:rPr>
              <w:t>三</w:t>
            </w:r>
            <w:r>
              <w:rPr>
                <w:b/>
                <w:color w:val="auto"/>
                <w:szCs w:val="21"/>
              </w:rPr>
              <w:t>）</w:t>
            </w:r>
            <w:r>
              <w:rPr>
                <w:rFonts w:hint="eastAsia"/>
                <w:b/>
                <w:color w:val="auto"/>
                <w:szCs w:val="21"/>
                <w:lang w:val="en-US" w:eastAsia="zh-CN"/>
              </w:rPr>
              <w:t>预制菜</w:t>
            </w:r>
            <w:r>
              <w:rPr>
                <w:b/>
                <w:color w:val="auto"/>
                <w:szCs w:val="21"/>
              </w:rPr>
              <w:t>产品工艺流程</w:t>
            </w:r>
          </w:p>
          <w:p>
            <w:pPr>
              <w:adjustRightInd w:val="0"/>
              <w:snapToGrid w:val="0"/>
              <w:ind w:firstLine="0" w:firstLineChars="0"/>
              <w:jc w:val="center"/>
              <w:rPr>
                <w:bCs/>
                <w:color w:val="auto"/>
                <w:szCs w:val="21"/>
              </w:rPr>
            </w:pPr>
            <w:r>
              <w:rPr>
                <w:bCs/>
                <w:color w:val="auto"/>
                <w:szCs w:val="21"/>
              </w:rPr>
              <w:object>
                <v:shape id="_x0000_i1027" o:spt="75" type="#_x0000_t75" style="height:378.7pt;width:446.4pt;" o:ole="t" filled="f" o:preferrelative="t" stroked="f" coordsize="21600,21600">
                  <v:path/>
                  <v:fill on="f" focussize="0,0"/>
                  <v:stroke on="f"/>
                  <v:imagedata r:id="rId22" o:title=""/>
                  <o:lock v:ext="edit" aspectratio="f"/>
                  <w10:wrap type="none"/>
                  <w10:anchorlock/>
                </v:shape>
                <o:OLEObject Type="Embed" ProgID="Word.Document.8" ShapeID="_x0000_i1027" DrawAspect="Content" ObjectID="_1468075727" r:id="rId21">
                  <o:LockedField>false</o:LockedField>
                </o:OLEObject>
              </w:object>
            </w:r>
          </w:p>
          <w:p>
            <w:pPr>
              <w:pStyle w:val="11"/>
              <w:jc w:val="center"/>
              <w:rPr>
                <w:b/>
                <w:bCs/>
                <w:color w:val="auto"/>
              </w:rPr>
            </w:pPr>
            <w:r>
              <w:rPr>
                <w:b/>
                <w:bCs/>
                <w:color w:val="auto"/>
              </w:rPr>
              <w:t>图2-</w:t>
            </w:r>
            <w:r>
              <w:rPr>
                <w:rFonts w:hint="eastAsia"/>
                <w:b/>
                <w:bCs/>
                <w:color w:val="auto"/>
              </w:rPr>
              <w:t>3</w:t>
            </w:r>
            <w:r>
              <w:rPr>
                <w:b/>
                <w:bCs/>
                <w:color w:val="auto"/>
              </w:rPr>
              <w:t xml:space="preserve"> </w:t>
            </w:r>
            <w:r>
              <w:rPr>
                <w:rFonts w:hint="eastAsia"/>
                <w:b/>
                <w:bCs/>
                <w:color w:val="auto"/>
                <w:lang w:val="en-US" w:eastAsia="zh-CN"/>
              </w:rPr>
              <w:t>预制菜</w:t>
            </w:r>
            <w:r>
              <w:rPr>
                <w:rFonts w:hint="eastAsia"/>
                <w:b/>
                <w:bCs/>
                <w:color w:val="auto"/>
              </w:rPr>
              <w:t>产品</w:t>
            </w:r>
            <w:r>
              <w:rPr>
                <w:b/>
                <w:bCs/>
                <w:color w:val="auto"/>
              </w:rPr>
              <w:t>生产工艺流程及产污环节图</w:t>
            </w:r>
          </w:p>
          <w:p>
            <w:pPr>
              <w:spacing w:line="240" w:lineRule="auto"/>
              <w:ind w:firstLine="480"/>
              <w:rPr>
                <w:color w:val="auto"/>
              </w:rPr>
            </w:pPr>
          </w:p>
          <w:p>
            <w:pPr>
              <w:ind w:firstLine="480"/>
              <w:rPr>
                <w:color w:val="auto"/>
              </w:rPr>
            </w:pPr>
            <w:r>
              <w:rPr>
                <w:rFonts w:hint="eastAsia"/>
                <w:color w:val="auto"/>
                <w:lang w:val="en-US" w:eastAsia="zh-CN"/>
              </w:rPr>
              <w:t>预制菜产品生产线位于2号生产车间第1层，其</w:t>
            </w:r>
            <w:r>
              <w:rPr>
                <w:color w:val="auto"/>
              </w:rPr>
              <w:t>工艺流程</w:t>
            </w:r>
            <w:r>
              <w:rPr>
                <w:rFonts w:hint="eastAsia"/>
                <w:color w:val="auto"/>
                <w:lang w:val="en-US" w:eastAsia="zh-CN"/>
              </w:rPr>
              <w:t>如下</w:t>
            </w:r>
            <w:r>
              <w:rPr>
                <w:color w:val="auto"/>
              </w:rPr>
              <w:t>：</w:t>
            </w:r>
          </w:p>
          <w:p>
            <w:pPr>
              <w:ind w:firstLine="480"/>
              <w:rPr>
                <w:color w:val="auto"/>
              </w:rPr>
            </w:pPr>
            <w:r>
              <w:rPr>
                <w:color w:val="auto"/>
              </w:rPr>
              <w:t>①原料的验收：来自非疫区健康良好的畜禽，宰前宰后经兽医检验合格的原料。有动物检疫合格证明，出口产品的原料要来源于出口食品生产企业备案的肉联厂。</w:t>
            </w:r>
          </w:p>
          <w:p>
            <w:pPr>
              <w:ind w:firstLine="480"/>
              <w:rPr>
                <w:color w:val="auto"/>
              </w:rPr>
            </w:pPr>
            <w:r>
              <w:rPr>
                <w:color w:val="auto"/>
              </w:rPr>
              <w:t>进场肉原料在厂区内冻库中暂存中转，</w:t>
            </w:r>
            <w:r>
              <w:rPr>
                <w:rFonts w:hint="eastAsia"/>
                <w:color w:val="auto"/>
                <w:lang w:val="en-US" w:eastAsia="zh-CN"/>
              </w:rPr>
              <w:t>3号冻库设计储存约200t原材料，储存周期约10d</w:t>
            </w:r>
            <w:r>
              <w:rPr>
                <w:rFonts w:hint="eastAsia"/>
                <w:color w:val="auto"/>
                <w:lang w:eastAsia="zh-CN"/>
              </w:rPr>
              <w:t>，</w:t>
            </w:r>
            <w:r>
              <w:rPr>
                <w:color w:val="auto"/>
              </w:rPr>
              <w:t>使用R404A作为环保制冷剂，冷库内温度保持在零下12到17摄氏度。</w:t>
            </w:r>
          </w:p>
          <w:p>
            <w:pPr>
              <w:ind w:firstLine="480"/>
              <w:rPr>
                <w:rFonts w:hint="eastAsia" w:eastAsia="宋体"/>
                <w:color w:val="auto"/>
                <w:lang w:eastAsia="zh-CN"/>
              </w:rPr>
            </w:pPr>
            <w:r>
              <w:rPr>
                <w:color w:val="auto"/>
              </w:rPr>
              <w:t>②原料解冻：肉原料解冻按生产需要采取自然解冻</w:t>
            </w:r>
            <w:r>
              <w:rPr>
                <w:rFonts w:hint="eastAsia"/>
                <w:color w:val="auto"/>
                <w:lang w:eastAsia="zh-CN"/>
              </w:rPr>
              <w:t>，</w:t>
            </w:r>
            <w:r>
              <w:rPr>
                <w:color w:val="auto"/>
              </w:rPr>
              <w:t>解冻室湿度</w:t>
            </w:r>
            <w:r>
              <w:rPr>
                <w:rFonts w:hint="eastAsia"/>
                <w:color w:val="auto"/>
                <w:lang w:val="en-US" w:eastAsia="zh-CN"/>
              </w:rPr>
              <w:t>控制在</w:t>
            </w:r>
            <w:r>
              <w:rPr>
                <w:color w:val="auto"/>
              </w:rPr>
              <w:t>85%</w:t>
            </w:r>
            <w:r>
              <w:rPr>
                <w:rFonts w:hint="eastAsia"/>
                <w:color w:val="auto"/>
                <w:lang w:val="en-US" w:eastAsia="zh-CN"/>
              </w:rPr>
              <w:t>左右</w:t>
            </w:r>
            <w:r>
              <w:rPr>
                <w:color w:val="auto"/>
              </w:rPr>
              <w:t>、</w:t>
            </w:r>
            <w:r>
              <w:rPr>
                <w:rFonts w:hint="eastAsia"/>
                <w:color w:val="auto"/>
                <w:lang w:val="en-US" w:eastAsia="zh-CN"/>
              </w:rPr>
              <w:t>温度控制在0~5</w:t>
            </w:r>
            <w:r>
              <w:rPr>
                <w:color w:val="auto"/>
              </w:rPr>
              <w:t>℃，</w:t>
            </w:r>
            <w:r>
              <w:rPr>
                <w:rFonts w:hint="eastAsia"/>
                <w:color w:val="auto"/>
                <w:lang w:val="en-US" w:eastAsia="zh-CN"/>
              </w:rPr>
              <w:t>为</w:t>
            </w:r>
            <w:r>
              <w:rPr>
                <w:color w:val="auto"/>
              </w:rPr>
              <w:t>防止肉汁流失，或解冻过度</w:t>
            </w:r>
            <w:r>
              <w:rPr>
                <w:rFonts w:hint="eastAsia"/>
                <w:color w:val="auto"/>
                <w:lang w:eastAsia="zh-CN"/>
              </w:rPr>
              <w:t>，</w:t>
            </w:r>
            <w:r>
              <w:rPr>
                <w:color w:val="auto"/>
              </w:rPr>
              <w:t>夏秋季节解冻时间</w:t>
            </w:r>
            <w:r>
              <w:rPr>
                <w:rFonts w:hint="eastAsia"/>
                <w:color w:val="auto"/>
                <w:lang w:val="en-US" w:eastAsia="zh-CN"/>
              </w:rPr>
              <w:t>为</w:t>
            </w:r>
            <w:r>
              <w:rPr>
                <w:color w:val="auto"/>
              </w:rPr>
              <w:t>9~12小时，冬春季节</w:t>
            </w:r>
            <w:r>
              <w:rPr>
                <w:rFonts w:hint="eastAsia"/>
                <w:color w:val="auto"/>
                <w:lang w:val="en-US" w:eastAsia="zh-CN"/>
              </w:rPr>
              <w:t>解冻</w:t>
            </w:r>
            <w:r>
              <w:rPr>
                <w:color w:val="auto"/>
              </w:rPr>
              <w:t>时间</w:t>
            </w:r>
            <w:r>
              <w:rPr>
                <w:rFonts w:hint="eastAsia"/>
                <w:color w:val="auto"/>
                <w:lang w:val="en-US" w:eastAsia="zh-CN"/>
              </w:rPr>
              <w:t>为</w:t>
            </w:r>
            <w:r>
              <w:rPr>
                <w:color w:val="auto"/>
              </w:rPr>
              <w:t>20~24小时。</w:t>
            </w:r>
          </w:p>
          <w:p>
            <w:pPr>
              <w:ind w:firstLine="480"/>
              <w:rPr>
                <w:color w:val="auto"/>
              </w:rPr>
            </w:pPr>
            <w:r>
              <w:rPr>
                <w:color w:val="auto"/>
              </w:rPr>
              <w:t>③</w:t>
            </w:r>
            <w:r>
              <w:rPr>
                <w:rFonts w:hint="eastAsia"/>
                <w:color w:val="auto"/>
              </w:rPr>
              <w:t>修割、</w:t>
            </w:r>
            <w:r>
              <w:rPr>
                <w:color w:val="auto"/>
              </w:rPr>
              <w:t>清洗：</w:t>
            </w:r>
            <w:r>
              <w:rPr>
                <w:rFonts w:hint="eastAsia"/>
                <w:color w:val="auto"/>
                <w:lang w:val="en-US" w:eastAsia="zh-CN"/>
              </w:rPr>
              <w:t>人工</w:t>
            </w:r>
            <w:r>
              <w:rPr>
                <w:color w:val="auto"/>
              </w:rPr>
              <w:t>对肉</w:t>
            </w:r>
            <w:r>
              <w:rPr>
                <w:rFonts w:hint="eastAsia"/>
                <w:color w:val="auto"/>
                <w:lang w:val="en-US" w:eastAsia="zh-CN"/>
              </w:rPr>
              <w:t>原料</w:t>
            </w:r>
            <w:r>
              <w:rPr>
                <w:color w:val="auto"/>
              </w:rPr>
              <w:t>进行逐块检查，选出</w:t>
            </w:r>
            <w:r>
              <w:rPr>
                <w:rFonts w:hint="eastAsia"/>
                <w:color w:val="auto"/>
                <w:lang w:eastAsia="zh-CN"/>
              </w:rPr>
              <w:t>毛发</w:t>
            </w:r>
            <w:r>
              <w:rPr>
                <w:color w:val="auto"/>
              </w:rPr>
              <w:t>、骨渣、修去伤肉、淋巴及其它杂质</w:t>
            </w:r>
            <w:r>
              <w:rPr>
                <w:rFonts w:hint="eastAsia"/>
                <w:color w:val="auto"/>
              </w:rPr>
              <w:t>，</w:t>
            </w:r>
            <w:r>
              <w:rPr>
                <w:color w:val="auto"/>
              </w:rPr>
              <w:t>用</w:t>
            </w:r>
            <w:r>
              <w:rPr>
                <w:rFonts w:hint="eastAsia"/>
                <w:color w:val="auto"/>
                <w:lang w:val="en-US" w:eastAsia="zh-CN"/>
              </w:rPr>
              <w:t>清水对修整后的肉原料进行</w:t>
            </w:r>
            <w:r>
              <w:rPr>
                <w:color w:val="auto"/>
              </w:rPr>
              <w:t>清洗，洗去表面的污物</w:t>
            </w:r>
            <w:r>
              <w:rPr>
                <w:rFonts w:hint="eastAsia"/>
                <w:color w:val="auto"/>
                <w:lang w:eastAsia="zh-CN"/>
              </w:rPr>
              <w:t>，</w:t>
            </w:r>
            <w:r>
              <w:rPr>
                <w:rFonts w:hint="eastAsia"/>
                <w:color w:val="auto"/>
                <w:lang w:val="en-US" w:eastAsia="zh-CN"/>
              </w:rPr>
              <w:t>该工序会产生清洗废水</w:t>
            </w:r>
            <w:r>
              <w:rPr>
                <w:color w:val="auto"/>
              </w:rPr>
              <w:t>。</w:t>
            </w:r>
          </w:p>
          <w:p>
            <w:pPr>
              <w:ind w:firstLine="480"/>
              <w:rPr>
                <w:color w:val="auto"/>
              </w:rPr>
            </w:pPr>
            <w:r>
              <w:rPr>
                <w:rFonts w:hint="eastAsia"/>
                <w:color w:val="auto"/>
              </w:rPr>
              <w:t>④滚揉、装模</w:t>
            </w:r>
            <w:r>
              <w:rPr>
                <w:color w:val="auto"/>
              </w:rPr>
              <w:t>：先按配方配制好天然复合香料</w:t>
            </w:r>
            <w:r>
              <w:rPr>
                <w:rFonts w:hint="eastAsia"/>
                <w:color w:val="auto"/>
                <w:lang w:eastAsia="zh-CN"/>
              </w:rPr>
              <w:t>、</w:t>
            </w:r>
            <w:r>
              <w:rPr>
                <w:rFonts w:hint="eastAsia"/>
                <w:color w:val="auto"/>
                <w:lang w:val="en-US" w:eastAsia="zh-CN"/>
              </w:rPr>
              <w:t>食用盐等辅料，经供料系统</w:t>
            </w:r>
            <w:r>
              <w:rPr>
                <w:color w:val="auto"/>
              </w:rPr>
              <w:t>将称量好</w:t>
            </w:r>
            <w:r>
              <w:rPr>
                <w:rFonts w:hint="eastAsia"/>
                <w:color w:val="auto"/>
                <w:lang w:val="en-US" w:eastAsia="zh-CN"/>
              </w:rPr>
              <w:t>辅料</w:t>
            </w:r>
            <w:r>
              <w:rPr>
                <w:color w:val="auto"/>
              </w:rPr>
              <w:t>按工艺要求的比例</w:t>
            </w:r>
            <w:r>
              <w:rPr>
                <w:rFonts w:hint="eastAsia"/>
                <w:color w:val="auto"/>
                <w:lang w:val="en-US" w:eastAsia="zh-CN"/>
              </w:rPr>
              <w:t>与肉原料一起经</w:t>
            </w:r>
            <w:r>
              <w:rPr>
                <w:rFonts w:hint="eastAsia"/>
                <w:color w:val="auto"/>
              </w:rPr>
              <w:t>滚揉</w:t>
            </w:r>
            <w:r>
              <w:rPr>
                <w:color w:val="auto"/>
              </w:rPr>
              <w:t>机拌和均匀，分装于干净的</w:t>
            </w:r>
            <w:r>
              <w:rPr>
                <w:rFonts w:hint="eastAsia"/>
                <w:color w:val="auto"/>
              </w:rPr>
              <w:t>相应规格的</w:t>
            </w:r>
            <w:r>
              <w:rPr>
                <w:rFonts w:hint="eastAsia"/>
                <w:color w:val="auto"/>
                <w:lang w:val="en-US" w:eastAsia="zh-CN"/>
              </w:rPr>
              <w:t>不锈钢材质模具</w:t>
            </w:r>
            <w:r>
              <w:rPr>
                <w:rFonts w:hint="eastAsia"/>
                <w:color w:val="auto"/>
              </w:rPr>
              <w:t>中。</w:t>
            </w:r>
          </w:p>
          <w:p>
            <w:pPr>
              <w:ind w:firstLine="480"/>
              <w:rPr>
                <w:color w:val="auto"/>
              </w:rPr>
            </w:pPr>
            <w:r>
              <w:rPr>
                <w:rFonts w:hint="eastAsia"/>
                <w:color w:val="auto"/>
              </w:rPr>
              <w:t>⑤静置、成型：将模具放置冷库中先静置12</w:t>
            </w:r>
            <w:r>
              <w:rPr>
                <w:color w:val="auto"/>
              </w:rPr>
              <w:t>~</w:t>
            </w:r>
            <w:r>
              <w:rPr>
                <w:rFonts w:hint="eastAsia"/>
                <w:color w:val="auto"/>
              </w:rPr>
              <w:t>24</w:t>
            </w:r>
            <w:r>
              <w:rPr>
                <w:color w:val="auto"/>
              </w:rPr>
              <w:t>小时，</w:t>
            </w:r>
            <w:r>
              <w:rPr>
                <w:rFonts w:hint="eastAsia"/>
                <w:color w:val="auto"/>
              </w:rPr>
              <w:t>静置</w:t>
            </w:r>
            <w:r>
              <w:rPr>
                <w:color w:val="auto"/>
              </w:rPr>
              <w:t>室温为0~4℃。</w:t>
            </w:r>
            <w:r>
              <w:rPr>
                <w:rFonts w:hint="eastAsia"/>
                <w:color w:val="auto"/>
              </w:rPr>
              <w:t>然后将模具放置冻库中成型24</w:t>
            </w:r>
            <w:r>
              <w:rPr>
                <w:color w:val="auto"/>
              </w:rPr>
              <w:t>~</w:t>
            </w:r>
            <w:r>
              <w:rPr>
                <w:rFonts w:hint="eastAsia"/>
                <w:color w:val="auto"/>
              </w:rPr>
              <w:t>48</w:t>
            </w:r>
            <w:r>
              <w:rPr>
                <w:color w:val="auto"/>
              </w:rPr>
              <w:t>小时，</w:t>
            </w:r>
            <w:r>
              <w:rPr>
                <w:rFonts w:hint="eastAsia"/>
                <w:color w:val="auto"/>
              </w:rPr>
              <w:t>设置</w:t>
            </w:r>
            <w:r>
              <w:rPr>
                <w:color w:val="auto"/>
              </w:rPr>
              <w:t>室温为</w:t>
            </w:r>
            <w:r>
              <w:rPr>
                <w:rFonts w:hint="eastAsia"/>
                <w:color w:val="auto"/>
              </w:rPr>
              <w:t>-13</w:t>
            </w:r>
            <w:r>
              <w:rPr>
                <w:color w:val="auto"/>
              </w:rPr>
              <w:t>~</w:t>
            </w:r>
            <w:r>
              <w:rPr>
                <w:rFonts w:hint="eastAsia"/>
                <w:color w:val="auto"/>
              </w:rPr>
              <w:t>-17</w:t>
            </w:r>
            <w:r>
              <w:rPr>
                <w:color w:val="auto"/>
              </w:rPr>
              <w:t>℃</w:t>
            </w:r>
            <w:r>
              <w:rPr>
                <w:rFonts w:hint="eastAsia"/>
                <w:color w:val="auto"/>
              </w:rPr>
              <w:t>，使原料相应形状。</w:t>
            </w:r>
          </w:p>
          <w:p>
            <w:pPr>
              <w:ind w:firstLine="480"/>
              <w:rPr>
                <w:rFonts w:hint="eastAsia"/>
                <w:color w:val="auto"/>
              </w:rPr>
            </w:pPr>
            <w:r>
              <w:rPr>
                <w:rFonts w:hint="eastAsia"/>
                <w:color w:val="auto"/>
              </w:rPr>
              <w:t>⑥脱模、切片：将脱模后的原料</w:t>
            </w:r>
            <w:r>
              <w:rPr>
                <w:rFonts w:hint="eastAsia"/>
                <w:color w:val="auto"/>
                <w:lang w:val="en-US" w:eastAsia="zh-CN"/>
              </w:rPr>
              <w:t>经切肉机</w:t>
            </w:r>
            <w:r>
              <w:rPr>
                <w:rFonts w:hint="eastAsia"/>
                <w:color w:val="auto"/>
              </w:rPr>
              <w:t>按一定规格，</w:t>
            </w:r>
            <w:r>
              <w:rPr>
                <w:color w:val="auto"/>
              </w:rPr>
              <w:t>切为宽约</w:t>
            </w:r>
            <w:r>
              <w:rPr>
                <w:rFonts w:hint="eastAsia"/>
                <w:color w:val="auto"/>
              </w:rPr>
              <w:t>5</w:t>
            </w:r>
            <w:r>
              <w:rPr>
                <w:color w:val="auto"/>
              </w:rPr>
              <w:t>cm，长约</w:t>
            </w:r>
            <w:r>
              <w:rPr>
                <w:rFonts w:hint="eastAsia"/>
                <w:color w:val="auto"/>
              </w:rPr>
              <w:t>10</w:t>
            </w:r>
            <w:r>
              <w:rPr>
                <w:color w:val="auto"/>
              </w:rPr>
              <w:t>cm的</w:t>
            </w:r>
            <w:r>
              <w:rPr>
                <w:rFonts w:hint="eastAsia"/>
                <w:color w:val="auto"/>
              </w:rPr>
              <w:t>，厚度不等的规格</w:t>
            </w:r>
            <w:r>
              <w:rPr>
                <w:rFonts w:hint="eastAsia"/>
                <w:color w:val="auto"/>
                <w:lang w:val="en-US" w:eastAsia="zh-CN"/>
              </w:rPr>
              <w:t>的薄片</w:t>
            </w:r>
            <w:r>
              <w:rPr>
                <w:rFonts w:hint="eastAsia"/>
                <w:color w:val="auto"/>
              </w:rPr>
              <w:t>后</w:t>
            </w:r>
            <w:r>
              <w:rPr>
                <w:rFonts w:hint="eastAsia"/>
                <w:color w:val="auto"/>
                <w:lang w:val="en-US" w:eastAsia="zh-CN"/>
              </w:rPr>
              <w:t>由传送带经金属检测仪进行检测</w:t>
            </w:r>
            <w:r>
              <w:rPr>
                <w:color w:val="auto"/>
              </w:rPr>
              <w:t>，</w:t>
            </w:r>
            <w:r>
              <w:rPr>
                <w:rFonts w:hint="eastAsia"/>
                <w:color w:val="auto"/>
                <w:lang w:val="en-US" w:eastAsia="zh-CN"/>
              </w:rPr>
              <w:t>检测通过的原料准备计进行包装</w:t>
            </w:r>
            <w:r>
              <w:rPr>
                <w:rFonts w:hint="eastAsia"/>
                <w:color w:val="auto"/>
                <w:vertAlign w:val="baseline"/>
                <w:lang w:val="en-US" w:eastAsia="zh-CN"/>
              </w:rPr>
              <w:t>，</w:t>
            </w:r>
            <w:r>
              <w:rPr>
                <w:rFonts w:hint="eastAsia"/>
                <w:color w:val="auto"/>
                <w:lang w:val="en-US" w:eastAsia="zh-CN"/>
              </w:rPr>
              <w:t>该工序会产生</w:t>
            </w:r>
            <w:r>
              <w:rPr>
                <w:rFonts w:hint="eastAsia"/>
                <w:color w:val="auto"/>
              </w:rPr>
              <w:t>边角料</w:t>
            </w:r>
            <w:r>
              <w:rPr>
                <w:rFonts w:hint="eastAsia"/>
                <w:color w:val="auto"/>
                <w:lang w:eastAsia="zh-CN"/>
              </w:rPr>
              <w:t>。</w:t>
            </w:r>
          </w:p>
          <w:p>
            <w:pPr>
              <w:ind w:firstLine="480"/>
              <w:rPr>
                <w:color w:val="auto"/>
              </w:rPr>
            </w:pPr>
            <w:r>
              <w:rPr>
                <w:rFonts w:hint="eastAsia"/>
                <w:color w:val="auto"/>
                <w:lang w:val="en-US" w:eastAsia="zh-CN"/>
              </w:rPr>
              <w:t>注：本项目检测工段不涉及使用X光检测设备，金属检测仪的剔除方式采用声光报警、传送带自动停止的方式，</w:t>
            </w:r>
            <w:r>
              <w:rPr>
                <w:color w:val="auto"/>
              </w:rPr>
              <w:t>对剔出的</w:t>
            </w:r>
            <w:r>
              <w:rPr>
                <w:rFonts w:hint="eastAsia"/>
                <w:color w:val="auto"/>
                <w:lang w:val="en-US" w:eastAsia="zh-CN"/>
              </w:rPr>
              <w:t>物料</w:t>
            </w:r>
            <w:r>
              <w:rPr>
                <w:color w:val="auto"/>
              </w:rPr>
              <w:t>反复过机两次，如果仍被剔出，须取出送质检部切片找出异物。</w:t>
            </w:r>
          </w:p>
          <w:p>
            <w:pPr>
              <w:ind w:firstLine="480"/>
              <w:rPr>
                <w:rFonts w:hint="default" w:eastAsia="宋体"/>
                <w:color w:val="auto"/>
                <w:lang w:val="en-US" w:eastAsia="zh-CN"/>
              </w:rPr>
            </w:pPr>
            <w:r>
              <w:rPr>
                <w:color w:val="auto"/>
              </w:rPr>
              <w:t>⑦</w:t>
            </w:r>
            <w:r>
              <w:rPr>
                <w:rFonts w:hint="eastAsia"/>
                <w:color w:val="auto"/>
              </w:rPr>
              <w:t>包装</w:t>
            </w:r>
            <w:r>
              <w:rPr>
                <w:rFonts w:hint="eastAsia"/>
                <w:color w:val="auto"/>
                <w:lang w:eastAsia="zh-CN"/>
              </w:rPr>
              <w:t>：</w:t>
            </w:r>
            <w:r>
              <w:rPr>
                <w:rFonts w:hint="eastAsia"/>
                <w:color w:val="auto"/>
                <w:lang w:val="en-US" w:eastAsia="zh-CN"/>
              </w:rPr>
              <w:t>经检验合格的原材料</w:t>
            </w:r>
            <w:r>
              <w:rPr>
                <w:color w:val="auto"/>
              </w:rPr>
              <w:t>按规定的配方进行准确称量</w:t>
            </w:r>
            <w:r>
              <w:rPr>
                <w:rFonts w:hint="eastAsia"/>
                <w:color w:val="auto"/>
                <w:lang w:eastAsia="zh-CN"/>
              </w:rPr>
              <w:t>，</w:t>
            </w:r>
            <w:r>
              <w:rPr>
                <w:rFonts w:hint="eastAsia"/>
                <w:color w:val="auto"/>
                <w:lang w:val="en-US" w:eastAsia="zh-CN"/>
              </w:rPr>
              <w:t>称量完成的原料经全自动打包设备进行包装，</w:t>
            </w:r>
            <w:r>
              <w:rPr>
                <w:color w:val="auto"/>
              </w:rPr>
              <w:t>500克以下的</w:t>
            </w:r>
            <w:r>
              <w:rPr>
                <w:rFonts w:hint="eastAsia"/>
                <w:color w:val="auto"/>
                <w:lang w:eastAsia="zh-CN"/>
              </w:rPr>
              <w:t>包装量</w:t>
            </w:r>
            <w:r>
              <w:rPr>
                <w:color w:val="auto"/>
              </w:rPr>
              <w:t>允许误差为±3%；</w:t>
            </w:r>
            <w:r>
              <w:rPr>
                <w:rFonts w:hint="eastAsia"/>
                <w:color w:val="auto"/>
                <w:lang w:eastAsia="zh-CN"/>
              </w:rPr>
              <w:t>包装量</w:t>
            </w:r>
            <w:r>
              <w:rPr>
                <w:color w:val="auto"/>
              </w:rPr>
              <w:t>在1000克或以上的产品其</w:t>
            </w:r>
            <w:r>
              <w:rPr>
                <w:rFonts w:hint="eastAsia"/>
                <w:color w:val="auto"/>
                <w:lang w:val="en-US" w:eastAsia="zh-CN"/>
              </w:rPr>
              <w:t>包装量</w:t>
            </w:r>
            <w:r>
              <w:rPr>
                <w:color w:val="auto"/>
              </w:rPr>
              <w:t>允许误差﹤1%。</w:t>
            </w:r>
            <w:r>
              <w:rPr>
                <w:rFonts w:hint="eastAsia"/>
                <w:color w:val="auto"/>
                <w:lang w:val="en-US" w:eastAsia="zh-CN"/>
              </w:rPr>
              <w:t>包装</w:t>
            </w:r>
            <w:r>
              <w:rPr>
                <w:color w:val="auto"/>
              </w:rPr>
              <w:t>过程中每5min对</w:t>
            </w:r>
            <w:r>
              <w:rPr>
                <w:rFonts w:hint="eastAsia"/>
                <w:color w:val="auto"/>
                <w:lang w:eastAsia="zh-CN"/>
              </w:rPr>
              <w:t>包装量</w:t>
            </w:r>
            <w:r>
              <w:rPr>
                <w:color w:val="auto"/>
              </w:rPr>
              <w:t>进行</w:t>
            </w:r>
            <w:r>
              <w:rPr>
                <w:rFonts w:hint="eastAsia"/>
                <w:color w:val="auto"/>
                <w:lang w:val="en-US" w:eastAsia="zh-CN"/>
              </w:rPr>
              <w:t>人工复称</w:t>
            </w:r>
            <w:r>
              <w:rPr>
                <w:color w:val="auto"/>
              </w:rPr>
              <w:t>抽查，每</w:t>
            </w:r>
            <w:r>
              <w:rPr>
                <w:rFonts w:hint="eastAsia"/>
                <w:color w:val="auto"/>
                <w:lang w:val="en-US" w:eastAsia="zh-CN"/>
              </w:rPr>
              <w:t>1h</w:t>
            </w:r>
            <w:r>
              <w:rPr>
                <w:color w:val="auto"/>
              </w:rPr>
              <w:t>记录一次。</w:t>
            </w:r>
          </w:p>
          <w:p>
            <w:pPr>
              <w:ind w:firstLine="480"/>
              <w:rPr>
                <w:color w:val="auto"/>
              </w:rPr>
            </w:pPr>
            <w:r>
              <w:rPr>
                <w:rFonts w:hint="eastAsia"/>
                <w:color w:val="auto"/>
              </w:rPr>
              <w:t>⑧</w:t>
            </w:r>
            <w:r>
              <w:rPr>
                <w:color w:val="auto"/>
              </w:rPr>
              <w:t>入库：</w:t>
            </w:r>
            <w:r>
              <w:rPr>
                <w:rFonts w:hint="eastAsia"/>
                <w:color w:val="auto"/>
                <w:lang w:val="en-US" w:eastAsia="zh-CN"/>
              </w:rPr>
              <w:t>由工人运送至库房</w:t>
            </w:r>
            <w:r>
              <w:rPr>
                <w:rFonts w:hint="eastAsia"/>
                <w:color w:val="auto"/>
                <w:lang w:eastAsia="zh-CN"/>
              </w:rPr>
              <w:t>，</w:t>
            </w:r>
            <w:r>
              <w:rPr>
                <w:color w:val="auto"/>
              </w:rPr>
              <w:t>发运前库房应向质检部提出检验申请，经质检部检验合格</w:t>
            </w:r>
            <w:r>
              <w:rPr>
                <w:rFonts w:hint="eastAsia"/>
                <w:color w:val="auto"/>
                <w:lang w:eastAsia="zh-CN"/>
              </w:rPr>
              <w:t>（</w:t>
            </w:r>
            <w:r>
              <w:rPr>
                <w:color w:val="auto"/>
              </w:rPr>
              <w:t>挑选出</w:t>
            </w:r>
            <w:r>
              <w:rPr>
                <w:rFonts w:hint="eastAsia"/>
                <w:color w:val="auto"/>
                <w:lang w:val="en-US" w:eastAsia="zh-CN"/>
              </w:rPr>
              <w:t>漏气、破损</w:t>
            </w:r>
            <w:r>
              <w:rPr>
                <w:color w:val="auto"/>
              </w:rPr>
              <w:t>以及封口有缺陷的产品</w:t>
            </w:r>
            <w:r>
              <w:rPr>
                <w:rFonts w:hint="eastAsia"/>
                <w:color w:val="auto"/>
                <w:lang w:eastAsia="zh-CN"/>
              </w:rPr>
              <w:t>）</w:t>
            </w:r>
            <w:r>
              <w:rPr>
                <w:color w:val="auto"/>
              </w:rPr>
              <w:t>的成品才能发运。成品库清洁、干燥，运输车辆清洁无污染。</w:t>
            </w: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p>
          <w:p>
            <w:pPr>
              <w:adjustRightInd w:val="0"/>
              <w:snapToGrid w:val="0"/>
              <w:ind w:firstLine="482"/>
              <w:rPr>
                <w:b/>
                <w:color w:val="auto"/>
                <w:szCs w:val="21"/>
              </w:rPr>
            </w:pPr>
            <w:r>
              <w:rPr>
                <w:b/>
                <w:color w:val="auto"/>
                <w:szCs w:val="21"/>
              </w:rPr>
              <w:t>（</w:t>
            </w:r>
            <w:r>
              <w:rPr>
                <w:rFonts w:hint="eastAsia"/>
                <w:b/>
                <w:color w:val="auto"/>
                <w:szCs w:val="21"/>
              </w:rPr>
              <w:t>四</w:t>
            </w:r>
            <w:r>
              <w:rPr>
                <w:b/>
                <w:color w:val="auto"/>
                <w:szCs w:val="21"/>
              </w:rPr>
              <w:t>）</w:t>
            </w:r>
            <w:r>
              <w:rPr>
                <w:rFonts w:hint="eastAsia"/>
                <w:b/>
                <w:color w:val="auto"/>
                <w:szCs w:val="21"/>
              </w:rPr>
              <w:t>小酥肉</w:t>
            </w:r>
            <w:r>
              <w:rPr>
                <w:b/>
                <w:color w:val="auto"/>
                <w:szCs w:val="21"/>
              </w:rPr>
              <w:t>产品工艺流程</w:t>
            </w:r>
          </w:p>
          <w:p>
            <w:pPr>
              <w:adjustRightInd w:val="0"/>
              <w:snapToGrid w:val="0"/>
              <w:ind w:firstLine="0" w:firstLineChars="0"/>
              <w:jc w:val="both"/>
              <w:rPr>
                <w:bCs/>
                <w:color w:val="auto"/>
                <w:szCs w:val="21"/>
              </w:rPr>
            </w:pPr>
            <w:r>
              <w:rPr>
                <w:bCs/>
                <w:color w:val="auto"/>
                <w:szCs w:val="21"/>
              </w:rPr>
              <w:object>
                <v:shape id="_x0000_i1028" o:spt="75" type="#_x0000_t75" style="height:378.35pt;width:446.7pt;" o:ole="t" filled="f" o:preferrelative="t" stroked="f" coordsize="21600,21600">
                  <v:path/>
                  <v:fill on="f" focussize="0,0"/>
                  <v:stroke on="f"/>
                  <v:imagedata r:id="rId24" o:title=""/>
                  <o:lock v:ext="edit" aspectratio="f"/>
                  <w10:wrap type="none"/>
                  <w10:anchorlock/>
                </v:shape>
                <o:OLEObject Type="Embed" ProgID="Word.Document.8" ShapeID="_x0000_i1028" DrawAspect="Content" ObjectID="_1468075728" r:id="rId23">
                  <o:LockedField>false</o:LockedField>
                </o:OLEObject>
              </w:object>
            </w:r>
          </w:p>
          <w:p>
            <w:pPr>
              <w:pStyle w:val="11"/>
              <w:jc w:val="center"/>
              <w:rPr>
                <w:b/>
                <w:bCs/>
                <w:color w:val="auto"/>
              </w:rPr>
            </w:pPr>
            <w:r>
              <w:rPr>
                <w:b/>
                <w:bCs/>
                <w:color w:val="auto"/>
              </w:rPr>
              <w:t>图2-</w:t>
            </w:r>
            <w:r>
              <w:rPr>
                <w:rFonts w:hint="eastAsia"/>
                <w:b/>
                <w:bCs/>
                <w:color w:val="auto"/>
              </w:rPr>
              <w:t>4</w:t>
            </w:r>
            <w:r>
              <w:rPr>
                <w:b/>
                <w:bCs/>
                <w:color w:val="auto"/>
              </w:rPr>
              <w:t xml:space="preserve"> </w:t>
            </w:r>
            <w:r>
              <w:rPr>
                <w:rFonts w:hint="eastAsia"/>
                <w:b/>
                <w:bCs/>
                <w:color w:val="auto"/>
              </w:rPr>
              <w:t>小酥肉产品</w:t>
            </w:r>
            <w:r>
              <w:rPr>
                <w:b/>
                <w:bCs/>
                <w:color w:val="auto"/>
              </w:rPr>
              <w:t>生产工艺流程及产污环节图</w:t>
            </w:r>
          </w:p>
          <w:p>
            <w:pPr>
              <w:spacing w:line="240" w:lineRule="auto"/>
              <w:ind w:firstLine="480"/>
              <w:rPr>
                <w:color w:val="auto"/>
              </w:rPr>
            </w:pPr>
          </w:p>
          <w:p>
            <w:pPr>
              <w:ind w:firstLine="480"/>
              <w:rPr>
                <w:color w:val="auto"/>
              </w:rPr>
            </w:pPr>
            <w:r>
              <w:rPr>
                <w:rFonts w:hint="eastAsia"/>
                <w:color w:val="auto"/>
                <w:lang w:val="en-US" w:eastAsia="zh-CN"/>
              </w:rPr>
              <w:t>小酥肉产品生产线位于1号生产车间第2层，其</w:t>
            </w:r>
            <w:r>
              <w:rPr>
                <w:color w:val="auto"/>
              </w:rPr>
              <w:t>工艺流程</w:t>
            </w:r>
            <w:r>
              <w:rPr>
                <w:rFonts w:hint="eastAsia"/>
                <w:color w:val="auto"/>
                <w:lang w:val="en-US" w:eastAsia="zh-CN"/>
              </w:rPr>
              <w:t>如下</w:t>
            </w:r>
            <w:r>
              <w:rPr>
                <w:color w:val="auto"/>
              </w:rPr>
              <w:t>：</w:t>
            </w:r>
          </w:p>
          <w:p>
            <w:pPr>
              <w:ind w:firstLine="480"/>
              <w:rPr>
                <w:color w:val="auto"/>
              </w:rPr>
            </w:pPr>
            <w:r>
              <w:rPr>
                <w:color w:val="auto"/>
              </w:rPr>
              <w:t>①原料的验收：来自非疫区健康良好的畜禽，宰前宰后经兽医检验合格的原料。有动物检疫合格证明，出口产品的原料要来源于出口食品生产企业备案的肉联厂。</w:t>
            </w:r>
          </w:p>
          <w:p>
            <w:pPr>
              <w:ind w:firstLine="480"/>
              <w:rPr>
                <w:color w:val="auto"/>
              </w:rPr>
            </w:pPr>
            <w:r>
              <w:rPr>
                <w:color w:val="auto"/>
              </w:rPr>
              <w:t>进场肉原料在厂区内冻库中暂存中转，</w:t>
            </w:r>
            <w:r>
              <w:rPr>
                <w:rFonts w:hint="eastAsia"/>
                <w:color w:val="auto"/>
                <w:lang w:val="en-US" w:eastAsia="zh-CN"/>
              </w:rPr>
              <w:t>2号冻库设计储存约200t原材料，储存周期约10d</w:t>
            </w:r>
            <w:r>
              <w:rPr>
                <w:rFonts w:hint="eastAsia"/>
                <w:color w:val="auto"/>
                <w:lang w:eastAsia="zh-CN"/>
              </w:rPr>
              <w:t>，</w:t>
            </w:r>
            <w:r>
              <w:rPr>
                <w:color w:val="auto"/>
              </w:rPr>
              <w:t>使用R404A作为环保制冷剂，冷库内温度保持在零下12到17摄氏度。</w:t>
            </w:r>
          </w:p>
          <w:p>
            <w:pPr>
              <w:ind w:firstLine="480"/>
              <w:rPr>
                <w:rFonts w:hint="eastAsia" w:eastAsia="宋体"/>
                <w:color w:val="auto"/>
                <w:lang w:eastAsia="zh-CN"/>
              </w:rPr>
            </w:pPr>
            <w:r>
              <w:rPr>
                <w:color w:val="auto"/>
              </w:rPr>
              <w:t>②原料解冻：肉原料解冻按生产需要采取自然解冻</w:t>
            </w:r>
            <w:r>
              <w:rPr>
                <w:rFonts w:hint="eastAsia"/>
                <w:color w:val="auto"/>
                <w:lang w:eastAsia="zh-CN"/>
              </w:rPr>
              <w:t>，</w:t>
            </w:r>
            <w:r>
              <w:rPr>
                <w:color w:val="auto"/>
              </w:rPr>
              <w:t>解冻室湿度</w:t>
            </w:r>
            <w:r>
              <w:rPr>
                <w:rFonts w:hint="eastAsia"/>
                <w:color w:val="auto"/>
                <w:lang w:val="en-US" w:eastAsia="zh-CN"/>
              </w:rPr>
              <w:t>控制在</w:t>
            </w:r>
            <w:r>
              <w:rPr>
                <w:color w:val="auto"/>
              </w:rPr>
              <w:t>85%</w:t>
            </w:r>
            <w:r>
              <w:rPr>
                <w:rFonts w:hint="eastAsia"/>
                <w:color w:val="auto"/>
                <w:lang w:val="en-US" w:eastAsia="zh-CN"/>
              </w:rPr>
              <w:t>左右</w:t>
            </w:r>
            <w:r>
              <w:rPr>
                <w:color w:val="auto"/>
              </w:rPr>
              <w:t>、</w:t>
            </w:r>
            <w:r>
              <w:rPr>
                <w:rFonts w:hint="eastAsia"/>
                <w:color w:val="auto"/>
                <w:lang w:val="en-US" w:eastAsia="zh-CN"/>
              </w:rPr>
              <w:t>温度控制在0~5</w:t>
            </w:r>
            <w:r>
              <w:rPr>
                <w:color w:val="auto"/>
              </w:rPr>
              <w:t>℃，</w:t>
            </w:r>
            <w:r>
              <w:rPr>
                <w:rFonts w:hint="eastAsia"/>
                <w:color w:val="auto"/>
                <w:lang w:val="en-US" w:eastAsia="zh-CN"/>
              </w:rPr>
              <w:t>为</w:t>
            </w:r>
            <w:r>
              <w:rPr>
                <w:color w:val="auto"/>
              </w:rPr>
              <w:t>防止肉汁流失，或解冻过度</w:t>
            </w:r>
            <w:r>
              <w:rPr>
                <w:rFonts w:hint="eastAsia"/>
                <w:color w:val="auto"/>
                <w:lang w:eastAsia="zh-CN"/>
              </w:rPr>
              <w:t>，</w:t>
            </w:r>
            <w:r>
              <w:rPr>
                <w:color w:val="auto"/>
              </w:rPr>
              <w:t>夏秋季节解冻时间</w:t>
            </w:r>
            <w:r>
              <w:rPr>
                <w:rFonts w:hint="eastAsia"/>
                <w:color w:val="auto"/>
                <w:lang w:val="en-US" w:eastAsia="zh-CN"/>
              </w:rPr>
              <w:t>为</w:t>
            </w:r>
            <w:r>
              <w:rPr>
                <w:color w:val="auto"/>
              </w:rPr>
              <w:t>9~12小时，冬春季节</w:t>
            </w:r>
            <w:r>
              <w:rPr>
                <w:rFonts w:hint="eastAsia"/>
                <w:color w:val="auto"/>
                <w:lang w:val="en-US" w:eastAsia="zh-CN"/>
              </w:rPr>
              <w:t>解冻</w:t>
            </w:r>
            <w:r>
              <w:rPr>
                <w:color w:val="auto"/>
              </w:rPr>
              <w:t>时间</w:t>
            </w:r>
            <w:r>
              <w:rPr>
                <w:rFonts w:hint="eastAsia"/>
                <w:color w:val="auto"/>
                <w:lang w:val="en-US" w:eastAsia="zh-CN"/>
              </w:rPr>
              <w:t>为</w:t>
            </w:r>
            <w:r>
              <w:rPr>
                <w:color w:val="auto"/>
              </w:rPr>
              <w:t>20~24小时。</w:t>
            </w:r>
          </w:p>
          <w:p>
            <w:pPr>
              <w:ind w:firstLine="480"/>
              <w:rPr>
                <w:color w:val="auto"/>
              </w:rPr>
            </w:pPr>
            <w:r>
              <w:rPr>
                <w:color w:val="auto"/>
              </w:rPr>
              <w:t>③清洗</w:t>
            </w:r>
            <w:r>
              <w:rPr>
                <w:rFonts w:hint="eastAsia"/>
                <w:color w:val="auto"/>
              </w:rPr>
              <w:t>、切条</w:t>
            </w:r>
            <w:r>
              <w:rPr>
                <w:color w:val="auto"/>
              </w:rPr>
              <w:t>：</w:t>
            </w:r>
            <w:r>
              <w:rPr>
                <w:rFonts w:hint="eastAsia"/>
                <w:color w:val="auto"/>
                <w:lang w:val="en-US" w:eastAsia="zh-CN"/>
              </w:rPr>
              <w:t>人工</w:t>
            </w:r>
            <w:r>
              <w:rPr>
                <w:color w:val="auto"/>
              </w:rPr>
              <w:t>对肉</w:t>
            </w:r>
            <w:r>
              <w:rPr>
                <w:rFonts w:hint="eastAsia"/>
                <w:color w:val="auto"/>
                <w:lang w:val="en-US" w:eastAsia="zh-CN"/>
              </w:rPr>
              <w:t>原料</w:t>
            </w:r>
            <w:r>
              <w:rPr>
                <w:color w:val="auto"/>
              </w:rPr>
              <w:t>进行逐块检查，选出</w:t>
            </w:r>
            <w:r>
              <w:rPr>
                <w:rFonts w:hint="eastAsia"/>
                <w:color w:val="auto"/>
                <w:lang w:eastAsia="zh-CN"/>
              </w:rPr>
              <w:t>毛发</w:t>
            </w:r>
            <w:r>
              <w:rPr>
                <w:color w:val="auto"/>
              </w:rPr>
              <w:t>、骨渣、修去伤肉、淋巴及其它杂质</w:t>
            </w:r>
            <w:r>
              <w:rPr>
                <w:rFonts w:hint="eastAsia"/>
                <w:color w:val="auto"/>
              </w:rPr>
              <w:t>，</w:t>
            </w:r>
            <w:r>
              <w:rPr>
                <w:color w:val="auto"/>
              </w:rPr>
              <w:t>用</w:t>
            </w:r>
            <w:r>
              <w:rPr>
                <w:rFonts w:hint="eastAsia"/>
                <w:color w:val="auto"/>
                <w:lang w:val="en-US" w:eastAsia="zh-CN"/>
              </w:rPr>
              <w:t>清水对修整后的肉原料进行</w:t>
            </w:r>
            <w:r>
              <w:rPr>
                <w:color w:val="auto"/>
              </w:rPr>
              <w:t>清洗，洗去表面的污物</w:t>
            </w:r>
            <w:r>
              <w:rPr>
                <w:rFonts w:hint="eastAsia"/>
                <w:color w:val="auto"/>
                <w:lang w:eastAsia="zh-CN"/>
              </w:rPr>
              <w:t>，</w:t>
            </w:r>
            <w:r>
              <w:rPr>
                <w:rFonts w:hint="eastAsia"/>
                <w:color w:val="auto"/>
                <w:lang w:val="en-US" w:eastAsia="zh-CN"/>
              </w:rPr>
              <w:t>然后经切肉机将肉原料</w:t>
            </w:r>
            <w:r>
              <w:rPr>
                <w:color w:val="auto"/>
              </w:rPr>
              <w:t>切为宽约</w:t>
            </w:r>
            <w:r>
              <w:rPr>
                <w:rFonts w:hint="eastAsia"/>
                <w:color w:val="auto"/>
              </w:rPr>
              <w:t>1</w:t>
            </w:r>
            <w:r>
              <w:rPr>
                <w:color w:val="auto"/>
              </w:rPr>
              <w:t>cm，长约</w:t>
            </w:r>
            <w:r>
              <w:rPr>
                <w:rFonts w:hint="eastAsia"/>
                <w:color w:val="auto"/>
              </w:rPr>
              <w:t>5</w:t>
            </w:r>
            <w:r>
              <w:rPr>
                <w:color w:val="auto"/>
              </w:rPr>
              <w:t>cm的</w:t>
            </w:r>
            <w:r>
              <w:rPr>
                <w:rFonts w:hint="eastAsia"/>
                <w:color w:val="auto"/>
              </w:rPr>
              <w:t>条状</w:t>
            </w:r>
            <w:r>
              <w:rPr>
                <w:color w:val="auto"/>
              </w:rPr>
              <w:t>肉后准备进行</w:t>
            </w:r>
            <w:r>
              <w:rPr>
                <w:rFonts w:hint="eastAsia"/>
                <w:color w:val="auto"/>
              </w:rPr>
              <w:t>挂桨</w:t>
            </w:r>
            <w:r>
              <w:rPr>
                <w:rFonts w:hint="eastAsia"/>
                <w:color w:val="auto"/>
                <w:lang w:eastAsia="zh-CN"/>
              </w:rPr>
              <w:t>，</w:t>
            </w:r>
            <w:r>
              <w:rPr>
                <w:rFonts w:hint="eastAsia"/>
                <w:color w:val="auto"/>
                <w:lang w:val="en-US" w:eastAsia="zh-CN"/>
              </w:rPr>
              <w:t>该工序会产生清洗废水、边角料</w:t>
            </w:r>
            <w:r>
              <w:rPr>
                <w:color w:val="auto"/>
              </w:rPr>
              <w:t>。</w:t>
            </w:r>
          </w:p>
          <w:p>
            <w:pPr>
              <w:ind w:firstLine="480"/>
              <w:rPr>
                <w:color w:val="auto"/>
              </w:rPr>
            </w:pPr>
            <w:r>
              <w:rPr>
                <w:color w:val="auto"/>
              </w:rPr>
              <w:t>④</w:t>
            </w:r>
            <w:r>
              <w:rPr>
                <w:rFonts w:hint="eastAsia"/>
                <w:color w:val="auto"/>
              </w:rPr>
              <w:t>挂桨</w:t>
            </w:r>
            <w:r>
              <w:rPr>
                <w:color w:val="auto"/>
              </w:rPr>
              <w:t>：先按配方配制好天然复合香料</w:t>
            </w:r>
            <w:r>
              <w:rPr>
                <w:rFonts w:hint="eastAsia"/>
                <w:color w:val="auto"/>
                <w:lang w:eastAsia="zh-CN"/>
              </w:rPr>
              <w:t>、</w:t>
            </w:r>
            <w:r>
              <w:rPr>
                <w:rFonts w:hint="eastAsia"/>
                <w:color w:val="auto"/>
                <w:lang w:val="en-US" w:eastAsia="zh-CN"/>
              </w:rPr>
              <w:t>食用盐、淀粉</w:t>
            </w:r>
            <w:r>
              <w:rPr>
                <w:rFonts w:hint="eastAsia"/>
                <w:lang w:eastAsia="zh-CN"/>
              </w:rPr>
              <w:t>、</w:t>
            </w:r>
            <w:r>
              <w:rPr>
                <w:rFonts w:hint="eastAsia"/>
                <w:lang w:val="en-US" w:eastAsia="zh-CN"/>
              </w:rPr>
              <w:t>鸡蛋</w:t>
            </w:r>
            <w:r>
              <w:rPr>
                <w:rFonts w:hint="eastAsia"/>
                <w:color w:val="auto"/>
                <w:lang w:val="en-US" w:eastAsia="zh-CN"/>
              </w:rPr>
              <w:t>等辅料，经供料系统</w:t>
            </w:r>
            <w:r>
              <w:rPr>
                <w:color w:val="auto"/>
              </w:rPr>
              <w:t>将称量好</w:t>
            </w:r>
            <w:r>
              <w:rPr>
                <w:rFonts w:hint="eastAsia"/>
                <w:color w:val="auto"/>
                <w:lang w:val="en-US" w:eastAsia="zh-CN"/>
              </w:rPr>
              <w:t>辅料</w:t>
            </w:r>
            <w:r>
              <w:rPr>
                <w:color w:val="auto"/>
              </w:rPr>
              <w:t>按工艺要求的比例</w:t>
            </w:r>
            <w:r>
              <w:rPr>
                <w:rFonts w:hint="eastAsia"/>
                <w:color w:val="auto"/>
                <w:lang w:val="en-US" w:eastAsia="zh-CN"/>
              </w:rPr>
              <w:t>与肉原料一起经</w:t>
            </w:r>
            <w:r>
              <w:rPr>
                <w:rFonts w:hint="eastAsia"/>
                <w:color w:val="auto"/>
              </w:rPr>
              <w:t>滚揉</w:t>
            </w:r>
            <w:r>
              <w:rPr>
                <w:color w:val="auto"/>
              </w:rPr>
              <w:t>机拌和均匀。</w:t>
            </w:r>
          </w:p>
          <w:p>
            <w:pPr>
              <w:ind w:firstLine="480"/>
              <w:rPr>
                <w:rFonts w:hint="default" w:eastAsia="宋体"/>
                <w:color w:val="auto"/>
                <w:lang w:val="en-US" w:eastAsia="zh-CN"/>
              </w:rPr>
            </w:pPr>
            <w:r>
              <w:rPr>
                <w:color w:val="auto"/>
              </w:rPr>
              <w:t>⑤油炸：</w:t>
            </w:r>
            <w:r>
              <w:rPr>
                <w:rFonts w:hint="eastAsia"/>
                <w:color w:val="auto"/>
                <w:lang w:val="en-US" w:eastAsia="zh-CN"/>
              </w:rPr>
              <w:t>经挂桨工序完成的肉原料经油炸生产线进行油炸，在油炸的过程中，油温控制在160</w:t>
            </w:r>
            <w:r>
              <w:rPr>
                <w:color w:val="auto"/>
              </w:rPr>
              <w:t>℃</w:t>
            </w:r>
            <w:r>
              <w:rPr>
                <w:rFonts w:hint="eastAsia"/>
                <w:color w:val="auto"/>
                <w:lang w:val="en-US" w:eastAsia="zh-CN"/>
              </w:rPr>
              <w:t>左右</w:t>
            </w:r>
            <w:r>
              <w:rPr>
                <w:color w:val="auto"/>
              </w:rPr>
              <w:t>，炸至</w:t>
            </w:r>
            <w:r>
              <w:rPr>
                <w:rFonts w:hint="eastAsia"/>
                <w:color w:val="auto"/>
                <w:lang w:val="en-US" w:eastAsia="zh-CN"/>
              </w:rPr>
              <w:t>外皮酥脆成金黄色</w:t>
            </w:r>
            <w:r>
              <w:rPr>
                <w:color w:val="auto"/>
              </w:rPr>
              <w:t>，油炸时间</w:t>
            </w:r>
            <w:r>
              <w:rPr>
                <w:rFonts w:hint="eastAsia"/>
                <w:color w:val="auto"/>
                <w:lang w:val="en-US" w:eastAsia="zh-CN"/>
              </w:rPr>
              <w:t>3min</w:t>
            </w:r>
            <w:r>
              <w:rPr>
                <w:rFonts w:hint="eastAsia"/>
                <w:color w:val="auto"/>
                <w:lang w:eastAsia="zh-CN"/>
              </w:rPr>
              <w:t>，</w:t>
            </w:r>
            <w:r>
              <w:rPr>
                <w:rFonts w:hint="eastAsia"/>
                <w:color w:val="auto"/>
                <w:lang w:val="en-US" w:eastAsia="zh-CN"/>
              </w:rPr>
              <w:t>该工序会产生油炸废气</w:t>
            </w:r>
            <w:r>
              <w:rPr>
                <w:color w:val="auto"/>
              </w:rPr>
              <w:t>。</w:t>
            </w:r>
          </w:p>
          <w:p>
            <w:pPr>
              <w:ind w:firstLine="480"/>
              <w:rPr>
                <w:rFonts w:hint="default" w:eastAsia="宋体"/>
                <w:color w:val="auto"/>
                <w:lang w:val="en-US" w:eastAsia="zh-CN"/>
              </w:rPr>
            </w:pPr>
            <w:r>
              <w:rPr>
                <w:rFonts w:hint="eastAsia"/>
                <w:color w:val="auto"/>
                <w:lang w:val="en-US" w:eastAsia="zh-CN"/>
              </w:rPr>
              <w:t>注：本项目的食用油储存在油罐中，1号车间共设置3个16t储油罐，共计储存约48t食用油，经管道计量设备运送至油炸生产线，经业主单位介绍，项目油炸工序未使用完的食用油循环使用，一般循环2~3次即可使用完毕，不外排食用油。</w:t>
            </w:r>
          </w:p>
          <w:p>
            <w:pPr>
              <w:ind w:firstLine="480"/>
              <w:rPr>
                <w:color w:val="auto"/>
              </w:rPr>
            </w:pPr>
            <w:r>
              <w:rPr>
                <w:color w:val="auto"/>
              </w:rPr>
              <w:t>⑥</w:t>
            </w:r>
            <w:r>
              <w:rPr>
                <w:rFonts w:hint="eastAsia"/>
                <w:color w:val="auto"/>
              </w:rPr>
              <w:t>冷却：将油炸后的小酥肉平摊至操作台，在冷风机的作用下，加速冷却定型，增加脆性</w:t>
            </w:r>
            <w:r>
              <w:rPr>
                <w:rFonts w:hint="eastAsia"/>
                <w:color w:val="auto"/>
                <w:lang w:eastAsia="zh-CN"/>
              </w:rPr>
              <w:t>，</w:t>
            </w:r>
            <w:r>
              <w:rPr>
                <w:rFonts w:hint="eastAsia"/>
                <w:color w:val="auto"/>
                <w:lang w:val="en-US" w:eastAsia="zh-CN"/>
              </w:rPr>
              <w:t>由传送带经金属检测仪进行检测</w:t>
            </w:r>
            <w:r>
              <w:rPr>
                <w:color w:val="auto"/>
              </w:rPr>
              <w:t>，</w:t>
            </w:r>
            <w:r>
              <w:rPr>
                <w:rFonts w:hint="eastAsia"/>
                <w:color w:val="auto"/>
                <w:lang w:val="en-US" w:eastAsia="zh-CN"/>
              </w:rPr>
              <w:t>检测通过的原料准备计进行包装</w:t>
            </w:r>
            <w:r>
              <w:rPr>
                <w:rFonts w:hint="eastAsia"/>
                <w:color w:val="auto"/>
              </w:rPr>
              <w:t>。</w:t>
            </w:r>
          </w:p>
          <w:p>
            <w:pPr>
              <w:ind w:firstLine="480"/>
              <w:rPr>
                <w:color w:val="auto"/>
              </w:rPr>
            </w:pPr>
            <w:r>
              <w:rPr>
                <w:rFonts w:hint="eastAsia"/>
                <w:color w:val="auto"/>
                <w:lang w:val="en-US" w:eastAsia="zh-CN"/>
              </w:rPr>
              <w:t>注：本项目检测工段不涉及使用X光检测设备，金属检测仪的剔除方式采用声光报警、传送带自动停止的方式，</w:t>
            </w:r>
            <w:r>
              <w:rPr>
                <w:color w:val="auto"/>
              </w:rPr>
              <w:t>对剔出的</w:t>
            </w:r>
            <w:r>
              <w:rPr>
                <w:rFonts w:hint="eastAsia"/>
                <w:color w:val="auto"/>
                <w:lang w:val="en-US" w:eastAsia="zh-CN"/>
              </w:rPr>
              <w:t>物料</w:t>
            </w:r>
            <w:r>
              <w:rPr>
                <w:color w:val="auto"/>
              </w:rPr>
              <w:t>反复过机两次，如果仍被剔出，须取出送质检部切片找出异物。</w:t>
            </w:r>
          </w:p>
          <w:p>
            <w:pPr>
              <w:ind w:firstLine="480"/>
              <w:rPr>
                <w:color w:val="auto"/>
              </w:rPr>
            </w:pPr>
            <w:r>
              <w:rPr>
                <w:color w:val="auto"/>
              </w:rPr>
              <w:t>⑦</w:t>
            </w:r>
            <w:r>
              <w:rPr>
                <w:rFonts w:hint="eastAsia"/>
                <w:color w:val="auto"/>
              </w:rPr>
              <w:t>包装</w:t>
            </w:r>
            <w:r>
              <w:rPr>
                <w:color w:val="auto"/>
              </w:rPr>
              <w:t>：</w:t>
            </w:r>
            <w:r>
              <w:rPr>
                <w:rFonts w:hint="eastAsia"/>
                <w:color w:val="auto"/>
                <w:lang w:val="en-US" w:eastAsia="zh-CN"/>
              </w:rPr>
              <w:t>经检验合格的原材料</w:t>
            </w:r>
            <w:r>
              <w:rPr>
                <w:color w:val="auto"/>
              </w:rPr>
              <w:t>按规定的配方进行准确称量</w:t>
            </w:r>
            <w:r>
              <w:rPr>
                <w:rFonts w:hint="eastAsia"/>
                <w:color w:val="auto"/>
                <w:lang w:eastAsia="zh-CN"/>
              </w:rPr>
              <w:t>，</w:t>
            </w:r>
            <w:r>
              <w:rPr>
                <w:rFonts w:hint="eastAsia"/>
                <w:color w:val="auto"/>
                <w:lang w:val="en-US" w:eastAsia="zh-CN"/>
              </w:rPr>
              <w:t>称量完成的原料经全自动打包设备进行包装，</w:t>
            </w:r>
            <w:r>
              <w:rPr>
                <w:color w:val="auto"/>
              </w:rPr>
              <w:t>500克以下的</w:t>
            </w:r>
            <w:r>
              <w:rPr>
                <w:rFonts w:hint="eastAsia"/>
                <w:color w:val="auto"/>
                <w:lang w:eastAsia="zh-CN"/>
              </w:rPr>
              <w:t>包装量</w:t>
            </w:r>
            <w:r>
              <w:rPr>
                <w:color w:val="auto"/>
              </w:rPr>
              <w:t>允许误差为±3%；</w:t>
            </w:r>
            <w:r>
              <w:rPr>
                <w:rFonts w:hint="eastAsia"/>
                <w:color w:val="auto"/>
                <w:lang w:eastAsia="zh-CN"/>
              </w:rPr>
              <w:t>包装量</w:t>
            </w:r>
            <w:r>
              <w:rPr>
                <w:color w:val="auto"/>
              </w:rPr>
              <w:t>在1000克或以上的产品其</w:t>
            </w:r>
            <w:r>
              <w:rPr>
                <w:rFonts w:hint="eastAsia"/>
                <w:color w:val="auto"/>
                <w:lang w:val="en-US" w:eastAsia="zh-CN"/>
              </w:rPr>
              <w:t>包装量</w:t>
            </w:r>
            <w:r>
              <w:rPr>
                <w:color w:val="auto"/>
              </w:rPr>
              <w:t>允许误差﹤1%。</w:t>
            </w:r>
            <w:r>
              <w:rPr>
                <w:rFonts w:hint="eastAsia"/>
                <w:color w:val="auto"/>
                <w:lang w:val="en-US" w:eastAsia="zh-CN"/>
              </w:rPr>
              <w:t>包装</w:t>
            </w:r>
            <w:r>
              <w:rPr>
                <w:color w:val="auto"/>
              </w:rPr>
              <w:t>过程中每5min对</w:t>
            </w:r>
            <w:r>
              <w:rPr>
                <w:rFonts w:hint="eastAsia"/>
                <w:color w:val="auto"/>
                <w:lang w:eastAsia="zh-CN"/>
              </w:rPr>
              <w:t>包装量</w:t>
            </w:r>
            <w:r>
              <w:rPr>
                <w:color w:val="auto"/>
              </w:rPr>
              <w:t>进行</w:t>
            </w:r>
            <w:r>
              <w:rPr>
                <w:rFonts w:hint="eastAsia"/>
                <w:color w:val="auto"/>
                <w:lang w:val="en-US" w:eastAsia="zh-CN"/>
              </w:rPr>
              <w:t>人工复称</w:t>
            </w:r>
            <w:r>
              <w:rPr>
                <w:color w:val="auto"/>
              </w:rPr>
              <w:t>抽查，每</w:t>
            </w:r>
            <w:r>
              <w:rPr>
                <w:rFonts w:hint="eastAsia"/>
                <w:color w:val="auto"/>
                <w:lang w:val="en-US" w:eastAsia="zh-CN"/>
              </w:rPr>
              <w:t>1h</w:t>
            </w:r>
            <w:r>
              <w:rPr>
                <w:color w:val="auto"/>
              </w:rPr>
              <w:t>记录一次。</w:t>
            </w:r>
          </w:p>
          <w:p>
            <w:pPr>
              <w:ind w:firstLine="480"/>
              <w:rPr>
                <w:color w:val="auto"/>
              </w:rPr>
            </w:pPr>
            <w:r>
              <w:rPr>
                <w:rFonts w:hint="eastAsia"/>
                <w:color w:val="auto"/>
                <w:lang w:val="en-US" w:eastAsia="zh-CN"/>
              </w:rPr>
              <w:t>⑧</w:t>
            </w:r>
            <w:r>
              <w:rPr>
                <w:color w:val="auto"/>
              </w:rPr>
              <w:t>入库：</w:t>
            </w:r>
            <w:r>
              <w:rPr>
                <w:rFonts w:hint="eastAsia"/>
                <w:color w:val="auto"/>
                <w:lang w:val="en-US" w:eastAsia="zh-CN"/>
              </w:rPr>
              <w:t>由工人运送至库房</w:t>
            </w:r>
            <w:r>
              <w:rPr>
                <w:rFonts w:hint="eastAsia"/>
                <w:color w:val="auto"/>
                <w:lang w:eastAsia="zh-CN"/>
              </w:rPr>
              <w:t>，</w:t>
            </w:r>
            <w:r>
              <w:rPr>
                <w:color w:val="auto"/>
              </w:rPr>
              <w:t>发运前库房应向质检部提出检验申请，经质检部检验合格</w:t>
            </w:r>
            <w:r>
              <w:rPr>
                <w:rFonts w:hint="eastAsia"/>
                <w:color w:val="auto"/>
                <w:lang w:eastAsia="zh-CN"/>
              </w:rPr>
              <w:t>（</w:t>
            </w:r>
            <w:r>
              <w:rPr>
                <w:color w:val="auto"/>
              </w:rPr>
              <w:t>挑选出</w:t>
            </w:r>
            <w:r>
              <w:rPr>
                <w:rFonts w:hint="eastAsia"/>
                <w:color w:val="auto"/>
                <w:lang w:val="en-US" w:eastAsia="zh-CN"/>
              </w:rPr>
              <w:t>漏气、破损</w:t>
            </w:r>
            <w:r>
              <w:rPr>
                <w:color w:val="auto"/>
              </w:rPr>
              <w:t>以及封口有缺陷的产品</w:t>
            </w:r>
            <w:r>
              <w:rPr>
                <w:rFonts w:hint="eastAsia"/>
                <w:color w:val="auto"/>
                <w:lang w:eastAsia="zh-CN"/>
              </w:rPr>
              <w:t>）</w:t>
            </w:r>
            <w:r>
              <w:rPr>
                <w:color w:val="auto"/>
              </w:rPr>
              <w:t>的成品才能发运。成品库清洁、干燥，运输车辆清洁无污染。</w:t>
            </w:r>
          </w:p>
          <w:p>
            <w:pPr>
              <w:ind w:firstLine="482"/>
              <w:rPr>
                <w:b/>
                <w:bCs/>
                <w:color w:val="auto"/>
              </w:rPr>
            </w:pPr>
          </w:p>
          <w:p>
            <w:pPr>
              <w:ind w:firstLine="482"/>
              <w:rPr>
                <w:b/>
                <w:bCs/>
                <w:color w:val="auto"/>
              </w:rPr>
            </w:pPr>
          </w:p>
          <w:p>
            <w:pPr>
              <w:ind w:firstLine="482"/>
              <w:rPr>
                <w:b/>
                <w:bCs/>
                <w:color w:val="auto"/>
              </w:rPr>
            </w:pPr>
          </w:p>
          <w:p>
            <w:pPr>
              <w:ind w:firstLine="482"/>
              <w:rPr>
                <w:b/>
                <w:bCs/>
                <w:color w:val="auto"/>
              </w:rPr>
            </w:pPr>
          </w:p>
          <w:p>
            <w:pPr>
              <w:ind w:firstLine="482"/>
              <w:rPr>
                <w:b/>
                <w:bCs/>
                <w:color w:val="auto"/>
              </w:rPr>
            </w:pPr>
          </w:p>
          <w:p>
            <w:pPr>
              <w:ind w:firstLine="482"/>
              <w:rPr>
                <w:b/>
                <w:bCs/>
                <w:color w:val="auto"/>
              </w:rPr>
            </w:pPr>
          </w:p>
          <w:p>
            <w:pPr>
              <w:ind w:firstLine="482"/>
              <w:rPr>
                <w:b/>
                <w:bCs/>
                <w:color w:val="auto"/>
              </w:rPr>
            </w:pPr>
          </w:p>
          <w:p>
            <w:pPr>
              <w:ind w:firstLine="482"/>
              <w:rPr>
                <w:b/>
                <w:bCs/>
                <w:color w:val="auto"/>
              </w:rPr>
            </w:pPr>
          </w:p>
          <w:p>
            <w:pPr>
              <w:ind w:firstLine="482"/>
              <w:rPr>
                <w:b/>
                <w:bCs/>
                <w:color w:val="auto"/>
              </w:rPr>
            </w:pPr>
          </w:p>
          <w:p>
            <w:pPr>
              <w:ind w:firstLine="482"/>
              <w:rPr>
                <w:b/>
                <w:bCs/>
                <w:color w:val="auto"/>
              </w:rPr>
            </w:pPr>
            <w:r>
              <w:rPr>
                <w:b/>
                <w:bCs/>
                <w:color w:val="auto"/>
              </w:rPr>
              <w:t>（</w:t>
            </w:r>
            <w:r>
              <w:rPr>
                <w:rFonts w:hint="eastAsia"/>
                <w:b/>
                <w:bCs/>
                <w:color w:val="auto"/>
              </w:rPr>
              <w:t>五</w:t>
            </w:r>
            <w:r>
              <w:rPr>
                <w:b/>
                <w:bCs/>
                <w:color w:val="auto"/>
              </w:rPr>
              <w:t>）</w:t>
            </w:r>
            <w:r>
              <w:rPr>
                <w:rFonts w:hint="eastAsia"/>
                <w:b/>
                <w:bCs/>
                <w:color w:val="auto"/>
              </w:rPr>
              <w:t>灯影牛肉</w:t>
            </w:r>
            <w:r>
              <w:rPr>
                <w:b/>
                <w:bCs/>
                <w:color w:val="auto"/>
              </w:rPr>
              <w:t>产品工艺流程</w:t>
            </w:r>
          </w:p>
          <w:p>
            <w:pPr>
              <w:pStyle w:val="11"/>
              <w:jc w:val="both"/>
              <w:rPr>
                <w:b/>
                <w:bCs/>
                <w:color w:val="auto"/>
              </w:rPr>
            </w:pPr>
            <w:r>
              <w:rPr>
                <w:b/>
                <w:bCs/>
                <w:color w:val="auto"/>
              </w:rPr>
              <w:object>
                <v:shape id="_x0000_i1029" o:spt="75" type="#_x0000_t75" style="height:431.8pt;width:446.5pt;" o:ole="t" filled="f" o:preferrelative="t" stroked="f" coordsize="21600,21600">
                  <v:path/>
                  <v:fill on="f" focussize="0,0"/>
                  <v:stroke on="f"/>
                  <v:imagedata r:id="rId26" o:title=""/>
                  <o:lock v:ext="edit" aspectratio="f"/>
                  <w10:wrap type="none"/>
                  <w10:anchorlock/>
                </v:shape>
                <o:OLEObject Type="Embed" ProgID="Word.Document.8" ShapeID="_x0000_i1029" DrawAspect="Content" ObjectID="_1468075729" r:id="rId25">
                  <o:LockedField>false</o:LockedField>
                </o:OLEObject>
              </w:object>
            </w:r>
          </w:p>
          <w:p>
            <w:pPr>
              <w:pStyle w:val="11"/>
              <w:jc w:val="center"/>
              <w:rPr>
                <w:b/>
                <w:bCs/>
                <w:color w:val="auto"/>
              </w:rPr>
            </w:pPr>
            <w:r>
              <w:rPr>
                <w:b/>
                <w:bCs/>
                <w:color w:val="auto"/>
              </w:rPr>
              <w:t>图2-</w:t>
            </w:r>
            <w:r>
              <w:rPr>
                <w:rFonts w:hint="eastAsia"/>
                <w:b/>
                <w:bCs/>
                <w:color w:val="auto"/>
              </w:rPr>
              <w:t>5</w:t>
            </w:r>
            <w:r>
              <w:rPr>
                <w:b/>
                <w:bCs/>
                <w:color w:val="auto"/>
              </w:rPr>
              <w:t xml:space="preserve"> </w:t>
            </w:r>
            <w:r>
              <w:rPr>
                <w:rFonts w:hint="eastAsia"/>
                <w:b/>
                <w:bCs/>
                <w:color w:val="auto"/>
              </w:rPr>
              <w:t>灯影牛肉产品</w:t>
            </w:r>
            <w:r>
              <w:rPr>
                <w:b/>
                <w:bCs/>
                <w:color w:val="auto"/>
              </w:rPr>
              <w:t>生产工艺流程及产污环节图</w:t>
            </w:r>
          </w:p>
          <w:p>
            <w:pPr>
              <w:ind w:firstLine="480"/>
              <w:rPr>
                <w:color w:val="auto"/>
              </w:rPr>
            </w:pPr>
          </w:p>
          <w:p>
            <w:pPr>
              <w:ind w:firstLine="480"/>
              <w:rPr>
                <w:color w:val="auto"/>
              </w:rPr>
            </w:pPr>
            <w:r>
              <w:rPr>
                <w:rFonts w:hint="eastAsia"/>
                <w:color w:val="auto"/>
                <w:lang w:val="en-US" w:eastAsia="zh-CN"/>
              </w:rPr>
              <w:t>灯影产品生产线位于2号生产车间第2层，其</w:t>
            </w:r>
            <w:r>
              <w:rPr>
                <w:color w:val="auto"/>
              </w:rPr>
              <w:t>工艺流程</w:t>
            </w:r>
            <w:r>
              <w:rPr>
                <w:rFonts w:hint="eastAsia"/>
                <w:color w:val="auto"/>
                <w:lang w:val="en-US" w:eastAsia="zh-CN"/>
              </w:rPr>
              <w:t>如下</w:t>
            </w:r>
            <w:r>
              <w:rPr>
                <w:color w:val="auto"/>
              </w:rPr>
              <w:t>：</w:t>
            </w:r>
          </w:p>
          <w:p>
            <w:pPr>
              <w:ind w:firstLine="480"/>
              <w:rPr>
                <w:color w:val="auto"/>
              </w:rPr>
            </w:pPr>
            <w:r>
              <w:rPr>
                <w:color w:val="auto"/>
              </w:rPr>
              <w:t>①原料的验收：来自非疫区健康良好的畜禽，宰前宰后经兽医检验合格的原料。有动物检疫合格证明，出口产品的原料要来源于出口食品生产企业备案的肉联厂。</w:t>
            </w:r>
          </w:p>
          <w:p>
            <w:pPr>
              <w:ind w:firstLine="480"/>
              <w:rPr>
                <w:color w:val="auto"/>
              </w:rPr>
            </w:pPr>
            <w:r>
              <w:rPr>
                <w:color w:val="auto"/>
              </w:rPr>
              <w:t>进场肉原料在厂区内冻库中暂存中转，</w:t>
            </w:r>
            <w:r>
              <w:rPr>
                <w:rFonts w:hint="eastAsia"/>
                <w:color w:val="auto"/>
                <w:lang w:val="en-US" w:eastAsia="zh-CN"/>
              </w:rPr>
              <w:t>2号冻库设计储存约200t原材料，储存周期约10d</w:t>
            </w:r>
            <w:r>
              <w:rPr>
                <w:rFonts w:hint="eastAsia"/>
                <w:color w:val="auto"/>
                <w:lang w:eastAsia="zh-CN"/>
              </w:rPr>
              <w:t>，</w:t>
            </w:r>
            <w:r>
              <w:rPr>
                <w:color w:val="auto"/>
              </w:rPr>
              <w:t>使用R404A作为环保制冷剂，冷库内温度保持在零下12到17摄氏度。</w:t>
            </w:r>
          </w:p>
          <w:p>
            <w:pPr>
              <w:ind w:firstLine="480"/>
              <w:rPr>
                <w:rFonts w:hint="eastAsia" w:eastAsia="宋体"/>
                <w:color w:val="auto"/>
                <w:lang w:eastAsia="zh-CN"/>
              </w:rPr>
            </w:pPr>
            <w:r>
              <w:rPr>
                <w:color w:val="auto"/>
              </w:rPr>
              <w:t>②原料解冻：肉原料解冻按生产需要采取自然解冻</w:t>
            </w:r>
            <w:r>
              <w:rPr>
                <w:rFonts w:hint="eastAsia"/>
                <w:color w:val="auto"/>
                <w:lang w:eastAsia="zh-CN"/>
              </w:rPr>
              <w:t>，</w:t>
            </w:r>
            <w:r>
              <w:rPr>
                <w:color w:val="auto"/>
              </w:rPr>
              <w:t>解冻室湿度</w:t>
            </w:r>
            <w:r>
              <w:rPr>
                <w:rFonts w:hint="eastAsia"/>
                <w:color w:val="auto"/>
                <w:lang w:val="en-US" w:eastAsia="zh-CN"/>
              </w:rPr>
              <w:t>控制在</w:t>
            </w:r>
            <w:r>
              <w:rPr>
                <w:color w:val="auto"/>
              </w:rPr>
              <w:t>85%</w:t>
            </w:r>
            <w:r>
              <w:rPr>
                <w:rFonts w:hint="eastAsia"/>
                <w:color w:val="auto"/>
                <w:lang w:val="en-US" w:eastAsia="zh-CN"/>
              </w:rPr>
              <w:t>左右</w:t>
            </w:r>
            <w:r>
              <w:rPr>
                <w:color w:val="auto"/>
              </w:rPr>
              <w:t>、</w:t>
            </w:r>
            <w:r>
              <w:rPr>
                <w:rFonts w:hint="eastAsia"/>
                <w:color w:val="auto"/>
                <w:lang w:val="en-US" w:eastAsia="zh-CN"/>
              </w:rPr>
              <w:t>温度控制在0~5</w:t>
            </w:r>
            <w:r>
              <w:rPr>
                <w:color w:val="auto"/>
              </w:rPr>
              <w:t>℃，</w:t>
            </w:r>
            <w:r>
              <w:rPr>
                <w:rFonts w:hint="eastAsia"/>
                <w:color w:val="auto"/>
                <w:lang w:val="en-US" w:eastAsia="zh-CN"/>
              </w:rPr>
              <w:t>为</w:t>
            </w:r>
            <w:r>
              <w:rPr>
                <w:color w:val="auto"/>
              </w:rPr>
              <w:t>防止肉汁流失，或解冻过度</w:t>
            </w:r>
            <w:r>
              <w:rPr>
                <w:rFonts w:hint="eastAsia"/>
                <w:color w:val="auto"/>
                <w:lang w:eastAsia="zh-CN"/>
              </w:rPr>
              <w:t>，</w:t>
            </w:r>
            <w:r>
              <w:rPr>
                <w:color w:val="auto"/>
              </w:rPr>
              <w:t>夏秋季节解冻时间</w:t>
            </w:r>
            <w:r>
              <w:rPr>
                <w:rFonts w:hint="eastAsia"/>
                <w:color w:val="auto"/>
                <w:lang w:val="en-US" w:eastAsia="zh-CN"/>
              </w:rPr>
              <w:t>为</w:t>
            </w:r>
            <w:r>
              <w:rPr>
                <w:color w:val="auto"/>
              </w:rPr>
              <w:t>9~12小时，冬春季节</w:t>
            </w:r>
            <w:r>
              <w:rPr>
                <w:rFonts w:hint="eastAsia"/>
                <w:color w:val="auto"/>
                <w:lang w:val="en-US" w:eastAsia="zh-CN"/>
              </w:rPr>
              <w:t>解冻</w:t>
            </w:r>
            <w:r>
              <w:rPr>
                <w:color w:val="auto"/>
              </w:rPr>
              <w:t>时间</w:t>
            </w:r>
            <w:r>
              <w:rPr>
                <w:rFonts w:hint="eastAsia"/>
                <w:color w:val="auto"/>
                <w:lang w:val="en-US" w:eastAsia="zh-CN"/>
              </w:rPr>
              <w:t>为</w:t>
            </w:r>
            <w:r>
              <w:rPr>
                <w:color w:val="auto"/>
              </w:rPr>
              <w:t>20~24小时。</w:t>
            </w:r>
          </w:p>
          <w:p>
            <w:pPr>
              <w:ind w:firstLine="480"/>
              <w:rPr>
                <w:color w:val="auto"/>
              </w:rPr>
            </w:pPr>
            <w:r>
              <w:rPr>
                <w:color w:val="auto"/>
              </w:rPr>
              <w:t>③清洗</w:t>
            </w:r>
            <w:r>
              <w:rPr>
                <w:rFonts w:hint="eastAsia"/>
                <w:color w:val="auto"/>
              </w:rPr>
              <w:t>、切条</w:t>
            </w:r>
            <w:r>
              <w:rPr>
                <w:color w:val="auto"/>
              </w:rPr>
              <w:t>：</w:t>
            </w:r>
            <w:r>
              <w:rPr>
                <w:rFonts w:hint="eastAsia"/>
                <w:color w:val="auto"/>
                <w:lang w:val="en-US" w:eastAsia="zh-CN"/>
              </w:rPr>
              <w:t>人工</w:t>
            </w:r>
            <w:r>
              <w:rPr>
                <w:color w:val="auto"/>
              </w:rPr>
              <w:t>对肉</w:t>
            </w:r>
            <w:r>
              <w:rPr>
                <w:rFonts w:hint="eastAsia"/>
                <w:color w:val="auto"/>
                <w:lang w:val="en-US" w:eastAsia="zh-CN"/>
              </w:rPr>
              <w:t>原料</w:t>
            </w:r>
            <w:r>
              <w:rPr>
                <w:color w:val="auto"/>
              </w:rPr>
              <w:t>进行逐块检查，选出</w:t>
            </w:r>
            <w:r>
              <w:rPr>
                <w:rFonts w:hint="eastAsia"/>
                <w:color w:val="auto"/>
                <w:lang w:eastAsia="zh-CN"/>
              </w:rPr>
              <w:t>毛发</w:t>
            </w:r>
            <w:r>
              <w:rPr>
                <w:color w:val="auto"/>
              </w:rPr>
              <w:t>、骨渣、修去伤肉、淋巴及其它杂质</w:t>
            </w:r>
            <w:r>
              <w:rPr>
                <w:rFonts w:hint="eastAsia"/>
                <w:color w:val="auto"/>
              </w:rPr>
              <w:t>，</w:t>
            </w:r>
            <w:r>
              <w:rPr>
                <w:color w:val="auto"/>
              </w:rPr>
              <w:t>用</w:t>
            </w:r>
            <w:r>
              <w:rPr>
                <w:rFonts w:hint="eastAsia"/>
                <w:color w:val="auto"/>
                <w:lang w:val="en-US" w:eastAsia="zh-CN"/>
              </w:rPr>
              <w:t>清水对修整后的肉原料进行</w:t>
            </w:r>
            <w:r>
              <w:rPr>
                <w:color w:val="auto"/>
              </w:rPr>
              <w:t>清洗，洗去表面的污物</w:t>
            </w:r>
            <w:r>
              <w:rPr>
                <w:rFonts w:hint="eastAsia"/>
                <w:color w:val="auto"/>
                <w:lang w:eastAsia="zh-CN"/>
              </w:rPr>
              <w:t>，</w:t>
            </w:r>
            <w:r>
              <w:rPr>
                <w:rFonts w:hint="eastAsia"/>
                <w:color w:val="auto"/>
                <w:lang w:val="en-US" w:eastAsia="zh-CN"/>
              </w:rPr>
              <w:t>然后经切肉机将肉原料</w:t>
            </w:r>
            <w:r>
              <w:rPr>
                <w:color w:val="auto"/>
              </w:rPr>
              <w:t>切为宽约</w:t>
            </w:r>
            <w:r>
              <w:rPr>
                <w:rFonts w:hint="eastAsia"/>
                <w:color w:val="auto"/>
              </w:rPr>
              <w:t>1</w:t>
            </w:r>
            <w:r>
              <w:rPr>
                <w:color w:val="auto"/>
              </w:rPr>
              <w:t>cm，长约</w:t>
            </w:r>
            <w:r>
              <w:rPr>
                <w:rFonts w:hint="eastAsia"/>
                <w:color w:val="auto"/>
                <w:lang w:val="en-US" w:eastAsia="zh-CN"/>
              </w:rPr>
              <w:t>3~</w:t>
            </w:r>
            <w:r>
              <w:rPr>
                <w:rFonts w:hint="eastAsia"/>
                <w:color w:val="auto"/>
              </w:rPr>
              <w:t>5</w:t>
            </w:r>
            <w:r>
              <w:rPr>
                <w:color w:val="auto"/>
              </w:rPr>
              <w:t>cm的</w:t>
            </w:r>
            <w:r>
              <w:rPr>
                <w:rFonts w:hint="eastAsia"/>
                <w:color w:val="auto"/>
              </w:rPr>
              <w:t>条状</w:t>
            </w:r>
            <w:r>
              <w:rPr>
                <w:color w:val="auto"/>
              </w:rPr>
              <w:t>肉后准备进行</w:t>
            </w:r>
            <w:r>
              <w:rPr>
                <w:rFonts w:hint="eastAsia"/>
                <w:color w:val="auto"/>
                <w:lang w:val="en-US" w:eastAsia="zh-CN"/>
              </w:rPr>
              <w:t>搅拌腌制</w:t>
            </w:r>
            <w:r>
              <w:rPr>
                <w:rFonts w:hint="eastAsia"/>
                <w:color w:val="auto"/>
                <w:lang w:eastAsia="zh-CN"/>
              </w:rPr>
              <w:t>，</w:t>
            </w:r>
            <w:r>
              <w:rPr>
                <w:rFonts w:hint="eastAsia"/>
                <w:color w:val="auto"/>
                <w:lang w:val="en-US" w:eastAsia="zh-CN"/>
              </w:rPr>
              <w:t>该工序会产生清洗废水、边角料</w:t>
            </w:r>
            <w:r>
              <w:rPr>
                <w:color w:val="auto"/>
              </w:rPr>
              <w:t>。</w:t>
            </w:r>
          </w:p>
          <w:p>
            <w:pPr>
              <w:ind w:firstLine="480"/>
              <w:rPr>
                <w:color w:val="auto"/>
              </w:rPr>
            </w:pPr>
            <w:r>
              <w:rPr>
                <w:rFonts w:hint="eastAsia"/>
                <w:color w:val="auto"/>
              </w:rPr>
              <w:t>④</w:t>
            </w:r>
            <w:r>
              <w:rPr>
                <w:rFonts w:hint="eastAsia"/>
                <w:color w:val="auto"/>
                <w:lang w:val="en-US" w:eastAsia="zh-CN"/>
              </w:rPr>
              <w:t>腌制</w:t>
            </w:r>
            <w:r>
              <w:rPr>
                <w:color w:val="auto"/>
              </w:rPr>
              <w:t>：先按配方配制好天然复合香料</w:t>
            </w:r>
            <w:r>
              <w:rPr>
                <w:rFonts w:hint="eastAsia"/>
                <w:color w:val="auto"/>
                <w:lang w:val="en-US" w:eastAsia="zh-CN"/>
              </w:rPr>
              <w:t>、食用盐等辅料，经供料系统</w:t>
            </w:r>
            <w:r>
              <w:rPr>
                <w:color w:val="auto"/>
              </w:rPr>
              <w:t>将称量好</w:t>
            </w:r>
            <w:r>
              <w:rPr>
                <w:rFonts w:hint="eastAsia"/>
                <w:color w:val="auto"/>
                <w:lang w:val="en-US" w:eastAsia="zh-CN"/>
              </w:rPr>
              <w:t>辅料</w:t>
            </w:r>
            <w:r>
              <w:rPr>
                <w:color w:val="auto"/>
              </w:rPr>
              <w:t>按工艺要求的比例</w:t>
            </w:r>
            <w:r>
              <w:rPr>
                <w:rFonts w:hint="eastAsia"/>
                <w:color w:val="auto"/>
                <w:lang w:val="en-US" w:eastAsia="zh-CN"/>
              </w:rPr>
              <w:t>与肉原料经搅拌机进行充分混合腌制</w:t>
            </w:r>
            <w:r>
              <w:rPr>
                <w:color w:val="auto"/>
              </w:rPr>
              <w:t>，腌制时间</w:t>
            </w:r>
            <w:r>
              <w:rPr>
                <w:rFonts w:hint="eastAsia"/>
                <w:color w:val="auto"/>
                <w:lang w:val="en-US" w:eastAsia="zh-CN"/>
              </w:rPr>
              <w:t>控制在</w:t>
            </w:r>
            <w:r>
              <w:rPr>
                <w:color w:val="auto"/>
              </w:rPr>
              <w:t>24~48</w:t>
            </w:r>
            <w:r>
              <w:rPr>
                <w:rFonts w:hint="eastAsia"/>
                <w:color w:val="auto"/>
                <w:lang w:val="en-US" w:eastAsia="zh-CN"/>
              </w:rPr>
              <w:t>h范围内</w:t>
            </w:r>
            <w:r>
              <w:rPr>
                <w:color w:val="auto"/>
              </w:rPr>
              <w:t>，腌制室温</w:t>
            </w:r>
            <w:r>
              <w:rPr>
                <w:rFonts w:hint="eastAsia"/>
                <w:color w:val="auto"/>
                <w:lang w:val="en-US" w:eastAsia="zh-CN"/>
              </w:rPr>
              <w:t>控制在</w:t>
            </w:r>
            <w:r>
              <w:rPr>
                <w:color w:val="auto"/>
              </w:rPr>
              <w:t>0~4℃</w:t>
            </w:r>
            <w:r>
              <w:rPr>
                <w:rFonts w:hint="eastAsia"/>
                <w:color w:val="auto"/>
                <w:lang w:val="en-US" w:eastAsia="zh-CN"/>
              </w:rPr>
              <w:t>范围内</w:t>
            </w:r>
            <w:r>
              <w:rPr>
                <w:rFonts w:hint="eastAsia"/>
                <w:color w:val="auto"/>
                <w:lang w:eastAsia="zh-CN"/>
              </w:rPr>
              <w:t>，</w:t>
            </w:r>
            <w:r>
              <w:rPr>
                <w:rFonts w:hint="eastAsia"/>
                <w:color w:val="auto"/>
                <w:lang w:val="en-US" w:eastAsia="zh-CN"/>
              </w:rPr>
              <w:t>该工序会产生设备噪声</w:t>
            </w:r>
            <w:r>
              <w:rPr>
                <w:rFonts w:hint="eastAsia"/>
                <w:color w:val="auto"/>
                <w:lang w:eastAsia="zh-CN"/>
              </w:rPr>
              <w:t>。</w:t>
            </w:r>
          </w:p>
          <w:p>
            <w:pPr>
              <w:tabs>
                <w:tab w:val="left" w:pos="5760"/>
              </w:tabs>
              <w:ind w:firstLine="48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⑤烘烤：</w:t>
            </w:r>
            <w:r>
              <w:rPr>
                <w:color w:val="auto"/>
              </w:rPr>
              <w:t>腌制结束的原料</w:t>
            </w:r>
            <w:r>
              <w:rPr>
                <w:rFonts w:hint="eastAsia"/>
                <w:color w:val="auto"/>
                <w:lang w:val="en-US" w:eastAsia="zh-CN"/>
              </w:rPr>
              <w:t>由传送带经金属检测仪进行检测</w:t>
            </w:r>
            <w:r>
              <w:rPr>
                <w:color w:val="auto"/>
              </w:rPr>
              <w:t>，</w:t>
            </w:r>
            <w:r>
              <w:rPr>
                <w:rFonts w:hint="eastAsia"/>
                <w:color w:val="auto"/>
                <w:lang w:val="en-US" w:eastAsia="zh-CN"/>
              </w:rPr>
              <w:t>检测通过的原料</w:t>
            </w:r>
            <w:r>
              <w:rPr>
                <w:rFonts w:hint="default" w:ascii="Times New Roman" w:hAnsi="Times New Roman" w:cs="Times New Roman"/>
                <w:color w:val="auto"/>
                <w:sz w:val="24"/>
                <w:szCs w:val="24"/>
              </w:rPr>
              <w:t>放入烘烤机进行烘烤</w:t>
            </w:r>
            <w:r>
              <w:rPr>
                <w:rFonts w:hint="eastAsia" w:cs="Times New Roman"/>
                <w:color w:val="auto"/>
                <w:sz w:val="24"/>
                <w:szCs w:val="24"/>
                <w:lang w:val="en-US" w:eastAsia="zh-CN"/>
              </w:rPr>
              <w:t>熟化，去除水分</w:t>
            </w:r>
            <w:r>
              <w:rPr>
                <w:rFonts w:hint="default" w:ascii="Times New Roman" w:hAnsi="Times New Roman" w:cs="Times New Roman"/>
                <w:color w:val="auto"/>
                <w:sz w:val="24"/>
                <w:szCs w:val="24"/>
              </w:rPr>
              <w:t>，烘烤适宜温度为85~95℃</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烘烤</w:t>
            </w:r>
            <w:r>
              <w:rPr>
                <w:color w:val="auto"/>
              </w:rPr>
              <w:t>时间</w:t>
            </w:r>
            <w:r>
              <w:rPr>
                <w:rFonts w:hint="eastAsia"/>
                <w:color w:val="auto"/>
                <w:lang w:val="en-US" w:eastAsia="zh-CN"/>
              </w:rPr>
              <w:t>控制在30~45min范围内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该工序会产生</w:t>
            </w:r>
            <w:r>
              <w:rPr>
                <w:rFonts w:hint="eastAsia" w:cs="Times New Roman"/>
                <w:color w:val="auto"/>
                <w:sz w:val="24"/>
                <w:szCs w:val="24"/>
                <w:lang w:val="en-US" w:eastAsia="zh-CN"/>
              </w:rPr>
              <w:t>油烟废气。</w:t>
            </w:r>
          </w:p>
          <w:p>
            <w:pPr>
              <w:ind w:firstLine="480"/>
              <w:rPr>
                <w:rFonts w:hint="eastAsia"/>
                <w:color w:val="auto"/>
              </w:rPr>
            </w:pPr>
            <w:r>
              <w:rPr>
                <w:rFonts w:hint="eastAsia"/>
                <w:color w:val="auto"/>
                <w:lang w:val="en-US" w:eastAsia="zh-CN"/>
              </w:rPr>
              <w:t>注：本项目检测工段不涉及使用X光检测设备，金属检测仪的剔除方式采用声光报警、传送带自动停止的方式，</w:t>
            </w:r>
            <w:r>
              <w:rPr>
                <w:color w:val="auto"/>
              </w:rPr>
              <w:t>对剔出的</w:t>
            </w:r>
            <w:r>
              <w:rPr>
                <w:rFonts w:hint="eastAsia"/>
                <w:color w:val="auto"/>
                <w:lang w:val="en-US" w:eastAsia="zh-CN"/>
              </w:rPr>
              <w:t>物料</w:t>
            </w:r>
            <w:r>
              <w:rPr>
                <w:color w:val="auto"/>
              </w:rPr>
              <w:t>反复过机两次，如果仍被剔出，须取出送质检部切片找出异物。</w:t>
            </w:r>
          </w:p>
          <w:p>
            <w:pPr>
              <w:ind w:firstLine="480"/>
              <w:rPr>
                <w:rFonts w:hint="default" w:eastAsia="宋体"/>
                <w:color w:val="auto"/>
                <w:lang w:val="en-US" w:eastAsia="zh-CN"/>
              </w:rPr>
            </w:pPr>
            <w:r>
              <w:rPr>
                <w:rFonts w:hint="eastAsia"/>
                <w:color w:val="auto"/>
              </w:rPr>
              <w:t>⑥</w:t>
            </w:r>
            <w:r>
              <w:rPr>
                <w:color w:val="auto"/>
              </w:rPr>
              <w:t>包装：</w:t>
            </w:r>
            <w:r>
              <w:rPr>
                <w:rFonts w:hint="eastAsia"/>
                <w:color w:val="auto"/>
                <w:lang w:val="en-US" w:eastAsia="zh-CN"/>
              </w:rPr>
              <w:t>经烘烤完成的原材料</w:t>
            </w:r>
            <w:r>
              <w:rPr>
                <w:color w:val="auto"/>
              </w:rPr>
              <w:t>按规定的配方进行准确称量</w:t>
            </w:r>
            <w:r>
              <w:rPr>
                <w:rFonts w:hint="eastAsia"/>
                <w:color w:val="auto"/>
                <w:lang w:eastAsia="zh-CN"/>
              </w:rPr>
              <w:t>，</w:t>
            </w:r>
            <w:r>
              <w:rPr>
                <w:rFonts w:hint="eastAsia"/>
                <w:color w:val="auto"/>
                <w:lang w:val="en-US" w:eastAsia="zh-CN"/>
              </w:rPr>
              <w:t>称量完成的原料经灌装设备</w:t>
            </w:r>
            <w:r>
              <w:rPr>
                <w:color w:val="auto"/>
              </w:rPr>
              <w:t>进行</w:t>
            </w:r>
            <w:r>
              <w:rPr>
                <w:rFonts w:hint="eastAsia"/>
                <w:color w:val="auto"/>
                <w:lang w:val="en-US" w:eastAsia="zh-CN"/>
              </w:rPr>
              <w:t>填充灌装</w:t>
            </w:r>
            <w:r>
              <w:rPr>
                <w:color w:val="auto"/>
              </w:rPr>
              <w:t>，500克以下的装罐量允许误差为±3%；装罐量在1000克或以上的产品其装罐允许误差﹤1%。装罐过程中每5min对装罐量进行</w:t>
            </w:r>
            <w:r>
              <w:rPr>
                <w:rFonts w:hint="eastAsia"/>
                <w:color w:val="auto"/>
                <w:lang w:val="en-US" w:eastAsia="zh-CN"/>
              </w:rPr>
              <w:t>人工复称</w:t>
            </w:r>
            <w:r>
              <w:rPr>
                <w:color w:val="auto"/>
              </w:rPr>
              <w:t>抽查，每</w:t>
            </w:r>
            <w:r>
              <w:rPr>
                <w:rFonts w:hint="eastAsia"/>
                <w:color w:val="auto"/>
                <w:lang w:val="en-US" w:eastAsia="zh-CN"/>
              </w:rPr>
              <w:t>1h</w:t>
            </w:r>
            <w:r>
              <w:rPr>
                <w:color w:val="auto"/>
              </w:rPr>
              <w:t>记录一次。</w:t>
            </w:r>
          </w:p>
          <w:p>
            <w:pPr>
              <w:rPr>
                <w:b w:val="0"/>
                <w:bCs w:val="0"/>
                <w:color w:val="auto"/>
              </w:rPr>
            </w:pPr>
            <w:r>
              <w:rPr>
                <w:b w:val="0"/>
                <w:bCs w:val="0"/>
                <w:color w:val="auto"/>
              </w:rPr>
              <w:t>在正式封口前对</w:t>
            </w:r>
            <w:r>
              <w:rPr>
                <w:rFonts w:hint="eastAsia"/>
                <w:b w:val="0"/>
                <w:bCs w:val="0"/>
                <w:color w:val="auto"/>
                <w:lang w:val="en-US" w:eastAsia="zh-CN"/>
              </w:rPr>
              <w:t>自动</w:t>
            </w:r>
            <w:r>
              <w:rPr>
                <w:b w:val="0"/>
                <w:bCs w:val="0"/>
                <w:color w:val="auto"/>
              </w:rPr>
              <w:t>封口机进行校车，当封口三率达到规定要求</w:t>
            </w:r>
            <w:r>
              <w:rPr>
                <w:color w:val="auto"/>
              </w:rPr>
              <w:t>（</w:t>
            </w:r>
            <w:r>
              <w:rPr>
                <w:rFonts w:hint="eastAsia"/>
                <w:color w:val="auto"/>
              </w:rPr>
              <w:t>迭接率、紧密度和完整率</w:t>
            </w:r>
            <w:r>
              <w:rPr>
                <w:color w:val="auto"/>
              </w:rPr>
              <w:t>）</w:t>
            </w:r>
            <w:r>
              <w:rPr>
                <w:b w:val="0"/>
                <w:bCs w:val="0"/>
                <w:color w:val="auto"/>
              </w:rPr>
              <w:t>后才能开始封口作业。封口真空度要求达到0.02~0.04MPa；操作工每5分钟对卷边外观质量目测一次，每小时记录一次，有问题时及时记录，每2小时对卷边结构解剖检查一次并记录。</w:t>
            </w:r>
          </w:p>
          <w:p>
            <w:pPr>
              <w:ind w:firstLine="480"/>
              <w:rPr>
                <w:b w:val="0"/>
                <w:bCs w:val="0"/>
                <w:color w:val="auto"/>
              </w:rPr>
            </w:pPr>
            <w:r>
              <w:rPr>
                <w:rFonts w:hint="eastAsia"/>
                <w:b w:val="0"/>
                <w:bCs w:val="0"/>
                <w:color w:val="auto"/>
                <w:lang w:val="en-US" w:eastAsia="zh-CN"/>
              </w:rPr>
              <w:t>注：装罐</w:t>
            </w:r>
            <w:r>
              <w:rPr>
                <w:b w:val="0"/>
                <w:bCs w:val="0"/>
                <w:color w:val="auto"/>
              </w:rPr>
              <w:t>封口前选盖工人先核对罐盖是否和生产所需一致，再逐个对盖子的质量进行检查将不符合要求的罐盖选出（如：断胶、涂料明显划伤、明显的露铁点和卷边宽度不够等）。</w:t>
            </w:r>
          </w:p>
          <w:p>
            <w:pPr>
              <w:ind w:firstLine="480"/>
              <w:rPr>
                <w:color w:val="auto"/>
              </w:rPr>
            </w:pPr>
            <w:r>
              <w:rPr>
                <w:rFonts w:eastAsia="微软雅黑"/>
                <w:color w:val="auto"/>
              </w:rPr>
              <w:t>⑦</w:t>
            </w:r>
            <w:r>
              <w:rPr>
                <w:color w:val="auto"/>
              </w:rPr>
              <w:t>入库：</w:t>
            </w:r>
            <w:r>
              <w:rPr>
                <w:rFonts w:hint="eastAsia"/>
                <w:color w:val="auto"/>
                <w:lang w:val="en-US" w:eastAsia="zh-CN"/>
              </w:rPr>
              <w:t>在全自动包装生产线进行生产外包装，由工人运送至库房</w:t>
            </w:r>
            <w:r>
              <w:rPr>
                <w:rFonts w:hint="eastAsia"/>
                <w:color w:val="auto"/>
                <w:lang w:eastAsia="zh-CN"/>
              </w:rPr>
              <w:t>，</w:t>
            </w:r>
            <w:r>
              <w:rPr>
                <w:color w:val="auto"/>
              </w:rPr>
              <w:t>发运前库房应向质检部提出检验申请，经质检部检验合格</w:t>
            </w:r>
            <w:r>
              <w:rPr>
                <w:rFonts w:hint="eastAsia"/>
                <w:color w:val="auto"/>
                <w:lang w:eastAsia="zh-CN"/>
              </w:rPr>
              <w:t>（</w:t>
            </w:r>
            <w:r>
              <w:rPr>
                <w:color w:val="auto"/>
              </w:rPr>
              <w:t>挑选出漏听和胖听、严重瘪罐以及封口有缺陷的产品</w:t>
            </w:r>
            <w:r>
              <w:rPr>
                <w:rFonts w:hint="eastAsia"/>
                <w:color w:val="auto"/>
                <w:lang w:eastAsia="zh-CN"/>
              </w:rPr>
              <w:t>）</w:t>
            </w:r>
            <w:r>
              <w:rPr>
                <w:color w:val="auto"/>
              </w:rPr>
              <w:t>的成品才能发运。成品库清洁、干燥，运输车辆清洁无污染。</w:t>
            </w:r>
          </w:p>
          <w:p>
            <w:pPr>
              <w:ind w:firstLine="482"/>
              <w:rPr>
                <w:b/>
                <w:bCs/>
                <w:color w:val="auto"/>
              </w:rPr>
            </w:pPr>
          </w:p>
          <w:p>
            <w:pPr>
              <w:ind w:firstLine="482"/>
              <w:rPr>
                <w:b/>
                <w:bCs/>
                <w:color w:val="auto"/>
              </w:rPr>
            </w:pPr>
          </w:p>
          <w:p>
            <w:pPr>
              <w:ind w:firstLine="482"/>
              <w:rPr>
                <w:b/>
                <w:bCs/>
                <w:color w:val="auto"/>
              </w:rPr>
            </w:pPr>
          </w:p>
          <w:p>
            <w:pPr>
              <w:ind w:firstLine="482"/>
              <w:rPr>
                <w:b/>
                <w:bCs/>
                <w:color w:val="auto"/>
              </w:rPr>
            </w:pPr>
            <w:r>
              <w:rPr>
                <w:b/>
                <w:bCs/>
                <w:color w:val="auto"/>
              </w:rPr>
              <w:t>（</w:t>
            </w:r>
            <w:r>
              <w:rPr>
                <w:rFonts w:hint="eastAsia"/>
                <w:b/>
                <w:bCs/>
                <w:color w:val="auto"/>
              </w:rPr>
              <w:t>六</w:t>
            </w:r>
            <w:r>
              <w:rPr>
                <w:b/>
                <w:bCs/>
                <w:color w:val="auto"/>
              </w:rPr>
              <w:t>）</w:t>
            </w:r>
            <w:r>
              <w:rPr>
                <w:rFonts w:hint="eastAsia"/>
                <w:b/>
                <w:bCs/>
                <w:color w:val="auto"/>
              </w:rPr>
              <w:t>牛肉干</w:t>
            </w:r>
            <w:r>
              <w:rPr>
                <w:b/>
                <w:bCs/>
                <w:color w:val="auto"/>
              </w:rPr>
              <w:t>产品工艺流程</w:t>
            </w:r>
          </w:p>
          <w:p>
            <w:pPr>
              <w:adjustRightInd w:val="0"/>
              <w:snapToGrid w:val="0"/>
              <w:ind w:firstLine="0" w:firstLineChars="0"/>
              <w:jc w:val="both"/>
              <w:rPr>
                <w:bCs/>
                <w:color w:val="auto"/>
                <w:szCs w:val="21"/>
              </w:rPr>
            </w:pPr>
            <w:r>
              <w:rPr>
                <w:bCs/>
                <w:color w:val="auto"/>
                <w:szCs w:val="21"/>
              </w:rPr>
              <w:object>
                <v:shape id="_x0000_i1030" o:spt="75" type="#_x0000_t75" style="height:433.05pt;width:446.35pt;" o:ole="t" filled="f" o:preferrelative="t" stroked="f" coordsize="21600,21600">
                  <v:path/>
                  <v:fill on="f" focussize="0,0"/>
                  <v:stroke on="f"/>
                  <v:imagedata r:id="rId28" o:title=""/>
                  <o:lock v:ext="edit" aspectratio="f"/>
                  <w10:wrap type="none"/>
                  <w10:anchorlock/>
                </v:shape>
                <o:OLEObject Type="Embed" ProgID="Word.Document.8" ShapeID="_x0000_i1030" DrawAspect="Content" ObjectID="_1468075730" r:id="rId27">
                  <o:LockedField>false</o:LockedField>
                </o:OLEObject>
              </w:object>
            </w:r>
          </w:p>
          <w:p>
            <w:pPr>
              <w:pStyle w:val="11"/>
              <w:jc w:val="center"/>
              <w:rPr>
                <w:b/>
                <w:bCs/>
                <w:color w:val="auto"/>
              </w:rPr>
            </w:pPr>
            <w:r>
              <w:rPr>
                <w:b/>
                <w:bCs/>
                <w:color w:val="auto"/>
              </w:rPr>
              <w:t>图2-</w:t>
            </w:r>
            <w:r>
              <w:rPr>
                <w:rFonts w:hint="eastAsia"/>
                <w:b/>
                <w:bCs/>
                <w:color w:val="auto"/>
              </w:rPr>
              <w:t>6  牛肉干产品</w:t>
            </w:r>
            <w:r>
              <w:rPr>
                <w:b/>
                <w:bCs/>
                <w:color w:val="auto"/>
              </w:rPr>
              <w:t>生产工艺流程及产污环节图</w:t>
            </w:r>
          </w:p>
          <w:p>
            <w:pPr>
              <w:ind w:firstLine="480"/>
              <w:rPr>
                <w:color w:val="auto"/>
                <w:sz w:val="24"/>
                <w:szCs w:val="24"/>
              </w:rPr>
            </w:pPr>
          </w:p>
          <w:p>
            <w:pPr>
              <w:ind w:firstLine="480"/>
              <w:rPr>
                <w:color w:val="auto"/>
                <w:sz w:val="24"/>
                <w:szCs w:val="24"/>
              </w:rPr>
            </w:pPr>
            <w:r>
              <w:rPr>
                <w:rFonts w:hint="eastAsia"/>
                <w:color w:val="auto"/>
                <w:sz w:val="24"/>
                <w:szCs w:val="24"/>
                <w:lang w:val="en-US" w:eastAsia="zh-CN"/>
              </w:rPr>
              <w:t>牛肉干产品生产线位于4号生产车间，其</w:t>
            </w:r>
            <w:r>
              <w:rPr>
                <w:color w:val="auto"/>
                <w:sz w:val="24"/>
                <w:szCs w:val="24"/>
              </w:rPr>
              <w:t>工艺流程</w:t>
            </w:r>
            <w:r>
              <w:rPr>
                <w:rFonts w:hint="eastAsia"/>
                <w:color w:val="auto"/>
                <w:sz w:val="24"/>
                <w:szCs w:val="24"/>
                <w:lang w:val="en-US" w:eastAsia="zh-CN"/>
              </w:rPr>
              <w:t>如下</w:t>
            </w:r>
            <w:r>
              <w:rPr>
                <w:color w:val="auto"/>
                <w:sz w:val="24"/>
                <w:szCs w:val="24"/>
              </w:rPr>
              <w:t>：</w:t>
            </w:r>
          </w:p>
          <w:p>
            <w:pPr>
              <w:ind w:firstLine="480"/>
              <w:rPr>
                <w:color w:val="auto"/>
                <w:sz w:val="24"/>
                <w:szCs w:val="24"/>
              </w:rPr>
            </w:pPr>
            <w:r>
              <w:rPr>
                <w:color w:val="auto"/>
                <w:sz w:val="24"/>
                <w:szCs w:val="24"/>
              </w:rPr>
              <w:t>①原料的验收：来自非疫区健康良好的畜禽，宰前宰后经兽医检验合格的原料。有动物检疫合格证明，出口产品的原料要来源于出口食品生产企业备案的肉联厂。</w:t>
            </w:r>
          </w:p>
          <w:p>
            <w:pPr>
              <w:ind w:firstLine="480"/>
              <w:rPr>
                <w:color w:val="auto"/>
                <w:sz w:val="24"/>
                <w:szCs w:val="24"/>
              </w:rPr>
            </w:pPr>
            <w:r>
              <w:rPr>
                <w:color w:val="auto"/>
                <w:sz w:val="24"/>
                <w:szCs w:val="24"/>
              </w:rPr>
              <w:t>进场肉原料在厂区内冻库中暂存中转，</w:t>
            </w:r>
            <w:r>
              <w:rPr>
                <w:rFonts w:hint="eastAsia"/>
                <w:color w:val="auto"/>
                <w:sz w:val="24"/>
                <w:szCs w:val="24"/>
                <w:lang w:val="en-US" w:eastAsia="zh-CN"/>
              </w:rPr>
              <w:t>4号冻库设计储存约400t原材料，储存周期约10d</w:t>
            </w:r>
            <w:r>
              <w:rPr>
                <w:rFonts w:hint="eastAsia"/>
                <w:color w:val="auto"/>
                <w:sz w:val="24"/>
                <w:szCs w:val="24"/>
                <w:lang w:eastAsia="zh-CN"/>
              </w:rPr>
              <w:t>，</w:t>
            </w:r>
            <w:r>
              <w:rPr>
                <w:color w:val="auto"/>
                <w:sz w:val="24"/>
                <w:szCs w:val="24"/>
              </w:rPr>
              <w:t>使用R404A作为环保制冷剂，冷库内温度保持在零下12到17摄氏度。</w:t>
            </w:r>
          </w:p>
          <w:p>
            <w:pPr>
              <w:ind w:firstLine="480"/>
              <w:rPr>
                <w:rFonts w:hint="eastAsia" w:eastAsia="宋体"/>
                <w:color w:val="auto"/>
                <w:sz w:val="24"/>
                <w:szCs w:val="24"/>
                <w:lang w:eastAsia="zh-CN"/>
              </w:rPr>
            </w:pPr>
            <w:r>
              <w:rPr>
                <w:color w:val="auto"/>
                <w:sz w:val="24"/>
                <w:szCs w:val="24"/>
              </w:rPr>
              <w:t>②原料解冻：肉原料解冻按生产需要采取自然解冻</w:t>
            </w:r>
            <w:r>
              <w:rPr>
                <w:rFonts w:hint="eastAsia"/>
                <w:color w:val="auto"/>
                <w:sz w:val="24"/>
                <w:szCs w:val="24"/>
                <w:lang w:eastAsia="zh-CN"/>
              </w:rPr>
              <w:t>，</w:t>
            </w:r>
            <w:r>
              <w:rPr>
                <w:color w:val="auto"/>
                <w:sz w:val="24"/>
                <w:szCs w:val="24"/>
              </w:rPr>
              <w:t>解冻室湿度</w:t>
            </w:r>
            <w:r>
              <w:rPr>
                <w:rFonts w:hint="eastAsia"/>
                <w:color w:val="auto"/>
                <w:sz w:val="24"/>
                <w:szCs w:val="24"/>
                <w:lang w:val="en-US" w:eastAsia="zh-CN"/>
              </w:rPr>
              <w:t>控制在</w:t>
            </w:r>
            <w:r>
              <w:rPr>
                <w:color w:val="auto"/>
                <w:sz w:val="24"/>
                <w:szCs w:val="24"/>
              </w:rPr>
              <w:t>85%</w:t>
            </w:r>
            <w:r>
              <w:rPr>
                <w:rFonts w:hint="eastAsia"/>
                <w:color w:val="auto"/>
                <w:sz w:val="24"/>
                <w:szCs w:val="24"/>
                <w:lang w:val="en-US" w:eastAsia="zh-CN"/>
              </w:rPr>
              <w:t>左右</w:t>
            </w:r>
            <w:r>
              <w:rPr>
                <w:color w:val="auto"/>
                <w:sz w:val="24"/>
                <w:szCs w:val="24"/>
              </w:rPr>
              <w:t>、</w:t>
            </w:r>
            <w:r>
              <w:rPr>
                <w:rFonts w:hint="eastAsia"/>
                <w:color w:val="auto"/>
                <w:sz w:val="24"/>
                <w:szCs w:val="24"/>
                <w:lang w:val="en-US" w:eastAsia="zh-CN"/>
              </w:rPr>
              <w:t>温度控制在0~5</w:t>
            </w:r>
            <w:r>
              <w:rPr>
                <w:color w:val="auto"/>
                <w:sz w:val="24"/>
                <w:szCs w:val="24"/>
              </w:rPr>
              <w:t>℃，</w:t>
            </w:r>
            <w:r>
              <w:rPr>
                <w:rFonts w:hint="eastAsia"/>
                <w:color w:val="auto"/>
                <w:sz w:val="24"/>
                <w:szCs w:val="24"/>
                <w:lang w:val="en-US" w:eastAsia="zh-CN"/>
              </w:rPr>
              <w:t>为</w:t>
            </w:r>
            <w:r>
              <w:rPr>
                <w:color w:val="auto"/>
                <w:sz w:val="24"/>
                <w:szCs w:val="24"/>
              </w:rPr>
              <w:t>防止肉汁流失，或解冻过度</w:t>
            </w:r>
            <w:r>
              <w:rPr>
                <w:rFonts w:hint="eastAsia"/>
                <w:color w:val="auto"/>
                <w:sz w:val="24"/>
                <w:szCs w:val="24"/>
                <w:lang w:eastAsia="zh-CN"/>
              </w:rPr>
              <w:t>，</w:t>
            </w:r>
            <w:r>
              <w:rPr>
                <w:color w:val="auto"/>
                <w:sz w:val="24"/>
                <w:szCs w:val="24"/>
              </w:rPr>
              <w:t>夏秋季节解冻时间</w:t>
            </w:r>
            <w:r>
              <w:rPr>
                <w:rFonts w:hint="eastAsia"/>
                <w:color w:val="auto"/>
                <w:sz w:val="24"/>
                <w:szCs w:val="24"/>
                <w:lang w:val="en-US" w:eastAsia="zh-CN"/>
              </w:rPr>
              <w:t>为</w:t>
            </w:r>
            <w:r>
              <w:rPr>
                <w:color w:val="auto"/>
                <w:sz w:val="24"/>
                <w:szCs w:val="24"/>
              </w:rPr>
              <w:t>9~12小时，冬春季节</w:t>
            </w:r>
            <w:r>
              <w:rPr>
                <w:rFonts w:hint="eastAsia"/>
                <w:color w:val="auto"/>
                <w:sz w:val="24"/>
                <w:szCs w:val="24"/>
                <w:lang w:val="en-US" w:eastAsia="zh-CN"/>
              </w:rPr>
              <w:t>解冻</w:t>
            </w:r>
            <w:r>
              <w:rPr>
                <w:color w:val="auto"/>
                <w:sz w:val="24"/>
                <w:szCs w:val="24"/>
              </w:rPr>
              <w:t>时间</w:t>
            </w:r>
            <w:r>
              <w:rPr>
                <w:rFonts w:hint="eastAsia"/>
                <w:color w:val="auto"/>
                <w:sz w:val="24"/>
                <w:szCs w:val="24"/>
                <w:lang w:val="en-US" w:eastAsia="zh-CN"/>
              </w:rPr>
              <w:t>为</w:t>
            </w:r>
            <w:r>
              <w:rPr>
                <w:color w:val="auto"/>
                <w:sz w:val="24"/>
                <w:szCs w:val="24"/>
              </w:rPr>
              <w:t>20~24小时。</w:t>
            </w:r>
          </w:p>
          <w:p>
            <w:pPr>
              <w:ind w:firstLine="480"/>
              <w:rPr>
                <w:color w:val="auto"/>
                <w:sz w:val="24"/>
                <w:szCs w:val="24"/>
              </w:rPr>
            </w:pPr>
            <w:r>
              <w:rPr>
                <w:color w:val="auto"/>
                <w:sz w:val="24"/>
                <w:szCs w:val="24"/>
              </w:rPr>
              <w:t>③清洗：</w:t>
            </w:r>
            <w:r>
              <w:rPr>
                <w:rFonts w:hint="eastAsia"/>
                <w:color w:val="auto"/>
                <w:sz w:val="24"/>
                <w:szCs w:val="24"/>
                <w:lang w:val="en-US" w:eastAsia="zh-CN"/>
              </w:rPr>
              <w:t>人工</w:t>
            </w:r>
            <w:r>
              <w:rPr>
                <w:color w:val="auto"/>
                <w:sz w:val="24"/>
                <w:szCs w:val="24"/>
              </w:rPr>
              <w:t>对肉</w:t>
            </w:r>
            <w:r>
              <w:rPr>
                <w:rFonts w:hint="eastAsia"/>
                <w:color w:val="auto"/>
                <w:sz w:val="24"/>
                <w:szCs w:val="24"/>
                <w:lang w:val="en-US" w:eastAsia="zh-CN"/>
              </w:rPr>
              <w:t>原料</w:t>
            </w:r>
            <w:r>
              <w:rPr>
                <w:color w:val="auto"/>
                <w:sz w:val="24"/>
                <w:szCs w:val="24"/>
              </w:rPr>
              <w:t>进行逐块检查，选出</w:t>
            </w:r>
            <w:r>
              <w:rPr>
                <w:rFonts w:hint="eastAsia"/>
                <w:color w:val="auto"/>
                <w:sz w:val="24"/>
                <w:szCs w:val="24"/>
                <w:lang w:val="en-US" w:eastAsia="zh-CN"/>
              </w:rPr>
              <w:t>毛发</w:t>
            </w:r>
            <w:r>
              <w:rPr>
                <w:color w:val="auto"/>
                <w:sz w:val="24"/>
                <w:szCs w:val="24"/>
              </w:rPr>
              <w:t>、骨渣、修去伤肉、淋巴及其它杂质</w:t>
            </w:r>
            <w:r>
              <w:rPr>
                <w:rFonts w:hint="eastAsia"/>
                <w:color w:val="auto"/>
                <w:sz w:val="24"/>
                <w:szCs w:val="24"/>
              </w:rPr>
              <w:t>，</w:t>
            </w:r>
            <w:r>
              <w:rPr>
                <w:color w:val="auto"/>
                <w:sz w:val="24"/>
                <w:szCs w:val="24"/>
              </w:rPr>
              <w:t>用</w:t>
            </w:r>
            <w:r>
              <w:rPr>
                <w:rFonts w:hint="eastAsia"/>
                <w:color w:val="auto"/>
                <w:sz w:val="24"/>
                <w:szCs w:val="24"/>
                <w:lang w:val="en-US" w:eastAsia="zh-CN"/>
              </w:rPr>
              <w:t>清水对修整后的肉原料进行</w:t>
            </w:r>
            <w:r>
              <w:rPr>
                <w:color w:val="auto"/>
                <w:sz w:val="24"/>
                <w:szCs w:val="24"/>
              </w:rPr>
              <w:t>清洗，洗去表面的污物</w:t>
            </w:r>
            <w:r>
              <w:rPr>
                <w:rFonts w:hint="eastAsia"/>
                <w:color w:val="auto"/>
                <w:sz w:val="24"/>
                <w:szCs w:val="24"/>
                <w:lang w:eastAsia="zh-CN"/>
              </w:rPr>
              <w:t>，</w:t>
            </w:r>
            <w:r>
              <w:rPr>
                <w:color w:val="auto"/>
                <w:sz w:val="24"/>
                <w:szCs w:val="24"/>
              </w:rPr>
              <w:t>并切为宽约20cm，长约40cm的大块肉</w:t>
            </w:r>
            <w:r>
              <w:rPr>
                <w:rFonts w:hint="eastAsia"/>
                <w:color w:val="auto"/>
                <w:sz w:val="24"/>
                <w:szCs w:val="24"/>
                <w:lang w:eastAsia="zh-CN"/>
              </w:rPr>
              <w:t>，</w:t>
            </w:r>
            <w:r>
              <w:rPr>
                <w:rFonts w:hint="eastAsia"/>
                <w:color w:val="auto"/>
                <w:sz w:val="24"/>
                <w:szCs w:val="24"/>
                <w:lang w:val="en-US" w:eastAsia="zh-CN"/>
              </w:rPr>
              <w:t>该工序会产生清洗废水、边角料</w:t>
            </w:r>
            <w:r>
              <w:rPr>
                <w:color w:val="auto"/>
                <w:sz w:val="24"/>
                <w:szCs w:val="24"/>
              </w:rPr>
              <w:t>。</w:t>
            </w:r>
          </w:p>
          <w:p>
            <w:pPr>
              <w:ind w:firstLine="480"/>
              <w:rPr>
                <w:color w:val="auto"/>
                <w:sz w:val="24"/>
                <w:szCs w:val="24"/>
              </w:rPr>
            </w:pPr>
            <w:r>
              <w:rPr>
                <w:rFonts w:hint="eastAsia"/>
                <w:color w:val="auto"/>
                <w:sz w:val="24"/>
                <w:szCs w:val="24"/>
                <w:lang w:val="en-US" w:eastAsia="zh-CN"/>
              </w:rPr>
              <w:t>④</w:t>
            </w:r>
            <w:r>
              <w:rPr>
                <w:color w:val="auto"/>
                <w:sz w:val="24"/>
                <w:szCs w:val="24"/>
              </w:rPr>
              <w:t>预煮：预先按配方配制好天然复合香料</w:t>
            </w:r>
            <w:r>
              <w:rPr>
                <w:rFonts w:hint="eastAsia"/>
                <w:color w:val="auto"/>
                <w:sz w:val="24"/>
                <w:szCs w:val="24"/>
                <w:lang w:eastAsia="zh-CN"/>
              </w:rPr>
              <w:t>、</w:t>
            </w:r>
            <w:r>
              <w:rPr>
                <w:rFonts w:hint="eastAsia"/>
                <w:color w:val="auto"/>
                <w:sz w:val="24"/>
                <w:szCs w:val="24"/>
                <w:lang w:val="en-US" w:eastAsia="zh-CN"/>
              </w:rPr>
              <w:t>食用盐等辅料，经供料系统</w:t>
            </w:r>
            <w:r>
              <w:rPr>
                <w:color w:val="auto"/>
                <w:sz w:val="24"/>
                <w:szCs w:val="24"/>
              </w:rPr>
              <w:t>将称量好</w:t>
            </w:r>
            <w:r>
              <w:rPr>
                <w:rFonts w:hint="eastAsia"/>
                <w:color w:val="auto"/>
                <w:sz w:val="24"/>
                <w:szCs w:val="24"/>
                <w:lang w:val="en-US" w:eastAsia="zh-CN"/>
              </w:rPr>
              <w:t>辅料</w:t>
            </w:r>
            <w:r>
              <w:rPr>
                <w:color w:val="auto"/>
                <w:sz w:val="24"/>
                <w:szCs w:val="24"/>
              </w:rPr>
              <w:t>按工艺要求的比例</w:t>
            </w:r>
            <w:r>
              <w:rPr>
                <w:rFonts w:hint="eastAsia"/>
                <w:color w:val="auto"/>
                <w:sz w:val="24"/>
                <w:szCs w:val="24"/>
                <w:lang w:val="en-US" w:eastAsia="zh-CN"/>
              </w:rPr>
              <w:t>与肉原料一起经卤制生产线进行预煮卤制，</w:t>
            </w:r>
            <w:r>
              <w:rPr>
                <w:color w:val="auto"/>
                <w:sz w:val="24"/>
                <w:szCs w:val="24"/>
              </w:rPr>
              <w:t>在预煮的过程中对肉进行</w:t>
            </w:r>
            <w:r>
              <w:rPr>
                <w:rFonts w:hint="eastAsia"/>
                <w:color w:val="auto"/>
                <w:sz w:val="24"/>
                <w:szCs w:val="24"/>
                <w:lang w:val="en-US" w:eastAsia="zh-CN"/>
              </w:rPr>
              <w:t>机械</w:t>
            </w:r>
            <w:r>
              <w:rPr>
                <w:color w:val="auto"/>
                <w:sz w:val="24"/>
                <w:szCs w:val="24"/>
              </w:rPr>
              <w:t>翻动</w:t>
            </w:r>
            <w:r>
              <w:rPr>
                <w:rFonts w:hint="eastAsia"/>
                <w:color w:val="auto"/>
                <w:sz w:val="24"/>
                <w:szCs w:val="24"/>
                <w:lang w:eastAsia="zh-CN"/>
              </w:rPr>
              <w:t>，</w:t>
            </w:r>
            <w:r>
              <w:rPr>
                <w:color w:val="auto"/>
                <w:sz w:val="24"/>
                <w:szCs w:val="24"/>
              </w:rPr>
              <w:t>时间30~45分钟</w:t>
            </w:r>
            <w:r>
              <w:rPr>
                <w:rFonts w:hint="eastAsia"/>
                <w:color w:val="auto"/>
                <w:sz w:val="24"/>
                <w:szCs w:val="24"/>
                <w:lang w:eastAsia="zh-CN"/>
              </w:rPr>
              <w:t>，</w:t>
            </w:r>
            <w:r>
              <w:rPr>
                <w:color w:val="auto"/>
                <w:sz w:val="24"/>
                <w:szCs w:val="24"/>
              </w:rPr>
              <w:t>煮至肉皮发软，并有粘性，同时肉煮熟</w:t>
            </w:r>
            <w:r>
              <w:rPr>
                <w:rFonts w:hint="eastAsia"/>
                <w:color w:val="auto"/>
                <w:sz w:val="24"/>
                <w:szCs w:val="24"/>
                <w:lang w:eastAsia="zh-CN"/>
              </w:rPr>
              <w:t>，</w:t>
            </w:r>
            <w:r>
              <w:rPr>
                <w:rFonts w:hint="eastAsia"/>
                <w:color w:val="auto"/>
                <w:sz w:val="24"/>
                <w:szCs w:val="24"/>
                <w:lang w:val="en-US" w:eastAsia="zh-CN"/>
              </w:rPr>
              <w:t>该工序会产生预煮废水</w:t>
            </w:r>
            <w:r>
              <w:rPr>
                <w:color w:val="auto"/>
                <w:sz w:val="24"/>
                <w:szCs w:val="24"/>
              </w:rPr>
              <w:t>。</w:t>
            </w:r>
          </w:p>
          <w:p>
            <w:pPr>
              <w:ind w:firstLine="480"/>
              <w:rPr>
                <w:rFonts w:hint="eastAsia" w:eastAsia="宋体"/>
                <w:color w:val="auto"/>
                <w:sz w:val="24"/>
                <w:szCs w:val="24"/>
                <w:lang w:val="en-US" w:eastAsia="zh-CN"/>
              </w:rPr>
            </w:pPr>
            <w:r>
              <w:rPr>
                <w:rFonts w:hint="eastAsia"/>
                <w:color w:val="auto"/>
                <w:sz w:val="24"/>
                <w:szCs w:val="24"/>
              </w:rPr>
              <w:t>⑤切割：</w:t>
            </w:r>
            <w:r>
              <w:rPr>
                <w:rFonts w:hint="eastAsia"/>
                <w:color w:val="auto"/>
                <w:sz w:val="24"/>
                <w:szCs w:val="24"/>
                <w:lang w:val="en-US" w:eastAsia="zh-CN"/>
              </w:rPr>
              <w:t>使用切割机将大块肉原料，先切条，然后</w:t>
            </w:r>
            <w:r>
              <w:rPr>
                <w:color w:val="auto"/>
                <w:sz w:val="24"/>
                <w:szCs w:val="24"/>
              </w:rPr>
              <w:t>切为宽约</w:t>
            </w:r>
            <w:r>
              <w:rPr>
                <w:rFonts w:hint="eastAsia"/>
                <w:color w:val="auto"/>
                <w:sz w:val="24"/>
                <w:szCs w:val="24"/>
              </w:rPr>
              <w:t>1</w:t>
            </w:r>
            <w:r>
              <w:rPr>
                <w:color w:val="auto"/>
                <w:sz w:val="24"/>
                <w:szCs w:val="24"/>
              </w:rPr>
              <w:t>cm，长约</w:t>
            </w:r>
            <w:r>
              <w:rPr>
                <w:rFonts w:hint="eastAsia"/>
                <w:color w:val="auto"/>
                <w:sz w:val="24"/>
                <w:szCs w:val="24"/>
                <w:lang w:val="en-US" w:eastAsia="zh-CN"/>
              </w:rPr>
              <w:t>3~</w:t>
            </w:r>
            <w:r>
              <w:rPr>
                <w:rFonts w:hint="eastAsia"/>
                <w:color w:val="auto"/>
                <w:sz w:val="24"/>
                <w:szCs w:val="24"/>
              </w:rPr>
              <w:t>5</w:t>
            </w:r>
            <w:r>
              <w:rPr>
                <w:color w:val="auto"/>
                <w:sz w:val="24"/>
                <w:szCs w:val="24"/>
              </w:rPr>
              <w:t>cm的</w:t>
            </w:r>
            <w:r>
              <w:rPr>
                <w:rFonts w:hint="eastAsia"/>
                <w:color w:val="auto"/>
                <w:sz w:val="24"/>
                <w:szCs w:val="24"/>
              </w:rPr>
              <w:t>条状</w:t>
            </w:r>
            <w:r>
              <w:rPr>
                <w:color w:val="auto"/>
                <w:sz w:val="24"/>
                <w:szCs w:val="24"/>
              </w:rPr>
              <w:t>肉后后</w:t>
            </w:r>
            <w:r>
              <w:rPr>
                <w:rFonts w:hint="eastAsia"/>
                <w:color w:val="auto"/>
                <w:sz w:val="24"/>
                <w:szCs w:val="24"/>
                <w:lang w:val="en-US" w:eastAsia="zh-CN"/>
              </w:rPr>
              <w:t>由传送带经金属检测仪进行检测</w:t>
            </w:r>
            <w:r>
              <w:rPr>
                <w:color w:val="auto"/>
                <w:sz w:val="24"/>
                <w:szCs w:val="24"/>
              </w:rPr>
              <w:t>，</w:t>
            </w:r>
            <w:r>
              <w:rPr>
                <w:rFonts w:hint="eastAsia"/>
                <w:color w:val="auto"/>
                <w:sz w:val="24"/>
                <w:szCs w:val="24"/>
                <w:lang w:val="en-US" w:eastAsia="zh-CN"/>
              </w:rPr>
              <w:t>检测通过的原料准备计进行炒料</w:t>
            </w:r>
            <w:r>
              <w:rPr>
                <w:rFonts w:hint="eastAsia"/>
                <w:color w:val="auto"/>
                <w:sz w:val="24"/>
                <w:szCs w:val="24"/>
                <w:vertAlign w:val="baseline"/>
                <w:lang w:val="en-US" w:eastAsia="zh-CN"/>
              </w:rPr>
              <w:t>，</w:t>
            </w:r>
            <w:r>
              <w:rPr>
                <w:rFonts w:hint="eastAsia"/>
                <w:color w:val="auto"/>
                <w:sz w:val="24"/>
                <w:szCs w:val="24"/>
                <w:lang w:val="en-US" w:eastAsia="zh-CN"/>
              </w:rPr>
              <w:t>该工序会产生</w:t>
            </w:r>
            <w:r>
              <w:rPr>
                <w:rFonts w:hint="eastAsia"/>
                <w:color w:val="auto"/>
                <w:sz w:val="24"/>
                <w:szCs w:val="24"/>
              </w:rPr>
              <w:t>边角料</w:t>
            </w:r>
            <w:r>
              <w:rPr>
                <w:rFonts w:hint="eastAsia"/>
                <w:color w:val="auto"/>
                <w:sz w:val="24"/>
                <w:szCs w:val="24"/>
                <w:lang w:eastAsia="zh-CN"/>
              </w:rPr>
              <w:t>。</w:t>
            </w:r>
          </w:p>
          <w:p>
            <w:pPr>
              <w:ind w:firstLine="480"/>
              <w:rPr>
                <w:color w:val="auto"/>
                <w:sz w:val="24"/>
                <w:szCs w:val="24"/>
              </w:rPr>
            </w:pPr>
            <w:r>
              <w:rPr>
                <w:rFonts w:hint="eastAsia"/>
                <w:color w:val="auto"/>
                <w:sz w:val="24"/>
                <w:szCs w:val="24"/>
                <w:lang w:val="en-US" w:eastAsia="zh-CN"/>
              </w:rPr>
              <w:t>注：本项目检测工段不涉及使用X光检测设备，金属检测仪的剔除方式采用声光报警、传送带自动停止的方式，</w:t>
            </w:r>
            <w:r>
              <w:rPr>
                <w:color w:val="auto"/>
                <w:sz w:val="24"/>
                <w:szCs w:val="24"/>
              </w:rPr>
              <w:t>对剔出的</w:t>
            </w:r>
            <w:r>
              <w:rPr>
                <w:rFonts w:hint="eastAsia"/>
                <w:color w:val="auto"/>
                <w:sz w:val="24"/>
                <w:szCs w:val="24"/>
                <w:lang w:val="en-US" w:eastAsia="zh-CN"/>
              </w:rPr>
              <w:t>物料</w:t>
            </w:r>
            <w:r>
              <w:rPr>
                <w:color w:val="auto"/>
                <w:sz w:val="24"/>
                <w:szCs w:val="24"/>
              </w:rPr>
              <w:t>反复过机两次，如果仍被剔出，须取出送质检部切片找出异物。</w:t>
            </w:r>
          </w:p>
          <w:p>
            <w:pPr>
              <w:ind w:firstLine="480"/>
              <w:rPr>
                <w:color w:val="auto"/>
                <w:sz w:val="24"/>
                <w:szCs w:val="24"/>
              </w:rPr>
            </w:pPr>
            <w:r>
              <w:rPr>
                <w:rFonts w:hint="eastAsia"/>
                <w:color w:val="auto"/>
                <w:sz w:val="24"/>
                <w:szCs w:val="24"/>
              </w:rPr>
              <w:t>⑥</w:t>
            </w:r>
            <w:r>
              <w:rPr>
                <w:rFonts w:hint="eastAsia"/>
                <w:color w:val="auto"/>
                <w:sz w:val="24"/>
                <w:szCs w:val="24"/>
                <w:lang w:val="en-US" w:eastAsia="zh-CN"/>
              </w:rPr>
              <w:t>炒制</w:t>
            </w:r>
            <w:r>
              <w:rPr>
                <w:rFonts w:hint="eastAsia"/>
                <w:color w:val="auto"/>
                <w:sz w:val="24"/>
                <w:szCs w:val="24"/>
              </w:rPr>
              <w:t>：</w:t>
            </w:r>
            <w:r>
              <w:rPr>
                <w:color w:val="auto"/>
                <w:sz w:val="24"/>
                <w:szCs w:val="24"/>
              </w:rPr>
              <w:t>预先按配方配制好天然复合香料</w:t>
            </w:r>
            <w:r>
              <w:rPr>
                <w:rFonts w:hint="eastAsia"/>
                <w:color w:val="auto"/>
                <w:sz w:val="24"/>
                <w:szCs w:val="24"/>
                <w:lang w:eastAsia="zh-CN"/>
              </w:rPr>
              <w:t>、</w:t>
            </w:r>
            <w:r>
              <w:rPr>
                <w:rFonts w:hint="eastAsia"/>
                <w:color w:val="auto"/>
                <w:sz w:val="24"/>
                <w:szCs w:val="24"/>
                <w:lang w:val="en-US" w:eastAsia="zh-CN"/>
              </w:rPr>
              <w:t>食用盐等辅料，经供料系统</w:t>
            </w:r>
            <w:r>
              <w:rPr>
                <w:color w:val="auto"/>
                <w:sz w:val="24"/>
                <w:szCs w:val="24"/>
              </w:rPr>
              <w:t>将称量好</w:t>
            </w:r>
            <w:r>
              <w:rPr>
                <w:rFonts w:hint="eastAsia"/>
                <w:color w:val="auto"/>
                <w:sz w:val="24"/>
                <w:szCs w:val="24"/>
                <w:lang w:val="en-US" w:eastAsia="zh-CN"/>
              </w:rPr>
              <w:t>辅料</w:t>
            </w:r>
            <w:r>
              <w:rPr>
                <w:color w:val="auto"/>
                <w:sz w:val="24"/>
                <w:szCs w:val="24"/>
              </w:rPr>
              <w:t>按工艺要求的比例</w:t>
            </w:r>
            <w:r>
              <w:rPr>
                <w:rFonts w:hint="eastAsia"/>
                <w:color w:val="auto"/>
                <w:sz w:val="24"/>
                <w:szCs w:val="24"/>
                <w:lang w:val="en-US" w:eastAsia="zh-CN"/>
              </w:rPr>
              <w:t>与肉原料一起</w:t>
            </w:r>
            <w:r>
              <w:rPr>
                <w:color w:val="auto"/>
                <w:sz w:val="24"/>
                <w:szCs w:val="24"/>
              </w:rPr>
              <w:t>放入</w:t>
            </w:r>
            <w:r>
              <w:rPr>
                <w:rFonts w:hint="eastAsia"/>
                <w:color w:val="auto"/>
                <w:sz w:val="24"/>
                <w:szCs w:val="24"/>
              </w:rPr>
              <w:t>炒松机</w:t>
            </w:r>
            <w:r>
              <w:rPr>
                <w:rFonts w:hint="eastAsia"/>
                <w:color w:val="auto"/>
                <w:sz w:val="24"/>
                <w:szCs w:val="24"/>
                <w:lang w:eastAsia="zh-CN"/>
              </w:rPr>
              <w:t>（</w:t>
            </w:r>
            <w:r>
              <w:rPr>
                <w:rFonts w:hint="eastAsia"/>
                <w:color w:val="auto"/>
                <w:sz w:val="24"/>
                <w:szCs w:val="24"/>
                <w:lang w:val="en-US" w:eastAsia="zh-CN"/>
              </w:rPr>
              <w:t>电加热</w:t>
            </w:r>
            <w:r>
              <w:rPr>
                <w:rFonts w:hint="eastAsia"/>
                <w:color w:val="auto"/>
                <w:sz w:val="24"/>
                <w:szCs w:val="24"/>
                <w:lang w:eastAsia="zh-CN"/>
              </w:rPr>
              <w:t>）</w:t>
            </w:r>
            <w:r>
              <w:rPr>
                <w:rFonts w:hint="eastAsia"/>
                <w:color w:val="auto"/>
                <w:sz w:val="24"/>
                <w:szCs w:val="24"/>
              </w:rPr>
              <w:t>进行炒制</w:t>
            </w:r>
            <w:r>
              <w:rPr>
                <w:rFonts w:hint="eastAsia"/>
                <w:color w:val="auto"/>
                <w:sz w:val="24"/>
                <w:szCs w:val="24"/>
                <w:lang w:eastAsia="zh-CN"/>
              </w:rPr>
              <w:t>，</w:t>
            </w:r>
            <w:r>
              <w:rPr>
                <w:rFonts w:hint="eastAsia"/>
                <w:color w:val="auto"/>
                <w:sz w:val="24"/>
                <w:szCs w:val="24"/>
                <w:lang w:val="en-US" w:eastAsia="zh-CN"/>
              </w:rPr>
              <w:t>炒制</w:t>
            </w:r>
            <w:r>
              <w:rPr>
                <w:color w:val="auto"/>
                <w:sz w:val="24"/>
                <w:szCs w:val="24"/>
              </w:rPr>
              <w:t>时间</w:t>
            </w:r>
            <w:r>
              <w:rPr>
                <w:rFonts w:hint="eastAsia"/>
                <w:color w:val="auto"/>
                <w:sz w:val="24"/>
                <w:szCs w:val="24"/>
                <w:lang w:val="en-US" w:eastAsia="zh-CN"/>
              </w:rPr>
              <w:t>控制</w:t>
            </w:r>
            <w:r>
              <w:rPr>
                <w:color w:val="auto"/>
                <w:sz w:val="24"/>
                <w:szCs w:val="24"/>
              </w:rPr>
              <w:t>30~45</w:t>
            </w:r>
            <w:r>
              <w:rPr>
                <w:rFonts w:hint="eastAsia"/>
                <w:color w:val="auto"/>
                <w:sz w:val="24"/>
                <w:szCs w:val="24"/>
                <w:lang w:val="en-US" w:eastAsia="zh-CN"/>
              </w:rPr>
              <w:t>min</w:t>
            </w:r>
            <w:r>
              <w:rPr>
                <w:rFonts w:hint="eastAsia"/>
                <w:color w:val="auto"/>
                <w:sz w:val="24"/>
                <w:szCs w:val="24"/>
              </w:rPr>
              <w:t>。</w:t>
            </w:r>
          </w:p>
          <w:p>
            <w:pPr>
              <w:ind w:firstLine="480"/>
              <w:rPr>
                <w:color w:val="auto"/>
                <w:sz w:val="24"/>
                <w:szCs w:val="24"/>
              </w:rPr>
            </w:pPr>
            <w:r>
              <w:rPr>
                <w:rFonts w:hint="eastAsia"/>
                <w:color w:val="auto"/>
                <w:sz w:val="24"/>
                <w:szCs w:val="24"/>
              </w:rPr>
              <w:t>⑦烘烤：将炒制好的肉块</w:t>
            </w:r>
            <w:r>
              <w:rPr>
                <w:rFonts w:hint="eastAsia"/>
                <w:color w:val="auto"/>
                <w:sz w:val="24"/>
                <w:szCs w:val="24"/>
                <w:lang w:val="en-US" w:eastAsia="zh-CN"/>
              </w:rPr>
              <w:t>原料</w:t>
            </w:r>
            <w:r>
              <w:rPr>
                <w:rFonts w:hint="default" w:ascii="Times New Roman" w:hAnsi="Times New Roman" w:cs="Times New Roman"/>
                <w:color w:val="auto"/>
                <w:sz w:val="24"/>
                <w:szCs w:val="24"/>
              </w:rPr>
              <w:t>放入烘烤机进行烘烤去除水分，烘烤适宜温度为85~95℃</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烘烤</w:t>
            </w:r>
            <w:r>
              <w:rPr>
                <w:color w:val="auto"/>
                <w:sz w:val="24"/>
                <w:szCs w:val="24"/>
              </w:rPr>
              <w:t>时间</w:t>
            </w:r>
            <w:r>
              <w:rPr>
                <w:rFonts w:hint="eastAsia"/>
                <w:color w:val="auto"/>
                <w:sz w:val="24"/>
                <w:szCs w:val="24"/>
                <w:lang w:val="en-US" w:eastAsia="zh-CN"/>
              </w:rPr>
              <w:t>控制在30~45min范围内</w:t>
            </w:r>
            <w:r>
              <w:rPr>
                <w:rFonts w:hint="default" w:ascii="Times New Roman" w:hAnsi="Times New Roman" w:cs="Times New Roman"/>
                <w:color w:val="auto"/>
                <w:sz w:val="24"/>
                <w:szCs w:val="24"/>
              </w:rPr>
              <w:t>。</w:t>
            </w:r>
          </w:p>
          <w:p>
            <w:pPr>
              <w:ind w:firstLine="480"/>
              <w:rPr>
                <w:color w:val="auto"/>
                <w:sz w:val="24"/>
                <w:szCs w:val="24"/>
              </w:rPr>
            </w:pPr>
            <w:r>
              <w:rPr>
                <w:color w:val="auto"/>
                <w:sz w:val="24"/>
                <w:szCs w:val="24"/>
              </w:rPr>
              <w:t>⑧包装：</w:t>
            </w:r>
            <w:r>
              <w:rPr>
                <w:rFonts w:hint="eastAsia"/>
                <w:color w:val="auto"/>
                <w:sz w:val="24"/>
                <w:szCs w:val="24"/>
                <w:lang w:val="en-US" w:eastAsia="zh-CN"/>
              </w:rPr>
              <w:t>称量完成的原料经全自动打包设备进行包装，</w:t>
            </w:r>
            <w:r>
              <w:rPr>
                <w:color w:val="auto"/>
                <w:sz w:val="24"/>
                <w:szCs w:val="24"/>
              </w:rPr>
              <w:t>500克以下的</w:t>
            </w:r>
            <w:r>
              <w:rPr>
                <w:rFonts w:hint="eastAsia"/>
                <w:color w:val="auto"/>
                <w:sz w:val="24"/>
                <w:szCs w:val="24"/>
                <w:lang w:eastAsia="zh-CN"/>
              </w:rPr>
              <w:t>包装量</w:t>
            </w:r>
            <w:r>
              <w:rPr>
                <w:color w:val="auto"/>
                <w:sz w:val="24"/>
                <w:szCs w:val="24"/>
              </w:rPr>
              <w:t>允许误差为±3%；</w:t>
            </w:r>
            <w:r>
              <w:rPr>
                <w:rFonts w:hint="eastAsia"/>
                <w:color w:val="auto"/>
                <w:sz w:val="24"/>
                <w:szCs w:val="24"/>
                <w:lang w:eastAsia="zh-CN"/>
              </w:rPr>
              <w:t>包装量</w:t>
            </w:r>
            <w:r>
              <w:rPr>
                <w:color w:val="auto"/>
                <w:sz w:val="24"/>
                <w:szCs w:val="24"/>
              </w:rPr>
              <w:t>在1000克或以上的产品其</w:t>
            </w:r>
            <w:r>
              <w:rPr>
                <w:rFonts w:hint="eastAsia"/>
                <w:color w:val="auto"/>
                <w:sz w:val="24"/>
                <w:szCs w:val="24"/>
                <w:lang w:val="en-US" w:eastAsia="zh-CN"/>
              </w:rPr>
              <w:t>包装量</w:t>
            </w:r>
            <w:r>
              <w:rPr>
                <w:color w:val="auto"/>
                <w:sz w:val="24"/>
                <w:szCs w:val="24"/>
              </w:rPr>
              <w:t>允许误差﹤1%。</w:t>
            </w:r>
            <w:r>
              <w:rPr>
                <w:rFonts w:hint="eastAsia"/>
                <w:color w:val="auto"/>
                <w:sz w:val="24"/>
                <w:szCs w:val="24"/>
                <w:lang w:val="en-US" w:eastAsia="zh-CN"/>
              </w:rPr>
              <w:t>包装</w:t>
            </w:r>
            <w:r>
              <w:rPr>
                <w:color w:val="auto"/>
                <w:sz w:val="24"/>
                <w:szCs w:val="24"/>
              </w:rPr>
              <w:t>过程中每5min对</w:t>
            </w:r>
            <w:r>
              <w:rPr>
                <w:rFonts w:hint="eastAsia"/>
                <w:color w:val="auto"/>
                <w:sz w:val="24"/>
                <w:szCs w:val="24"/>
                <w:lang w:eastAsia="zh-CN"/>
              </w:rPr>
              <w:t>包装量</w:t>
            </w:r>
            <w:r>
              <w:rPr>
                <w:color w:val="auto"/>
                <w:sz w:val="24"/>
                <w:szCs w:val="24"/>
              </w:rPr>
              <w:t>进行</w:t>
            </w:r>
            <w:r>
              <w:rPr>
                <w:rFonts w:hint="eastAsia"/>
                <w:color w:val="auto"/>
                <w:sz w:val="24"/>
                <w:szCs w:val="24"/>
                <w:lang w:val="en-US" w:eastAsia="zh-CN"/>
              </w:rPr>
              <w:t>人工复称</w:t>
            </w:r>
            <w:r>
              <w:rPr>
                <w:color w:val="auto"/>
                <w:sz w:val="24"/>
                <w:szCs w:val="24"/>
              </w:rPr>
              <w:t>抽查，每</w:t>
            </w:r>
            <w:r>
              <w:rPr>
                <w:rFonts w:hint="eastAsia"/>
                <w:color w:val="auto"/>
                <w:sz w:val="24"/>
                <w:szCs w:val="24"/>
                <w:lang w:val="en-US" w:eastAsia="zh-CN"/>
              </w:rPr>
              <w:t>1h</w:t>
            </w:r>
            <w:r>
              <w:rPr>
                <w:color w:val="auto"/>
                <w:sz w:val="24"/>
                <w:szCs w:val="24"/>
              </w:rPr>
              <w:t>记录一次。</w:t>
            </w:r>
          </w:p>
          <w:p>
            <w:pPr>
              <w:ind w:firstLine="480"/>
              <w:rPr>
                <w:color w:val="auto"/>
                <w:sz w:val="24"/>
                <w:szCs w:val="24"/>
              </w:rPr>
            </w:pPr>
            <w:r>
              <w:rPr>
                <w:rFonts w:hint="eastAsia"/>
                <w:color w:val="auto"/>
                <w:sz w:val="24"/>
                <w:szCs w:val="24"/>
                <w:lang w:val="en-US" w:eastAsia="zh-CN"/>
              </w:rPr>
              <w:t>⑨</w:t>
            </w:r>
            <w:r>
              <w:rPr>
                <w:color w:val="auto"/>
                <w:sz w:val="24"/>
                <w:szCs w:val="24"/>
              </w:rPr>
              <w:t>入库：</w:t>
            </w:r>
            <w:r>
              <w:rPr>
                <w:rFonts w:hint="eastAsia"/>
                <w:color w:val="auto"/>
                <w:sz w:val="24"/>
                <w:szCs w:val="24"/>
                <w:lang w:val="en-US" w:eastAsia="zh-CN"/>
              </w:rPr>
              <w:t>由工人运送至库房</w:t>
            </w:r>
            <w:r>
              <w:rPr>
                <w:rFonts w:hint="eastAsia"/>
                <w:color w:val="auto"/>
                <w:sz w:val="24"/>
                <w:szCs w:val="24"/>
                <w:lang w:eastAsia="zh-CN"/>
              </w:rPr>
              <w:t>，</w:t>
            </w:r>
            <w:r>
              <w:rPr>
                <w:color w:val="auto"/>
                <w:sz w:val="24"/>
                <w:szCs w:val="24"/>
              </w:rPr>
              <w:t>发运前库房应向质检部提出检验申请，经质检部检验合格</w:t>
            </w:r>
            <w:r>
              <w:rPr>
                <w:rFonts w:hint="eastAsia"/>
                <w:color w:val="auto"/>
                <w:sz w:val="24"/>
                <w:szCs w:val="24"/>
                <w:lang w:eastAsia="zh-CN"/>
              </w:rPr>
              <w:t>（</w:t>
            </w:r>
            <w:r>
              <w:rPr>
                <w:color w:val="auto"/>
                <w:sz w:val="24"/>
                <w:szCs w:val="24"/>
              </w:rPr>
              <w:t>挑选出</w:t>
            </w:r>
            <w:r>
              <w:rPr>
                <w:rFonts w:hint="eastAsia"/>
                <w:color w:val="auto"/>
                <w:sz w:val="24"/>
                <w:szCs w:val="24"/>
                <w:lang w:val="en-US" w:eastAsia="zh-CN"/>
              </w:rPr>
              <w:t>漏气、破损</w:t>
            </w:r>
            <w:r>
              <w:rPr>
                <w:color w:val="auto"/>
                <w:sz w:val="24"/>
                <w:szCs w:val="24"/>
              </w:rPr>
              <w:t>以及封口有缺陷的产品</w:t>
            </w:r>
            <w:r>
              <w:rPr>
                <w:rFonts w:hint="eastAsia"/>
                <w:color w:val="auto"/>
                <w:sz w:val="24"/>
                <w:szCs w:val="24"/>
                <w:lang w:eastAsia="zh-CN"/>
              </w:rPr>
              <w:t>）</w:t>
            </w:r>
            <w:r>
              <w:rPr>
                <w:color w:val="auto"/>
                <w:sz w:val="24"/>
                <w:szCs w:val="24"/>
              </w:rPr>
              <w:t>的成品才能发运。成品库清洁、干燥，运输车辆清洁无污染。</w:t>
            </w:r>
          </w:p>
          <w:p>
            <w:pPr>
              <w:adjustRightInd w:val="0"/>
              <w:snapToGrid w:val="0"/>
              <w:ind w:firstLine="482"/>
              <w:rPr>
                <w:b/>
                <w:color w:val="auto"/>
                <w:szCs w:val="21"/>
              </w:rPr>
            </w:pPr>
            <w:r>
              <w:rPr>
                <w:b/>
                <w:color w:val="auto"/>
                <w:szCs w:val="21"/>
              </w:rPr>
              <w:t>（三）水平衡</w:t>
            </w:r>
          </w:p>
          <w:p>
            <w:pPr>
              <w:adjustRightInd w:val="0"/>
              <w:snapToGrid w:val="0"/>
              <w:ind w:firstLine="480"/>
              <w:rPr>
                <w:bCs/>
                <w:color w:val="auto"/>
                <w:szCs w:val="21"/>
              </w:rPr>
            </w:pPr>
            <w:r>
              <w:rPr>
                <w:bCs/>
                <w:color w:val="auto"/>
                <w:szCs w:val="21"/>
              </w:rPr>
              <w:t>本项目用水主要包括生活用水、生产用水。</w:t>
            </w:r>
          </w:p>
          <w:p>
            <w:pPr>
              <w:adjustRightInd w:val="0"/>
              <w:snapToGrid w:val="0"/>
              <w:ind w:firstLine="482"/>
              <w:rPr>
                <w:b/>
                <w:color w:val="auto"/>
                <w:szCs w:val="21"/>
              </w:rPr>
            </w:pPr>
            <w:r>
              <w:rPr>
                <w:b/>
                <w:color w:val="auto"/>
                <w:szCs w:val="21"/>
              </w:rPr>
              <w:t>1、生活用水</w:t>
            </w:r>
          </w:p>
          <w:p>
            <w:pPr>
              <w:adjustRightInd w:val="0"/>
              <w:snapToGrid w:val="0"/>
              <w:ind w:firstLine="480"/>
              <w:rPr>
                <w:bCs/>
                <w:color w:val="auto"/>
                <w:szCs w:val="21"/>
              </w:rPr>
            </w:pPr>
            <w:r>
              <w:rPr>
                <w:bCs/>
                <w:color w:val="auto"/>
                <w:szCs w:val="21"/>
              </w:rPr>
              <w:t>本项目劳动定员</w:t>
            </w:r>
            <w:r>
              <w:rPr>
                <w:rFonts w:hint="eastAsia"/>
                <w:bCs/>
                <w:color w:val="auto"/>
                <w:szCs w:val="21"/>
              </w:rPr>
              <w:t>160</w:t>
            </w:r>
            <w:r>
              <w:rPr>
                <w:bCs/>
                <w:color w:val="auto"/>
                <w:szCs w:val="21"/>
              </w:rPr>
              <w:t>人</w:t>
            </w:r>
            <w:r>
              <w:rPr>
                <w:rFonts w:hint="eastAsia"/>
                <w:bCs/>
                <w:color w:val="auto"/>
                <w:szCs w:val="21"/>
              </w:rPr>
              <w:t>，</w:t>
            </w:r>
            <w:r>
              <w:rPr>
                <w:bCs/>
                <w:color w:val="auto"/>
              </w:rPr>
              <w:t>其中</w:t>
            </w:r>
            <w:r>
              <w:rPr>
                <w:color w:val="auto"/>
              </w:rPr>
              <w:t>在厂食宿</w:t>
            </w:r>
            <w:r>
              <w:rPr>
                <w:rFonts w:hint="eastAsia"/>
                <w:color w:val="auto"/>
              </w:rPr>
              <w:t>80</w:t>
            </w:r>
            <w:r>
              <w:rPr>
                <w:color w:val="auto"/>
              </w:rPr>
              <w:t>人</w:t>
            </w:r>
            <w:r>
              <w:rPr>
                <w:bCs/>
                <w:color w:val="auto"/>
                <w:szCs w:val="21"/>
              </w:rPr>
              <w:t>，参考</w:t>
            </w:r>
            <w:r>
              <w:rPr>
                <w:rFonts w:hint="eastAsia"/>
                <w:bCs/>
                <w:color w:val="auto"/>
                <w:szCs w:val="21"/>
              </w:rPr>
              <w:t>四川省用水定额标准（川府函〔2021〕8号）</w:t>
            </w:r>
            <w:r>
              <w:rPr>
                <w:bCs/>
                <w:color w:val="auto"/>
                <w:szCs w:val="21"/>
              </w:rPr>
              <w:t>中“表35-公共管理-通用值”的相关数据，</w:t>
            </w:r>
            <w:r>
              <w:rPr>
                <w:bCs/>
                <w:color w:val="auto"/>
              </w:rPr>
              <w:t>生产人员用水定额取19m</w:t>
            </w:r>
            <w:r>
              <w:rPr>
                <w:bCs/>
                <w:color w:val="auto"/>
                <w:vertAlign w:val="superscript"/>
              </w:rPr>
              <w:t>3</w:t>
            </w:r>
            <w:r>
              <w:rPr>
                <w:bCs/>
                <w:color w:val="auto"/>
              </w:rPr>
              <w:t>/人</w:t>
            </w:r>
            <w:r>
              <w:rPr>
                <w:rFonts w:hint="eastAsia"/>
                <w:bCs/>
                <w:color w:val="auto"/>
              </w:rPr>
              <w:t>.</w:t>
            </w:r>
            <w:r>
              <w:rPr>
                <w:bCs/>
                <w:color w:val="auto"/>
              </w:rPr>
              <w:t>a（不</w:t>
            </w:r>
            <w:r>
              <w:rPr>
                <w:rFonts w:hint="eastAsia"/>
                <w:bCs/>
                <w:color w:val="auto"/>
              </w:rPr>
              <w:t>住宿</w:t>
            </w:r>
            <w:r>
              <w:rPr>
                <w:bCs/>
                <w:color w:val="auto"/>
              </w:rPr>
              <w:t>）</w:t>
            </w:r>
            <w:r>
              <w:rPr>
                <w:rFonts w:hint="eastAsia"/>
                <w:bCs/>
                <w:color w:val="auto"/>
              </w:rPr>
              <w:t>，生产人员用水定额取38m</w:t>
            </w:r>
            <w:r>
              <w:rPr>
                <w:rFonts w:hint="eastAsia"/>
                <w:bCs/>
                <w:color w:val="auto"/>
                <w:vertAlign w:val="superscript"/>
              </w:rPr>
              <w:t>3</w:t>
            </w:r>
            <w:r>
              <w:rPr>
                <w:rFonts w:hint="eastAsia"/>
                <w:bCs/>
                <w:color w:val="auto"/>
              </w:rPr>
              <w:t>/人.a（住宿）</w:t>
            </w:r>
            <w:r>
              <w:rPr>
                <w:bCs/>
                <w:color w:val="auto"/>
                <w:szCs w:val="21"/>
              </w:rPr>
              <w:t>，年工作日为300天，则职工生活用水</w:t>
            </w:r>
            <w:r>
              <w:rPr>
                <w:rFonts w:hint="eastAsia"/>
                <w:bCs/>
                <w:color w:val="auto"/>
                <w:szCs w:val="21"/>
              </w:rPr>
              <w:t>15.2</w:t>
            </w:r>
            <w:r>
              <w:rPr>
                <w:bCs/>
                <w:color w:val="auto"/>
                <w:szCs w:val="21"/>
              </w:rPr>
              <w:t>m</w:t>
            </w:r>
            <w:r>
              <w:rPr>
                <w:bCs/>
                <w:color w:val="auto"/>
                <w:szCs w:val="21"/>
                <w:vertAlign w:val="superscript"/>
              </w:rPr>
              <w:t>3</w:t>
            </w:r>
            <w:r>
              <w:rPr>
                <w:bCs/>
                <w:color w:val="auto"/>
                <w:szCs w:val="21"/>
              </w:rPr>
              <w:t>/d （</w:t>
            </w:r>
            <w:r>
              <w:rPr>
                <w:rFonts w:hint="eastAsia"/>
                <w:bCs/>
                <w:color w:val="auto"/>
                <w:szCs w:val="21"/>
              </w:rPr>
              <w:t>4560</w:t>
            </w:r>
            <w:r>
              <w:rPr>
                <w:bCs/>
                <w:color w:val="auto"/>
                <w:szCs w:val="21"/>
              </w:rPr>
              <w:t>m</w:t>
            </w:r>
            <w:r>
              <w:rPr>
                <w:bCs/>
                <w:color w:val="auto"/>
                <w:szCs w:val="21"/>
                <w:vertAlign w:val="superscript"/>
              </w:rPr>
              <w:t>3</w:t>
            </w:r>
            <w:r>
              <w:rPr>
                <w:bCs/>
                <w:color w:val="auto"/>
                <w:szCs w:val="21"/>
              </w:rPr>
              <w:t>/a），排水量按用水量的85%计，则日排生活废水约</w:t>
            </w:r>
            <w:r>
              <w:rPr>
                <w:rFonts w:hint="eastAsia"/>
                <w:bCs/>
                <w:color w:val="auto"/>
                <w:szCs w:val="21"/>
              </w:rPr>
              <w:t>12.9</w:t>
            </w:r>
            <w:r>
              <w:rPr>
                <w:bCs/>
                <w:color w:val="auto"/>
                <w:szCs w:val="21"/>
              </w:rPr>
              <w:t>m</w:t>
            </w:r>
            <w:r>
              <w:rPr>
                <w:bCs/>
                <w:color w:val="auto"/>
                <w:szCs w:val="21"/>
                <w:vertAlign w:val="superscript"/>
              </w:rPr>
              <w:t>3</w:t>
            </w:r>
            <w:r>
              <w:rPr>
                <w:bCs/>
                <w:color w:val="auto"/>
                <w:szCs w:val="21"/>
              </w:rPr>
              <w:t>/d（</w:t>
            </w:r>
            <w:r>
              <w:rPr>
                <w:rFonts w:hint="eastAsia"/>
                <w:bCs/>
                <w:color w:val="auto"/>
                <w:szCs w:val="21"/>
              </w:rPr>
              <w:t>3876</w:t>
            </w:r>
            <w:r>
              <w:rPr>
                <w:bCs/>
                <w:color w:val="auto"/>
                <w:szCs w:val="21"/>
              </w:rPr>
              <w:t>m</w:t>
            </w:r>
            <w:r>
              <w:rPr>
                <w:bCs/>
                <w:color w:val="auto"/>
                <w:szCs w:val="21"/>
                <w:vertAlign w:val="superscript"/>
              </w:rPr>
              <w:t>3</w:t>
            </w:r>
            <w:r>
              <w:rPr>
                <w:bCs/>
                <w:color w:val="auto"/>
                <w:szCs w:val="21"/>
              </w:rPr>
              <w:t>/a），生活污水</w:t>
            </w:r>
            <w:r>
              <w:rPr>
                <w:rFonts w:hint="eastAsia"/>
                <w:bCs/>
                <w:color w:val="auto"/>
                <w:szCs w:val="21"/>
                <w:lang w:val="en-US" w:eastAsia="zh-CN"/>
              </w:rPr>
              <w:t>由预处理池处理后（</w:t>
            </w:r>
            <w:r>
              <w:rPr>
                <w:color w:val="auto"/>
                <w:spacing w:val="-1"/>
              </w:rPr>
              <w:t>其中食堂废水先进入隔油池隔油处理后进入</w:t>
            </w:r>
            <w:r>
              <w:rPr>
                <w:rFonts w:hint="eastAsia"/>
                <w:color w:val="auto"/>
                <w:spacing w:val="-1"/>
                <w:lang w:val="en-US" w:eastAsia="zh-CN"/>
              </w:rPr>
              <w:t>预处理</w:t>
            </w:r>
            <w:r>
              <w:rPr>
                <w:rFonts w:hint="eastAsia"/>
                <w:bCs/>
                <w:color w:val="auto"/>
                <w:szCs w:val="21"/>
                <w:lang w:val="en-US" w:eastAsia="zh-CN"/>
              </w:rPr>
              <w:t>）经</w:t>
            </w:r>
            <w:r>
              <w:rPr>
                <w:rFonts w:hint="eastAsia"/>
                <w:bCs/>
                <w:color w:val="auto"/>
                <w:szCs w:val="21"/>
              </w:rPr>
              <w:t>厂区污水处理站处理达标</w:t>
            </w:r>
            <w:r>
              <w:rPr>
                <w:bCs/>
                <w:color w:val="auto"/>
                <w:szCs w:val="21"/>
              </w:rPr>
              <w:t>后排入园区管网，通过园区污水管网进入污水处理厂。</w:t>
            </w:r>
          </w:p>
          <w:p>
            <w:pPr>
              <w:adjustRightInd w:val="0"/>
              <w:snapToGrid w:val="0"/>
              <w:ind w:firstLine="482"/>
              <w:rPr>
                <w:b/>
                <w:color w:val="auto"/>
                <w:szCs w:val="21"/>
              </w:rPr>
            </w:pPr>
            <w:r>
              <w:rPr>
                <w:b/>
                <w:color w:val="auto"/>
                <w:szCs w:val="21"/>
              </w:rPr>
              <w:t>2、生产用水</w:t>
            </w:r>
          </w:p>
          <w:p>
            <w:pPr>
              <w:adjustRightInd w:val="0"/>
              <w:snapToGrid w:val="0"/>
              <w:ind w:firstLine="480"/>
              <w:rPr>
                <w:bCs/>
                <w:color w:val="auto"/>
                <w:szCs w:val="21"/>
              </w:rPr>
            </w:pPr>
            <w:r>
              <w:rPr>
                <w:bCs/>
                <w:color w:val="auto"/>
                <w:szCs w:val="21"/>
              </w:rPr>
              <w:t>①、</w:t>
            </w:r>
            <w:r>
              <w:rPr>
                <w:rFonts w:hint="eastAsia"/>
                <w:bCs/>
                <w:color w:val="auto"/>
                <w:szCs w:val="21"/>
              </w:rPr>
              <w:t>原材料清洗用水</w:t>
            </w:r>
          </w:p>
          <w:p>
            <w:pPr>
              <w:adjustRightInd w:val="0"/>
              <w:snapToGrid w:val="0"/>
              <w:ind w:firstLine="480"/>
              <w:rPr>
                <w:bCs/>
                <w:color w:val="auto"/>
                <w:szCs w:val="21"/>
              </w:rPr>
            </w:pPr>
            <w:r>
              <w:rPr>
                <w:rFonts w:hint="eastAsia"/>
                <w:color w:val="auto"/>
              </w:rPr>
              <w:t>根据产品特点及企业单位提供资料，</w:t>
            </w:r>
            <w:r>
              <w:rPr>
                <w:bCs/>
                <w:color w:val="auto"/>
                <w:szCs w:val="21"/>
              </w:rPr>
              <w:t>经解冻后的原材料需要经过清洗再进入后续深加工工序，其中，原材料清洗用水量与原材料用量的比值按1：1计算，项目肉类原材料用量约为40000t/a，原材料清洗用水量约为40000m</w:t>
            </w:r>
            <w:r>
              <w:rPr>
                <w:bCs/>
                <w:color w:val="auto"/>
                <w:szCs w:val="21"/>
                <w:vertAlign w:val="superscript"/>
              </w:rPr>
              <w:t>3</w:t>
            </w:r>
            <w:r>
              <w:rPr>
                <w:bCs/>
                <w:color w:val="auto"/>
                <w:szCs w:val="21"/>
              </w:rPr>
              <w:t>/a，年工作日为300天，则原材料清洗用水133.3m</w:t>
            </w:r>
            <w:r>
              <w:rPr>
                <w:bCs/>
                <w:color w:val="auto"/>
                <w:szCs w:val="21"/>
                <w:vertAlign w:val="superscript"/>
              </w:rPr>
              <w:t>3</w:t>
            </w:r>
            <w:r>
              <w:rPr>
                <w:bCs/>
                <w:color w:val="auto"/>
                <w:szCs w:val="21"/>
              </w:rPr>
              <w:t>/d ，排水量按用水量的85%计，则日排废水约113.3m</w:t>
            </w:r>
            <w:r>
              <w:rPr>
                <w:bCs/>
                <w:color w:val="auto"/>
                <w:szCs w:val="21"/>
                <w:vertAlign w:val="superscript"/>
              </w:rPr>
              <w:t>3</w:t>
            </w:r>
            <w:r>
              <w:rPr>
                <w:bCs/>
                <w:color w:val="auto"/>
                <w:szCs w:val="21"/>
              </w:rPr>
              <w:t>/d，原材料清洗废水经厂区污水处理站处理达标后排入园区管网，通过园区污水管网进入污水处理厂。</w:t>
            </w:r>
          </w:p>
          <w:p>
            <w:pPr>
              <w:ind w:firstLine="480"/>
              <w:rPr>
                <w:rFonts w:hint="eastAsia" w:eastAsia="宋体"/>
                <w:color w:val="auto"/>
                <w:lang w:eastAsia="zh-CN"/>
              </w:rPr>
            </w:pPr>
            <w:r>
              <w:rPr>
                <w:rFonts w:hint="eastAsia"/>
                <w:color w:val="auto"/>
              </w:rPr>
              <w:t>②、</w:t>
            </w:r>
            <w:r>
              <w:rPr>
                <w:rFonts w:hint="eastAsia"/>
                <w:color w:val="auto"/>
                <w:lang w:eastAsia="zh-CN"/>
              </w:rPr>
              <w:t>实罐清洗用水</w:t>
            </w:r>
          </w:p>
          <w:p>
            <w:pPr>
              <w:adjustRightInd w:val="0"/>
              <w:snapToGrid w:val="0"/>
              <w:ind w:firstLine="480"/>
              <w:rPr>
                <w:bCs/>
                <w:color w:val="auto"/>
                <w:szCs w:val="21"/>
              </w:rPr>
            </w:pPr>
            <w:r>
              <w:rPr>
                <w:rFonts w:hint="eastAsia"/>
                <w:color w:val="auto"/>
              </w:rPr>
              <w:t>根据产品特点及企业单位提供资料，产品使用的空罐需经过相应的清洗后再进行填装，1号生产车间设清洗槽2个，有效容积按2.0m</w:t>
            </w:r>
            <w:r>
              <w:rPr>
                <w:rFonts w:hint="eastAsia"/>
                <w:color w:val="auto"/>
                <w:vertAlign w:val="superscript"/>
              </w:rPr>
              <w:t>3</w:t>
            </w:r>
            <w:r>
              <w:rPr>
                <w:rFonts w:hint="eastAsia"/>
                <w:color w:val="auto"/>
              </w:rPr>
              <w:t>进行计算，清洗过程由空罐带走及自然损耗水分约为15%，清洗过程视清洗槽内水量及时补充，补充水量按1.0m</w:t>
            </w:r>
            <w:r>
              <w:rPr>
                <w:rFonts w:hint="eastAsia"/>
                <w:color w:val="auto"/>
                <w:vertAlign w:val="superscript"/>
              </w:rPr>
              <w:t>3</w:t>
            </w:r>
            <w:r>
              <w:rPr>
                <w:rFonts w:hint="eastAsia"/>
                <w:color w:val="auto"/>
              </w:rPr>
              <w:t>/d计算，清洗槽内清洗水每天更换一次，补充水量按4.0m</w:t>
            </w:r>
            <w:r>
              <w:rPr>
                <w:rFonts w:hint="eastAsia"/>
                <w:color w:val="auto"/>
                <w:vertAlign w:val="superscript"/>
              </w:rPr>
              <w:t>3</w:t>
            </w:r>
            <w:r>
              <w:rPr>
                <w:rFonts w:hint="eastAsia"/>
                <w:color w:val="auto"/>
              </w:rPr>
              <w:t>/d计算，则</w:t>
            </w:r>
            <w:r>
              <w:rPr>
                <w:rFonts w:hint="eastAsia"/>
                <w:color w:val="auto"/>
                <w:lang w:eastAsia="zh-CN"/>
              </w:rPr>
              <w:t>实罐清洗用水</w:t>
            </w:r>
            <w:r>
              <w:rPr>
                <w:rFonts w:hint="eastAsia"/>
                <w:color w:val="auto"/>
              </w:rPr>
              <w:t>约为5.0m</w:t>
            </w:r>
            <w:r>
              <w:rPr>
                <w:rFonts w:hint="eastAsia"/>
                <w:color w:val="auto"/>
                <w:vertAlign w:val="superscript"/>
              </w:rPr>
              <w:t>3</w:t>
            </w:r>
            <w:r>
              <w:rPr>
                <w:rFonts w:hint="eastAsia"/>
                <w:color w:val="auto"/>
              </w:rPr>
              <w:t>/d</w:t>
            </w:r>
            <w:r>
              <w:rPr>
                <w:bCs/>
                <w:color w:val="auto"/>
                <w:szCs w:val="21"/>
              </w:rPr>
              <w:t>，排水量按用水量的85%计，则日排废水约</w:t>
            </w:r>
            <w:r>
              <w:rPr>
                <w:rFonts w:hint="eastAsia"/>
                <w:bCs/>
                <w:color w:val="auto"/>
                <w:szCs w:val="21"/>
              </w:rPr>
              <w:t>4</w:t>
            </w:r>
            <w:r>
              <w:rPr>
                <w:bCs/>
                <w:color w:val="auto"/>
                <w:szCs w:val="21"/>
              </w:rPr>
              <w:t>.3m</w:t>
            </w:r>
            <w:r>
              <w:rPr>
                <w:bCs/>
                <w:color w:val="auto"/>
                <w:szCs w:val="21"/>
                <w:vertAlign w:val="superscript"/>
              </w:rPr>
              <w:t>3</w:t>
            </w:r>
            <w:r>
              <w:rPr>
                <w:bCs/>
                <w:color w:val="auto"/>
                <w:szCs w:val="21"/>
              </w:rPr>
              <w:t>/d，</w:t>
            </w:r>
            <w:r>
              <w:rPr>
                <w:rFonts w:hint="eastAsia"/>
                <w:bCs/>
                <w:color w:val="auto"/>
                <w:szCs w:val="21"/>
                <w:lang w:eastAsia="zh-CN"/>
              </w:rPr>
              <w:t>实罐清洗</w:t>
            </w:r>
            <w:r>
              <w:rPr>
                <w:bCs/>
                <w:color w:val="auto"/>
                <w:szCs w:val="21"/>
              </w:rPr>
              <w:t>废水经厂区污水处理站处理达标后排入园区管网，通过园区污水管网进入污水处理厂。</w:t>
            </w:r>
          </w:p>
          <w:p>
            <w:pPr>
              <w:ind w:firstLine="480"/>
              <w:rPr>
                <w:color w:val="auto"/>
              </w:rPr>
            </w:pPr>
            <w:r>
              <w:rPr>
                <w:rFonts w:hint="eastAsia"/>
                <w:color w:val="auto"/>
              </w:rPr>
              <w:t>③、设备清洁用水</w:t>
            </w:r>
          </w:p>
          <w:p>
            <w:pPr>
              <w:adjustRightInd w:val="0"/>
              <w:snapToGrid w:val="0"/>
              <w:ind w:firstLine="480"/>
              <w:rPr>
                <w:bCs/>
                <w:color w:val="auto"/>
                <w:szCs w:val="21"/>
              </w:rPr>
            </w:pPr>
            <w:r>
              <w:rPr>
                <w:rFonts w:hint="eastAsia"/>
                <w:color w:val="auto"/>
              </w:rPr>
              <w:t>经业主单位介绍，项目每日生产结束，需要对油炸锅、炒锅、煮锅、操作台等设备进行清洁，一般为清水冲洗、湿毛巾擦拭，用水量约为5m</w:t>
            </w:r>
            <w:r>
              <w:rPr>
                <w:rFonts w:hint="eastAsia"/>
                <w:color w:val="auto"/>
                <w:vertAlign w:val="superscript"/>
              </w:rPr>
              <w:t>3</w:t>
            </w:r>
            <w:r>
              <w:rPr>
                <w:rFonts w:hint="eastAsia"/>
                <w:color w:val="auto"/>
              </w:rPr>
              <w:t>/d，</w:t>
            </w:r>
            <w:r>
              <w:rPr>
                <w:bCs/>
                <w:color w:val="auto"/>
                <w:szCs w:val="21"/>
              </w:rPr>
              <w:t>排水量按用水量的85%计，则日排废水约</w:t>
            </w:r>
            <w:r>
              <w:rPr>
                <w:rFonts w:hint="eastAsia"/>
                <w:bCs/>
                <w:color w:val="auto"/>
                <w:szCs w:val="21"/>
              </w:rPr>
              <w:t>4</w:t>
            </w:r>
            <w:r>
              <w:rPr>
                <w:bCs/>
                <w:color w:val="auto"/>
                <w:szCs w:val="21"/>
              </w:rPr>
              <w:t>.3m</w:t>
            </w:r>
            <w:r>
              <w:rPr>
                <w:bCs/>
                <w:color w:val="auto"/>
                <w:szCs w:val="21"/>
                <w:vertAlign w:val="superscript"/>
              </w:rPr>
              <w:t>3</w:t>
            </w:r>
            <w:r>
              <w:rPr>
                <w:bCs/>
                <w:color w:val="auto"/>
                <w:szCs w:val="21"/>
              </w:rPr>
              <w:t>/d，</w:t>
            </w:r>
            <w:r>
              <w:rPr>
                <w:rFonts w:hint="eastAsia"/>
                <w:color w:val="auto"/>
              </w:rPr>
              <w:t>设备清洁</w:t>
            </w:r>
            <w:r>
              <w:rPr>
                <w:bCs/>
                <w:color w:val="auto"/>
                <w:szCs w:val="21"/>
              </w:rPr>
              <w:t>废水经厂区污水处理站处理达标后排入园区管网，通过园区污水管网进入污水处理厂。</w:t>
            </w:r>
          </w:p>
          <w:p>
            <w:pPr>
              <w:ind w:firstLine="480"/>
              <w:rPr>
                <w:color w:val="auto"/>
              </w:rPr>
            </w:pPr>
            <w:r>
              <w:rPr>
                <w:rFonts w:hint="eastAsia"/>
                <w:color w:val="auto"/>
              </w:rPr>
              <w:t>④、地面清洁用水</w:t>
            </w:r>
          </w:p>
          <w:p>
            <w:pPr>
              <w:adjustRightInd w:val="0"/>
              <w:snapToGrid w:val="0"/>
              <w:ind w:firstLine="480"/>
              <w:rPr>
                <w:bCs/>
                <w:color w:val="auto"/>
                <w:szCs w:val="21"/>
              </w:rPr>
            </w:pPr>
            <w:r>
              <w:rPr>
                <w:rFonts w:hint="eastAsia"/>
                <w:color w:val="auto"/>
              </w:rPr>
              <w:t>经业主单位介绍，项目每日生产结束，需要对生产区域进行清洁，一般为清水冲洗、拖把擦拭，用水量约为10m</w:t>
            </w:r>
            <w:r>
              <w:rPr>
                <w:rFonts w:hint="eastAsia"/>
                <w:color w:val="auto"/>
                <w:vertAlign w:val="superscript"/>
              </w:rPr>
              <w:t>3</w:t>
            </w:r>
            <w:r>
              <w:rPr>
                <w:rFonts w:hint="eastAsia"/>
                <w:color w:val="auto"/>
              </w:rPr>
              <w:t>/d，</w:t>
            </w:r>
            <w:r>
              <w:rPr>
                <w:bCs/>
                <w:color w:val="auto"/>
                <w:szCs w:val="21"/>
              </w:rPr>
              <w:t>排水量按用水量的85%计，则日排废水约</w:t>
            </w:r>
            <w:r>
              <w:rPr>
                <w:rFonts w:hint="eastAsia"/>
                <w:bCs/>
                <w:color w:val="auto"/>
                <w:szCs w:val="21"/>
              </w:rPr>
              <w:t>8.5</w:t>
            </w:r>
            <w:r>
              <w:rPr>
                <w:bCs/>
                <w:color w:val="auto"/>
                <w:szCs w:val="21"/>
              </w:rPr>
              <w:t>m</w:t>
            </w:r>
            <w:r>
              <w:rPr>
                <w:bCs/>
                <w:color w:val="auto"/>
                <w:szCs w:val="21"/>
                <w:vertAlign w:val="superscript"/>
              </w:rPr>
              <w:t>3</w:t>
            </w:r>
            <w:r>
              <w:rPr>
                <w:bCs/>
                <w:color w:val="auto"/>
                <w:szCs w:val="21"/>
              </w:rPr>
              <w:t>/d，</w:t>
            </w:r>
            <w:r>
              <w:rPr>
                <w:rFonts w:hint="eastAsia"/>
                <w:color w:val="auto"/>
              </w:rPr>
              <w:t>设备清洁</w:t>
            </w:r>
            <w:r>
              <w:rPr>
                <w:bCs/>
                <w:color w:val="auto"/>
                <w:szCs w:val="21"/>
              </w:rPr>
              <w:t>废水经厂区污水处理站处理达标后排入园区管网，通过园区污水管网进入污水处理厂。</w:t>
            </w:r>
          </w:p>
          <w:p>
            <w:pPr>
              <w:ind w:firstLine="480"/>
              <w:rPr>
                <w:color w:val="auto"/>
              </w:rPr>
            </w:pPr>
            <w:r>
              <w:rPr>
                <w:rFonts w:hint="eastAsia"/>
                <w:color w:val="auto"/>
              </w:rPr>
              <w:t>⑤、</w:t>
            </w:r>
            <w:r>
              <w:rPr>
                <w:rFonts w:hint="eastAsia"/>
                <w:color w:val="auto"/>
                <w:lang w:eastAsia="zh-CN"/>
              </w:rPr>
              <w:t>预煮</w:t>
            </w:r>
            <w:r>
              <w:rPr>
                <w:color w:val="auto"/>
              </w:rPr>
              <w:t>用水</w:t>
            </w:r>
          </w:p>
          <w:p>
            <w:pPr>
              <w:ind w:firstLine="480"/>
              <w:rPr>
                <w:color w:val="auto"/>
              </w:rPr>
            </w:pPr>
            <w:r>
              <w:rPr>
                <w:bCs/>
                <w:color w:val="auto"/>
              </w:rPr>
              <w:t>本项目采用软化水制备设备制备</w:t>
            </w:r>
            <w:r>
              <w:rPr>
                <w:rFonts w:hint="eastAsia"/>
                <w:bCs/>
                <w:color w:val="auto"/>
                <w:lang w:eastAsia="zh-CN"/>
              </w:rPr>
              <w:t>预煮</w:t>
            </w:r>
            <w:r>
              <w:rPr>
                <w:rFonts w:hint="eastAsia"/>
                <w:bCs/>
                <w:color w:val="auto"/>
              </w:rPr>
              <w:t>用水</w:t>
            </w:r>
            <w:r>
              <w:rPr>
                <w:bCs/>
                <w:color w:val="auto"/>
              </w:rPr>
              <w:t>，</w:t>
            </w:r>
            <w:r>
              <w:rPr>
                <w:rFonts w:hint="eastAsia"/>
                <w:bCs/>
                <w:color w:val="auto"/>
              </w:rPr>
              <w:t>软水设备制水量为15m</w:t>
            </w:r>
            <w:r>
              <w:rPr>
                <w:rFonts w:hint="eastAsia"/>
                <w:bCs/>
                <w:color w:val="auto"/>
                <w:vertAlign w:val="superscript"/>
              </w:rPr>
              <w:t>3</w:t>
            </w:r>
            <w:r>
              <w:rPr>
                <w:rFonts w:hint="eastAsia"/>
                <w:bCs/>
                <w:color w:val="auto"/>
              </w:rPr>
              <w:t>/d</w:t>
            </w:r>
            <w:r>
              <w:rPr>
                <w:rFonts w:hint="eastAsia"/>
                <w:color w:val="auto"/>
              </w:rPr>
              <w:t>，用于肉类原材料的</w:t>
            </w:r>
            <w:r>
              <w:rPr>
                <w:rFonts w:hint="eastAsia"/>
                <w:color w:val="auto"/>
                <w:lang w:eastAsia="zh-CN"/>
              </w:rPr>
              <w:t>预煮</w:t>
            </w:r>
            <w:r>
              <w:rPr>
                <w:rFonts w:hint="eastAsia"/>
                <w:color w:val="auto"/>
              </w:rPr>
              <w:t>等工序，</w:t>
            </w:r>
            <w:r>
              <w:rPr>
                <w:bCs/>
                <w:color w:val="auto"/>
                <w:szCs w:val="21"/>
              </w:rPr>
              <w:t>排水量按用水量的85%计，则日排废水约</w:t>
            </w:r>
            <w:r>
              <w:rPr>
                <w:rFonts w:hint="eastAsia"/>
                <w:bCs/>
                <w:color w:val="auto"/>
                <w:szCs w:val="21"/>
              </w:rPr>
              <w:t>12.8</w:t>
            </w:r>
            <w:r>
              <w:rPr>
                <w:bCs/>
                <w:color w:val="auto"/>
                <w:szCs w:val="21"/>
              </w:rPr>
              <w:t>m</w:t>
            </w:r>
            <w:r>
              <w:rPr>
                <w:bCs/>
                <w:color w:val="auto"/>
                <w:szCs w:val="21"/>
                <w:vertAlign w:val="superscript"/>
              </w:rPr>
              <w:t>3</w:t>
            </w:r>
            <w:r>
              <w:rPr>
                <w:bCs/>
                <w:color w:val="auto"/>
                <w:szCs w:val="21"/>
              </w:rPr>
              <w:t>/d，经厂区污水处理站处理达标后排入园区管网，通过园区污水管网进入污水处理厂</w:t>
            </w:r>
            <w:r>
              <w:rPr>
                <w:rFonts w:hint="eastAsia"/>
                <w:color w:val="auto"/>
              </w:rPr>
              <w:t>。</w:t>
            </w:r>
          </w:p>
          <w:p>
            <w:pPr>
              <w:adjustRightInd w:val="0"/>
              <w:snapToGrid w:val="0"/>
              <w:ind w:firstLine="480"/>
              <w:rPr>
                <w:color w:val="auto"/>
              </w:rPr>
            </w:pPr>
            <w:r>
              <w:rPr>
                <w:rFonts w:hint="eastAsia"/>
                <w:color w:val="auto"/>
              </w:rPr>
              <w:t>⑥、燃气锅炉用水</w:t>
            </w:r>
          </w:p>
          <w:p>
            <w:pPr>
              <w:adjustRightInd w:val="0"/>
              <w:snapToGrid w:val="0"/>
              <w:ind w:firstLine="480"/>
              <w:rPr>
                <w:color w:val="auto"/>
              </w:rPr>
            </w:pPr>
            <w:r>
              <w:rPr>
                <w:rFonts w:hint="eastAsia"/>
                <w:color w:val="auto"/>
              </w:rPr>
              <w:t>本项目使用2台6t/h的天然气锅炉，满负荷运行时间按3000h计算，蒸汽供气量约为36000t/a；产生的蒸汽通过管道输送至</w:t>
            </w:r>
            <w:r>
              <w:rPr>
                <w:rFonts w:hint="eastAsia"/>
                <w:color w:val="auto"/>
                <w:lang w:eastAsia="zh-CN"/>
              </w:rPr>
              <w:t>加热釜</w:t>
            </w:r>
            <w:r>
              <w:rPr>
                <w:rFonts w:hint="eastAsia"/>
                <w:color w:val="auto"/>
              </w:rPr>
              <w:t>，然后用于消毒杀菌等工序，</w:t>
            </w:r>
            <w:r>
              <w:rPr>
                <w:color w:val="auto"/>
              </w:rPr>
              <w:t>蒸汽冷凝形成冷凝水。本项目蒸汽冷凝水产生量按蒸汽发生量的</w:t>
            </w:r>
            <w:r>
              <w:rPr>
                <w:rFonts w:hint="eastAsia"/>
                <w:color w:val="auto"/>
              </w:rPr>
              <w:t>80</w:t>
            </w:r>
            <w:r>
              <w:rPr>
                <w:color w:val="auto"/>
              </w:rPr>
              <w:t>%计</w:t>
            </w:r>
            <w:r>
              <w:rPr>
                <w:rFonts w:hint="eastAsia"/>
                <w:color w:val="auto"/>
              </w:rPr>
              <w:t>，</w:t>
            </w:r>
            <w:r>
              <w:rPr>
                <w:color w:val="auto"/>
              </w:rPr>
              <w:t>则蒸汽冷凝水产生量为</w:t>
            </w:r>
            <w:r>
              <w:rPr>
                <w:rFonts w:hint="eastAsia"/>
                <w:color w:val="auto"/>
              </w:rPr>
              <w:t>96</w:t>
            </w:r>
            <w:r>
              <w:rPr>
                <w:color w:val="auto"/>
              </w:rPr>
              <w:t>m</w:t>
            </w:r>
            <w:r>
              <w:rPr>
                <w:color w:val="auto"/>
                <w:vertAlign w:val="superscript"/>
              </w:rPr>
              <w:t>3</w:t>
            </w:r>
            <w:r>
              <w:rPr>
                <w:color w:val="auto"/>
              </w:rPr>
              <w:t>/d</w:t>
            </w:r>
            <w:r>
              <w:rPr>
                <w:rFonts w:hint="eastAsia"/>
                <w:color w:val="auto"/>
              </w:rPr>
              <w:t>。</w:t>
            </w:r>
          </w:p>
          <w:p>
            <w:pPr>
              <w:adjustRightInd w:val="0"/>
              <w:snapToGrid w:val="0"/>
              <w:ind w:firstLine="480"/>
              <w:rPr>
                <w:color w:val="auto"/>
              </w:rPr>
            </w:pPr>
            <w:r>
              <w:rPr>
                <w:rFonts w:hint="eastAsia"/>
                <w:color w:val="auto"/>
              </w:rPr>
              <w:t>为保持蒸汽质量的稳定，</w:t>
            </w:r>
            <w:r>
              <w:rPr>
                <w:color w:val="auto"/>
              </w:rPr>
              <w:t>本项目</w:t>
            </w:r>
            <w:r>
              <w:rPr>
                <w:rFonts w:hint="eastAsia"/>
                <w:color w:val="auto"/>
              </w:rPr>
              <w:t>燃气锅炉</w:t>
            </w:r>
            <w:r>
              <w:rPr>
                <w:color w:val="auto"/>
              </w:rPr>
              <w:t>每天工作结束后，需将设备中的水排掉，以延长设备使用寿命。</w:t>
            </w:r>
            <w:r>
              <w:rPr>
                <w:rFonts w:hint="eastAsia"/>
                <w:color w:val="auto"/>
              </w:rPr>
              <w:t>燃气锅炉</w:t>
            </w:r>
            <w:r>
              <w:rPr>
                <w:color w:val="auto"/>
              </w:rPr>
              <w:t>每天排水量按其设备最低水位水量</w:t>
            </w:r>
            <w:r>
              <w:rPr>
                <w:rFonts w:hint="eastAsia"/>
                <w:color w:val="auto"/>
              </w:rPr>
              <w:t>100</w:t>
            </w:r>
            <w:r>
              <w:rPr>
                <w:color w:val="auto"/>
              </w:rPr>
              <w:t>L计，则</w:t>
            </w:r>
            <w:r>
              <w:rPr>
                <w:rFonts w:hint="eastAsia"/>
                <w:color w:val="auto"/>
              </w:rPr>
              <w:t>燃气</w:t>
            </w:r>
            <w:r>
              <w:rPr>
                <w:rFonts w:hint="eastAsia"/>
                <w:lang w:val="en-US" w:eastAsia="zh-CN"/>
              </w:rPr>
              <w:t>锅炉</w:t>
            </w:r>
            <w:r>
              <w:rPr>
                <w:rFonts w:hint="eastAsia"/>
                <w:color w:val="auto"/>
              </w:rPr>
              <w:t>排放水</w:t>
            </w:r>
            <w:r>
              <w:rPr>
                <w:color w:val="auto"/>
              </w:rPr>
              <w:t>产生量为0.</w:t>
            </w:r>
            <w:r>
              <w:rPr>
                <w:rFonts w:hint="eastAsia"/>
                <w:color w:val="auto"/>
              </w:rPr>
              <w:t>2</w:t>
            </w:r>
            <w:r>
              <w:rPr>
                <w:color w:val="auto"/>
              </w:rPr>
              <w:t>m</w:t>
            </w:r>
            <w:r>
              <w:rPr>
                <w:color w:val="auto"/>
                <w:vertAlign w:val="superscript"/>
              </w:rPr>
              <w:t>3</w:t>
            </w:r>
            <w:r>
              <w:rPr>
                <w:color w:val="auto"/>
              </w:rPr>
              <w:t>/d</w:t>
            </w:r>
            <w:r>
              <w:rPr>
                <w:rFonts w:hint="eastAsia"/>
                <w:color w:val="auto"/>
              </w:rPr>
              <w:t>。</w:t>
            </w:r>
          </w:p>
          <w:p>
            <w:pPr>
              <w:adjustRightInd w:val="0"/>
              <w:snapToGrid w:val="0"/>
              <w:ind w:firstLine="480"/>
              <w:rPr>
                <w:bCs/>
                <w:color w:val="auto"/>
                <w:szCs w:val="21"/>
              </w:rPr>
            </w:pPr>
            <w:r>
              <w:rPr>
                <w:bCs/>
                <w:color w:val="auto"/>
                <w:szCs w:val="21"/>
              </w:rPr>
              <w:t>本项目每天用水量估算见表2-6。</w:t>
            </w:r>
          </w:p>
          <w:p>
            <w:pPr>
              <w:pStyle w:val="11"/>
              <w:jc w:val="center"/>
              <w:rPr>
                <w:b/>
                <w:bCs/>
                <w:color w:val="auto"/>
              </w:rPr>
            </w:pPr>
            <w:r>
              <w:rPr>
                <w:b/>
                <w:bCs/>
                <w:color w:val="auto"/>
              </w:rPr>
              <w:t xml:space="preserve">表2-6    本项目用水情况汇总    </w:t>
            </w:r>
          </w:p>
          <w:tbl>
            <w:tblPr>
              <w:tblStyle w:val="6"/>
              <w:tblW w:w="87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983"/>
              <w:gridCol w:w="1113"/>
              <w:gridCol w:w="1345"/>
              <w:gridCol w:w="1257"/>
              <w:gridCol w:w="1244"/>
              <w:gridCol w:w="21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2" w:type="dxa"/>
                  <w:gridSpan w:val="2"/>
                  <w:vAlign w:val="center"/>
                </w:tcPr>
                <w:p>
                  <w:pPr>
                    <w:pStyle w:val="11"/>
                    <w:jc w:val="center"/>
                    <w:rPr>
                      <w:b/>
                      <w:bCs/>
                      <w:color w:val="auto"/>
                    </w:rPr>
                  </w:pPr>
                  <w:r>
                    <w:rPr>
                      <w:b/>
                      <w:bCs/>
                      <w:color w:val="auto"/>
                    </w:rPr>
                    <w:t>用水种类</w:t>
                  </w:r>
                </w:p>
              </w:tc>
              <w:tc>
                <w:tcPr>
                  <w:tcW w:w="1113" w:type="dxa"/>
                  <w:vAlign w:val="center"/>
                </w:tcPr>
                <w:p>
                  <w:pPr>
                    <w:pStyle w:val="11"/>
                    <w:jc w:val="center"/>
                    <w:rPr>
                      <w:b/>
                      <w:bCs/>
                      <w:color w:val="auto"/>
                    </w:rPr>
                  </w:pPr>
                  <w:r>
                    <w:rPr>
                      <w:b/>
                      <w:bCs/>
                      <w:color w:val="auto"/>
                    </w:rPr>
                    <w:t>用水规模</w:t>
                  </w:r>
                </w:p>
              </w:tc>
              <w:tc>
                <w:tcPr>
                  <w:tcW w:w="1345" w:type="dxa"/>
                  <w:vAlign w:val="center"/>
                </w:tcPr>
                <w:p>
                  <w:pPr>
                    <w:pStyle w:val="11"/>
                    <w:jc w:val="center"/>
                    <w:rPr>
                      <w:b/>
                      <w:bCs/>
                      <w:color w:val="auto"/>
                    </w:rPr>
                  </w:pPr>
                  <w:r>
                    <w:rPr>
                      <w:b/>
                      <w:bCs/>
                      <w:color w:val="auto"/>
                    </w:rPr>
                    <w:t>用水标准</w:t>
                  </w:r>
                </w:p>
              </w:tc>
              <w:tc>
                <w:tcPr>
                  <w:tcW w:w="1257" w:type="dxa"/>
                  <w:vAlign w:val="center"/>
                </w:tcPr>
                <w:p>
                  <w:pPr>
                    <w:pStyle w:val="11"/>
                    <w:jc w:val="center"/>
                    <w:rPr>
                      <w:b/>
                      <w:bCs/>
                      <w:color w:val="auto"/>
                    </w:rPr>
                  </w:pPr>
                  <w:r>
                    <w:rPr>
                      <w:b/>
                      <w:bCs/>
                      <w:color w:val="auto"/>
                    </w:rPr>
                    <w:t>用水量</w:t>
                  </w:r>
                </w:p>
              </w:tc>
              <w:tc>
                <w:tcPr>
                  <w:tcW w:w="1244" w:type="dxa"/>
                  <w:vAlign w:val="center"/>
                </w:tcPr>
                <w:p>
                  <w:pPr>
                    <w:pStyle w:val="11"/>
                    <w:jc w:val="center"/>
                    <w:rPr>
                      <w:b/>
                      <w:bCs/>
                      <w:color w:val="auto"/>
                    </w:rPr>
                  </w:pPr>
                  <w:r>
                    <w:rPr>
                      <w:b/>
                      <w:bCs/>
                      <w:color w:val="auto"/>
                    </w:rPr>
                    <w:t>污水量</w:t>
                  </w:r>
                </w:p>
              </w:tc>
              <w:tc>
                <w:tcPr>
                  <w:tcW w:w="2140" w:type="dxa"/>
                  <w:vAlign w:val="center"/>
                </w:tcPr>
                <w:p>
                  <w:pPr>
                    <w:pStyle w:val="11"/>
                    <w:jc w:val="center"/>
                    <w:rPr>
                      <w:b/>
                      <w:bCs/>
                      <w:color w:val="auto"/>
                    </w:rPr>
                  </w:pPr>
                  <w:r>
                    <w:rPr>
                      <w:b/>
                      <w:bCs/>
                      <w:color w:val="auto"/>
                    </w:rPr>
                    <w:t>污水去向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restart"/>
                  <w:vAlign w:val="center"/>
                </w:tcPr>
                <w:p>
                  <w:pPr>
                    <w:adjustRightInd w:val="0"/>
                    <w:snapToGrid w:val="0"/>
                    <w:spacing w:line="240" w:lineRule="auto"/>
                    <w:ind w:firstLine="0" w:firstLineChars="0"/>
                    <w:jc w:val="center"/>
                    <w:rPr>
                      <w:bCs/>
                      <w:color w:val="auto"/>
                      <w:sz w:val="21"/>
                      <w:szCs w:val="21"/>
                    </w:rPr>
                  </w:pPr>
                  <w:r>
                    <w:rPr>
                      <w:bCs/>
                      <w:color w:val="auto"/>
                      <w:sz w:val="21"/>
                      <w:szCs w:val="21"/>
                    </w:rPr>
                    <w:t>生活用水</w:t>
                  </w:r>
                </w:p>
              </w:tc>
              <w:tc>
                <w:tcPr>
                  <w:tcW w:w="983" w:type="dxa"/>
                  <w:vMerge w:val="restart"/>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办公</w:t>
                  </w:r>
                </w:p>
                <w:p>
                  <w:pPr>
                    <w:adjustRightInd w:val="0"/>
                    <w:snapToGrid w:val="0"/>
                    <w:spacing w:line="240" w:lineRule="auto"/>
                    <w:ind w:firstLine="0" w:firstLineChars="0"/>
                    <w:jc w:val="center"/>
                    <w:rPr>
                      <w:bCs/>
                      <w:color w:val="auto"/>
                      <w:sz w:val="21"/>
                      <w:szCs w:val="21"/>
                    </w:rPr>
                  </w:pPr>
                  <w:r>
                    <w:rPr>
                      <w:rFonts w:hint="eastAsia"/>
                      <w:bCs/>
                      <w:color w:val="auto"/>
                      <w:sz w:val="21"/>
                      <w:szCs w:val="21"/>
                    </w:rPr>
                    <w:t>生活</w:t>
                  </w:r>
                </w:p>
                <w:p>
                  <w:pPr>
                    <w:adjustRightInd w:val="0"/>
                    <w:snapToGrid w:val="0"/>
                    <w:spacing w:line="240" w:lineRule="auto"/>
                    <w:ind w:firstLine="0" w:firstLineChars="0"/>
                    <w:jc w:val="center"/>
                    <w:rPr>
                      <w:bCs/>
                      <w:color w:val="auto"/>
                      <w:sz w:val="21"/>
                      <w:szCs w:val="21"/>
                    </w:rPr>
                  </w:pPr>
                  <w:r>
                    <w:rPr>
                      <w:bCs/>
                      <w:color w:val="auto"/>
                      <w:sz w:val="21"/>
                      <w:szCs w:val="21"/>
                    </w:rPr>
                    <w:t>用水</w:t>
                  </w:r>
                </w:p>
              </w:tc>
              <w:tc>
                <w:tcPr>
                  <w:tcW w:w="1113" w:type="dxa"/>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80</w:t>
                  </w:r>
                  <w:r>
                    <w:rPr>
                      <w:bCs/>
                      <w:color w:val="auto"/>
                      <w:sz w:val="21"/>
                      <w:szCs w:val="21"/>
                    </w:rPr>
                    <w:t>人</w:t>
                  </w:r>
                </w:p>
              </w:tc>
              <w:tc>
                <w:tcPr>
                  <w:tcW w:w="1345" w:type="dxa"/>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38</w:t>
                  </w:r>
                  <w:r>
                    <w:rPr>
                      <w:bCs/>
                      <w:color w:val="auto"/>
                      <w:sz w:val="21"/>
                      <w:szCs w:val="21"/>
                    </w:rPr>
                    <w:t>m</w:t>
                  </w:r>
                  <w:r>
                    <w:rPr>
                      <w:bCs/>
                      <w:color w:val="auto"/>
                      <w:sz w:val="21"/>
                      <w:szCs w:val="21"/>
                      <w:vertAlign w:val="superscript"/>
                    </w:rPr>
                    <w:t>3</w:t>
                  </w:r>
                  <w:r>
                    <w:rPr>
                      <w:bCs/>
                      <w:color w:val="auto"/>
                      <w:sz w:val="21"/>
                      <w:szCs w:val="21"/>
                    </w:rPr>
                    <w:t>/a</w:t>
                  </w:r>
                </w:p>
              </w:tc>
              <w:tc>
                <w:tcPr>
                  <w:tcW w:w="1257" w:type="dxa"/>
                  <w:vMerge w:val="restart"/>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15.2</w:t>
                  </w:r>
                  <w:r>
                    <w:rPr>
                      <w:bCs/>
                      <w:color w:val="auto"/>
                      <w:sz w:val="21"/>
                      <w:szCs w:val="21"/>
                    </w:rPr>
                    <w:t>m</w:t>
                  </w:r>
                  <w:r>
                    <w:rPr>
                      <w:bCs/>
                      <w:color w:val="auto"/>
                      <w:sz w:val="21"/>
                      <w:szCs w:val="21"/>
                      <w:vertAlign w:val="superscript"/>
                    </w:rPr>
                    <w:t>3</w:t>
                  </w:r>
                  <w:r>
                    <w:rPr>
                      <w:bCs/>
                      <w:color w:val="auto"/>
                      <w:sz w:val="21"/>
                      <w:szCs w:val="21"/>
                    </w:rPr>
                    <w:t>/d</w:t>
                  </w:r>
                </w:p>
              </w:tc>
              <w:tc>
                <w:tcPr>
                  <w:tcW w:w="1244" w:type="dxa"/>
                  <w:vMerge w:val="restart"/>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12.9</w:t>
                  </w:r>
                  <w:r>
                    <w:rPr>
                      <w:bCs/>
                      <w:color w:val="auto"/>
                      <w:sz w:val="21"/>
                      <w:szCs w:val="21"/>
                    </w:rPr>
                    <w:t>m</w:t>
                  </w:r>
                  <w:r>
                    <w:rPr>
                      <w:bCs/>
                      <w:color w:val="auto"/>
                      <w:sz w:val="21"/>
                      <w:szCs w:val="21"/>
                      <w:vertAlign w:val="superscript"/>
                    </w:rPr>
                    <w:t>3</w:t>
                  </w:r>
                  <w:r>
                    <w:rPr>
                      <w:bCs/>
                      <w:color w:val="auto"/>
                      <w:sz w:val="21"/>
                      <w:szCs w:val="21"/>
                    </w:rPr>
                    <w:t>/d</w:t>
                  </w:r>
                </w:p>
              </w:tc>
              <w:tc>
                <w:tcPr>
                  <w:tcW w:w="2140" w:type="dxa"/>
                  <w:vMerge w:val="restart"/>
                  <w:vAlign w:val="center"/>
                </w:tcPr>
                <w:p>
                  <w:pPr>
                    <w:adjustRightInd w:val="0"/>
                    <w:snapToGrid w:val="0"/>
                    <w:spacing w:line="240" w:lineRule="auto"/>
                    <w:ind w:firstLine="0" w:firstLineChars="0"/>
                    <w:jc w:val="center"/>
                    <w:rPr>
                      <w:bCs/>
                      <w:color w:val="auto"/>
                      <w:sz w:val="21"/>
                      <w:szCs w:val="21"/>
                    </w:rPr>
                  </w:pPr>
                  <w:r>
                    <w:rPr>
                      <w:bCs/>
                      <w:color w:val="auto"/>
                      <w:sz w:val="21"/>
                      <w:szCs w:val="21"/>
                    </w:rPr>
                    <w:t>经</w:t>
                  </w:r>
                  <w:r>
                    <w:rPr>
                      <w:rFonts w:hint="eastAsia"/>
                      <w:bCs/>
                      <w:color w:val="auto"/>
                      <w:sz w:val="21"/>
                      <w:szCs w:val="21"/>
                      <w:lang w:eastAsia="zh-CN"/>
                    </w:rPr>
                    <w:t>预处理池</w:t>
                  </w:r>
                  <w:r>
                    <w:rPr>
                      <w:bCs/>
                      <w:color w:val="auto"/>
                      <w:sz w:val="21"/>
                      <w:szCs w:val="21"/>
                    </w:rPr>
                    <w:t>处理后排入</w:t>
                  </w:r>
                  <w:r>
                    <w:rPr>
                      <w:rFonts w:hint="eastAsia"/>
                      <w:bCs/>
                      <w:color w:val="auto"/>
                      <w:sz w:val="21"/>
                      <w:szCs w:val="21"/>
                    </w:rPr>
                    <w:t>厂区污水处理站，经处理后达标后排入园区污水管网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vAlign w:val="center"/>
                </w:tcPr>
                <w:p>
                  <w:pPr>
                    <w:adjustRightInd w:val="0"/>
                    <w:snapToGrid w:val="0"/>
                    <w:spacing w:line="240" w:lineRule="auto"/>
                    <w:ind w:firstLine="0" w:firstLineChars="0"/>
                    <w:jc w:val="center"/>
                    <w:rPr>
                      <w:color w:val="auto"/>
                      <w:sz w:val="21"/>
                      <w:szCs w:val="21"/>
                    </w:rPr>
                  </w:pPr>
                </w:p>
              </w:tc>
              <w:tc>
                <w:tcPr>
                  <w:tcW w:w="983" w:type="dxa"/>
                  <w:vMerge w:val="continue"/>
                  <w:vAlign w:val="center"/>
                </w:tcPr>
                <w:p>
                  <w:pPr>
                    <w:adjustRightInd w:val="0"/>
                    <w:snapToGrid w:val="0"/>
                    <w:spacing w:line="240" w:lineRule="auto"/>
                    <w:ind w:firstLine="0" w:firstLineChars="0"/>
                    <w:jc w:val="center"/>
                    <w:rPr>
                      <w:color w:val="auto"/>
                      <w:sz w:val="21"/>
                      <w:szCs w:val="21"/>
                    </w:rPr>
                  </w:pPr>
                </w:p>
              </w:tc>
              <w:tc>
                <w:tcPr>
                  <w:tcW w:w="1113" w:type="dxa"/>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80</w:t>
                  </w:r>
                  <w:r>
                    <w:rPr>
                      <w:bCs/>
                      <w:color w:val="auto"/>
                      <w:sz w:val="21"/>
                      <w:szCs w:val="21"/>
                    </w:rPr>
                    <w:t>人</w:t>
                  </w:r>
                </w:p>
              </w:tc>
              <w:tc>
                <w:tcPr>
                  <w:tcW w:w="1345"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19m</w:t>
                  </w:r>
                  <w:r>
                    <w:rPr>
                      <w:bCs/>
                      <w:color w:val="auto"/>
                      <w:sz w:val="21"/>
                      <w:szCs w:val="21"/>
                      <w:vertAlign w:val="superscript"/>
                    </w:rPr>
                    <w:t>3</w:t>
                  </w:r>
                  <w:r>
                    <w:rPr>
                      <w:bCs/>
                      <w:color w:val="auto"/>
                      <w:sz w:val="21"/>
                      <w:szCs w:val="21"/>
                    </w:rPr>
                    <w:t>/a</w:t>
                  </w:r>
                </w:p>
              </w:tc>
              <w:tc>
                <w:tcPr>
                  <w:tcW w:w="1257" w:type="dxa"/>
                  <w:vMerge w:val="continue"/>
                  <w:vAlign w:val="center"/>
                </w:tcPr>
                <w:p>
                  <w:pPr>
                    <w:adjustRightInd w:val="0"/>
                    <w:snapToGrid w:val="0"/>
                    <w:spacing w:line="240" w:lineRule="auto"/>
                    <w:ind w:firstLine="0" w:firstLineChars="0"/>
                    <w:jc w:val="center"/>
                    <w:rPr>
                      <w:bCs/>
                      <w:color w:val="auto"/>
                      <w:sz w:val="21"/>
                      <w:szCs w:val="21"/>
                    </w:rPr>
                  </w:pPr>
                </w:p>
              </w:tc>
              <w:tc>
                <w:tcPr>
                  <w:tcW w:w="1244" w:type="dxa"/>
                  <w:vMerge w:val="continue"/>
                  <w:vAlign w:val="center"/>
                </w:tcPr>
                <w:p>
                  <w:pPr>
                    <w:adjustRightInd w:val="0"/>
                    <w:snapToGrid w:val="0"/>
                    <w:spacing w:line="240" w:lineRule="auto"/>
                    <w:ind w:firstLine="0" w:firstLineChars="0"/>
                    <w:jc w:val="center"/>
                    <w:rPr>
                      <w:bCs/>
                      <w:color w:val="auto"/>
                      <w:sz w:val="21"/>
                      <w:szCs w:val="21"/>
                    </w:rPr>
                  </w:pPr>
                </w:p>
              </w:tc>
              <w:tc>
                <w:tcPr>
                  <w:tcW w:w="2140" w:type="dxa"/>
                  <w:vMerge w:val="continue"/>
                  <w:vAlign w:val="center"/>
                </w:tcPr>
                <w:p>
                  <w:pPr>
                    <w:adjustRightInd w:val="0"/>
                    <w:snapToGrid w:val="0"/>
                    <w:spacing w:line="240" w:lineRule="auto"/>
                    <w:ind w:firstLine="0" w:firstLineChars="0"/>
                    <w:jc w:val="center"/>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vMerge w:val="restart"/>
                  <w:vAlign w:val="center"/>
                </w:tcPr>
                <w:p>
                  <w:pPr>
                    <w:adjustRightInd w:val="0"/>
                    <w:snapToGrid w:val="0"/>
                    <w:spacing w:line="240" w:lineRule="auto"/>
                    <w:ind w:firstLine="0" w:firstLineChars="0"/>
                    <w:jc w:val="center"/>
                    <w:rPr>
                      <w:bCs/>
                      <w:color w:val="auto"/>
                      <w:sz w:val="21"/>
                      <w:szCs w:val="21"/>
                    </w:rPr>
                  </w:pPr>
                  <w:r>
                    <w:rPr>
                      <w:bCs/>
                      <w:color w:val="auto"/>
                      <w:sz w:val="21"/>
                      <w:szCs w:val="21"/>
                    </w:rPr>
                    <w:t>生产用水</w:t>
                  </w:r>
                </w:p>
              </w:tc>
              <w:tc>
                <w:tcPr>
                  <w:tcW w:w="983" w:type="dxa"/>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原材料清洗用水</w:t>
                  </w:r>
                </w:p>
              </w:tc>
              <w:tc>
                <w:tcPr>
                  <w:tcW w:w="1113"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345"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257"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133.3m</w:t>
                  </w:r>
                  <w:r>
                    <w:rPr>
                      <w:bCs/>
                      <w:color w:val="auto"/>
                      <w:sz w:val="21"/>
                      <w:szCs w:val="21"/>
                      <w:vertAlign w:val="superscript"/>
                    </w:rPr>
                    <w:t>3</w:t>
                  </w:r>
                  <w:r>
                    <w:rPr>
                      <w:bCs/>
                      <w:color w:val="auto"/>
                      <w:sz w:val="21"/>
                      <w:szCs w:val="21"/>
                    </w:rPr>
                    <w:t xml:space="preserve">/d </w:t>
                  </w:r>
                </w:p>
              </w:tc>
              <w:tc>
                <w:tcPr>
                  <w:tcW w:w="1244"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1</w:t>
                  </w:r>
                  <w:r>
                    <w:rPr>
                      <w:rFonts w:hint="eastAsia"/>
                      <w:bCs/>
                      <w:color w:val="auto"/>
                      <w:sz w:val="21"/>
                      <w:szCs w:val="21"/>
                    </w:rPr>
                    <w:t>1</w:t>
                  </w:r>
                  <w:r>
                    <w:rPr>
                      <w:bCs/>
                      <w:color w:val="auto"/>
                      <w:sz w:val="21"/>
                      <w:szCs w:val="21"/>
                    </w:rPr>
                    <w:t>3.3m</w:t>
                  </w:r>
                  <w:r>
                    <w:rPr>
                      <w:bCs/>
                      <w:color w:val="auto"/>
                      <w:sz w:val="21"/>
                      <w:szCs w:val="21"/>
                      <w:vertAlign w:val="superscript"/>
                    </w:rPr>
                    <w:t>3</w:t>
                  </w:r>
                  <w:r>
                    <w:rPr>
                      <w:bCs/>
                      <w:color w:val="auto"/>
                      <w:sz w:val="21"/>
                      <w:szCs w:val="21"/>
                    </w:rPr>
                    <w:t xml:space="preserve">/d </w:t>
                  </w:r>
                </w:p>
              </w:tc>
              <w:tc>
                <w:tcPr>
                  <w:tcW w:w="2140" w:type="dxa"/>
                  <w:vMerge w:val="restart"/>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经厂区污水处理站处理达标后排入园区污水管网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vMerge w:val="continue"/>
                  <w:vAlign w:val="center"/>
                </w:tcPr>
                <w:p>
                  <w:pPr>
                    <w:adjustRightInd w:val="0"/>
                    <w:snapToGrid w:val="0"/>
                    <w:spacing w:line="240" w:lineRule="auto"/>
                    <w:ind w:firstLine="0" w:firstLineChars="0"/>
                    <w:jc w:val="center"/>
                    <w:rPr>
                      <w:bCs/>
                      <w:color w:val="auto"/>
                      <w:sz w:val="21"/>
                      <w:szCs w:val="21"/>
                    </w:rPr>
                  </w:pPr>
                </w:p>
              </w:tc>
              <w:tc>
                <w:tcPr>
                  <w:tcW w:w="983" w:type="dxa"/>
                  <w:vAlign w:val="center"/>
                </w:tcPr>
                <w:p>
                  <w:pPr>
                    <w:adjustRightInd w:val="0"/>
                    <w:snapToGrid w:val="0"/>
                    <w:spacing w:line="240" w:lineRule="auto"/>
                    <w:ind w:firstLine="0" w:firstLineChars="0"/>
                    <w:jc w:val="center"/>
                    <w:rPr>
                      <w:rFonts w:hint="eastAsia" w:eastAsia="宋体"/>
                      <w:bCs/>
                      <w:color w:val="auto"/>
                      <w:sz w:val="21"/>
                      <w:szCs w:val="21"/>
                      <w:lang w:eastAsia="zh-CN"/>
                    </w:rPr>
                  </w:pPr>
                  <w:r>
                    <w:rPr>
                      <w:rFonts w:hint="eastAsia"/>
                      <w:color w:val="auto"/>
                      <w:sz w:val="21"/>
                      <w:szCs w:val="21"/>
                      <w:lang w:eastAsia="zh-CN"/>
                    </w:rPr>
                    <w:t>实罐清洗用水</w:t>
                  </w:r>
                </w:p>
              </w:tc>
              <w:tc>
                <w:tcPr>
                  <w:tcW w:w="1113"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345"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257"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5.0m</w:t>
                  </w:r>
                  <w:r>
                    <w:rPr>
                      <w:rFonts w:hint="eastAsia"/>
                      <w:color w:val="auto"/>
                      <w:sz w:val="21"/>
                      <w:szCs w:val="21"/>
                      <w:vertAlign w:val="superscript"/>
                    </w:rPr>
                    <w:t>3</w:t>
                  </w:r>
                  <w:r>
                    <w:rPr>
                      <w:rFonts w:hint="eastAsia"/>
                      <w:color w:val="auto"/>
                      <w:sz w:val="21"/>
                      <w:szCs w:val="21"/>
                    </w:rPr>
                    <w:t>/d</w:t>
                  </w:r>
                </w:p>
              </w:tc>
              <w:tc>
                <w:tcPr>
                  <w:tcW w:w="1244"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4.3m</w:t>
                  </w:r>
                  <w:r>
                    <w:rPr>
                      <w:rFonts w:hint="eastAsia"/>
                      <w:color w:val="auto"/>
                      <w:sz w:val="21"/>
                      <w:szCs w:val="21"/>
                      <w:vertAlign w:val="superscript"/>
                    </w:rPr>
                    <w:t>3</w:t>
                  </w:r>
                  <w:r>
                    <w:rPr>
                      <w:rFonts w:hint="eastAsia"/>
                      <w:color w:val="auto"/>
                      <w:sz w:val="21"/>
                      <w:szCs w:val="21"/>
                    </w:rPr>
                    <w:t>/d</w:t>
                  </w:r>
                </w:p>
              </w:tc>
              <w:tc>
                <w:tcPr>
                  <w:tcW w:w="2140" w:type="dxa"/>
                  <w:vMerge w:val="continue"/>
                  <w:vAlign w:val="center"/>
                </w:tcPr>
                <w:p>
                  <w:pPr>
                    <w:adjustRightInd w:val="0"/>
                    <w:snapToGrid w:val="0"/>
                    <w:spacing w:line="240" w:lineRule="auto"/>
                    <w:ind w:firstLine="0" w:firstLineChars="0"/>
                    <w:jc w:val="center"/>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vMerge w:val="continue"/>
                  <w:vAlign w:val="center"/>
                </w:tcPr>
                <w:p>
                  <w:pPr>
                    <w:adjustRightInd w:val="0"/>
                    <w:snapToGrid w:val="0"/>
                    <w:spacing w:line="240" w:lineRule="auto"/>
                    <w:ind w:firstLine="0" w:firstLineChars="0"/>
                    <w:jc w:val="center"/>
                    <w:rPr>
                      <w:bCs/>
                      <w:color w:val="auto"/>
                      <w:sz w:val="21"/>
                      <w:szCs w:val="21"/>
                    </w:rPr>
                  </w:pPr>
                </w:p>
              </w:tc>
              <w:tc>
                <w:tcPr>
                  <w:tcW w:w="983"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设备清洁用水</w:t>
                  </w:r>
                </w:p>
              </w:tc>
              <w:tc>
                <w:tcPr>
                  <w:tcW w:w="1113"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345"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257"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5.0m</w:t>
                  </w:r>
                  <w:r>
                    <w:rPr>
                      <w:rFonts w:hint="eastAsia"/>
                      <w:color w:val="auto"/>
                      <w:sz w:val="21"/>
                      <w:szCs w:val="21"/>
                      <w:vertAlign w:val="superscript"/>
                    </w:rPr>
                    <w:t>3</w:t>
                  </w:r>
                  <w:r>
                    <w:rPr>
                      <w:rFonts w:hint="eastAsia"/>
                      <w:color w:val="auto"/>
                      <w:sz w:val="21"/>
                      <w:szCs w:val="21"/>
                    </w:rPr>
                    <w:t>/d</w:t>
                  </w:r>
                </w:p>
              </w:tc>
              <w:tc>
                <w:tcPr>
                  <w:tcW w:w="1244"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4.3m</w:t>
                  </w:r>
                  <w:r>
                    <w:rPr>
                      <w:rFonts w:hint="eastAsia"/>
                      <w:color w:val="auto"/>
                      <w:sz w:val="21"/>
                      <w:szCs w:val="21"/>
                      <w:vertAlign w:val="superscript"/>
                    </w:rPr>
                    <w:t>3</w:t>
                  </w:r>
                  <w:r>
                    <w:rPr>
                      <w:rFonts w:hint="eastAsia"/>
                      <w:color w:val="auto"/>
                      <w:sz w:val="21"/>
                      <w:szCs w:val="21"/>
                    </w:rPr>
                    <w:t>/d</w:t>
                  </w:r>
                </w:p>
              </w:tc>
              <w:tc>
                <w:tcPr>
                  <w:tcW w:w="2140" w:type="dxa"/>
                  <w:vMerge w:val="continue"/>
                  <w:vAlign w:val="center"/>
                </w:tcPr>
                <w:p>
                  <w:pPr>
                    <w:adjustRightInd w:val="0"/>
                    <w:snapToGrid w:val="0"/>
                    <w:spacing w:line="240" w:lineRule="auto"/>
                    <w:ind w:firstLine="0" w:firstLineChars="0"/>
                    <w:jc w:val="center"/>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vMerge w:val="continue"/>
                  <w:vAlign w:val="center"/>
                </w:tcPr>
                <w:p>
                  <w:pPr>
                    <w:adjustRightInd w:val="0"/>
                    <w:snapToGrid w:val="0"/>
                    <w:spacing w:line="240" w:lineRule="auto"/>
                    <w:ind w:firstLine="0" w:firstLineChars="0"/>
                    <w:jc w:val="center"/>
                    <w:rPr>
                      <w:bCs/>
                      <w:color w:val="auto"/>
                      <w:sz w:val="21"/>
                      <w:szCs w:val="21"/>
                    </w:rPr>
                  </w:pPr>
                </w:p>
              </w:tc>
              <w:tc>
                <w:tcPr>
                  <w:tcW w:w="983"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地面清洁用水</w:t>
                  </w:r>
                </w:p>
              </w:tc>
              <w:tc>
                <w:tcPr>
                  <w:tcW w:w="1113"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345"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257"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10.0m</w:t>
                  </w:r>
                  <w:r>
                    <w:rPr>
                      <w:rFonts w:hint="eastAsia"/>
                      <w:color w:val="auto"/>
                      <w:sz w:val="21"/>
                      <w:szCs w:val="21"/>
                      <w:vertAlign w:val="superscript"/>
                    </w:rPr>
                    <w:t>3</w:t>
                  </w:r>
                  <w:r>
                    <w:rPr>
                      <w:rFonts w:hint="eastAsia"/>
                      <w:color w:val="auto"/>
                      <w:sz w:val="21"/>
                      <w:szCs w:val="21"/>
                    </w:rPr>
                    <w:t>/d</w:t>
                  </w:r>
                </w:p>
              </w:tc>
              <w:tc>
                <w:tcPr>
                  <w:tcW w:w="1244"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8.5m</w:t>
                  </w:r>
                  <w:r>
                    <w:rPr>
                      <w:rFonts w:hint="eastAsia"/>
                      <w:color w:val="auto"/>
                      <w:sz w:val="21"/>
                      <w:szCs w:val="21"/>
                      <w:vertAlign w:val="superscript"/>
                    </w:rPr>
                    <w:t>3</w:t>
                  </w:r>
                  <w:r>
                    <w:rPr>
                      <w:rFonts w:hint="eastAsia"/>
                      <w:color w:val="auto"/>
                      <w:sz w:val="21"/>
                      <w:szCs w:val="21"/>
                    </w:rPr>
                    <w:t>/d</w:t>
                  </w:r>
                </w:p>
              </w:tc>
              <w:tc>
                <w:tcPr>
                  <w:tcW w:w="2140" w:type="dxa"/>
                  <w:vMerge w:val="continue"/>
                  <w:vAlign w:val="center"/>
                </w:tcPr>
                <w:p>
                  <w:pPr>
                    <w:adjustRightInd w:val="0"/>
                    <w:snapToGrid w:val="0"/>
                    <w:spacing w:line="240" w:lineRule="auto"/>
                    <w:ind w:firstLine="0" w:firstLineChars="0"/>
                    <w:jc w:val="center"/>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vMerge w:val="continue"/>
                  <w:vAlign w:val="center"/>
                </w:tcPr>
                <w:p>
                  <w:pPr>
                    <w:adjustRightInd w:val="0"/>
                    <w:snapToGrid w:val="0"/>
                    <w:spacing w:line="240" w:lineRule="auto"/>
                    <w:ind w:firstLine="0" w:firstLineChars="0"/>
                    <w:jc w:val="center"/>
                    <w:rPr>
                      <w:bCs/>
                      <w:color w:val="auto"/>
                      <w:sz w:val="21"/>
                      <w:szCs w:val="21"/>
                    </w:rPr>
                  </w:pPr>
                </w:p>
              </w:tc>
              <w:tc>
                <w:tcPr>
                  <w:tcW w:w="983" w:type="dxa"/>
                  <w:vAlign w:val="center"/>
                </w:tcPr>
                <w:p>
                  <w:pPr>
                    <w:adjustRightInd w:val="0"/>
                    <w:snapToGrid w:val="0"/>
                    <w:spacing w:line="240" w:lineRule="auto"/>
                    <w:ind w:firstLine="0" w:firstLineChars="0"/>
                    <w:jc w:val="center"/>
                    <w:rPr>
                      <w:bCs/>
                      <w:color w:val="auto"/>
                      <w:sz w:val="21"/>
                      <w:szCs w:val="21"/>
                    </w:rPr>
                  </w:pPr>
                  <w:r>
                    <w:rPr>
                      <w:color w:val="auto"/>
                      <w:sz w:val="21"/>
                      <w:szCs w:val="21"/>
                    </w:rPr>
                    <w:t>软化水制备设备用水</w:t>
                  </w:r>
                </w:p>
              </w:tc>
              <w:tc>
                <w:tcPr>
                  <w:tcW w:w="1113"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345"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257" w:type="dxa"/>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15.0m</w:t>
                  </w:r>
                  <w:r>
                    <w:rPr>
                      <w:rFonts w:hint="eastAsia"/>
                      <w:bCs/>
                      <w:color w:val="auto"/>
                      <w:sz w:val="21"/>
                      <w:szCs w:val="21"/>
                      <w:vertAlign w:val="superscript"/>
                    </w:rPr>
                    <w:t>3</w:t>
                  </w:r>
                  <w:r>
                    <w:rPr>
                      <w:rFonts w:hint="eastAsia"/>
                      <w:bCs/>
                      <w:color w:val="auto"/>
                      <w:sz w:val="21"/>
                      <w:szCs w:val="21"/>
                    </w:rPr>
                    <w:t>/d</w:t>
                  </w:r>
                </w:p>
              </w:tc>
              <w:tc>
                <w:tcPr>
                  <w:tcW w:w="1244"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12.8m</w:t>
                  </w:r>
                  <w:r>
                    <w:rPr>
                      <w:rFonts w:hint="eastAsia"/>
                      <w:color w:val="auto"/>
                      <w:sz w:val="21"/>
                      <w:szCs w:val="21"/>
                      <w:vertAlign w:val="superscript"/>
                    </w:rPr>
                    <w:t>3</w:t>
                  </w:r>
                  <w:r>
                    <w:rPr>
                      <w:rFonts w:hint="eastAsia"/>
                      <w:color w:val="auto"/>
                      <w:sz w:val="21"/>
                      <w:szCs w:val="21"/>
                    </w:rPr>
                    <w:t>/d</w:t>
                  </w:r>
                </w:p>
              </w:tc>
              <w:tc>
                <w:tcPr>
                  <w:tcW w:w="2140" w:type="dxa"/>
                  <w:vMerge w:val="continue"/>
                  <w:vAlign w:val="center"/>
                </w:tcPr>
                <w:p>
                  <w:pPr>
                    <w:adjustRightInd w:val="0"/>
                    <w:snapToGrid w:val="0"/>
                    <w:spacing w:line="240" w:lineRule="auto"/>
                    <w:ind w:firstLine="0" w:firstLineChars="0"/>
                    <w:jc w:val="center"/>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vMerge w:val="continue"/>
                  <w:vAlign w:val="center"/>
                </w:tcPr>
                <w:p>
                  <w:pPr>
                    <w:adjustRightInd w:val="0"/>
                    <w:snapToGrid w:val="0"/>
                    <w:spacing w:line="240" w:lineRule="auto"/>
                    <w:ind w:firstLine="0" w:firstLineChars="0"/>
                    <w:jc w:val="center"/>
                    <w:rPr>
                      <w:bCs/>
                      <w:color w:val="auto"/>
                      <w:sz w:val="21"/>
                      <w:szCs w:val="21"/>
                    </w:rPr>
                  </w:pPr>
                </w:p>
              </w:tc>
              <w:tc>
                <w:tcPr>
                  <w:tcW w:w="983"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燃气锅炉用水</w:t>
                  </w:r>
                </w:p>
              </w:tc>
              <w:tc>
                <w:tcPr>
                  <w:tcW w:w="1113"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345" w:type="dxa"/>
                  <w:vAlign w:val="center"/>
                </w:tcPr>
                <w:p>
                  <w:pPr>
                    <w:adjustRightInd w:val="0"/>
                    <w:snapToGrid w:val="0"/>
                    <w:spacing w:line="240" w:lineRule="auto"/>
                    <w:ind w:firstLine="0" w:firstLineChars="0"/>
                    <w:jc w:val="center"/>
                    <w:rPr>
                      <w:bCs/>
                      <w:color w:val="auto"/>
                      <w:sz w:val="21"/>
                      <w:szCs w:val="21"/>
                    </w:rPr>
                  </w:pPr>
                  <w:r>
                    <w:rPr>
                      <w:bCs/>
                      <w:color w:val="auto"/>
                      <w:sz w:val="21"/>
                      <w:szCs w:val="21"/>
                    </w:rPr>
                    <w:t>/</w:t>
                  </w:r>
                </w:p>
              </w:tc>
              <w:tc>
                <w:tcPr>
                  <w:tcW w:w="1257" w:type="dxa"/>
                  <w:vAlign w:val="center"/>
                </w:tcPr>
                <w:p>
                  <w:pPr>
                    <w:adjustRightInd w:val="0"/>
                    <w:snapToGrid w:val="0"/>
                    <w:spacing w:line="240" w:lineRule="auto"/>
                    <w:ind w:firstLine="0" w:firstLineChars="0"/>
                    <w:jc w:val="center"/>
                    <w:rPr>
                      <w:bCs/>
                      <w:color w:val="auto"/>
                      <w:sz w:val="21"/>
                      <w:szCs w:val="21"/>
                    </w:rPr>
                  </w:pPr>
                  <w:r>
                    <w:rPr>
                      <w:rFonts w:hint="eastAsia"/>
                      <w:bCs/>
                      <w:color w:val="auto"/>
                      <w:sz w:val="21"/>
                      <w:szCs w:val="21"/>
                    </w:rPr>
                    <w:t>120.0m</w:t>
                  </w:r>
                  <w:r>
                    <w:rPr>
                      <w:rFonts w:hint="eastAsia"/>
                      <w:bCs/>
                      <w:color w:val="auto"/>
                      <w:sz w:val="21"/>
                      <w:szCs w:val="21"/>
                      <w:vertAlign w:val="superscript"/>
                    </w:rPr>
                    <w:t>3</w:t>
                  </w:r>
                  <w:r>
                    <w:rPr>
                      <w:rFonts w:hint="eastAsia"/>
                      <w:bCs/>
                      <w:color w:val="auto"/>
                      <w:sz w:val="21"/>
                      <w:szCs w:val="21"/>
                    </w:rPr>
                    <w:t>/d</w:t>
                  </w:r>
                </w:p>
              </w:tc>
              <w:tc>
                <w:tcPr>
                  <w:tcW w:w="1244"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96.2m</w:t>
                  </w:r>
                  <w:r>
                    <w:rPr>
                      <w:rFonts w:hint="eastAsia"/>
                      <w:color w:val="auto"/>
                      <w:sz w:val="21"/>
                      <w:szCs w:val="21"/>
                      <w:vertAlign w:val="superscript"/>
                    </w:rPr>
                    <w:t>3</w:t>
                  </w:r>
                  <w:r>
                    <w:rPr>
                      <w:rFonts w:hint="eastAsia"/>
                      <w:color w:val="auto"/>
                      <w:sz w:val="21"/>
                      <w:szCs w:val="21"/>
                    </w:rPr>
                    <w:t>/d</w:t>
                  </w:r>
                </w:p>
              </w:tc>
              <w:tc>
                <w:tcPr>
                  <w:tcW w:w="2140" w:type="dxa"/>
                  <w:vAlign w:val="center"/>
                </w:tcPr>
                <w:p>
                  <w:pPr>
                    <w:adjustRightInd w:val="0"/>
                    <w:snapToGrid w:val="0"/>
                    <w:spacing w:line="240" w:lineRule="auto"/>
                    <w:ind w:firstLine="0" w:firstLineChars="0"/>
                    <w:jc w:val="center"/>
                    <w:rPr>
                      <w:bCs/>
                      <w:color w:val="auto"/>
                      <w:sz w:val="21"/>
                      <w:szCs w:val="21"/>
                    </w:rPr>
                  </w:pPr>
                  <w:r>
                    <w:rPr>
                      <w:rFonts w:hint="eastAsia"/>
                      <w:color w:val="auto"/>
                      <w:sz w:val="21"/>
                      <w:szCs w:val="21"/>
                    </w:rPr>
                    <w:t>厂区内冷却水池冷却后，再</w:t>
                  </w:r>
                  <w:r>
                    <w:rPr>
                      <w:rFonts w:hint="eastAsia"/>
                      <w:bCs/>
                      <w:color w:val="auto"/>
                      <w:sz w:val="21"/>
                      <w:szCs w:val="21"/>
                    </w:rPr>
                    <w:t>经厂区污水处理站处理达标后排入园区污水管网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0" w:type="dxa"/>
                  <w:gridSpan w:val="4"/>
                  <w:vAlign w:val="center"/>
                </w:tcPr>
                <w:p>
                  <w:pPr>
                    <w:adjustRightInd w:val="0"/>
                    <w:snapToGrid w:val="0"/>
                    <w:spacing w:line="240" w:lineRule="auto"/>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合计</w:t>
                  </w:r>
                </w:p>
              </w:tc>
              <w:tc>
                <w:tcPr>
                  <w:tcW w:w="1257" w:type="dxa"/>
                  <w:vAlign w:val="center"/>
                </w:tcPr>
                <w:p>
                  <w:pPr>
                    <w:adjustRightInd w:val="0"/>
                    <w:snapToGrid w:val="0"/>
                    <w:spacing w:line="240" w:lineRule="auto"/>
                    <w:ind w:firstLine="0" w:firstLineChars="0"/>
                    <w:jc w:val="center"/>
                    <w:rPr>
                      <w:rFonts w:hint="eastAsia"/>
                      <w:bCs/>
                      <w:color w:val="auto"/>
                      <w:sz w:val="21"/>
                      <w:szCs w:val="21"/>
                    </w:rPr>
                  </w:pPr>
                  <w:r>
                    <w:rPr>
                      <w:rFonts w:hint="eastAsia"/>
                      <w:color w:val="auto"/>
                      <w:sz w:val="21"/>
                      <w:szCs w:val="21"/>
                      <w:lang w:val="en-US" w:eastAsia="zh-CN"/>
                    </w:rPr>
                    <w:t>303.5</w:t>
                  </w:r>
                  <w:r>
                    <w:rPr>
                      <w:rFonts w:hint="eastAsia"/>
                      <w:color w:val="auto"/>
                      <w:sz w:val="21"/>
                      <w:szCs w:val="21"/>
                    </w:rPr>
                    <w:t>m</w:t>
                  </w:r>
                  <w:r>
                    <w:rPr>
                      <w:rFonts w:hint="eastAsia"/>
                      <w:color w:val="auto"/>
                      <w:sz w:val="21"/>
                      <w:szCs w:val="21"/>
                      <w:vertAlign w:val="superscript"/>
                    </w:rPr>
                    <w:t>3</w:t>
                  </w:r>
                  <w:r>
                    <w:rPr>
                      <w:rFonts w:hint="eastAsia"/>
                      <w:color w:val="auto"/>
                      <w:sz w:val="21"/>
                      <w:szCs w:val="21"/>
                    </w:rPr>
                    <w:t>/d</w:t>
                  </w:r>
                </w:p>
              </w:tc>
              <w:tc>
                <w:tcPr>
                  <w:tcW w:w="1244" w:type="dxa"/>
                  <w:vAlign w:val="center"/>
                </w:tcPr>
                <w:p>
                  <w:pPr>
                    <w:adjustRightInd w:val="0"/>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252.3</w:t>
                  </w:r>
                  <w:r>
                    <w:rPr>
                      <w:rFonts w:hint="eastAsia"/>
                      <w:color w:val="auto"/>
                      <w:sz w:val="21"/>
                      <w:szCs w:val="21"/>
                    </w:rPr>
                    <w:t>m</w:t>
                  </w:r>
                  <w:r>
                    <w:rPr>
                      <w:rFonts w:hint="eastAsia"/>
                      <w:color w:val="auto"/>
                      <w:sz w:val="21"/>
                      <w:szCs w:val="21"/>
                      <w:vertAlign w:val="superscript"/>
                    </w:rPr>
                    <w:t>3</w:t>
                  </w:r>
                  <w:r>
                    <w:rPr>
                      <w:rFonts w:hint="eastAsia"/>
                      <w:color w:val="auto"/>
                      <w:sz w:val="21"/>
                      <w:szCs w:val="21"/>
                    </w:rPr>
                    <w:t>/d</w:t>
                  </w:r>
                </w:p>
              </w:tc>
              <w:tc>
                <w:tcPr>
                  <w:tcW w:w="2140" w:type="dxa"/>
                  <w:vAlign w:val="center"/>
                </w:tcPr>
                <w:p>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bl>
          <w:p>
            <w:pPr>
              <w:pStyle w:val="11"/>
              <w:rPr>
                <w:color w:val="auto"/>
              </w:rPr>
            </w:pPr>
          </w:p>
          <w:p>
            <w:pPr>
              <w:ind w:left="0" w:leftChars="0" w:firstLine="0" w:firstLineChars="0"/>
              <w:rPr>
                <w:color w:val="auto"/>
              </w:rPr>
            </w:pPr>
            <w:r>
              <w:rPr>
                <w:color w:val="auto"/>
              </w:rPr>
              <w:object>
                <v:shape id="_x0000_i1031" o:spt="75" type="#_x0000_t75" style="height:513pt;width:446.35pt;" o:ole="t" filled="f" o:preferrelative="t" stroked="f" coordsize="21600,21600">
                  <v:path/>
                  <v:fill on="f" focussize="0,0"/>
                  <v:stroke on="f"/>
                  <v:imagedata r:id="rId30" o:title=""/>
                  <o:lock v:ext="edit" aspectratio="f"/>
                  <w10:wrap type="none"/>
                  <w10:anchorlock/>
                </v:shape>
                <o:OLEObject Type="Embed" ProgID="Word.Document.8" ShapeID="_x0000_i1031" DrawAspect="Content" ObjectID="_1468075731" r:id="rId29">
                  <o:LockedField>false</o:LockedField>
                </o:OLEObject>
              </w:object>
            </w:r>
          </w:p>
          <w:p>
            <w:pPr>
              <w:ind w:firstLine="0" w:firstLineChars="0"/>
              <w:jc w:val="center"/>
              <w:rPr>
                <w:b/>
                <w:bCs/>
                <w:color w:val="auto"/>
              </w:rPr>
            </w:pPr>
          </w:p>
          <w:p>
            <w:pPr>
              <w:pStyle w:val="11"/>
              <w:jc w:val="center"/>
              <w:rPr>
                <w:b/>
                <w:bCs/>
                <w:color w:val="auto"/>
              </w:rPr>
            </w:pPr>
            <w:r>
              <w:rPr>
                <w:b/>
                <w:bCs/>
                <w:color w:val="auto"/>
              </w:rPr>
              <w:t>图 2-</w:t>
            </w:r>
            <w:r>
              <w:rPr>
                <w:rFonts w:hint="eastAsia"/>
                <w:b/>
                <w:bCs/>
                <w:color w:val="auto"/>
              </w:rPr>
              <w:t>7</w:t>
            </w:r>
            <w:r>
              <w:rPr>
                <w:b/>
                <w:bCs/>
                <w:color w:val="auto"/>
              </w:rPr>
              <w:t xml:space="preserve">     水平衡图</w:t>
            </w:r>
            <w:r>
              <w:rPr>
                <w:rFonts w:hint="eastAsia"/>
                <w:b/>
                <w:bCs/>
                <w:color w:val="auto"/>
              </w:rPr>
              <w:t xml:space="preserve">    单位:m</w:t>
            </w:r>
            <w:r>
              <w:rPr>
                <w:rFonts w:hint="eastAsia"/>
                <w:b/>
                <w:bCs/>
                <w:color w:val="auto"/>
                <w:vertAlign w:val="superscript"/>
              </w:rPr>
              <w:t>3</w:t>
            </w:r>
            <w:r>
              <w:rPr>
                <w:rFonts w:hint="eastAsia"/>
                <w:b/>
                <w:bCs/>
                <w:color w:val="auto"/>
              </w:rPr>
              <w:t>/d</w:t>
            </w:r>
          </w:p>
          <w:p>
            <w:pPr>
              <w:ind w:firstLine="482"/>
              <w:rPr>
                <w:b/>
                <w:bCs/>
                <w:color w:val="auto"/>
              </w:rPr>
            </w:pPr>
          </w:p>
          <w:p>
            <w:pPr>
              <w:ind w:firstLine="482"/>
              <w:rPr>
                <w:b/>
                <w:bCs/>
                <w:color w:val="auto"/>
              </w:rPr>
            </w:pPr>
          </w:p>
          <w:p>
            <w:pPr>
              <w:ind w:firstLine="482"/>
              <w:rPr>
                <w:b/>
                <w:bCs/>
                <w:color w:val="auto"/>
              </w:rPr>
            </w:pPr>
          </w:p>
          <w:p>
            <w:pPr>
              <w:ind w:firstLine="482"/>
              <w:rPr>
                <w:b/>
                <w:bCs/>
                <w:color w:val="auto"/>
              </w:rPr>
            </w:pPr>
          </w:p>
          <w:p>
            <w:pPr>
              <w:ind w:firstLine="482"/>
              <w:rPr>
                <w:b/>
                <w:bCs/>
                <w:color w:val="auto"/>
              </w:rPr>
            </w:pPr>
          </w:p>
          <w:p>
            <w:pPr>
              <w:ind w:firstLine="482"/>
              <w:rPr>
                <w:b/>
                <w:bCs/>
                <w:color w:val="auto"/>
              </w:rPr>
            </w:pPr>
          </w:p>
          <w:p>
            <w:pPr>
              <w:ind w:firstLine="482"/>
              <w:rPr>
                <w:b/>
                <w:bCs/>
                <w:color w:val="auto"/>
              </w:rPr>
            </w:pPr>
            <w:r>
              <w:rPr>
                <w:b/>
                <w:bCs/>
                <w:color w:val="auto"/>
              </w:rPr>
              <w:t>（三）物料平衡</w:t>
            </w:r>
          </w:p>
          <w:p>
            <w:pPr>
              <w:ind w:firstLine="480"/>
              <w:rPr>
                <w:color w:val="auto"/>
              </w:rPr>
            </w:pPr>
            <w:r>
              <w:rPr>
                <w:color w:val="auto"/>
              </w:rPr>
              <w:t>本项目的物料平衡表如下：</w:t>
            </w:r>
          </w:p>
          <w:p>
            <w:pPr>
              <w:pStyle w:val="11"/>
              <w:jc w:val="center"/>
              <w:rPr>
                <w:b/>
                <w:bCs/>
                <w:color w:val="auto"/>
              </w:rPr>
            </w:pPr>
            <w:r>
              <w:rPr>
                <w:b/>
                <w:bCs/>
                <w:color w:val="auto"/>
              </w:rPr>
              <w:t>表2-</w:t>
            </w:r>
            <w:r>
              <w:rPr>
                <w:rFonts w:hint="eastAsia"/>
                <w:b/>
                <w:bCs/>
                <w:color w:val="auto"/>
              </w:rPr>
              <w:t xml:space="preserve">7  </w:t>
            </w:r>
            <w:r>
              <w:rPr>
                <w:b/>
                <w:bCs/>
                <w:color w:val="auto"/>
              </w:rPr>
              <w:t>本项目物料平衡表</w:t>
            </w:r>
            <w:r>
              <w:rPr>
                <w:rFonts w:hint="eastAsia"/>
                <w:b/>
                <w:bCs/>
                <w:color w:val="auto"/>
              </w:rPr>
              <w:t xml:space="preserve">  单位：t/a</w:t>
            </w:r>
          </w:p>
          <w:tbl>
            <w:tblPr>
              <w:tblStyle w:val="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234"/>
              <w:gridCol w:w="2230"/>
              <w:gridCol w:w="22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9" w:type="pct"/>
                  <w:gridSpan w:val="2"/>
                  <w:vAlign w:val="center"/>
                </w:tcPr>
                <w:p>
                  <w:pPr>
                    <w:pStyle w:val="11"/>
                    <w:jc w:val="center"/>
                    <w:rPr>
                      <w:b/>
                      <w:bCs/>
                      <w:color w:val="auto"/>
                    </w:rPr>
                  </w:pPr>
                  <w:r>
                    <w:rPr>
                      <w:b/>
                      <w:bCs/>
                      <w:color w:val="auto"/>
                    </w:rPr>
                    <w:t>输入物料</w:t>
                  </w:r>
                </w:p>
              </w:tc>
              <w:tc>
                <w:tcPr>
                  <w:tcW w:w="2500" w:type="pct"/>
                  <w:gridSpan w:val="2"/>
                  <w:vAlign w:val="center"/>
                </w:tcPr>
                <w:p>
                  <w:pPr>
                    <w:pStyle w:val="11"/>
                    <w:jc w:val="center"/>
                    <w:rPr>
                      <w:b/>
                      <w:bCs/>
                      <w:color w:val="auto"/>
                    </w:rPr>
                  </w:pPr>
                  <w:r>
                    <w:rPr>
                      <w:b/>
                      <w:bCs/>
                      <w:color w:val="auto"/>
                    </w:rPr>
                    <w:t>产出物料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b/>
                      <w:bCs/>
                      <w:color w:val="auto"/>
                    </w:rPr>
                  </w:pPr>
                  <w:r>
                    <w:rPr>
                      <w:b/>
                      <w:bCs/>
                      <w:color w:val="auto"/>
                    </w:rPr>
                    <w:t>名称</w:t>
                  </w:r>
                </w:p>
              </w:tc>
              <w:tc>
                <w:tcPr>
                  <w:tcW w:w="1251" w:type="pct"/>
                  <w:vAlign w:val="center"/>
                </w:tcPr>
                <w:p>
                  <w:pPr>
                    <w:pStyle w:val="11"/>
                    <w:jc w:val="center"/>
                    <w:rPr>
                      <w:b/>
                      <w:bCs/>
                      <w:color w:val="auto"/>
                    </w:rPr>
                  </w:pPr>
                  <w:r>
                    <w:rPr>
                      <w:b/>
                      <w:bCs/>
                      <w:color w:val="auto"/>
                    </w:rPr>
                    <w:t>输入量</w:t>
                  </w:r>
                </w:p>
              </w:tc>
              <w:tc>
                <w:tcPr>
                  <w:tcW w:w="1249" w:type="pct"/>
                  <w:vAlign w:val="center"/>
                </w:tcPr>
                <w:p>
                  <w:pPr>
                    <w:pStyle w:val="11"/>
                    <w:jc w:val="center"/>
                    <w:rPr>
                      <w:b/>
                      <w:bCs/>
                      <w:color w:val="auto"/>
                    </w:rPr>
                  </w:pPr>
                  <w:r>
                    <w:rPr>
                      <w:b/>
                      <w:bCs/>
                      <w:color w:val="auto"/>
                    </w:rPr>
                    <w:t>名称</w:t>
                  </w:r>
                </w:p>
              </w:tc>
              <w:tc>
                <w:tcPr>
                  <w:tcW w:w="1251" w:type="pct"/>
                  <w:vAlign w:val="center"/>
                </w:tcPr>
                <w:p>
                  <w:pPr>
                    <w:pStyle w:val="11"/>
                    <w:jc w:val="center"/>
                    <w:rPr>
                      <w:b/>
                      <w:bCs/>
                      <w:color w:val="auto"/>
                    </w:rPr>
                  </w:pPr>
                  <w:r>
                    <w:rPr>
                      <w:b/>
                      <w:bCs/>
                      <w:color w:val="auto"/>
                    </w:rPr>
                    <w:t>产出量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color w:val="auto"/>
                    </w:rPr>
                  </w:pPr>
                  <w:r>
                    <w:rPr>
                      <w:rFonts w:hint="eastAsia"/>
                      <w:color w:val="auto"/>
                    </w:rPr>
                    <w:t>猪肉2号肉</w:t>
                  </w:r>
                </w:p>
              </w:tc>
              <w:tc>
                <w:tcPr>
                  <w:tcW w:w="1251" w:type="pct"/>
                  <w:vAlign w:val="center"/>
                </w:tcPr>
                <w:p>
                  <w:pPr>
                    <w:pStyle w:val="11"/>
                    <w:jc w:val="center"/>
                    <w:rPr>
                      <w:color w:val="auto"/>
                    </w:rPr>
                  </w:pPr>
                  <w:r>
                    <w:rPr>
                      <w:rFonts w:hint="eastAsia"/>
                      <w:color w:val="auto"/>
                    </w:rPr>
                    <w:t>6000</w:t>
                  </w:r>
                </w:p>
              </w:tc>
              <w:tc>
                <w:tcPr>
                  <w:tcW w:w="1249" w:type="pct"/>
                  <w:vAlign w:val="center"/>
                </w:tcPr>
                <w:p>
                  <w:pPr>
                    <w:pStyle w:val="11"/>
                    <w:jc w:val="center"/>
                    <w:rPr>
                      <w:color w:val="auto"/>
                    </w:rPr>
                  </w:pPr>
                  <w:r>
                    <w:rPr>
                      <w:color w:val="auto"/>
                    </w:rPr>
                    <w:t>产品</w:t>
                  </w:r>
                </w:p>
              </w:tc>
              <w:tc>
                <w:tcPr>
                  <w:tcW w:w="1251" w:type="pct"/>
                  <w:vAlign w:val="center"/>
                </w:tcPr>
                <w:p>
                  <w:pPr>
                    <w:pStyle w:val="11"/>
                    <w:jc w:val="center"/>
                    <w:rPr>
                      <w:color w:val="auto"/>
                    </w:rPr>
                  </w:pPr>
                  <w:r>
                    <w:rPr>
                      <w:rFonts w:hint="eastAsia"/>
                      <w:color w:val="auto"/>
                    </w:rPr>
                    <w:t>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color w:val="auto"/>
                    </w:rPr>
                  </w:pPr>
                  <w:r>
                    <w:rPr>
                      <w:rFonts w:hint="eastAsia"/>
                      <w:color w:val="auto"/>
                    </w:rPr>
                    <w:t>猪肉4号肉</w:t>
                  </w:r>
                </w:p>
              </w:tc>
              <w:tc>
                <w:tcPr>
                  <w:tcW w:w="1251" w:type="pct"/>
                  <w:vAlign w:val="center"/>
                </w:tcPr>
                <w:p>
                  <w:pPr>
                    <w:pStyle w:val="11"/>
                    <w:jc w:val="center"/>
                    <w:rPr>
                      <w:color w:val="auto"/>
                    </w:rPr>
                  </w:pPr>
                  <w:r>
                    <w:rPr>
                      <w:rFonts w:hint="eastAsia"/>
                      <w:color w:val="auto"/>
                    </w:rPr>
                    <w:t>6000</w:t>
                  </w:r>
                </w:p>
              </w:tc>
              <w:tc>
                <w:tcPr>
                  <w:tcW w:w="1249" w:type="pct"/>
                  <w:vAlign w:val="center"/>
                </w:tcPr>
                <w:p>
                  <w:pPr>
                    <w:pStyle w:val="11"/>
                    <w:jc w:val="center"/>
                    <w:rPr>
                      <w:color w:val="auto"/>
                    </w:rPr>
                  </w:pPr>
                  <w:r>
                    <w:rPr>
                      <w:rFonts w:hint="eastAsia"/>
                      <w:color w:val="auto"/>
                    </w:rPr>
                    <w:t>不可利用的边角料</w:t>
                  </w:r>
                </w:p>
              </w:tc>
              <w:tc>
                <w:tcPr>
                  <w:tcW w:w="1251" w:type="pct"/>
                  <w:vAlign w:val="center"/>
                </w:tcPr>
                <w:p>
                  <w:pPr>
                    <w:pStyle w:val="11"/>
                    <w:jc w:val="center"/>
                    <w:rPr>
                      <w:color w:val="auto"/>
                    </w:rPr>
                  </w:pPr>
                  <w:r>
                    <w:rPr>
                      <w:rFonts w:hint="eastAsia"/>
                      <w:color w:val="auto"/>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color w:val="auto"/>
                    </w:rPr>
                  </w:pPr>
                  <w:r>
                    <w:rPr>
                      <w:rFonts w:hint="eastAsia"/>
                      <w:color w:val="auto"/>
                    </w:rPr>
                    <w:t>去皮肥膘</w:t>
                  </w:r>
                </w:p>
              </w:tc>
              <w:tc>
                <w:tcPr>
                  <w:tcW w:w="1251" w:type="pct"/>
                  <w:vAlign w:val="center"/>
                </w:tcPr>
                <w:p>
                  <w:pPr>
                    <w:pStyle w:val="11"/>
                    <w:jc w:val="center"/>
                    <w:rPr>
                      <w:color w:val="auto"/>
                    </w:rPr>
                  </w:pPr>
                  <w:r>
                    <w:rPr>
                      <w:rFonts w:hint="eastAsia"/>
                      <w:color w:val="auto"/>
                    </w:rPr>
                    <w:t>5000</w:t>
                  </w:r>
                </w:p>
              </w:tc>
              <w:tc>
                <w:tcPr>
                  <w:tcW w:w="1249" w:type="pct"/>
                  <w:vAlign w:val="center"/>
                </w:tcPr>
                <w:p>
                  <w:pPr>
                    <w:pStyle w:val="11"/>
                    <w:jc w:val="center"/>
                    <w:rPr>
                      <w:color w:val="auto"/>
                    </w:rPr>
                  </w:pPr>
                  <w:r>
                    <w:rPr>
                      <w:rFonts w:hint="eastAsia"/>
                      <w:color w:val="auto"/>
                    </w:rPr>
                    <w:t>不合格产品</w:t>
                  </w:r>
                </w:p>
              </w:tc>
              <w:tc>
                <w:tcPr>
                  <w:tcW w:w="1251" w:type="pct"/>
                  <w:vAlign w:val="center"/>
                </w:tcPr>
                <w:p>
                  <w:pPr>
                    <w:pStyle w:val="11"/>
                    <w:jc w:val="center"/>
                    <w:rPr>
                      <w:color w:val="auto"/>
                    </w:rPr>
                  </w:pPr>
                  <w:r>
                    <w:rPr>
                      <w:rFonts w:hint="eastAsia"/>
                      <w:color w:val="auto"/>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color w:val="auto"/>
                    </w:rPr>
                  </w:pPr>
                  <w:r>
                    <w:rPr>
                      <w:rFonts w:hint="eastAsia"/>
                      <w:color w:val="auto"/>
                    </w:rPr>
                    <w:t>带皮肥膘</w:t>
                  </w:r>
                </w:p>
              </w:tc>
              <w:tc>
                <w:tcPr>
                  <w:tcW w:w="1251" w:type="pct"/>
                  <w:vAlign w:val="center"/>
                </w:tcPr>
                <w:p>
                  <w:pPr>
                    <w:pStyle w:val="11"/>
                    <w:jc w:val="center"/>
                    <w:rPr>
                      <w:color w:val="auto"/>
                    </w:rPr>
                  </w:pPr>
                  <w:r>
                    <w:rPr>
                      <w:rFonts w:hint="eastAsia"/>
                      <w:color w:val="auto"/>
                    </w:rPr>
                    <w:t>5000</w:t>
                  </w:r>
                </w:p>
              </w:tc>
              <w:tc>
                <w:tcPr>
                  <w:tcW w:w="1249" w:type="pct"/>
                  <w:vAlign w:val="center"/>
                </w:tcPr>
                <w:p>
                  <w:pPr>
                    <w:pStyle w:val="11"/>
                    <w:jc w:val="center"/>
                    <w:rPr>
                      <w:color w:val="auto"/>
                    </w:rPr>
                  </w:pPr>
                  <w:r>
                    <w:rPr>
                      <w:rFonts w:hint="eastAsia"/>
                      <w:color w:val="auto"/>
                    </w:rPr>
                    <w:t>废弃食用油</w:t>
                  </w:r>
                </w:p>
              </w:tc>
              <w:tc>
                <w:tcPr>
                  <w:tcW w:w="1251" w:type="pct"/>
                  <w:vAlign w:val="center"/>
                </w:tcPr>
                <w:p>
                  <w:pPr>
                    <w:pStyle w:val="11"/>
                    <w:jc w:val="center"/>
                    <w:rPr>
                      <w:color w:val="auto"/>
                    </w:rPr>
                  </w:pPr>
                  <w:r>
                    <w:rPr>
                      <w:rFonts w:hint="eastAsia"/>
                      <w:color w:val="auto"/>
                    </w:rPr>
                    <w:t>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rFonts w:hint="eastAsia" w:eastAsia="宋体"/>
                      <w:color w:val="auto"/>
                      <w:lang w:eastAsia="zh-CN"/>
                    </w:rPr>
                  </w:pPr>
                  <w:r>
                    <w:rPr>
                      <w:rFonts w:hint="eastAsia"/>
                      <w:color w:val="auto"/>
                      <w:lang w:eastAsia="zh-CN"/>
                    </w:rPr>
                    <w:t>精碎肉</w:t>
                  </w:r>
                </w:p>
              </w:tc>
              <w:tc>
                <w:tcPr>
                  <w:tcW w:w="1251" w:type="pct"/>
                  <w:vAlign w:val="center"/>
                </w:tcPr>
                <w:p>
                  <w:pPr>
                    <w:pStyle w:val="11"/>
                    <w:jc w:val="center"/>
                    <w:rPr>
                      <w:color w:val="auto"/>
                    </w:rPr>
                  </w:pPr>
                  <w:r>
                    <w:rPr>
                      <w:rFonts w:hint="eastAsia"/>
                      <w:color w:val="auto"/>
                    </w:rPr>
                    <w:t>3000</w:t>
                  </w:r>
                </w:p>
              </w:tc>
              <w:tc>
                <w:tcPr>
                  <w:tcW w:w="1249" w:type="pct"/>
                  <w:vAlign w:val="center"/>
                </w:tcPr>
                <w:p>
                  <w:pPr>
                    <w:pStyle w:val="11"/>
                    <w:jc w:val="center"/>
                    <w:rPr>
                      <w:color w:val="auto"/>
                    </w:rPr>
                  </w:pPr>
                  <w:r>
                    <w:rPr>
                      <w:rFonts w:hint="eastAsia"/>
                      <w:color w:val="auto"/>
                    </w:rPr>
                    <w:t>油烟废气</w:t>
                  </w:r>
                </w:p>
              </w:tc>
              <w:tc>
                <w:tcPr>
                  <w:tcW w:w="1251" w:type="pct"/>
                  <w:vAlign w:val="center"/>
                </w:tcPr>
                <w:p>
                  <w:pPr>
                    <w:pStyle w:val="11"/>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color w:val="auto"/>
                    </w:rPr>
                  </w:pPr>
                  <w:r>
                    <w:rPr>
                      <w:rFonts w:hint="eastAsia"/>
                      <w:color w:val="auto"/>
                    </w:rPr>
                    <w:t>牛肉统货</w:t>
                  </w:r>
                </w:p>
              </w:tc>
              <w:tc>
                <w:tcPr>
                  <w:tcW w:w="1251" w:type="pct"/>
                  <w:vAlign w:val="center"/>
                </w:tcPr>
                <w:p>
                  <w:pPr>
                    <w:pStyle w:val="11"/>
                    <w:jc w:val="center"/>
                    <w:rPr>
                      <w:color w:val="auto"/>
                    </w:rPr>
                  </w:pPr>
                  <w:r>
                    <w:rPr>
                      <w:rFonts w:hint="eastAsia"/>
                      <w:color w:val="auto"/>
                    </w:rPr>
                    <w:t>15000</w:t>
                  </w:r>
                </w:p>
              </w:tc>
              <w:tc>
                <w:tcPr>
                  <w:tcW w:w="1249" w:type="pct"/>
                  <w:vAlign w:val="center"/>
                </w:tcPr>
                <w:p>
                  <w:pPr>
                    <w:pStyle w:val="11"/>
                    <w:jc w:val="center"/>
                    <w:rPr>
                      <w:color w:val="auto"/>
                    </w:rPr>
                  </w:pPr>
                  <w:r>
                    <w:rPr>
                      <w:rFonts w:hint="eastAsia"/>
                      <w:color w:val="auto"/>
                    </w:rPr>
                    <w:t>以水分形式蒸发损耗</w:t>
                  </w:r>
                </w:p>
              </w:tc>
              <w:tc>
                <w:tcPr>
                  <w:tcW w:w="1251" w:type="pct"/>
                  <w:vAlign w:val="center"/>
                </w:tcPr>
                <w:p>
                  <w:pPr>
                    <w:pStyle w:val="11"/>
                    <w:jc w:val="center"/>
                    <w:rPr>
                      <w:color w:val="auto"/>
                    </w:rPr>
                  </w:pPr>
                  <w:r>
                    <w:rPr>
                      <w:rFonts w:hint="eastAsia"/>
                      <w:color w:val="auto"/>
                    </w:rPr>
                    <w:t>24299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color w:val="auto"/>
                    </w:rPr>
                  </w:pPr>
                  <w:r>
                    <w:rPr>
                      <w:rFonts w:hint="eastAsia"/>
                      <w:color w:val="auto"/>
                    </w:rPr>
                    <w:t>食用油</w:t>
                  </w:r>
                </w:p>
              </w:tc>
              <w:tc>
                <w:tcPr>
                  <w:tcW w:w="1251" w:type="pct"/>
                  <w:vAlign w:val="center"/>
                </w:tcPr>
                <w:p>
                  <w:pPr>
                    <w:pStyle w:val="11"/>
                    <w:jc w:val="center"/>
                    <w:rPr>
                      <w:color w:val="auto"/>
                    </w:rPr>
                  </w:pPr>
                  <w:r>
                    <w:rPr>
                      <w:rFonts w:hint="eastAsia"/>
                      <w:color w:val="auto"/>
                    </w:rPr>
                    <w:t>3000</w:t>
                  </w:r>
                </w:p>
              </w:tc>
              <w:tc>
                <w:tcPr>
                  <w:tcW w:w="1249" w:type="pct"/>
                  <w:vAlign w:val="center"/>
                </w:tcPr>
                <w:p>
                  <w:pPr>
                    <w:pStyle w:val="11"/>
                    <w:jc w:val="center"/>
                    <w:rPr>
                      <w:color w:val="auto"/>
                    </w:rPr>
                  </w:pPr>
                  <w:r>
                    <w:rPr>
                      <w:rFonts w:hint="eastAsia"/>
                      <w:color w:val="auto"/>
                    </w:rPr>
                    <w:t>/</w:t>
                  </w:r>
                </w:p>
              </w:tc>
              <w:tc>
                <w:tcPr>
                  <w:tcW w:w="1251" w:type="pct"/>
                  <w:vAlign w:val="center"/>
                </w:tcPr>
                <w:p>
                  <w:pPr>
                    <w:pStyle w:val="11"/>
                    <w:jc w:val="center"/>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48" w:type="pct"/>
                  <w:vAlign w:val="center"/>
                </w:tcPr>
                <w:p>
                  <w:pPr>
                    <w:pStyle w:val="11"/>
                    <w:jc w:val="center"/>
                    <w:rPr>
                      <w:color w:val="auto"/>
                    </w:rPr>
                  </w:pPr>
                  <w:r>
                    <w:rPr>
                      <w:color w:val="auto"/>
                    </w:rPr>
                    <w:t>复配天然香料</w:t>
                  </w:r>
                </w:p>
              </w:tc>
              <w:tc>
                <w:tcPr>
                  <w:tcW w:w="1251" w:type="pct"/>
                  <w:vAlign w:val="center"/>
                </w:tcPr>
                <w:p>
                  <w:pPr>
                    <w:pStyle w:val="11"/>
                    <w:tabs>
                      <w:tab w:val="left" w:pos="559"/>
                      <w:tab w:val="center" w:pos="1069"/>
                    </w:tabs>
                    <w:jc w:val="center"/>
                    <w:rPr>
                      <w:color w:val="auto"/>
                    </w:rPr>
                  </w:pPr>
                  <w:r>
                    <w:rPr>
                      <w:rFonts w:hint="eastAsia"/>
                      <w:color w:val="auto"/>
                    </w:rPr>
                    <w:t>1</w:t>
                  </w:r>
                  <w:r>
                    <w:rPr>
                      <w:rFonts w:hint="eastAsia"/>
                      <w:color w:val="auto"/>
                      <w:lang w:val="en-US" w:eastAsia="zh-CN"/>
                    </w:rPr>
                    <w:t>0</w:t>
                  </w:r>
                  <w:r>
                    <w:rPr>
                      <w:rFonts w:hint="eastAsia"/>
                      <w:color w:val="auto"/>
                    </w:rPr>
                    <w:t>00</w:t>
                  </w:r>
                </w:p>
              </w:tc>
              <w:tc>
                <w:tcPr>
                  <w:tcW w:w="1249" w:type="pct"/>
                  <w:vAlign w:val="center"/>
                </w:tcPr>
                <w:p>
                  <w:pPr>
                    <w:pStyle w:val="11"/>
                    <w:jc w:val="center"/>
                    <w:rPr>
                      <w:color w:val="auto"/>
                    </w:rPr>
                  </w:pPr>
                  <w:r>
                    <w:rPr>
                      <w:rFonts w:hint="eastAsia"/>
                      <w:color w:val="auto"/>
                    </w:rPr>
                    <w:t>/</w:t>
                  </w:r>
                </w:p>
              </w:tc>
              <w:tc>
                <w:tcPr>
                  <w:tcW w:w="1251" w:type="pct"/>
                  <w:vAlign w:val="center"/>
                </w:tcPr>
                <w:p>
                  <w:pPr>
                    <w:pStyle w:val="11"/>
                    <w:jc w:val="center"/>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rFonts w:hint="eastAsia" w:eastAsia="宋体"/>
                      <w:color w:val="auto"/>
                      <w:lang w:val="en-US" w:eastAsia="zh-CN"/>
                    </w:rPr>
                  </w:pPr>
                  <w:r>
                    <w:rPr>
                      <w:rFonts w:hint="eastAsia"/>
                      <w:color w:val="auto"/>
                      <w:lang w:val="en-US" w:eastAsia="zh-CN"/>
                    </w:rPr>
                    <w:t>鸡蛋</w:t>
                  </w:r>
                </w:p>
              </w:tc>
              <w:tc>
                <w:tcPr>
                  <w:tcW w:w="1251" w:type="pct"/>
                  <w:vAlign w:val="center"/>
                </w:tcPr>
                <w:p>
                  <w:pPr>
                    <w:pStyle w:val="11"/>
                    <w:tabs>
                      <w:tab w:val="left" w:pos="559"/>
                      <w:tab w:val="center" w:pos="1069"/>
                    </w:tabs>
                    <w:jc w:val="center"/>
                    <w:rPr>
                      <w:rFonts w:hint="default"/>
                      <w:color w:val="auto"/>
                      <w:lang w:val="en-US" w:eastAsia="zh-CN"/>
                    </w:rPr>
                  </w:pPr>
                  <w:r>
                    <w:rPr>
                      <w:rFonts w:hint="eastAsia"/>
                      <w:color w:val="auto"/>
                      <w:lang w:val="en-US" w:eastAsia="zh-CN"/>
                    </w:rPr>
                    <w:t>100</w:t>
                  </w:r>
                </w:p>
              </w:tc>
              <w:tc>
                <w:tcPr>
                  <w:tcW w:w="1249" w:type="pct"/>
                  <w:vAlign w:val="center"/>
                </w:tcPr>
                <w:p>
                  <w:pPr>
                    <w:pStyle w:val="11"/>
                    <w:jc w:val="center"/>
                    <w:rPr>
                      <w:rFonts w:hint="eastAsia"/>
                      <w:color w:val="auto"/>
                    </w:rPr>
                  </w:pPr>
                </w:p>
              </w:tc>
              <w:tc>
                <w:tcPr>
                  <w:tcW w:w="1251" w:type="pct"/>
                  <w:vAlign w:val="center"/>
                </w:tcPr>
                <w:p>
                  <w:pPr>
                    <w:pStyle w:val="11"/>
                    <w:jc w:val="center"/>
                    <w:rPr>
                      <w:rFonts w:hint="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48" w:type="pct"/>
                  <w:vAlign w:val="center"/>
                </w:tcPr>
                <w:p>
                  <w:pPr>
                    <w:pStyle w:val="11"/>
                    <w:jc w:val="center"/>
                    <w:rPr>
                      <w:rFonts w:hint="eastAsia" w:eastAsia="宋体"/>
                      <w:color w:val="auto"/>
                      <w:lang w:val="en-US" w:eastAsia="zh-CN"/>
                    </w:rPr>
                  </w:pPr>
                  <w:r>
                    <w:rPr>
                      <w:rFonts w:hint="eastAsia"/>
                      <w:color w:val="auto"/>
                      <w:lang w:val="en-US" w:eastAsia="zh-CN"/>
                    </w:rPr>
                    <w:t>食用盐</w:t>
                  </w:r>
                </w:p>
              </w:tc>
              <w:tc>
                <w:tcPr>
                  <w:tcW w:w="1251" w:type="pct"/>
                  <w:vAlign w:val="center"/>
                </w:tcPr>
                <w:p>
                  <w:pPr>
                    <w:pStyle w:val="11"/>
                    <w:jc w:val="center"/>
                    <w:rPr>
                      <w:rFonts w:hint="default" w:eastAsia="宋体"/>
                      <w:color w:val="auto"/>
                      <w:lang w:val="en-US" w:eastAsia="zh-CN"/>
                    </w:rPr>
                  </w:pPr>
                  <w:r>
                    <w:rPr>
                      <w:rFonts w:hint="eastAsia"/>
                      <w:color w:val="auto"/>
                      <w:lang w:val="en-US" w:eastAsia="zh-CN"/>
                    </w:rPr>
                    <w:t>200</w:t>
                  </w:r>
                </w:p>
              </w:tc>
              <w:tc>
                <w:tcPr>
                  <w:tcW w:w="1249" w:type="pct"/>
                  <w:vAlign w:val="center"/>
                </w:tcPr>
                <w:p>
                  <w:pPr>
                    <w:pStyle w:val="11"/>
                    <w:jc w:val="center"/>
                    <w:rPr>
                      <w:rFonts w:hint="eastAsia"/>
                      <w:color w:val="auto"/>
                    </w:rPr>
                  </w:pPr>
                </w:p>
              </w:tc>
              <w:tc>
                <w:tcPr>
                  <w:tcW w:w="1251" w:type="pct"/>
                  <w:vAlign w:val="center"/>
                </w:tcPr>
                <w:p>
                  <w:pPr>
                    <w:pStyle w:val="11"/>
                    <w:jc w:val="center"/>
                    <w:rPr>
                      <w:rFonts w:hint="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rFonts w:hint="eastAsia" w:eastAsia="宋体"/>
                      <w:color w:val="auto"/>
                      <w:lang w:val="en-US" w:eastAsia="zh-CN"/>
                    </w:rPr>
                  </w:pPr>
                  <w:r>
                    <w:rPr>
                      <w:rFonts w:hint="eastAsia"/>
                      <w:color w:val="auto"/>
                      <w:lang w:val="en-US" w:eastAsia="zh-CN"/>
                    </w:rPr>
                    <w:t>淀粉</w:t>
                  </w:r>
                </w:p>
              </w:tc>
              <w:tc>
                <w:tcPr>
                  <w:tcW w:w="1251" w:type="pct"/>
                  <w:vAlign w:val="center"/>
                </w:tcPr>
                <w:p>
                  <w:pPr>
                    <w:pStyle w:val="11"/>
                    <w:jc w:val="center"/>
                    <w:rPr>
                      <w:rFonts w:hint="default" w:eastAsia="宋体"/>
                      <w:color w:val="auto"/>
                      <w:lang w:val="en-US" w:eastAsia="zh-CN"/>
                    </w:rPr>
                  </w:pPr>
                  <w:r>
                    <w:rPr>
                      <w:rFonts w:hint="eastAsia"/>
                      <w:color w:val="auto"/>
                      <w:lang w:val="en-US" w:eastAsia="zh-CN"/>
                    </w:rPr>
                    <w:t>500</w:t>
                  </w:r>
                </w:p>
              </w:tc>
              <w:tc>
                <w:tcPr>
                  <w:tcW w:w="1249" w:type="pct"/>
                  <w:vAlign w:val="center"/>
                </w:tcPr>
                <w:p>
                  <w:pPr>
                    <w:pStyle w:val="11"/>
                    <w:jc w:val="center"/>
                    <w:rPr>
                      <w:rFonts w:hint="eastAsia"/>
                      <w:color w:val="auto"/>
                    </w:rPr>
                  </w:pPr>
                </w:p>
              </w:tc>
              <w:tc>
                <w:tcPr>
                  <w:tcW w:w="1251" w:type="pct"/>
                  <w:vAlign w:val="center"/>
                </w:tcPr>
                <w:p>
                  <w:pPr>
                    <w:pStyle w:val="11"/>
                    <w:jc w:val="center"/>
                    <w:rPr>
                      <w:rFonts w:hint="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11"/>
                    <w:jc w:val="center"/>
                    <w:rPr>
                      <w:color w:val="auto"/>
                    </w:rPr>
                  </w:pPr>
                  <w:r>
                    <w:rPr>
                      <w:color w:val="auto"/>
                    </w:rPr>
                    <w:t>合计</w:t>
                  </w:r>
                </w:p>
              </w:tc>
              <w:tc>
                <w:tcPr>
                  <w:tcW w:w="1251" w:type="pct"/>
                  <w:vAlign w:val="center"/>
                </w:tcPr>
                <w:p>
                  <w:pPr>
                    <w:pStyle w:val="11"/>
                    <w:jc w:val="center"/>
                    <w:rPr>
                      <w:color w:val="auto"/>
                    </w:rPr>
                  </w:pPr>
                  <w:r>
                    <w:rPr>
                      <w:rFonts w:hint="eastAsia"/>
                      <w:color w:val="auto"/>
                    </w:rPr>
                    <w:t>44800</w:t>
                  </w:r>
                </w:p>
              </w:tc>
              <w:tc>
                <w:tcPr>
                  <w:tcW w:w="1249" w:type="pct"/>
                  <w:vAlign w:val="center"/>
                </w:tcPr>
                <w:p>
                  <w:pPr>
                    <w:pStyle w:val="11"/>
                    <w:jc w:val="center"/>
                    <w:rPr>
                      <w:color w:val="auto"/>
                    </w:rPr>
                  </w:pPr>
                  <w:r>
                    <w:rPr>
                      <w:color w:val="auto"/>
                    </w:rPr>
                    <w:t>合计</w:t>
                  </w:r>
                </w:p>
              </w:tc>
              <w:tc>
                <w:tcPr>
                  <w:tcW w:w="1251" w:type="pct"/>
                  <w:vAlign w:val="center"/>
                </w:tcPr>
                <w:p>
                  <w:pPr>
                    <w:pStyle w:val="11"/>
                    <w:jc w:val="center"/>
                    <w:rPr>
                      <w:color w:val="auto"/>
                    </w:rPr>
                  </w:pPr>
                  <w:r>
                    <w:rPr>
                      <w:rFonts w:hint="eastAsia"/>
                      <w:color w:val="auto"/>
                    </w:rPr>
                    <w:t>44800</w:t>
                  </w:r>
                </w:p>
              </w:tc>
            </w:tr>
          </w:tbl>
          <w:p>
            <w:pPr>
              <w:ind w:firstLine="48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1131" w:type="dxa"/>
            <w:vAlign w:val="center"/>
          </w:tcPr>
          <w:p>
            <w:pPr>
              <w:pStyle w:val="11"/>
              <w:spacing w:line="360" w:lineRule="auto"/>
              <w:jc w:val="center"/>
              <w:rPr>
                <w:b/>
                <w:bCs/>
                <w:color w:val="auto"/>
              </w:rPr>
            </w:pPr>
            <w:r>
              <w:rPr>
                <w:b/>
                <w:bCs/>
                <w:color w:val="auto"/>
                <w:sz w:val="24"/>
                <w:szCs w:val="24"/>
              </w:rPr>
              <w:t>与项目有关的原有环境污染问题</w:t>
            </w:r>
          </w:p>
        </w:tc>
        <w:tc>
          <w:tcPr>
            <w:tcW w:w="9150" w:type="dxa"/>
          </w:tcPr>
          <w:p>
            <w:pPr>
              <w:ind w:firstLine="482"/>
              <w:rPr>
                <w:b/>
                <w:bCs/>
                <w:color w:val="auto"/>
              </w:rPr>
            </w:pPr>
            <w:r>
              <w:rPr>
                <w:rFonts w:hint="eastAsia"/>
                <w:b/>
                <w:bCs/>
                <w:color w:val="auto"/>
              </w:rPr>
              <w:t>1、</w:t>
            </w:r>
            <w:r>
              <w:rPr>
                <w:b/>
                <w:bCs/>
                <w:color w:val="auto"/>
              </w:rPr>
              <w:t>与本项目有关的有污染情况及主要环境问题</w:t>
            </w:r>
          </w:p>
          <w:p>
            <w:pPr>
              <w:widowControl/>
              <w:ind w:firstLine="480"/>
              <w:rPr>
                <w:rFonts w:hint="eastAsia"/>
                <w:color w:val="auto"/>
                <w:u w:val="none"/>
                <w:lang w:val="en-US" w:eastAsia="zh-CN"/>
              </w:rPr>
            </w:pPr>
            <w:r>
              <w:rPr>
                <w:rFonts w:hint="eastAsia"/>
                <w:color w:val="auto"/>
                <w:u w:val="none"/>
                <w:lang w:val="en-US" w:eastAsia="zh-CN"/>
              </w:rPr>
              <w:t>四川省川汉子食品实业有限公司（以下简称“本公司”）</w:t>
            </w:r>
            <w:r>
              <w:rPr>
                <w:rFonts w:hint="eastAsia"/>
                <w:color w:val="auto"/>
                <w:sz w:val="24"/>
                <w:szCs w:val="24"/>
                <w:u w:val="none"/>
                <w:lang w:val="en-US" w:eastAsia="zh-CN"/>
              </w:rPr>
              <w:t>于2021年12月8日在通川区发展和改革局进行初次备案，</w:t>
            </w:r>
            <w:r>
              <w:rPr>
                <w:rFonts w:hint="eastAsia"/>
                <w:color w:val="auto"/>
                <w:u w:val="none"/>
                <w:lang w:val="en-US" w:eastAsia="zh-CN"/>
              </w:rPr>
              <w:t>拟投资6000万元人民币，征用土地约80亩，新建厂房15000平米，办公楼6000平米，辅助用房3000平米。一期建设3条智能化肉制品生产线，预计2023年10月全面建成，</w:t>
            </w:r>
            <w:r>
              <w:rPr>
                <w:color w:val="auto"/>
                <w:u w:val="none"/>
              </w:rPr>
              <w:t>项目建成后，形成年产</w:t>
            </w:r>
            <w:r>
              <w:rPr>
                <w:rFonts w:hint="eastAsia"/>
                <w:color w:val="auto"/>
                <w:u w:val="none"/>
                <w:lang w:val="en-US" w:eastAsia="zh-CN"/>
              </w:rPr>
              <w:t>1</w:t>
            </w:r>
            <w:r>
              <w:rPr>
                <w:color w:val="auto"/>
                <w:u w:val="none"/>
              </w:rPr>
              <w:t>万吨</w:t>
            </w:r>
            <w:r>
              <w:rPr>
                <w:rFonts w:hint="eastAsia"/>
                <w:color w:val="auto"/>
                <w:u w:val="none"/>
                <w:lang w:val="en-US" w:eastAsia="zh-CN"/>
              </w:rPr>
              <w:t>肉制品</w:t>
            </w:r>
            <w:r>
              <w:rPr>
                <w:color w:val="auto"/>
                <w:u w:val="none"/>
              </w:rPr>
              <w:t>生产加工能力</w:t>
            </w:r>
            <w:r>
              <w:rPr>
                <w:rFonts w:hint="eastAsia"/>
                <w:color w:val="auto"/>
                <w:u w:val="none"/>
              </w:rPr>
              <w:t>。</w:t>
            </w:r>
            <w:r>
              <w:rPr>
                <w:rFonts w:hint="eastAsia"/>
                <w:color w:val="auto"/>
                <w:u w:val="none"/>
                <w:lang w:val="en-US" w:eastAsia="zh-CN"/>
              </w:rPr>
              <w:t>根据中华人民共和国生态环境部令第16号《建设项目环境影响评价分类管理名录》（2021年版）划分，本项目属于第十项“农副食品加工业”第18条“屠宰及肉类加工”中“其他肉类加工”类，需要填报环境影响登记表。</w:t>
            </w:r>
          </w:p>
          <w:p>
            <w:pPr>
              <w:widowControl/>
              <w:ind w:firstLine="480"/>
              <w:rPr>
                <w:rFonts w:hint="eastAsia"/>
                <w:color w:val="auto"/>
                <w:u w:val="none"/>
                <w:lang w:val="en-US" w:eastAsia="zh-CN"/>
              </w:rPr>
            </w:pPr>
            <w:r>
              <w:rPr>
                <w:rFonts w:hint="eastAsia"/>
                <w:color w:val="auto"/>
                <w:u w:val="none"/>
                <w:lang w:val="en-US" w:eastAsia="zh-CN"/>
              </w:rPr>
              <w:t>本公司</w:t>
            </w:r>
            <w:r>
              <w:rPr>
                <w:rFonts w:hint="eastAsia"/>
                <w:color w:val="auto"/>
                <w:sz w:val="24"/>
                <w:szCs w:val="24"/>
                <w:u w:val="none"/>
                <w:lang w:val="en-US" w:eastAsia="zh-CN"/>
              </w:rPr>
              <w:t>于2022年3月开始标准厂房及生产线的建设，由于周边市场的需求，于2023年4月停止项目建设，至今尚未实现项目投运</w:t>
            </w:r>
            <w:r>
              <w:rPr>
                <w:rFonts w:hint="eastAsia"/>
                <w:color w:val="auto"/>
                <w:u w:val="none"/>
                <w:lang w:val="en-US" w:eastAsia="zh-CN"/>
              </w:rPr>
              <w:t>，根据国家相关环保法规要求：项目环境影响登记表须在项目投运前填报完成，本项目未实现生产投运，因此未填报环境影响登记表。</w:t>
            </w:r>
          </w:p>
          <w:p>
            <w:pPr>
              <w:ind w:firstLine="482"/>
              <w:rPr>
                <w:rFonts w:hint="eastAsia"/>
                <w:color w:val="auto"/>
                <w:u w:val="none"/>
                <w:lang w:val="en-US" w:eastAsia="zh-CN"/>
              </w:rPr>
            </w:pPr>
            <w:r>
              <w:rPr>
                <w:rFonts w:hint="eastAsia"/>
                <w:color w:val="auto"/>
                <w:u w:val="none"/>
                <w:lang w:val="en-US" w:eastAsia="zh-CN"/>
              </w:rPr>
              <w:t>本公司于2023年5月将项目产能和投资进行变更，项目投资由6000万元增加到9000万元</w:t>
            </w:r>
            <w:r>
              <w:rPr>
                <w:color w:val="auto"/>
                <w:u w:val="none"/>
              </w:rPr>
              <w:t>，建设建筑面积</w:t>
            </w:r>
            <w:r>
              <w:rPr>
                <w:rFonts w:hint="eastAsia"/>
                <w:color w:val="auto"/>
                <w:u w:val="none"/>
              </w:rPr>
              <w:t>约35000m</w:t>
            </w:r>
            <w:r>
              <w:rPr>
                <w:rFonts w:hint="eastAsia"/>
                <w:color w:val="auto"/>
                <w:u w:val="none"/>
                <w:vertAlign w:val="superscript"/>
              </w:rPr>
              <w:t>2</w:t>
            </w:r>
            <w:r>
              <w:rPr>
                <w:rFonts w:hint="eastAsia"/>
                <w:color w:val="auto"/>
                <w:u w:val="none"/>
              </w:rPr>
              <w:t>的</w:t>
            </w:r>
            <w:r>
              <w:rPr>
                <w:color w:val="auto"/>
                <w:u w:val="none"/>
              </w:rPr>
              <w:t>生产厂房、辅助用房、科研大楼</w:t>
            </w:r>
            <w:r>
              <w:rPr>
                <w:rFonts w:hint="eastAsia"/>
                <w:color w:val="auto"/>
                <w:u w:val="none"/>
              </w:rPr>
              <w:t>等构筑物</w:t>
            </w:r>
            <w:r>
              <w:rPr>
                <w:color w:val="auto"/>
                <w:u w:val="none"/>
              </w:rPr>
              <w:t>，</w:t>
            </w:r>
            <w:r>
              <w:rPr>
                <w:rFonts w:hint="eastAsia"/>
                <w:color w:val="auto"/>
                <w:u w:val="none"/>
              </w:rPr>
              <w:t>安置</w:t>
            </w:r>
            <w:r>
              <w:rPr>
                <w:color w:val="auto"/>
                <w:u w:val="none"/>
              </w:rPr>
              <w:t>预制菜专用生产设备，建成3条生产线</w:t>
            </w:r>
            <w:r>
              <w:rPr>
                <w:rFonts w:hint="eastAsia"/>
                <w:color w:val="auto"/>
                <w:u w:val="none"/>
              </w:rPr>
              <w:t>，</w:t>
            </w:r>
            <w:r>
              <w:rPr>
                <w:color w:val="auto"/>
                <w:u w:val="none"/>
              </w:rPr>
              <w:t>项目建成后，形成年产2万吨预制菜生产加工能力</w:t>
            </w:r>
            <w:r>
              <w:rPr>
                <w:rFonts w:hint="eastAsia"/>
                <w:color w:val="auto"/>
                <w:u w:val="none"/>
              </w:rPr>
              <w:t>。</w:t>
            </w:r>
          </w:p>
          <w:p>
            <w:pPr>
              <w:ind w:firstLine="482"/>
              <w:rPr>
                <w:rFonts w:hint="eastAsia"/>
                <w:color w:val="auto"/>
                <w:sz w:val="24"/>
                <w:szCs w:val="24"/>
                <w:u w:val="none"/>
                <w:lang w:val="en-US" w:eastAsia="zh-CN"/>
              </w:rPr>
            </w:pPr>
            <w:r>
              <w:rPr>
                <w:rFonts w:hint="eastAsia"/>
                <w:color w:val="auto"/>
                <w:sz w:val="24"/>
                <w:szCs w:val="24"/>
                <w:u w:val="none"/>
                <w:lang w:val="en-US" w:eastAsia="zh-CN"/>
              </w:rPr>
              <w:t>本项目建设内容变更后，根据中华人民共和国生态环境部令第16号《建设项目环境影响评价分类管理名录》（2021年版）划分，</w:t>
            </w:r>
            <w:r>
              <w:rPr>
                <w:color w:val="auto"/>
              </w:rPr>
              <w:t>本项目属于第十一项“食品制造业”第24条“其它食品制造”中“其他未列明食品制造”类项目</w:t>
            </w:r>
            <w:r>
              <w:rPr>
                <w:rFonts w:hint="eastAsia"/>
                <w:color w:val="auto"/>
                <w:sz w:val="24"/>
                <w:szCs w:val="24"/>
                <w:u w:val="none"/>
                <w:lang w:val="en-US" w:eastAsia="zh-CN"/>
              </w:rPr>
              <w:t>，</w:t>
            </w:r>
            <w:r>
              <w:rPr>
                <w:rFonts w:hint="eastAsia"/>
                <w:color w:val="auto"/>
              </w:rPr>
              <w:t>应编制环境影响报告表</w:t>
            </w:r>
            <w:r>
              <w:rPr>
                <w:rFonts w:hint="eastAsia"/>
                <w:color w:val="auto"/>
                <w:sz w:val="24"/>
                <w:szCs w:val="24"/>
                <w:u w:val="none"/>
                <w:lang w:val="en-US" w:eastAsia="zh-CN"/>
              </w:rPr>
              <w:t>审批，据此，</w:t>
            </w:r>
            <w:r>
              <w:rPr>
                <w:rFonts w:hint="eastAsia"/>
                <w:color w:val="auto"/>
                <w:u w:val="none"/>
                <w:lang w:val="en-US" w:eastAsia="zh-CN"/>
              </w:rPr>
              <w:t>本公司</w:t>
            </w:r>
            <w:r>
              <w:rPr>
                <w:rFonts w:hint="eastAsia"/>
                <w:color w:val="auto"/>
                <w:sz w:val="24"/>
                <w:szCs w:val="24"/>
                <w:u w:val="none"/>
                <w:lang w:val="en-US" w:eastAsia="zh-CN"/>
              </w:rPr>
              <w:t>于2023年4月停止项目建设，至今尚未实现项目投运。</w:t>
            </w:r>
          </w:p>
          <w:p>
            <w:pPr>
              <w:ind w:firstLine="482"/>
              <w:rPr>
                <w:rFonts w:hint="eastAsia" w:cs="Times New Roman"/>
                <w:color w:val="auto"/>
                <w:kern w:val="0"/>
                <w:sz w:val="24"/>
                <w:szCs w:val="24"/>
                <w:lang w:val="en-US" w:eastAsia="zh-CN"/>
              </w:rPr>
            </w:pPr>
            <w:r>
              <w:rPr>
                <w:rFonts w:hint="eastAsia"/>
                <w:color w:val="auto"/>
              </w:rPr>
              <w:t>经现场探勘，</w:t>
            </w:r>
            <w:r>
              <w:rPr>
                <w:rFonts w:hint="eastAsia"/>
                <w:color w:val="auto"/>
                <w:lang w:val="en-US" w:eastAsia="zh-CN"/>
              </w:rPr>
              <w:t>项目已完成1号生产车间、办公楼、食堂综合楼等建筑物的基础工程建设</w:t>
            </w:r>
            <w:r>
              <w:rPr>
                <w:rFonts w:hint="eastAsia"/>
                <w:color w:val="auto"/>
              </w:rPr>
              <w:t>，</w:t>
            </w:r>
            <w:r>
              <w:rPr>
                <w:rFonts w:hint="eastAsia"/>
                <w:color w:val="auto"/>
                <w:lang w:val="en-US" w:eastAsia="zh-CN"/>
              </w:rPr>
              <w:t>其余生产车间、辅助用房等建筑物尚未开始进行基础工程建设，</w:t>
            </w:r>
            <w:r>
              <w:rPr>
                <w:rFonts w:hint="eastAsia" w:cs="Times New Roman"/>
                <w:color w:val="auto"/>
                <w:kern w:val="0"/>
                <w:sz w:val="24"/>
                <w:szCs w:val="24"/>
                <w:lang w:val="en-US" w:eastAsia="zh-CN"/>
              </w:rPr>
              <w:t>其余场地内为园区规划建设用地，无任何生产设施。</w:t>
            </w:r>
          </w:p>
          <w:p>
            <w:pPr>
              <w:ind w:firstLine="482"/>
              <w:rPr>
                <w:rFonts w:hint="eastAsia"/>
                <w:color w:val="auto"/>
              </w:rPr>
            </w:pPr>
            <w:r>
              <w:rPr>
                <w:rFonts w:hint="eastAsia"/>
                <w:color w:val="auto"/>
              </w:rPr>
              <w:t>项目为新建项目，因此不存与本项目有关的环境遗留问题。</w:t>
            </w:r>
          </w:p>
          <w:tbl>
            <w:tblPr>
              <w:tblStyle w:val="7"/>
              <w:tblW w:w="83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72"/>
              <w:gridCol w:w="4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72" w:type="dxa"/>
                  <w:tcBorders>
                    <w:tl2br w:val="nil"/>
                    <w:tr2bl w:val="nil"/>
                  </w:tcBorders>
                </w:tcPr>
                <w:p>
                  <w:pPr>
                    <w:ind w:firstLine="0" w:firstLineChars="0"/>
                    <w:jc w:val="center"/>
                    <w:rPr>
                      <w:color w:val="auto"/>
                    </w:rPr>
                  </w:pPr>
                  <w:r>
                    <w:drawing>
                      <wp:inline distT="0" distB="0" distL="114300" distR="114300">
                        <wp:extent cx="2383155" cy="2620645"/>
                        <wp:effectExtent l="0" t="0" r="9525" b="63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31"/>
                                <a:stretch>
                                  <a:fillRect/>
                                </a:stretch>
                              </pic:blipFill>
                              <pic:spPr>
                                <a:xfrm>
                                  <a:off x="0" y="0"/>
                                  <a:ext cx="2383155" cy="2620645"/>
                                </a:xfrm>
                                <a:prstGeom prst="rect">
                                  <a:avLst/>
                                </a:prstGeom>
                                <a:noFill/>
                                <a:ln>
                                  <a:noFill/>
                                </a:ln>
                              </pic:spPr>
                            </pic:pic>
                          </a:graphicData>
                        </a:graphic>
                      </wp:inline>
                    </w:drawing>
                  </w:r>
                </w:p>
              </w:tc>
              <w:tc>
                <w:tcPr>
                  <w:tcW w:w="4352" w:type="dxa"/>
                  <w:tcBorders>
                    <w:tl2br w:val="nil"/>
                    <w:tr2bl w:val="nil"/>
                  </w:tcBorders>
                </w:tcPr>
                <w:p>
                  <w:pPr>
                    <w:ind w:firstLine="0" w:firstLineChars="0"/>
                    <w:rPr>
                      <w:color w:val="auto"/>
                    </w:rPr>
                  </w:pPr>
                  <w:r>
                    <w:drawing>
                      <wp:inline distT="0" distB="0" distL="114300" distR="114300">
                        <wp:extent cx="2625725" cy="2602865"/>
                        <wp:effectExtent l="0" t="0" r="10795" b="317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32"/>
                                <a:stretch>
                                  <a:fillRect/>
                                </a:stretch>
                              </pic:blipFill>
                              <pic:spPr>
                                <a:xfrm>
                                  <a:off x="0" y="0"/>
                                  <a:ext cx="2625725" cy="26028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72" w:type="dxa"/>
                  <w:tcBorders>
                    <w:tl2br w:val="nil"/>
                    <w:tr2bl w:val="nil"/>
                  </w:tcBorders>
                </w:tcPr>
                <w:p>
                  <w:pPr>
                    <w:pStyle w:val="11"/>
                    <w:bidi w:val="0"/>
                    <w:jc w:val="center"/>
                    <w:rPr>
                      <w:rFonts w:hint="default" w:eastAsia="宋体"/>
                      <w:color w:val="auto"/>
                      <w:lang w:val="en-US" w:eastAsia="zh-CN"/>
                    </w:rPr>
                  </w:pPr>
                  <w:r>
                    <w:rPr>
                      <w:rFonts w:hint="eastAsia"/>
                      <w:b/>
                      <w:bCs/>
                      <w:lang w:val="en-US" w:eastAsia="zh-CN"/>
                    </w:rPr>
                    <w:t>1号生产车间</w:t>
                  </w:r>
                </w:p>
              </w:tc>
              <w:tc>
                <w:tcPr>
                  <w:tcW w:w="4352" w:type="dxa"/>
                  <w:tcBorders>
                    <w:tl2br w:val="nil"/>
                    <w:tr2bl w:val="nil"/>
                  </w:tcBorders>
                </w:tcPr>
                <w:p>
                  <w:pPr>
                    <w:pStyle w:val="11"/>
                    <w:bidi w:val="0"/>
                    <w:jc w:val="center"/>
                    <w:rPr>
                      <w:color w:val="auto"/>
                    </w:rPr>
                  </w:pPr>
                  <w:r>
                    <w:rPr>
                      <w:rFonts w:hint="eastAsia"/>
                      <w:b/>
                      <w:bCs/>
                      <w:lang w:val="en-US" w:eastAsia="zh-CN"/>
                    </w:rPr>
                    <w:t>1号生产车间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72" w:type="dxa"/>
                  <w:tcBorders>
                    <w:tl2br w:val="nil"/>
                    <w:tr2bl w:val="nil"/>
                  </w:tcBorders>
                </w:tcPr>
                <w:p>
                  <w:pPr>
                    <w:ind w:firstLine="0" w:firstLineChars="0"/>
                    <w:jc w:val="center"/>
                    <w:rPr>
                      <w:color w:val="auto"/>
                    </w:rPr>
                  </w:pPr>
                  <w:r>
                    <w:rPr>
                      <w:color w:val="auto"/>
                    </w:rPr>
                    <w:drawing>
                      <wp:inline distT="0" distB="0" distL="114300" distR="114300">
                        <wp:extent cx="2381250" cy="2231390"/>
                        <wp:effectExtent l="0" t="0" r="11430" b="889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33"/>
                                <a:stretch>
                                  <a:fillRect/>
                                </a:stretch>
                              </pic:blipFill>
                              <pic:spPr>
                                <a:xfrm>
                                  <a:off x="0" y="0"/>
                                  <a:ext cx="2381250" cy="2231390"/>
                                </a:xfrm>
                                <a:prstGeom prst="rect">
                                  <a:avLst/>
                                </a:prstGeom>
                                <a:noFill/>
                                <a:ln>
                                  <a:noFill/>
                                </a:ln>
                              </pic:spPr>
                            </pic:pic>
                          </a:graphicData>
                        </a:graphic>
                      </wp:inline>
                    </w:drawing>
                  </w:r>
                </w:p>
              </w:tc>
              <w:tc>
                <w:tcPr>
                  <w:tcW w:w="4352" w:type="dxa"/>
                  <w:tcBorders>
                    <w:tl2br w:val="nil"/>
                    <w:tr2bl w:val="nil"/>
                  </w:tcBorders>
                </w:tcPr>
                <w:p>
                  <w:pPr>
                    <w:ind w:firstLine="0" w:firstLineChars="0"/>
                    <w:rPr>
                      <w:color w:val="auto"/>
                    </w:rPr>
                  </w:pPr>
                  <w:r>
                    <w:rPr>
                      <w:color w:val="auto"/>
                    </w:rPr>
                    <w:drawing>
                      <wp:inline distT="0" distB="0" distL="114300" distR="114300">
                        <wp:extent cx="2624455" cy="2226310"/>
                        <wp:effectExtent l="0" t="0" r="12065" b="1397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34"/>
                                <a:stretch>
                                  <a:fillRect/>
                                </a:stretch>
                              </pic:blipFill>
                              <pic:spPr>
                                <a:xfrm>
                                  <a:off x="0" y="0"/>
                                  <a:ext cx="2624455" cy="22263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72" w:type="dxa"/>
                  <w:tcBorders>
                    <w:tl2br w:val="nil"/>
                    <w:tr2bl w:val="nil"/>
                  </w:tcBorders>
                  <w:vAlign w:val="top"/>
                </w:tcPr>
                <w:p>
                  <w:pPr>
                    <w:pStyle w:val="11"/>
                    <w:bidi w:val="0"/>
                    <w:jc w:val="center"/>
                    <w:rPr>
                      <w:rFonts w:hint="default" w:ascii="Times New Roman" w:hAnsi="Times New Roman" w:eastAsia="宋体" w:cs="Times New Roman"/>
                      <w:color w:val="auto"/>
                      <w:sz w:val="21"/>
                      <w:szCs w:val="21"/>
                      <w:lang w:val="en-US" w:eastAsia="zh-CN" w:bidi="ar-SA"/>
                    </w:rPr>
                  </w:pPr>
                  <w:r>
                    <w:rPr>
                      <w:rFonts w:hint="eastAsia"/>
                      <w:b/>
                      <w:bCs/>
                      <w:lang w:val="en-US" w:eastAsia="zh-CN"/>
                    </w:rPr>
                    <w:t>项目所在地</w:t>
                  </w:r>
                </w:p>
              </w:tc>
              <w:tc>
                <w:tcPr>
                  <w:tcW w:w="4352" w:type="dxa"/>
                  <w:tcBorders>
                    <w:tl2br w:val="nil"/>
                    <w:tr2bl w:val="nil"/>
                  </w:tcBorders>
                  <w:vAlign w:val="top"/>
                </w:tcPr>
                <w:p>
                  <w:pPr>
                    <w:pStyle w:val="11"/>
                    <w:bidi w:val="0"/>
                    <w:jc w:val="center"/>
                    <w:rPr>
                      <w:rFonts w:ascii="Times New Roman" w:hAnsi="Times New Roman" w:eastAsia="宋体" w:cs="Times New Roman"/>
                      <w:color w:val="auto"/>
                      <w:sz w:val="21"/>
                      <w:szCs w:val="21"/>
                      <w:lang w:val="en-US" w:eastAsia="zh-CN" w:bidi="ar-SA"/>
                    </w:rPr>
                  </w:pPr>
                  <w:r>
                    <w:rPr>
                      <w:rFonts w:hint="eastAsia"/>
                      <w:b/>
                      <w:bCs/>
                      <w:lang w:val="en-US" w:eastAsia="zh-CN"/>
                    </w:rPr>
                    <w:t>项目所在地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24" w:type="dxa"/>
                  <w:gridSpan w:val="2"/>
                  <w:tcBorders>
                    <w:tl2br w:val="nil"/>
                    <w:tr2bl w:val="nil"/>
                  </w:tcBorders>
                </w:tcPr>
                <w:p>
                  <w:pPr>
                    <w:pStyle w:val="11"/>
                    <w:jc w:val="center"/>
                    <w:rPr>
                      <w:color w:val="auto"/>
                    </w:rPr>
                  </w:pPr>
                  <w:r>
                    <w:rPr>
                      <w:b/>
                      <w:bCs/>
                      <w:color w:val="auto"/>
                    </w:rPr>
                    <w:t>图 2-</w:t>
                  </w:r>
                  <w:r>
                    <w:rPr>
                      <w:rFonts w:hint="eastAsia"/>
                      <w:b/>
                      <w:bCs/>
                      <w:color w:val="auto"/>
                    </w:rPr>
                    <w:t>3</w:t>
                  </w:r>
                  <w:r>
                    <w:rPr>
                      <w:b/>
                      <w:bCs/>
                      <w:color w:val="auto"/>
                    </w:rPr>
                    <w:t xml:space="preserve">  项目所在地现状照片</w:t>
                  </w:r>
                </w:p>
              </w:tc>
            </w:tr>
          </w:tbl>
          <w:p>
            <w:pPr>
              <w:adjustRightInd w:val="0"/>
              <w:snapToGrid w:val="0"/>
              <w:ind w:left="0" w:leftChars="0" w:firstLine="0" w:firstLineChars="0"/>
              <w:rPr>
                <w:rFonts w:hint="eastAsia"/>
                <w:color w:val="auto"/>
              </w:rPr>
            </w:pPr>
          </w:p>
        </w:tc>
      </w:tr>
    </w:tbl>
    <w:p>
      <w:pPr>
        <w:ind w:firstLine="480"/>
        <w:sectPr>
          <w:pgSz w:w="11906" w:h="16838"/>
          <w:pgMar w:top="1440" w:right="1080" w:bottom="1440" w:left="1080" w:header="851" w:footer="851" w:gutter="0"/>
          <w:cols w:space="720" w:num="1"/>
          <w:docGrid w:linePitch="312" w:charSpace="0"/>
        </w:sectPr>
      </w:pPr>
    </w:p>
    <w:p>
      <w:pPr>
        <w:pStyle w:val="2"/>
        <w:ind w:firstLine="602"/>
        <w:rPr>
          <w:color w:val="auto"/>
        </w:rPr>
      </w:pPr>
      <w:bookmarkStart w:id="5" w:name="_Toc22134"/>
      <w:r>
        <w:rPr>
          <w:color w:val="auto"/>
        </w:rPr>
        <w:t>三、区域环境质量现状、环境保护目标及评价标准</w:t>
      </w:r>
      <w:bookmarkEnd w:id="5"/>
    </w:p>
    <w:tbl>
      <w:tblPr>
        <w:tblStyle w:val="6"/>
        <w:tblW w:w="98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90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00" w:type="dxa"/>
            <w:vAlign w:val="center"/>
          </w:tcPr>
          <w:p>
            <w:pPr>
              <w:pStyle w:val="11"/>
              <w:spacing w:line="360" w:lineRule="auto"/>
              <w:jc w:val="center"/>
              <w:rPr>
                <w:b/>
                <w:bCs/>
                <w:sz w:val="24"/>
                <w:szCs w:val="24"/>
              </w:rPr>
            </w:pPr>
            <w:r>
              <w:rPr>
                <w:b/>
                <w:bCs/>
                <w:sz w:val="24"/>
                <w:szCs w:val="24"/>
              </w:rPr>
              <w:t>区域</w:t>
            </w:r>
          </w:p>
          <w:p>
            <w:pPr>
              <w:pStyle w:val="11"/>
              <w:spacing w:line="360" w:lineRule="auto"/>
              <w:jc w:val="center"/>
              <w:rPr>
                <w:b/>
                <w:bCs/>
                <w:sz w:val="24"/>
                <w:szCs w:val="24"/>
              </w:rPr>
            </w:pPr>
            <w:r>
              <w:rPr>
                <w:b/>
                <w:bCs/>
                <w:sz w:val="24"/>
                <w:szCs w:val="24"/>
              </w:rPr>
              <w:t>环境</w:t>
            </w:r>
          </w:p>
          <w:p>
            <w:pPr>
              <w:pStyle w:val="11"/>
              <w:spacing w:line="360" w:lineRule="auto"/>
              <w:jc w:val="center"/>
              <w:rPr>
                <w:b/>
                <w:bCs/>
                <w:sz w:val="24"/>
                <w:szCs w:val="24"/>
              </w:rPr>
            </w:pPr>
            <w:r>
              <w:rPr>
                <w:b/>
                <w:bCs/>
                <w:sz w:val="24"/>
                <w:szCs w:val="24"/>
              </w:rPr>
              <w:t>质量</w:t>
            </w:r>
          </w:p>
          <w:p>
            <w:pPr>
              <w:pStyle w:val="11"/>
              <w:spacing w:line="360" w:lineRule="auto"/>
              <w:jc w:val="center"/>
            </w:pPr>
            <w:r>
              <w:rPr>
                <w:b/>
                <w:bCs/>
                <w:sz w:val="24"/>
                <w:szCs w:val="24"/>
              </w:rPr>
              <w:t>现状</w:t>
            </w:r>
          </w:p>
        </w:tc>
        <w:tc>
          <w:tcPr>
            <w:tcW w:w="9001" w:type="dxa"/>
            <w:vAlign w:val="center"/>
          </w:tcPr>
          <w:p>
            <w:pPr>
              <w:adjustRightInd w:val="0"/>
              <w:snapToGrid w:val="0"/>
              <w:ind w:firstLine="482"/>
              <w:jc w:val="left"/>
              <w:rPr>
                <w:b/>
                <w:bCs/>
              </w:rPr>
            </w:pPr>
            <w:r>
              <w:rPr>
                <w:b/>
                <w:bCs/>
              </w:rPr>
              <w:t>1、环境空气质量现状</w:t>
            </w:r>
          </w:p>
          <w:p>
            <w:pPr>
              <w:adjustRightInd w:val="0"/>
              <w:snapToGrid w:val="0"/>
              <w:ind w:firstLine="480"/>
            </w:pPr>
            <w:r>
              <w:t>本项目位于四川省达州市通川区工业集中区食品大道，根据《环境影响评价技术导则-大气环境》（HJ2.2-2018），本项目基本污染物环境质量现状数据引用来源为达州市生态环境局2023年1月18日发布的《达州市2022年环境空气质量状况》。</w:t>
            </w:r>
          </w:p>
          <w:p>
            <w:pPr>
              <w:adjustRightInd w:val="0"/>
              <w:snapToGrid w:val="0"/>
              <w:ind w:firstLine="480"/>
            </w:pPr>
            <w:r>
              <w:t>根据公报中环境空气结论如下：2022年达州市通川区环境空气质量有效监测天数365天，优良天数341天，占93.4%，其中优159天，良180天；污染天数24天，占6.6%，其中轻度污染19天，中度污染5天，无重度污染、严重污染。</w:t>
            </w:r>
          </w:p>
          <w:p>
            <w:pPr>
              <w:adjustRightInd w:val="0"/>
              <w:snapToGrid w:val="0"/>
              <w:ind w:firstLine="480"/>
            </w:pPr>
            <w:r>
              <w:t>细颗粒物年均值为30微克/立方米；可吸入颗粒物年均值为48微克/立方米；臭氧年均值为118微克/立方米；一氧化碳年均值为1.2毫克/立方米；二氧化硫年均值为8微克/立方米；二氧化氮年均值为33微克/立方米。</w:t>
            </w:r>
          </w:p>
          <w:p>
            <w:pPr>
              <w:pStyle w:val="11"/>
              <w:jc w:val="center"/>
              <w:rPr>
                <w:b/>
                <w:bCs/>
              </w:rPr>
            </w:pPr>
            <w:r>
              <w:rPr>
                <w:b/>
                <w:bCs/>
              </w:rPr>
              <w:t>表3-1   2022年通川区基本污染物空气质量现状评价表  单位：μg/m</w:t>
            </w:r>
            <w:r>
              <w:rPr>
                <w:b/>
                <w:bCs/>
                <w:vertAlign w:val="superscript"/>
              </w:rPr>
              <w:t>3</w:t>
            </w:r>
          </w:p>
          <w:tbl>
            <w:tblPr>
              <w:tblStyle w:val="6"/>
              <w:tblW w:w="851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18"/>
              <w:gridCol w:w="1304"/>
              <w:gridCol w:w="1087"/>
              <w:gridCol w:w="1025"/>
              <w:gridCol w:w="975"/>
              <w:gridCol w:w="1063"/>
              <w:gridCol w:w="113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8" w:type="dxa"/>
                  <w:tcBorders>
                    <w:tl2br w:val="nil"/>
                    <w:tr2bl w:val="nil"/>
                  </w:tcBorders>
                  <w:vAlign w:val="center"/>
                </w:tcPr>
                <w:p>
                  <w:pPr>
                    <w:pStyle w:val="11"/>
                    <w:jc w:val="center"/>
                    <w:rPr>
                      <w:b/>
                      <w:bCs/>
                    </w:rPr>
                  </w:pPr>
                  <w:r>
                    <w:rPr>
                      <w:b/>
                      <w:bCs/>
                    </w:rPr>
                    <w:t>监测指标</w:t>
                  </w:r>
                </w:p>
              </w:tc>
              <w:tc>
                <w:tcPr>
                  <w:tcW w:w="1304" w:type="dxa"/>
                  <w:tcBorders>
                    <w:tl2br w:val="nil"/>
                    <w:tr2bl w:val="nil"/>
                  </w:tcBorders>
                  <w:vAlign w:val="center"/>
                </w:tcPr>
                <w:p>
                  <w:pPr>
                    <w:pStyle w:val="11"/>
                    <w:jc w:val="center"/>
                    <w:rPr>
                      <w:b/>
                      <w:bCs/>
                    </w:rPr>
                  </w:pPr>
                  <w:r>
                    <w:rPr>
                      <w:b/>
                      <w:bCs/>
                    </w:rPr>
                    <w:t>PM</w:t>
                  </w:r>
                  <w:r>
                    <w:rPr>
                      <w:b/>
                      <w:bCs/>
                      <w:vertAlign w:val="subscript"/>
                    </w:rPr>
                    <w:t>2.5</w:t>
                  </w:r>
                </w:p>
              </w:tc>
              <w:tc>
                <w:tcPr>
                  <w:tcW w:w="1087" w:type="dxa"/>
                  <w:tcBorders>
                    <w:tl2br w:val="nil"/>
                    <w:tr2bl w:val="nil"/>
                  </w:tcBorders>
                  <w:vAlign w:val="center"/>
                </w:tcPr>
                <w:p>
                  <w:pPr>
                    <w:pStyle w:val="11"/>
                    <w:jc w:val="center"/>
                    <w:rPr>
                      <w:b/>
                      <w:bCs/>
                    </w:rPr>
                  </w:pPr>
                  <w:r>
                    <w:rPr>
                      <w:b/>
                      <w:bCs/>
                    </w:rPr>
                    <w:t>PM</w:t>
                  </w:r>
                  <w:r>
                    <w:rPr>
                      <w:b/>
                      <w:bCs/>
                      <w:vertAlign w:val="subscript"/>
                    </w:rPr>
                    <w:t>10</w:t>
                  </w:r>
                </w:p>
              </w:tc>
              <w:tc>
                <w:tcPr>
                  <w:tcW w:w="1025" w:type="dxa"/>
                  <w:tcBorders>
                    <w:tl2br w:val="nil"/>
                    <w:tr2bl w:val="nil"/>
                  </w:tcBorders>
                  <w:vAlign w:val="center"/>
                </w:tcPr>
                <w:p>
                  <w:pPr>
                    <w:pStyle w:val="11"/>
                    <w:jc w:val="center"/>
                    <w:rPr>
                      <w:b/>
                      <w:bCs/>
                    </w:rPr>
                  </w:pPr>
                  <w:r>
                    <w:rPr>
                      <w:b/>
                      <w:bCs/>
                    </w:rPr>
                    <w:t>SO</w:t>
                  </w:r>
                  <w:r>
                    <w:rPr>
                      <w:b/>
                      <w:bCs/>
                      <w:vertAlign w:val="subscript"/>
                    </w:rPr>
                    <w:t>2</w:t>
                  </w:r>
                </w:p>
              </w:tc>
              <w:tc>
                <w:tcPr>
                  <w:tcW w:w="975" w:type="dxa"/>
                  <w:tcBorders>
                    <w:tl2br w:val="nil"/>
                    <w:tr2bl w:val="nil"/>
                  </w:tcBorders>
                  <w:vAlign w:val="center"/>
                </w:tcPr>
                <w:p>
                  <w:pPr>
                    <w:pStyle w:val="11"/>
                    <w:jc w:val="center"/>
                    <w:rPr>
                      <w:b/>
                      <w:bCs/>
                    </w:rPr>
                  </w:pPr>
                  <w:r>
                    <w:rPr>
                      <w:b/>
                      <w:bCs/>
                    </w:rPr>
                    <w:t>NO</w:t>
                  </w:r>
                  <w:r>
                    <w:rPr>
                      <w:b/>
                      <w:bCs/>
                      <w:vertAlign w:val="subscript"/>
                    </w:rPr>
                    <w:t>2</w:t>
                  </w:r>
                </w:p>
              </w:tc>
              <w:tc>
                <w:tcPr>
                  <w:tcW w:w="1063" w:type="dxa"/>
                  <w:tcBorders>
                    <w:tl2br w:val="nil"/>
                    <w:tr2bl w:val="nil"/>
                  </w:tcBorders>
                  <w:vAlign w:val="center"/>
                </w:tcPr>
                <w:p>
                  <w:pPr>
                    <w:pStyle w:val="11"/>
                    <w:jc w:val="center"/>
                    <w:rPr>
                      <w:b/>
                      <w:bCs/>
                    </w:rPr>
                  </w:pPr>
                  <w:r>
                    <w:rPr>
                      <w:b/>
                      <w:bCs/>
                    </w:rPr>
                    <w:t>CO</w:t>
                  </w:r>
                </w:p>
              </w:tc>
              <w:tc>
                <w:tcPr>
                  <w:tcW w:w="1138" w:type="dxa"/>
                  <w:tcBorders>
                    <w:tl2br w:val="nil"/>
                    <w:tr2bl w:val="nil"/>
                  </w:tcBorders>
                  <w:vAlign w:val="center"/>
                </w:tcPr>
                <w:p>
                  <w:pPr>
                    <w:pStyle w:val="11"/>
                    <w:jc w:val="center"/>
                    <w:rPr>
                      <w:b/>
                      <w:bCs/>
                    </w:rPr>
                  </w:pPr>
                  <w:r>
                    <w:rPr>
                      <w:b/>
                      <w:bCs/>
                    </w:rPr>
                    <w:t>O</w:t>
                  </w:r>
                  <w:r>
                    <w:rPr>
                      <w:b/>
                      <w:bCs/>
                      <w:vertAlign w:val="sub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8" w:type="dxa"/>
                  <w:tcBorders>
                    <w:tl2br w:val="nil"/>
                    <w:tr2bl w:val="nil"/>
                  </w:tcBorders>
                  <w:vAlign w:val="center"/>
                </w:tcPr>
                <w:p>
                  <w:pPr>
                    <w:pStyle w:val="11"/>
                    <w:jc w:val="center"/>
                  </w:pPr>
                  <w:r>
                    <w:t>年平均</w:t>
                  </w:r>
                </w:p>
              </w:tc>
              <w:tc>
                <w:tcPr>
                  <w:tcW w:w="1304" w:type="dxa"/>
                  <w:tcBorders>
                    <w:tl2br w:val="nil"/>
                    <w:tr2bl w:val="nil"/>
                  </w:tcBorders>
                  <w:vAlign w:val="center"/>
                </w:tcPr>
                <w:p>
                  <w:pPr>
                    <w:pStyle w:val="11"/>
                    <w:jc w:val="center"/>
                  </w:pPr>
                  <w:r>
                    <w:t>30</w:t>
                  </w:r>
                </w:p>
              </w:tc>
              <w:tc>
                <w:tcPr>
                  <w:tcW w:w="1087" w:type="dxa"/>
                  <w:tcBorders>
                    <w:tl2br w:val="nil"/>
                    <w:tr2bl w:val="nil"/>
                  </w:tcBorders>
                  <w:vAlign w:val="center"/>
                </w:tcPr>
                <w:p>
                  <w:pPr>
                    <w:pStyle w:val="11"/>
                    <w:jc w:val="center"/>
                  </w:pPr>
                  <w:r>
                    <w:t>48</w:t>
                  </w:r>
                </w:p>
              </w:tc>
              <w:tc>
                <w:tcPr>
                  <w:tcW w:w="1025" w:type="dxa"/>
                  <w:tcBorders>
                    <w:tl2br w:val="nil"/>
                    <w:tr2bl w:val="nil"/>
                  </w:tcBorders>
                  <w:vAlign w:val="center"/>
                </w:tcPr>
                <w:p>
                  <w:pPr>
                    <w:pStyle w:val="11"/>
                    <w:jc w:val="center"/>
                  </w:pPr>
                  <w:r>
                    <w:t>8</w:t>
                  </w:r>
                </w:p>
              </w:tc>
              <w:tc>
                <w:tcPr>
                  <w:tcW w:w="975" w:type="dxa"/>
                  <w:tcBorders>
                    <w:tl2br w:val="nil"/>
                    <w:tr2bl w:val="nil"/>
                  </w:tcBorders>
                  <w:vAlign w:val="center"/>
                </w:tcPr>
                <w:p>
                  <w:pPr>
                    <w:pStyle w:val="11"/>
                    <w:jc w:val="center"/>
                  </w:pPr>
                  <w:r>
                    <w:t>33</w:t>
                  </w:r>
                </w:p>
              </w:tc>
              <w:tc>
                <w:tcPr>
                  <w:tcW w:w="1063" w:type="dxa"/>
                  <w:tcBorders>
                    <w:tl2br w:val="nil"/>
                    <w:tr2bl w:val="nil"/>
                  </w:tcBorders>
                  <w:vAlign w:val="center"/>
                </w:tcPr>
                <w:p>
                  <w:pPr>
                    <w:pStyle w:val="11"/>
                    <w:jc w:val="center"/>
                  </w:pPr>
                  <w:r>
                    <w:t>1200</w:t>
                  </w:r>
                </w:p>
              </w:tc>
              <w:tc>
                <w:tcPr>
                  <w:tcW w:w="1138" w:type="dxa"/>
                  <w:tcBorders>
                    <w:tl2br w:val="nil"/>
                    <w:tr2bl w:val="nil"/>
                  </w:tcBorders>
                  <w:vAlign w:val="center"/>
                </w:tcPr>
                <w:p>
                  <w:pPr>
                    <w:pStyle w:val="11"/>
                    <w:jc w:val="center"/>
                  </w:pPr>
                  <w:r>
                    <w:t>118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8" w:type="dxa"/>
                  <w:tcBorders>
                    <w:tl2br w:val="nil"/>
                    <w:tr2bl w:val="nil"/>
                  </w:tcBorders>
                  <w:vAlign w:val="center"/>
                </w:tcPr>
                <w:p>
                  <w:pPr>
                    <w:pStyle w:val="11"/>
                    <w:jc w:val="center"/>
                  </w:pPr>
                  <w:r>
                    <w:t>标准值</w:t>
                  </w:r>
                </w:p>
              </w:tc>
              <w:tc>
                <w:tcPr>
                  <w:tcW w:w="1304" w:type="dxa"/>
                  <w:tcBorders>
                    <w:tl2br w:val="nil"/>
                    <w:tr2bl w:val="nil"/>
                  </w:tcBorders>
                  <w:vAlign w:val="center"/>
                </w:tcPr>
                <w:p>
                  <w:pPr>
                    <w:pStyle w:val="11"/>
                    <w:jc w:val="center"/>
                  </w:pPr>
                  <w:r>
                    <w:t>35</w:t>
                  </w:r>
                </w:p>
              </w:tc>
              <w:tc>
                <w:tcPr>
                  <w:tcW w:w="1087" w:type="dxa"/>
                  <w:tcBorders>
                    <w:tl2br w:val="nil"/>
                    <w:tr2bl w:val="nil"/>
                  </w:tcBorders>
                  <w:vAlign w:val="center"/>
                </w:tcPr>
                <w:p>
                  <w:pPr>
                    <w:pStyle w:val="11"/>
                    <w:jc w:val="center"/>
                  </w:pPr>
                  <w:r>
                    <w:t>70</w:t>
                  </w:r>
                </w:p>
              </w:tc>
              <w:tc>
                <w:tcPr>
                  <w:tcW w:w="1025" w:type="dxa"/>
                  <w:tcBorders>
                    <w:tl2br w:val="nil"/>
                    <w:tr2bl w:val="nil"/>
                  </w:tcBorders>
                  <w:vAlign w:val="center"/>
                </w:tcPr>
                <w:p>
                  <w:pPr>
                    <w:pStyle w:val="11"/>
                    <w:jc w:val="center"/>
                  </w:pPr>
                  <w:r>
                    <w:t>60</w:t>
                  </w:r>
                </w:p>
              </w:tc>
              <w:tc>
                <w:tcPr>
                  <w:tcW w:w="975" w:type="dxa"/>
                  <w:tcBorders>
                    <w:tl2br w:val="nil"/>
                    <w:tr2bl w:val="nil"/>
                  </w:tcBorders>
                  <w:vAlign w:val="center"/>
                </w:tcPr>
                <w:p>
                  <w:pPr>
                    <w:pStyle w:val="11"/>
                    <w:jc w:val="center"/>
                  </w:pPr>
                  <w:r>
                    <w:t>40</w:t>
                  </w:r>
                </w:p>
              </w:tc>
              <w:tc>
                <w:tcPr>
                  <w:tcW w:w="1063" w:type="dxa"/>
                  <w:tcBorders>
                    <w:tl2br w:val="nil"/>
                    <w:tr2bl w:val="nil"/>
                  </w:tcBorders>
                  <w:vAlign w:val="center"/>
                </w:tcPr>
                <w:p>
                  <w:pPr>
                    <w:pStyle w:val="11"/>
                    <w:jc w:val="center"/>
                  </w:pPr>
                  <w:r>
                    <w:t>4000</w:t>
                  </w:r>
                </w:p>
              </w:tc>
              <w:tc>
                <w:tcPr>
                  <w:tcW w:w="1138" w:type="dxa"/>
                  <w:tcBorders>
                    <w:tl2br w:val="nil"/>
                    <w:tr2bl w:val="nil"/>
                  </w:tcBorders>
                  <w:vAlign w:val="center"/>
                </w:tcPr>
                <w:p>
                  <w:pPr>
                    <w:pStyle w:val="11"/>
                    <w:jc w:val="center"/>
                  </w:pPr>
                  <w:r>
                    <w:t>160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8" w:type="dxa"/>
                  <w:tcBorders>
                    <w:tl2br w:val="nil"/>
                    <w:tr2bl w:val="nil"/>
                  </w:tcBorders>
                  <w:vAlign w:val="center"/>
                </w:tcPr>
                <w:p>
                  <w:pPr>
                    <w:pStyle w:val="11"/>
                    <w:jc w:val="center"/>
                  </w:pPr>
                  <w:r>
                    <w:t>达标情况</w:t>
                  </w:r>
                </w:p>
              </w:tc>
              <w:tc>
                <w:tcPr>
                  <w:tcW w:w="1304" w:type="dxa"/>
                  <w:tcBorders>
                    <w:tl2br w:val="nil"/>
                    <w:tr2bl w:val="nil"/>
                  </w:tcBorders>
                  <w:vAlign w:val="center"/>
                </w:tcPr>
                <w:p>
                  <w:pPr>
                    <w:pStyle w:val="11"/>
                    <w:jc w:val="center"/>
                  </w:pPr>
                  <w:r>
                    <w:t>达标</w:t>
                  </w:r>
                </w:p>
              </w:tc>
              <w:tc>
                <w:tcPr>
                  <w:tcW w:w="1087" w:type="dxa"/>
                  <w:tcBorders>
                    <w:tl2br w:val="nil"/>
                    <w:tr2bl w:val="nil"/>
                  </w:tcBorders>
                  <w:vAlign w:val="center"/>
                </w:tcPr>
                <w:p>
                  <w:pPr>
                    <w:pStyle w:val="11"/>
                    <w:jc w:val="center"/>
                  </w:pPr>
                  <w:r>
                    <w:t>达标</w:t>
                  </w:r>
                </w:p>
              </w:tc>
              <w:tc>
                <w:tcPr>
                  <w:tcW w:w="1025" w:type="dxa"/>
                  <w:tcBorders>
                    <w:tl2br w:val="nil"/>
                    <w:tr2bl w:val="nil"/>
                  </w:tcBorders>
                  <w:vAlign w:val="center"/>
                </w:tcPr>
                <w:p>
                  <w:pPr>
                    <w:pStyle w:val="11"/>
                    <w:jc w:val="center"/>
                  </w:pPr>
                  <w:r>
                    <w:t>达标</w:t>
                  </w:r>
                </w:p>
              </w:tc>
              <w:tc>
                <w:tcPr>
                  <w:tcW w:w="975" w:type="dxa"/>
                  <w:tcBorders>
                    <w:tl2br w:val="nil"/>
                    <w:tr2bl w:val="nil"/>
                  </w:tcBorders>
                  <w:vAlign w:val="center"/>
                </w:tcPr>
                <w:p>
                  <w:pPr>
                    <w:pStyle w:val="11"/>
                    <w:jc w:val="center"/>
                  </w:pPr>
                  <w:r>
                    <w:t>达标</w:t>
                  </w:r>
                </w:p>
              </w:tc>
              <w:tc>
                <w:tcPr>
                  <w:tcW w:w="1063" w:type="dxa"/>
                  <w:tcBorders>
                    <w:tl2br w:val="nil"/>
                    <w:tr2bl w:val="nil"/>
                  </w:tcBorders>
                  <w:vAlign w:val="center"/>
                </w:tcPr>
                <w:p>
                  <w:pPr>
                    <w:pStyle w:val="11"/>
                    <w:jc w:val="center"/>
                  </w:pPr>
                  <w:r>
                    <w:t>达标</w:t>
                  </w:r>
                </w:p>
              </w:tc>
              <w:tc>
                <w:tcPr>
                  <w:tcW w:w="1138" w:type="dxa"/>
                  <w:tcBorders>
                    <w:tl2br w:val="nil"/>
                    <w:tr2bl w:val="nil"/>
                  </w:tcBorders>
                  <w:vAlign w:val="center"/>
                </w:tcPr>
                <w:p>
                  <w:pPr>
                    <w:pStyle w:val="11"/>
                    <w:jc w:val="center"/>
                  </w:pPr>
                  <w: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510" w:type="dxa"/>
                  <w:gridSpan w:val="7"/>
                  <w:tcBorders>
                    <w:tl2br w:val="nil"/>
                    <w:tr2bl w:val="nil"/>
                  </w:tcBorders>
                  <w:vAlign w:val="center"/>
                </w:tcPr>
                <w:p>
                  <w:pPr>
                    <w:pStyle w:val="11"/>
                  </w:pPr>
                  <w:r>
                    <w:t>注：监测数值中PM</w:t>
                  </w:r>
                  <w:r>
                    <w:rPr>
                      <w:vertAlign w:val="subscript"/>
                    </w:rPr>
                    <w:t>2.5</w:t>
                  </w:r>
                  <w:r>
                    <w:t>、PM</w:t>
                  </w:r>
                  <w:r>
                    <w:rPr>
                      <w:vertAlign w:val="subscript"/>
                    </w:rPr>
                    <w:t>10</w:t>
                  </w:r>
                  <w:r>
                    <w:t>、SO</w:t>
                  </w:r>
                  <w:r>
                    <w:rPr>
                      <w:vertAlign w:val="subscript"/>
                    </w:rPr>
                    <w:t>2</w:t>
                  </w:r>
                  <w:r>
                    <w:t>、NO</w:t>
                  </w:r>
                  <w:r>
                    <w:rPr>
                      <w:vertAlign w:val="subscript"/>
                    </w:rPr>
                    <w:t>2</w:t>
                  </w:r>
                  <w:r>
                    <w:t>、CO、O</w:t>
                  </w:r>
                  <w:r>
                    <w:rPr>
                      <w:vertAlign w:val="subscript"/>
                    </w:rPr>
                    <w:t>3</w:t>
                  </w:r>
                  <w:r>
                    <w:t>这几项为浓度均值。</w:t>
                  </w:r>
                </w:p>
              </w:tc>
            </w:tr>
          </w:tbl>
          <w:p>
            <w:pPr>
              <w:autoSpaceDE w:val="0"/>
              <w:autoSpaceDN w:val="0"/>
              <w:adjustRightInd w:val="0"/>
              <w:snapToGrid w:val="0"/>
              <w:ind w:firstLine="480"/>
            </w:pPr>
            <w:r>
              <w:rPr>
                <w:lang w:val="zh-TW" w:eastAsia="zh-TW"/>
              </w:rPr>
              <w:t>综上可知，项目</w:t>
            </w:r>
            <w:r>
              <w:t>所在区域为环境空气质量达标区。</w:t>
            </w:r>
          </w:p>
          <w:p>
            <w:pPr>
              <w:adjustRightInd w:val="0"/>
              <w:snapToGrid w:val="0"/>
              <w:ind w:firstLine="482"/>
              <w:jc w:val="left"/>
              <w:rPr>
                <w:b/>
                <w:bCs/>
              </w:rPr>
            </w:pPr>
            <w:r>
              <w:rPr>
                <w:b/>
                <w:bCs/>
              </w:rPr>
              <w:t>2、地表水环境质量现状监测及评价</w:t>
            </w:r>
          </w:p>
          <w:p>
            <w:pPr>
              <w:ind w:firstLine="480"/>
            </w:pPr>
            <w:r>
              <w:t>与本项目相关的地表水体为州河，地表水环境质量现状引用来源为达州市生态环境局2023年</w:t>
            </w:r>
            <w:r>
              <w:rPr>
                <w:rFonts w:hint="eastAsia"/>
                <w:lang w:val="en-US" w:eastAsia="zh-CN"/>
              </w:rPr>
              <w:t>9</w:t>
            </w:r>
            <w:r>
              <w:t>月</w:t>
            </w:r>
            <w:r>
              <w:rPr>
                <w:rFonts w:hint="eastAsia"/>
                <w:lang w:val="en-US" w:eastAsia="zh-CN"/>
              </w:rPr>
              <w:t>20</w:t>
            </w:r>
            <w:r>
              <w:t>日发布的《2023年</w:t>
            </w:r>
            <w:r>
              <w:rPr>
                <w:rFonts w:hint="eastAsia"/>
                <w:lang w:val="en-US" w:eastAsia="zh-CN"/>
              </w:rPr>
              <w:t>8</w:t>
            </w:r>
            <w:r>
              <w:t>月达州市地表水水质月报》。</w:t>
            </w:r>
          </w:p>
          <w:p>
            <w:pPr>
              <w:ind w:firstLine="480"/>
            </w:pPr>
            <w:r>
              <w:t>根据公报数据，2023年</w:t>
            </w:r>
            <w:r>
              <w:rPr>
                <w:rFonts w:hint="eastAsia"/>
                <w:lang w:val="en-US" w:eastAsia="zh-CN"/>
              </w:rPr>
              <w:t>8</w:t>
            </w:r>
            <w:r>
              <w:t>月州河干流车家河断面上年同期、上月类别、本月类别水质分别为II、II、II类。</w:t>
            </w:r>
          </w:p>
          <w:p>
            <w:pPr>
              <w:adjustRightInd w:val="0"/>
              <w:snapToGrid w:val="0"/>
              <w:ind w:firstLine="480"/>
              <w:jc w:val="left"/>
              <w:rPr>
                <w:kern w:val="0"/>
                <w:szCs w:val="21"/>
              </w:rPr>
            </w:pPr>
            <w:r>
              <w:rPr>
                <w:kern w:val="0"/>
                <w:szCs w:val="21"/>
              </w:rPr>
              <w:t>综上可知，项目所在区水质条件满足地表水III类水域标准。</w:t>
            </w:r>
          </w:p>
          <w:p>
            <w:pPr>
              <w:adjustRightInd w:val="0"/>
              <w:snapToGrid w:val="0"/>
              <w:ind w:firstLine="482"/>
              <w:jc w:val="left"/>
              <w:rPr>
                <w:b/>
                <w:bCs/>
              </w:rPr>
            </w:pPr>
            <w:r>
              <w:rPr>
                <w:b/>
                <w:bCs/>
              </w:rPr>
              <w:t>3、声环境质量现状监测及评价</w:t>
            </w:r>
          </w:p>
          <w:p>
            <w:pPr>
              <w:adjustRightInd w:val="0"/>
              <w:snapToGrid w:val="0"/>
              <w:ind w:firstLine="480"/>
            </w:pPr>
            <w:r>
              <w:t>本项目位于工业园区内部，周边</w:t>
            </w:r>
            <w:r>
              <w:rPr>
                <w:rFonts w:hint="eastAsia"/>
                <w:lang w:val="en-US" w:eastAsia="zh-CN"/>
              </w:rPr>
              <w:t>50m</w:t>
            </w:r>
            <w:r>
              <w:t>范围为园区规划工业用地（待建地块），因此，本次评价仅对厂界进行声环境影响进行评价。</w:t>
            </w:r>
          </w:p>
          <w:p>
            <w:pPr>
              <w:adjustRightInd w:val="0"/>
              <w:snapToGrid w:val="0"/>
              <w:ind w:firstLine="482"/>
              <w:rPr>
                <w:b/>
                <w:bCs/>
              </w:rPr>
            </w:pPr>
            <w:r>
              <w:rPr>
                <w:b/>
                <w:bCs/>
              </w:rPr>
              <w:t>4、地下水环境</w:t>
            </w:r>
          </w:p>
          <w:p>
            <w:pPr>
              <w:adjustRightInd w:val="0"/>
              <w:snapToGrid w:val="0"/>
              <w:ind w:firstLine="480"/>
            </w:pPr>
            <w:r>
              <w:t>经调查，项目所在地500m范围内不涉及集中式饮用水水源地准保护区及补给径流区，不涉及除集中式饮用水水源地以外的国家或地方政府设定的与地下水环境相关的其他保护区，也不涉及特殊地下水资源保护区以外的分布区以及分散居民饮用水源等其它未列入上述敏感分级的环境敏感区。项目不涉及取用地下水，运营期仅为</w:t>
            </w:r>
            <w:r>
              <w:rPr>
                <w:rFonts w:hint="eastAsia"/>
              </w:rPr>
              <w:t>危废暂存间</w:t>
            </w:r>
            <w:r>
              <w:t>、污水处理设施可能对地下水产生的影响，本项目采取对整个生产车间进行相应防渗处理后对外地下水的影响较小。</w:t>
            </w:r>
          </w:p>
          <w:p>
            <w:pPr>
              <w:adjustRightInd w:val="0"/>
              <w:snapToGrid w:val="0"/>
              <w:ind w:firstLine="482"/>
              <w:rPr>
                <w:b/>
                <w:bCs/>
              </w:rPr>
            </w:pPr>
            <w:r>
              <w:rPr>
                <w:b/>
                <w:bCs/>
              </w:rPr>
              <w:t>5、土壤环境质量</w:t>
            </w:r>
          </w:p>
          <w:p>
            <w:pPr>
              <w:adjustRightInd w:val="0"/>
              <w:snapToGrid w:val="0"/>
              <w:ind w:firstLine="480"/>
            </w:pPr>
            <w:r>
              <w:t xml:space="preserve">根据《环境影响评价技术导则土壤环境（试行）》(HJ 964-2018)中 4.2.2 条：“Ⅳ类建设项目可不开展土壤环境影响评价。”本项目属于导则附录 A 中“其他行业”，项目类别为Ⅳ类，同时项目在原有建设用地上建设，不涉及土壤植被破坏，因此，本项目不进行土壤环境影响评价。 </w:t>
            </w:r>
          </w:p>
          <w:p>
            <w:pPr>
              <w:adjustRightInd w:val="0"/>
              <w:snapToGrid w:val="0"/>
              <w:spacing w:line="240" w:lineRule="auto"/>
              <w:ind w:firstLine="480"/>
            </w:pPr>
          </w:p>
          <w:p>
            <w:pPr>
              <w:spacing w:line="240" w:lineRule="auto"/>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800" w:type="dxa"/>
            <w:vAlign w:val="center"/>
          </w:tcPr>
          <w:p>
            <w:pPr>
              <w:pStyle w:val="11"/>
              <w:spacing w:line="360" w:lineRule="auto"/>
              <w:jc w:val="center"/>
              <w:rPr>
                <w:b/>
                <w:bCs/>
                <w:sz w:val="24"/>
                <w:szCs w:val="24"/>
              </w:rPr>
            </w:pPr>
            <w:r>
              <w:rPr>
                <w:b/>
                <w:bCs/>
                <w:sz w:val="24"/>
                <w:szCs w:val="24"/>
              </w:rPr>
              <w:t>环境</w:t>
            </w:r>
          </w:p>
          <w:p>
            <w:pPr>
              <w:pStyle w:val="11"/>
              <w:spacing w:line="360" w:lineRule="auto"/>
              <w:jc w:val="center"/>
              <w:rPr>
                <w:b/>
                <w:bCs/>
                <w:sz w:val="24"/>
                <w:szCs w:val="24"/>
              </w:rPr>
            </w:pPr>
            <w:r>
              <w:rPr>
                <w:b/>
                <w:bCs/>
                <w:sz w:val="24"/>
                <w:szCs w:val="24"/>
              </w:rPr>
              <w:t>保护</w:t>
            </w:r>
          </w:p>
          <w:p>
            <w:pPr>
              <w:pStyle w:val="11"/>
              <w:spacing w:line="360" w:lineRule="auto"/>
              <w:jc w:val="center"/>
            </w:pPr>
            <w:r>
              <w:rPr>
                <w:b/>
                <w:bCs/>
                <w:sz w:val="24"/>
                <w:szCs w:val="24"/>
              </w:rPr>
              <w:t>目标</w:t>
            </w:r>
          </w:p>
        </w:tc>
        <w:tc>
          <w:tcPr>
            <w:tcW w:w="9001" w:type="dxa"/>
            <w:vAlign w:val="center"/>
          </w:tcPr>
          <w:p>
            <w:pPr>
              <w:adjustRightInd w:val="0"/>
              <w:snapToGrid w:val="0"/>
              <w:ind w:firstLine="482"/>
              <w:rPr>
                <w:b/>
                <w:bCs/>
                <w:kern w:val="0"/>
                <w:szCs w:val="21"/>
              </w:rPr>
            </w:pPr>
            <w:r>
              <w:rPr>
                <w:b/>
                <w:bCs/>
                <w:kern w:val="0"/>
                <w:szCs w:val="21"/>
              </w:rPr>
              <w:t>主要环境保护目标(列出名单及保护级别)：</w:t>
            </w:r>
          </w:p>
          <w:p>
            <w:pPr>
              <w:adjustRightInd w:val="0"/>
              <w:snapToGrid w:val="0"/>
              <w:ind w:firstLine="480"/>
              <w:rPr>
                <w:kern w:val="0"/>
                <w:szCs w:val="21"/>
              </w:rPr>
            </w:pPr>
            <w:r>
              <w:rPr>
                <w:kern w:val="0"/>
                <w:szCs w:val="21"/>
              </w:rPr>
              <w:t>1、本项目外环境关系</w:t>
            </w:r>
          </w:p>
          <w:p>
            <w:pPr>
              <w:ind w:firstLine="480"/>
            </w:pPr>
            <w:r>
              <w:rPr>
                <w:kern w:val="0"/>
                <w:szCs w:val="21"/>
                <w:lang w:val="zh-TW" w:eastAsia="zh-TW"/>
              </w:rPr>
              <w:t>本项目位于</w:t>
            </w:r>
            <w:r>
              <w:rPr>
                <w:kern w:val="0"/>
                <w:szCs w:val="21"/>
                <w:lang w:val="zh-TW"/>
              </w:rPr>
              <w:t>达州市通川区工业集中区食品大道</w:t>
            </w:r>
            <w:r>
              <w:rPr>
                <w:kern w:val="0"/>
                <w:szCs w:val="21"/>
              </w:rPr>
              <w:t>，根据现场实际调查，周边多为食品加工、冷链物流相关企业，其它区域为园区规划用地（待建空地），</w:t>
            </w:r>
            <w:r>
              <w:t>本项目主要外环境关系为：</w:t>
            </w:r>
          </w:p>
          <w:p>
            <w:pPr>
              <w:ind w:firstLine="480"/>
            </w:pPr>
            <w:r>
              <w:t>东侧50m处为魏家河（州河支流，其主要水体功能为行洪、纳污及城市景观），70m处为国道G210（满防线），</w:t>
            </w:r>
            <w:r>
              <w:rPr>
                <w:rFonts w:hint="eastAsia"/>
                <w:lang w:eastAsia="zh-CN"/>
              </w:rPr>
              <w:t>120m</w:t>
            </w:r>
            <w:r>
              <w:t>处为G210沿街商铺</w:t>
            </w:r>
            <w:r>
              <w:rPr>
                <w:rFonts w:hint="eastAsia"/>
                <w:lang w:eastAsia="zh-CN"/>
              </w:rPr>
              <w:t>（</w:t>
            </w:r>
            <w:r>
              <w:rPr>
                <w:rFonts w:hint="eastAsia"/>
                <w:lang w:val="en-US" w:eastAsia="zh-CN"/>
              </w:rPr>
              <w:t>杨家湾村</w:t>
            </w:r>
            <w:r>
              <w:rPr>
                <w:rFonts w:hint="eastAsia"/>
                <w:lang w:eastAsia="zh-CN"/>
              </w:rPr>
              <w:t>）</w:t>
            </w:r>
            <w:r>
              <w:t>；</w:t>
            </w:r>
          </w:p>
          <w:p>
            <w:pPr>
              <w:ind w:firstLine="480"/>
            </w:pPr>
            <w:r>
              <w:t>南侧30m处为园区规划用地（待建空地）；</w:t>
            </w:r>
          </w:p>
          <w:p>
            <w:pPr>
              <w:ind w:firstLine="480"/>
            </w:pPr>
            <w:r>
              <w:t>西侧30m处为达州源美冷链物流集团有限公司（从事仓储服务，不含化学品）；</w:t>
            </w:r>
          </w:p>
          <w:p>
            <w:pPr>
              <w:ind w:firstLine="480"/>
            </w:pPr>
            <w:r>
              <w:t>北侧30m处为四川后山人食品有限公司（从事熟肉制品生产）、达州市精彩食品股份有限公司（从事熟肉制品生产），70m处为四川三圣宫食品有限公司（从事卤煮制品生产）。</w:t>
            </w:r>
          </w:p>
          <w:p>
            <w:pPr>
              <w:ind w:firstLine="480"/>
              <w:rPr>
                <w:kern w:val="0"/>
                <w:szCs w:val="21"/>
              </w:rPr>
            </w:pPr>
            <w:r>
              <w:rPr>
                <w:kern w:val="0"/>
                <w:szCs w:val="21"/>
              </w:rPr>
              <w:t>项目所在区域周边主要为园区工业企业，本项目生产过程中产生的废气主要为食品</w:t>
            </w:r>
            <w:r>
              <w:rPr>
                <w:rFonts w:hint="eastAsia"/>
                <w:kern w:val="0"/>
                <w:szCs w:val="21"/>
                <w:lang w:eastAsia="zh-CN"/>
              </w:rPr>
              <w:t>预煮</w:t>
            </w:r>
            <w:r>
              <w:rPr>
                <w:kern w:val="0"/>
                <w:szCs w:val="21"/>
              </w:rPr>
              <w:t>、腌制、油炸等加工产生的异味，无其它无有毒、有害气体排放，项目生产过程中应注重废气和废水对周边外环境的影响，并采取相应的防治措施，在做好自身环防护的前提下对周边基本不会产生影响。</w:t>
            </w:r>
          </w:p>
          <w:p>
            <w:pPr>
              <w:ind w:firstLine="480"/>
              <w:rPr>
                <w:kern w:val="0"/>
                <w:szCs w:val="21"/>
              </w:rPr>
            </w:pPr>
            <w:r>
              <w:rPr>
                <w:kern w:val="0"/>
                <w:szCs w:val="21"/>
              </w:rPr>
              <w:t>综上，本项目所在地地理位置优越，交通便利，能够满足本项目生产及生活需要。因此，项目外环境不存在明显的环境制约因素，项目选址合理。</w:t>
            </w:r>
          </w:p>
          <w:tbl>
            <w:tblPr>
              <w:tblStyle w:val="7"/>
              <w:tblW w:w="878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2"/>
              <w:gridCol w:w="43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2" w:type="dxa"/>
                  <w:tcBorders>
                    <w:tl2br w:val="nil"/>
                    <w:tr2bl w:val="nil"/>
                  </w:tcBorders>
                </w:tcPr>
                <w:p>
                  <w:pPr>
                    <w:adjustRightInd w:val="0"/>
                    <w:snapToGrid w:val="0"/>
                    <w:spacing w:line="240" w:lineRule="auto"/>
                    <w:ind w:firstLine="0" w:firstLineChars="0"/>
                    <w:rPr>
                      <w:b/>
                      <w:bCs/>
                      <w:kern w:val="0"/>
                      <w:szCs w:val="21"/>
                    </w:rPr>
                  </w:pPr>
                  <w:r>
                    <w:rPr>
                      <w:b/>
                      <w:bCs/>
                      <w:kern w:val="0"/>
                      <w:szCs w:val="21"/>
                    </w:rPr>
                    <w:drawing>
                      <wp:inline distT="0" distB="0" distL="114300" distR="114300">
                        <wp:extent cx="2648585" cy="2251710"/>
                        <wp:effectExtent l="0" t="0" r="18415" b="152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5"/>
                                <a:stretch>
                                  <a:fillRect/>
                                </a:stretch>
                              </pic:blipFill>
                              <pic:spPr>
                                <a:xfrm>
                                  <a:off x="0" y="0"/>
                                  <a:ext cx="2648585" cy="2251710"/>
                                </a:xfrm>
                                <a:prstGeom prst="rect">
                                  <a:avLst/>
                                </a:prstGeom>
                                <a:noFill/>
                                <a:ln>
                                  <a:noFill/>
                                </a:ln>
                              </pic:spPr>
                            </pic:pic>
                          </a:graphicData>
                        </a:graphic>
                      </wp:inline>
                    </w:drawing>
                  </w:r>
                </w:p>
              </w:tc>
              <w:tc>
                <w:tcPr>
                  <w:tcW w:w="4393" w:type="dxa"/>
                  <w:tcBorders>
                    <w:tl2br w:val="nil"/>
                    <w:tr2bl w:val="nil"/>
                  </w:tcBorders>
                </w:tcPr>
                <w:p>
                  <w:pPr>
                    <w:adjustRightInd w:val="0"/>
                    <w:snapToGrid w:val="0"/>
                    <w:spacing w:line="240" w:lineRule="auto"/>
                    <w:ind w:firstLine="0" w:firstLineChars="0"/>
                    <w:rPr>
                      <w:b/>
                      <w:bCs/>
                      <w:kern w:val="0"/>
                      <w:szCs w:val="21"/>
                    </w:rPr>
                  </w:pPr>
                  <w:r>
                    <w:rPr>
                      <w:b/>
                      <w:bCs/>
                      <w:kern w:val="0"/>
                      <w:szCs w:val="21"/>
                    </w:rPr>
                    <w:drawing>
                      <wp:inline distT="0" distB="0" distL="114300" distR="114300">
                        <wp:extent cx="2649855" cy="2252345"/>
                        <wp:effectExtent l="0" t="0" r="17145" b="146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6"/>
                                <a:stretch>
                                  <a:fillRect/>
                                </a:stretch>
                              </pic:blipFill>
                              <pic:spPr>
                                <a:xfrm>
                                  <a:off x="0" y="0"/>
                                  <a:ext cx="2649855" cy="2252345"/>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2" w:type="dxa"/>
                  <w:tcBorders>
                    <w:tl2br w:val="nil"/>
                    <w:tr2bl w:val="nil"/>
                  </w:tcBorders>
                </w:tcPr>
                <w:p>
                  <w:pPr>
                    <w:tabs>
                      <w:tab w:val="center" w:pos="2147"/>
                      <w:tab w:val="right" w:pos="4176"/>
                    </w:tabs>
                    <w:adjustRightInd w:val="0"/>
                    <w:snapToGrid w:val="0"/>
                    <w:spacing w:line="240" w:lineRule="auto"/>
                    <w:ind w:firstLine="0" w:firstLineChars="0"/>
                    <w:jc w:val="left"/>
                    <w:rPr>
                      <w:b/>
                      <w:bCs/>
                      <w:kern w:val="0"/>
                      <w:sz w:val="21"/>
                      <w:szCs w:val="21"/>
                    </w:rPr>
                  </w:pPr>
                  <w:r>
                    <w:rPr>
                      <w:b/>
                      <w:bCs/>
                      <w:kern w:val="0"/>
                      <w:sz w:val="21"/>
                      <w:szCs w:val="21"/>
                    </w:rPr>
                    <w:tab/>
                  </w:r>
                  <w:r>
                    <w:rPr>
                      <w:b/>
                      <w:bCs/>
                      <w:kern w:val="0"/>
                      <w:sz w:val="21"/>
                      <w:szCs w:val="21"/>
                    </w:rPr>
                    <w:t>达州源美冷链物流集团有限公司</w:t>
                  </w:r>
                </w:p>
              </w:tc>
              <w:tc>
                <w:tcPr>
                  <w:tcW w:w="4393" w:type="dxa"/>
                  <w:tcBorders>
                    <w:tl2br w:val="nil"/>
                    <w:tr2bl w:val="nil"/>
                  </w:tcBorders>
                </w:tcPr>
                <w:p>
                  <w:pPr>
                    <w:adjustRightInd w:val="0"/>
                    <w:snapToGrid w:val="0"/>
                    <w:spacing w:line="240" w:lineRule="auto"/>
                    <w:ind w:firstLine="0" w:firstLineChars="0"/>
                    <w:jc w:val="center"/>
                    <w:rPr>
                      <w:b/>
                      <w:bCs/>
                      <w:kern w:val="0"/>
                      <w:sz w:val="21"/>
                      <w:szCs w:val="21"/>
                    </w:rPr>
                  </w:pPr>
                  <w:r>
                    <w:rPr>
                      <w:b/>
                      <w:bCs/>
                      <w:kern w:val="0"/>
                      <w:sz w:val="21"/>
                      <w:szCs w:val="21"/>
                    </w:rPr>
                    <w:t>四川后山人食品有限公司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85" w:type="dxa"/>
                  <w:gridSpan w:val="2"/>
                  <w:tcBorders>
                    <w:tl2br w:val="nil"/>
                    <w:tr2bl w:val="nil"/>
                  </w:tcBorders>
                </w:tcPr>
                <w:p>
                  <w:pPr>
                    <w:adjustRightInd w:val="0"/>
                    <w:snapToGrid w:val="0"/>
                    <w:spacing w:line="240" w:lineRule="auto"/>
                    <w:ind w:firstLine="0" w:firstLineChars="0"/>
                    <w:jc w:val="center"/>
                    <w:rPr>
                      <w:kern w:val="0"/>
                      <w:sz w:val="21"/>
                      <w:szCs w:val="21"/>
                    </w:rPr>
                  </w:pPr>
                  <w:r>
                    <w:rPr>
                      <w:b/>
                      <w:bCs/>
                      <w:sz w:val="21"/>
                      <w:szCs w:val="21"/>
                    </w:rPr>
                    <w:t>图 3-1  项目所在地周边现状照片</w:t>
                  </w:r>
                </w:p>
              </w:tc>
            </w:tr>
          </w:tbl>
          <w:p>
            <w:pPr>
              <w:adjustRightInd w:val="0"/>
              <w:snapToGrid w:val="0"/>
              <w:ind w:firstLine="480"/>
              <w:rPr>
                <w:kern w:val="0"/>
                <w:szCs w:val="21"/>
              </w:rPr>
            </w:pPr>
            <w:r>
              <w:rPr>
                <w:kern w:val="0"/>
                <w:szCs w:val="21"/>
              </w:rPr>
              <w:t>2、主要环境保护目标</w:t>
            </w:r>
          </w:p>
          <w:p>
            <w:pPr>
              <w:adjustRightInd w:val="0"/>
              <w:snapToGrid w:val="0"/>
              <w:ind w:firstLine="480"/>
              <w:rPr>
                <w:kern w:val="0"/>
                <w:szCs w:val="21"/>
              </w:rPr>
            </w:pPr>
            <w:r>
              <w:rPr>
                <w:kern w:val="0"/>
                <w:szCs w:val="21"/>
              </w:rPr>
              <w:t>按照水、气、声、固废各环境要素，本项目建设主要的环境保护目标如下：</w:t>
            </w:r>
          </w:p>
          <w:p>
            <w:pPr>
              <w:adjustRightInd w:val="0"/>
              <w:snapToGrid w:val="0"/>
              <w:ind w:firstLine="480"/>
              <w:rPr>
                <w:kern w:val="0"/>
                <w:szCs w:val="21"/>
              </w:rPr>
            </w:pPr>
            <w:r>
              <w:rPr>
                <w:kern w:val="0"/>
                <w:szCs w:val="21"/>
              </w:rPr>
              <w:t>（1）大气环境保护目标</w:t>
            </w:r>
          </w:p>
          <w:p>
            <w:pPr>
              <w:adjustRightInd w:val="0"/>
              <w:snapToGrid w:val="0"/>
              <w:ind w:firstLine="480"/>
              <w:rPr>
                <w:kern w:val="0"/>
                <w:szCs w:val="21"/>
              </w:rPr>
            </w:pPr>
            <w:r>
              <w:rPr>
                <w:kern w:val="0"/>
                <w:szCs w:val="21"/>
              </w:rPr>
              <w:t>本项目大气环境保护目标为保护所在区域空气环境功能维持《环境空气质量标准》（GB3095-2012）中二级标准不变</w:t>
            </w:r>
            <w:r>
              <w:rPr>
                <w:rFonts w:hint="eastAsia"/>
                <w:kern w:val="0"/>
                <w:szCs w:val="21"/>
                <w:lang w:eastAsia="zh-CN"/>
              </w:rPr>
              <w:t>，</w:t>
            </w:r>
            <w:r>
              <w:rPr>
                <w:rFonts w:hint="eastAsia"/>
                <w:kern w:val="0"/>
                <w:szCs w:val="21"/>
                <w:lang w:val="en-US" w:eastAsia="zh-CN"/>
              </w:rPr>
              <w:t>其中，项目不涉及</w:t>
            </w:r>
            <w:r>
              <w:rPr>
                <w:kern w:val="0"/>
                <w:szCs w:val="21"/>
                <w:lang w:val="en-US" w:eastAsia="zh-CN"/>
              </w:rPr>
              <w:t>的自然保护区、风景名</w:t>
            </w:r>
            <w:r>
              <w:rPr>
                <w:rFonts w:hint="eastAsia"/>
                <w:kern w:val="0"/>
                <w:szCs w:val="21"/>
                <w:lang w:val="en-US" w:eastAsia="zh-CN"/>
              </w:rPr>
              <w:t>胜区、居住区、文化区和农村地区中人群较集中的区域等保护目标</w:t>
            </w:r>
            <w:r>
              <w:rPr>
                <w:kern w:val="0"/>
                <w:szCs w:val="21"/>
              </w:rPr>
              <w:t>。</w:t>
            </w:r>
          </w:p>
          <w:p>
            <w:pPr>
              <w:adjustRightInd w:val="0"/>
              <w:snapToGrid w:val="0"/>
              <w:ind w:firstLine="480"/>
              <w:rPr>
                <w:kern w:val="0"/>
                <w:szCs w:val="21"/>
              </w:rPr>
            </w:pPr>
            <w:r>
              <w:rPr>
                <w:kern w:val="0"/>
                <w:szCs w:val="21"/>
              </w:rPr>
              <w:t>（2）地表水环境保护目标</w:t>
            </w:r>
          </w:p>
          <w:p>
            <w:pPr>
              <w:adjustRightInd w:val="0"/>
              <w:snapToGrid w:val="0"/>
              <w:ind w:firstLine="480"/>
              <w:rPr>
                <w:kern w:val="0"/>
                <w:szCs w:val="21"/>
              </w:rPr>
            </w:pPr>
            <w:r>
              <w:rPr>
                <w:kern w:val="0"/>
                <w:szCs w:val="21"/>
              </w:rPr>
              <w:t>项目所在区域地表水体为</w:t>
            </w:r>
            <w:r>
              <w:rPr>
                <w:rFonts w:hint="eastAsia"/>
                <w:kern w:val="0"/>
                <w:szCs w:val="21"/>
                <w:lang w:val="en-US" w:eastAsia="zh-CN"/>
              </w:rPr>
              <w:t>魏家河（州河支流）</w:t>
            </w:r>
            <w:r>
              <w:rPr>
                <w:kern w:val="0"/>
                <w:szCs w:val="21"/>
              </w:rPr>
              <w:t>，州河断面水质为《地表水环境质量标准》（GB3838-2002）满足III类水域标准，水环境保护目标为维持现有水域功能不变。</w:t>
            </w:r>
          </w:p>
          <w:p>
            <w:pPr>
              <w:adjustRightInd w:val="0"/>
              <w:snapToGrid w:val="0"/>
              <w:ind w:firstLine="480"/>
              <w:rPr>
                <w:kern w:val="0"/>
                <w:szCs w:val="21"/>
              </w:rPr>
            </w:pPr>
            <w:r>
              <w:rPr>
                <w:kern w:val="0"/>
                <w:szCs w:val="21"/>
              </w:rPr>
              <w:t>（3）声环境保护目标</w:t>
            </w:r>
          </w:p>
          <w:p>
            <w:pPr>
              <w:adjustRightInd w:val="0"/>
              <w:snapToGrid w:val="0"/>
              <w:ind w:firstLine="480"/>
              <w:rPr>
                <w:kern w:val="0"/>
                <w:szCs w:val="21"/>
              </w:rPr>
            </w:pPr>
            <w:r>
              <w:rPr>
                <w:kern w:val="0"/>
                <w:szCs w:val="21"/>
              </w:rPr>
              <w:t>本项目声环境保护目标为保护项目所在区域声环境功能维持《声环境质量标准》（GB3096-2008）中3类标准不变。</w:t>
            </w:r>
          </w:p>
          <w:p>
            <w:pPr>
              <w:ind w:firstLine="480"/>
            </w:pPr>
            <w:r>
              <w:t>（4）地下水环境保护目标</w:t>
            </w:r>
          </w:p>
          <w:p>
            <w:pPr>
              <w:adjustRightInd w:val="0"/>
              <w:snapToGrid w:val="0"/>
              <w:ind w:firstLine="480"/>
              <w:rPr>
                <w:kern w:val="0"/>
                <w:szCs w:val="21"/>
              </w:rPr>
            </w:pPr>
            <w:r>
              <w:rPr>
                <w:kern w:val="0"/>
                <w:szCs w:val="21"/>
              </w:rPr>
              <w:t>本项目主要保护目标为项目用地</w:t>
            </w:r>
            <w:r>
              <w:rPr>
                <w:rFonts w:hint="eastAsia"/>
                <w:kern w:val="0"/>
                <w:szCs w:val="21"/>
                <w:lang w:val="en-US" w:eastAsia="zh-CN"/>
              </w:rPr>
              <w:t>500m</w:t>
            </w:r>
            <w:r>
              <w:rPr>
                <w:kern w:val="0"/>
                <w:szCs w:val="21"/>
                <w:lang w:val="en-US" w:eastAsia="zh-CN"/>
              </w:rPr>
              <w:t>范围内</w:t>
            </w:r>
            <w:r>
              <w:rPr>
                <w:kern w:val="0"/>
                <w:szCs w:val="21"/>
              </w:rPr>
              <w:t>地下水环境，以不破坏区域内地下水环境完整性为标准</w:t>
            </w:r>
            <w:r>
              <w:rPr>
                <w:rFonts w:hint="eastAsia"/>
                <w:kern w:val="0"/>
                <w:szCs w:val="21"/>
                <w:lang w:eastAsia="zh-CN"/>
              </w:rPr>
              <w:t>，</w:t>
            </w:r>
            <w:r>
              <w:rPr>
                <w:rFonts w:hint="eastAsia"/>
                <w:kern w:val="0"/>
                <w:szCs w:val="21"/>
                <w:lang w:val="en-US" w:eastAsia="zh-CN"/>
              </w:rPr>
              <w:t>其中，项目不涉及</w:t>
            </w:r>
            <w:r>
              <w:rPr>
                <w:kern w:val="0"/>
                <w:szCs w:val="21"/>
                <w:lang w:val="en-US" w:eastAsia="zh-CN"/>
              </w:rPr>
              <w:t>的地下水集中式饮用</w:t>
            </w:r>
            <w:r>
              <w:rPr>
                <w:rFonts w:hint="eastAsia"/>
                <w:kern w:val="0"/>
                <w:szCs w:val="21"/>
                <w:lang w:val="en-US" w:eastAsia="zh-CN"/>
              </w:rPr>
              <w:t>水水源和热水、矿泉水、温泉等特殊地下水资源等区域</w:t>
            </w:r>
            <w:r>
              <w:rPr>
                <w:kern w:val="0"/>
                <w:szCs w:val="21"/>
              </w:rPr>
              <w:t>。</w:t>
            </w:r>
          </w:p>
          <w:p>
            <w:pPr>
              <w:ind w:firstLine="480"/>
            </w:pPr>
            <w:r>
              <w:t>（5）生态环境保护目标及级别</w:t>
            </w:r>
          </w:p>
          <w:p>
            <w:pPr>
              <w:ind w:firstLine="480"/>
            </w:pPr>
            <w:r>
              <w:t>本项目主要保护目标为项目用地范围内生态环境，以不破坏区域内生态系统完整性为标准，控制和减轻由项目建设对地表植被和土壤的破坏而造成的水土流失，保护地表植被，保护生态环境。</w:t>
            </w:r>
          </w:p>
          <w:p>
            <w:pPr>
              <w:pStyle w:val="11"/>
              <w:jc w:val="center"/>
              <w:rPr>
                <w:b/>
                <w:bCs/>
              </w:rPr>
            </w:pPr>
            <w:r>
              <w:rPr>
                <w:b/>
                <w:bCs/>
              </w:rPr>
              <w:t>表3-2  主要环境保护目标一览表</w:t>
            </w:r>
          </w:p>
          <w:tbl>
            <w:tblPr>
              <w:tblStyle w:val="7"/>
              <w:tblW w:w="880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667"/>
              <w:gridCol w:w="693"/>
              <w:gridCol w:w="840"/>
              <w:gridCol w:w="773"/>
              <w:gridCol w:w="720"/>
              <w:gridCol w:w="787"/>
              <w:gridCol w:w="1013"/>
              <w:gridCol w:w="23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dxa"/>
                  <w:vMerge w:val="restart"/>
                  <w:tcBorders>
                    <w:tl2br w:val="nil"/>
                    <w:tr2bl w:val="nil"/>
                  </w:tcBorders>
                  <w:vAlign w:val="center"/>
                </w:tcPr>
                <w:p>
                  <w:pPr>
                    <w:pStyle w:val="11"/>
                    <w:jc w:val="center"/>
                    <w:rPr>
                      <w:kern w:val="2"/>
                    </w:rPr>
                  </w:pPr>
                  <w:r>
                    <w:rPr>
                      <w:b/>
                      <w:bCs/>
                    </w:rPr>
                    <w:t>项目</w:t>
                  </w:r>
                </w:p>
              </w:tc>
              <w:tc>
                <w:tcPr>
                  <w:tcW w:w="1360" w:type="dxa"/>
                  <w:gridSpan w:val="2"/>
                  <w:tcBorders>
                    <w:tl2br w:val="nil"/>
                    <w:tr2bl w:val="nil"/>
                  </w:tcBorders>
                  <w:vAlign w:val="center"/>
                </w:tcPr>
                <w:p>
                  <w:pPr>
                    <w:pStyle w:val="11"/>
                    <w:jc w:val="center"/>
                    <w:rPr>
                      <w:kern w:val="2"/>
                    </w:rPr>
                  </w:pPr>
                  <w:r>
                    <w:rPr>
                      <w:b/>
                      <w:bCs/>
                    </w:rPr>
                    <w:t>坐标</w:t>
                  </w:r>
                </w:p>
              </w:tc>
              <w:tc>
                <w:tcPr>
                  <w:tcW w:w="840" w:type="dxa"/>
                  <w:vMerge w:val="restart"/>
                  <w:tcBorders>
                    <w:tl2br w:val="nil"/>
                    <w:tr2bl w:val="nil"/>
                  </w:tcBorders>
                  <w:vAlign w:val="center"/>
                </w:tcPr>
                <w:p>
                  <w:pPr>
                    <w:pStyle w:val="11"/>
                    <w:jc w:val="center"/>
                    <w:rPr>
                      <w:b/>
                      <w:bCs/>
                    </w:rPr>
                  </w:pPr>
                  <w:r>
                    <w:rPr>
                      <w:b/>
                      <w:bCs/>
                    </w:rPr>
                    <w:t>目标</w:t>
                  </w:r>
                </w:p>
                <w:p>
                  <w:pPr>
                    <w:pStyle w:val="11"/>
                    <w:jc w:val="center"/>
                    <w:rPr>
                      <w:kern w:val="2"/>
                    </w:rPr>
                  </w:pPr>
                  <w:r>
                    <w:rPr>
                      <w:b/>
                      <w:bCs/>
                    </w:rPr>
                    <w:t>名称</w:t>
                  </w:r>
                </w:p>
              </w:tc>
              <w:tc>
                <w:tcPr>
                  <w:tcW w:w="773" w:type="dxa"/>
                  <w:vMerge w:val="restart"/>
                  <w:tcBorders>
                    <w:tl2br w:val="nil"/>
                    <w:tr2bl w:val="nil"/>
                  </w:tcBorders>
                  <w:vAlign w:val="center"/>
                </w:tcPr>
                <w:p>
                  <w:pPr>
                    <w:pStyle w:val="11"/>
                    <w:jc w:val="center"/>
                    <w:rPr>
                      <w:kern w:val="2"/>
                    </w:rPr>
                  </w:pPr>
                  <w:r>
                    <w:rPr>
                      <w:b/>
                      <w:bCs/>
                    </w:rPr>
                    <w:t>功能</w:t>
                  </w:r>
                </w:p>
              </w:tc>
              <w:tc>
                <w:tcPr>
                  <w:tcW w:w="720" w:type="dxa"/>
                  <w:vMerge w:val="restart"/>
                  <w:tcBorders>
                    <w:tl2br w:val="nil"/>
                    <w:tr2bl w:val="nil"/>
                  </w:tcBorders>
                  <w:vAlign w:val="center"/>
                </w:tcPr>
                <w:p>
                  <w:pPr>
                    <w:pStyle w:val="11"/>
                    <w:jc w:val="center"/>
                    <w:rPr>
                      <w:kern w:val="2"/>
                    </w:rPr>
                  </w:pPr>
                  <w:r>
                    <w:rPr>
                      <w:b/>
                      <w:bCs/>
                    </w:rPr>
                    <w:t>数量</w:t>
                  </w:r>
                </w:p>
              </w:tc>
              <w:tc>
                <w:tcPr>
                  <w:tcW w:w="1800" w:type="dxa"/>
                  <w:gridSpan w:val="2"/>
                  <w:tcBorders>
                    <w:tl2br w:val="nil"/>
                    <w:tr2bl w:val="nil"/>
                  </w:tcBorders>
                  <w:vAlign w:val="center"/>
                </w:tcPr>
                <w:p>
                  <w:pPr>
                    <w:pStyle w:val="11"/>
                    <w:jc w:val="center"/>
                    <w:rPr>
                      <w:kern w:val="2"/>
                    </w:rPr>
                  </w:pPr>
                  <w:r>
                    <w:rPr>
                      <w:b/>
                      <w:bCs/>
                    </w:rPr>
                    <w:t>相对位置</w:t>
                  </w:r>
                </w:p>
              </w:tc>
              <w:tc>
                <w:tcPr>
                  <w:tcW w:w="2371" w:type="dxa"/>
                  <w:vMerge w:val="restart"/>
                  <w:tcBorders>
                    <w:tl2br w:val="nil"/>
                    <w:tr2bl w:val="nil"/>
                  </w:tcBorders>
                  <w:vAlign w:val="center"/>
                </w:tcPr>
                <w:p>
                  <w:pPr>
                    <w:pStyle w:val="11"/>
                    <w:jc w:val="center"/>
                    <w:rPr>
                      <w:kern w:val="2"/>
                    </w:rPr>
                  </w:pPr>
                  <w:r>
                    <w:rPr>
                      <w:b/>
                      <w:bCs/>
                    </w:rPr>
                    <w:t>环境保护级别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dxa"/>
                  <w:vMerge w:val="continue"/>
                  <w:tcBorders>
                    <w:tl2br w:val="nil"/>
                    <w:tr2bl w:val="nil"/>
                  </w:tcBorders>
                  <w:vAlign w:val="center"/>
                </w:tcPr>
                <w:p>
                  <w:pPr>
                    <w:pStyle w:val="11"/>
                    <w:jc w:val="center"/>
                    <w:rPr>
                      <w:kern w:val="2"/>
                    </w:rPr>
                  </w:pPr>
                </w:p>
              </w:tc>
              <w:tc>
                <w:tcPr>
                  <w:tcW w:w="667" w:type="dxa"/>
                  <w:tcBorders>
                    <w:tl2br w:val="nil"/>
                    <w:tr2bl w:val="nil"/>
                  </w:tcBorders>
                  <w:vAlign w:val="center"/>
                </w:tcPr>
                <w:p>
                  <w:pPr>
                    <w:pStyle w:val="11"/>
                    <w:jc w:val="center"/>
                    <w:rPr>
                      <w:kern w:val="2"/>
                    </w:rPr>
                  </w:pPr>
                  <w:r>
                    <w:rPr>
                      <w:b/>
                      <w:bCs/>
                    </w:rPr>
                    <w:t>经度</w:t>
                  </w:r>
                </w:p>
              </w:tc>
              <w:tc>
                <w:tcPr>
                  <w:tcW w:w="693" w:type="dxa"/>
                  <w:tcBorders>
                    <w:tl2br w:val="nil"/>
                    <w:tr2bl w:val="nil"/>
                  </w:tcBorders>
                  <w:vAlign w:val="center"/>
                </w:tcPr>
                <w:p>
                  <w:pPr>
                    <w:pStyle w:val="11"/>
                    <w:jc w:val="center"/>
                    <w:rPr>
                      <w:kern w:val="2"/>
                    </w:rPr>
                  </w:pPr>
                  <w:r>
                    <w:rPr>
                      <w:b/>
                      <w:bCs/>
                    </w:rPr>
                    <w:t>纬度</w:t>
                  </w:r>
                </w:p>
              </w:tc>
              <w:tc>
                <w:tcPr>
                  <w:tcW w:w="840" w:type="dxa"/>
                  <w:vMerge w:val="continue"/>
                  <w:tcBorders>
                    <w:tl2br w:val="nil"/>
                    <w:tr2bl w:val="nil"/>
                  </w:tcBorders>
                  <w:vAlign w:val="center"/>
                </w:tcPr>
                <w:p>
                  <w:pPr>
                    <w:pStyle w:val="11"/>
                    <w:jc w:val="center"/>
                    <w:rPr>
                      <w:kern w:val="2"/>
                    </w:rPr>
                  </w:pPr>
                </w:p>
              </w:tc>
              <w:tc>
                <w:tcPr>
                  <w:tcW w:w="773" w:type="dxa"/>
                  <w:vMerge w:val="continue"/>
                  <w:tcBorders>
                    <w:tl2br w:val="nil"/>
                    <w:tr2bl w:val="nil"/>
                  </w:tcBorders>
                  <w:vAlign w:val="center"/>
                </w:tcPr>
                <w:p>
                  <w:pPr>
                    <w:pStyle w:val="11"/>
                    <w:jc w:val="center"/>
                    <w:rPr>
                      <w:kern w:val="2"/>
                    </w:rPr>
                  </w:pPr>
                </w:p>
              </w:tc>
              <w:tc>
                <w:tcPr>
                  <w:tcW w:w="720" w:type="dxa"/>
                  <w:vMerge w:val="continue"/>
                  <w:tcBorders>
                    <w:tl2br w:val="nil"/>
                    <w:tr2bl w:val="nil"/>
                  </w:tcBorders>
                  <w:vAlign w:val="center"/>
                </w:tcPr>
                <w:p>
                  <w:pPr>
                    <w:pStyle w:val="11"/>
                    <w:jc w:val="center"/>
                    <w:rPr>
                      <w:kern w:val="2"/>
                    </w:rPr>
                  </w:pPr>
                </w:p>
              </w:tc>
              <w:tc>
                <w:tcPr>
                  <w:tcW w:w="787" w:type="dxa"/>
                  <w:tcBorders>
                    <w:tl2br w:val="nil"/>
                    <w:tr2bl w:val="nil"/>
                  </w:tcBorders>
                  <w:vAlign w:val="center"/>
                </w:tcPr>
                <w:p>
                  <w:pPr>
                    <w:pStyle w:val="11"/>
                    <w:jc w:val="center"/>
                    <w:rPr>
                      <w:kern w:val="2"/>
                    </w:rPr>
                  </w:pPr>
                  <w:r>
                    <w:rPr>
                      <w:b/>
                      <w:bCs/>
                    </w:rPr>
                    <w:t>方位</w:t>
                  </w:r>
                </w:p>
              </w:tc>
              <w:tc>
                <w:tcPr>
                  <w:tcW w:w="1013" w:type="dxa"/>
                  <w:tcBorders>
                    <w:tl2br w:val="nil"/>
                    <w:tr2bl w:val="nil"/>
                  </w:tcBorders>
                  <w:vAlign w:val="center"/>
                </w:tcPr>
                <w:p>
                  <w:pPr>
                    <w:pStyle w:val="11"/>
                    <w:jc w:val="center"/>
                    <w:rPr>
                      <w:kern w:val="2"/>
                    </w:rPr>
                  </w:pPr>
                  <w:r>
                    <w:rPr>
                      <w:b/>
                      <w:bCs/>
                    </w:rPr>
                    <w:t>距离(m)</w:t>
                  </w:r>
                </w:p>
              </w:tc>
              <w:tc>
                <w:tcPr>
                  <w:tcW w:w="2371" w:type="dxa"/>
                  <w:vMerge w:val="continue"/>
                  <w:tcBorders>
                    <w:tl2br w:val="nil"/>
                    <w:tr2bl w:val="nil"/>
                  </w:tcBorders>
                  <w:vAlign w:val="center"/>
                </w:tcPr>
                <w:p>
                  <w:pPr>
                    <w:pStyle w:val="11"/>
                    <w:jc w:val="center"/>
                    <w:rPr>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dxa"/>
                  <w:tcBorders>
                    <w:tl2br w:val="nil"/>
                    <w:tr2bl w:val="nil"/>
                  </w:tcBorders>
                  <w:vAlign w:val="center"/>
                </w:tcPr>
                <w:p>
                  <w:pPr>
                    <w:pStyle w:val="11"/>
                    <w:jc w:val="center"/>
                  </w:pPr>
                  <w:r>
                    <w:t>地表水环境保护目标</w:t>
                  </w:r>
                </w:p>
              </w:tc>
              <w:tc>
                <w:tcPr>
                  <w:tcW w:w="667" w:type="dxa"/>
                  <w:tcBorders>
                    <w:tl2br w:val="nil"/>
                    <w:tr2bl w:val="nil"/>
                  </w:tcBorders>
                  <w:vAlign w:val="center"/>
                </w:tcPr>
                <w:p>
                  <w:pPr>
                    <w:pStyle w:val="11"/>
                    <w:jc w:val="center"/>
                    <w:rPr>
                      <w:kern w:val="2"/>
                    </w:rPr>
                  </w:pPr>
                  <w:r>
                    <w:rPr>
                      <w:kern w:val="2"/>
                    </w:rPr>
                    <w:t>/</w:t>
                  </w:r>
                </w:p>
              </w:tc>
              <w:tc>
                <w:tcPr>
                  <w:tcW w:w="693" w:type="dxa"/>
                  <w:tcBorders>
                    <w:tl2br w:val="nil"/>
                    <w:tr2bl w:val="nil"/>
                  </w:tcBorders>
                  <w:vAlign w:val="center"/>
                </w:tcPr>
                <w:p>
                  <w:pPr>
                    <w:pStyle w:val="11"/>
                    <w:jc w:val="center"/>
                    <w:rPr>
                      <w:kern w:val="2"/>
                    </w:rPr>
                  </w:pPr>
                  <w:r>
                    <w:rPr>
                      <w:kern w:val="2"/>
                    </w:rPr>
                    <w:t>/</w:t>
                  </w:r>
                </w:p>
              </w:tc>
              <w:tc>
                <w:tcPr>
                  <w:tcW w:w="840" w:type="dxa"/>
                  <w:tcBorders>
                    <w:tl2br w:val="nil"/>
                    <w:tr2bl w:val="nil"/>
                  </w:tcBorders>
                  <w:vAlign w:val="center"/>
                </w:tcPr>
                <w:p>
                  <w:pPr>
                    <w:pStyle w:val="11"/>
                    <w:jc w:val="center"/>
                  </w:pPr>
                  <w:r>
                    <w:rPr>
                      <w:rFonts w:hint="eastAsia"/>
                      <w:kern w:val="0"/>
                      <w:szCs w:val="21"/>
                      <w:lang w:val="en-US" w:eastAsia="zh-CN"/>
                    </w:rPr>
                    <w:t>魏家河（州河支流）</w:t>
                  </w:r>
                </w:p>
              </w:tc>
              <w:tc>
                <w:tcPr>
                  <w:tcW w:w="773" w:type="dxa"/>
                  <w:tcBorders>
                    <w:tl2br w:val="nil"/>
                    <w:tr2bl w:val="nil"/>
                  </w:tcBorders>
                  <w:vAlign w:val="center"/>
                </w:tcPr>
                <w:p>
                  <w:pPr>
                    <w:pStyle w:val="11"/>
                    <w:jc w:val="center"/>
                  </w:pPr>
                  <w:r>
                    <w:t>灌溉、行洪等</w:t>
                  </w:r>
                </w:p>
              </w:tc>
              <w:tc>
                <w:tcPr>
                  <w:tcW w:w="720" w:type="dxa"/>
                  <w:tcBorders>
                    <w:tl2br w:val="nil"/>
                    <w:tr2bl w:val="nil"/>
                  </w:tcBorders>
                  <w:vAlign w:val="center"/>
                </w:tcPr>
                <w:p>
                  <w:pPr>
                    <w:pStyle w:val="11"/>
                    <w:jc w:val="center"/>
                  </w:pPr>
                  <w:r>
                    <w:t>/</w:t>
                  </w:r>
                </w:p>
              </w:tc>
              <w:tc>
                <w:tcPr>
                  <w:tcW w:w="787" w:type="dxa"/>
                  <w:tcBorders>
                    <w:tl2br w:val="nil"/>
                    <w:tr2bl w:val="nil"/>
                  </w:tcBorders>
                  <w:vAlign w:val="center"/>
                </w:tcPr>
                <w:p>
                  <w:pPr>
                    <w:pStyle w:val="11"/>
                    <w:jc w:val="center"/>
                  </w:pPr>
                  <w:r>
                    <w:t>东侧</w:t>
                  </w:r>
                </w:p>
              </w:tc>
              <w:tc>
                <w:tcPr>
                  <w:tcW w:w="1013" w:type="dxa"/>
                  <w:tcBorders>
                    <w:tl2br w:val="nil"/>
                    <w:tr2bl w:val="nil"/>
                  </w:tcBorders>
                  <w:vAlign w:val="center"/>
                </w:tcPr>
                <w:p>
                  <w:pPr>
                    <w:pStyle w:val="11"/>
                    <w:jc w:val="center"/>
                    <w:rPr>
                      <w:rFonts w:hint="default" w:eastAsia="宋体"/>
                      <w:lang w:val="en-US" w:eastAsia="zh-CN"/>
                    </w:rPr>
                  </w:pPr>
                  <w:r>
                    <w:rPr>
                      <w:rFonts w:hint="eastAsia"/>
                      <w:lang w:val="en-US" w:eastAsia="zh-CN"/>
                    </w:rPr>
                    <w:t>50m</w:t>
                  </w:r>
                </w:p>
              </w:tc>
              <w:tc>
                <w:tcPr>
                  <w:tcW w:w="2371" w:type="dxa"/>
                  <w:tcBorders>
                    <w:tl2br w:val="nil"/>
                    <w:tr2bl w:val="nil"/>
                  </w:tcBorders>
                  <w:vAlign w:val="center"/>
                </w:tcPr>
                <w:p>
                  <w:pPr>
                    <w:pStyle w:val="11"/>
                    <w:jc w:val="center"/>
                  </w:pPr>
                  <w:r>
                    <w:t>《地表水环境质量标准》Ⅲ类水域标准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42" w:type="dxa"/>
                  <w:vMerge w:val="restart"/>
                  <w:tcBorders>
                    <w:tl2br w:val="nil"/>
                    <w:tr2bl w:val="nil"/>
                  </w:tcBorders>
                  <w:vAlign w:val="center"/>
                </w:tcPr>
                <w:p>
                  <w:pPr>
                    <w:pStyle w:val="11"/>
                    <w:jc w:val="center"/>
                  </w:pPr>
                  <w:r>
                    <w:t>大气环境保护目标</w:t>
                  </w:r>
                </w:p>
              </w:tc>
              <w:tc>
                <w:tcPr>
                  <w:tcW w:w="667" w:type="dxa"/>
                  <w:tcBorders>
                    <w:tl2br w:val="nil"/>
                    <w:tr2bl w:val="nil"/>
                  </w:tcBorders>
                  <w:vAlign w:val="center"/>
                </w:tcPr>
                <w:p>
                  <w:pPr>
                    <w:pStyle w:val="11"/>
                    <w:jc w:val="center"/>
                    <w:rPr>
                      <w:kern w:val="2"/>
                    </w:rPr>
                  </w:pPr>
                  <w:r>
                    <w:rPr>
                      <w:rFonts w:hint="eastAsia"/>
                      <w:kern w:val="2"/>
                    </w:rPr>
                    <w:t>107.52258718</w:t>
                  </w:r>
                </w:p>
              </w:tc>
              <w:tc>
                <w:tcPr>
                  <w:tcW w:w="693" w:type="dxa"/>
                  <w:tcBorders>
                    <w:tl2br w:val="nil"/>
                    <w:tr2bl w:val="nil"/>
                  </w:tcBorders>
                  <w:vAlign w:val="center"/>
                </w:tcPr>
                <w:p>
                  <w:pPr>
                    <w:pStyle w:val="11"/>
                    <w:jc w:val="center"/>
                    <w:rPr>
                      <w:kern w:val="2"/>
                    </w:rPr>
                  </w:pPr>
                  <w:r>
                    <w:rPr>
                      <w:rFonts w:hint="eastAsia"/>
                      <w:kern w:val="2"/>
                    </w:rPr>
                    <w:t>31.35530901</w:t>
                  </w:r>
                </w:p>
              </w:tc>
              <w:tc>
                <w:tcPr>
                  <w:tcW w:w="840" w:type="dxa"/>
                  <w:tcBorders>
                    <w:tl2br w:val="nil"/>
                    <w:tr2bl w:val="nil"/>
                  </w:tcBorders>
                  <w:vAlign w:val="center"/>
                </w:tcPr>
                <w:p>
                  <w:pPr>
                    <w:pStyle w:val="11"/>
                    <w:jc w:val="center"/>
                    <w:rPr>
                      <w:rFonts w:hint="default" w:eastAsia="宋体"/>
                      <w:kern w:val="2"/>
                      <w:lang w:val="en-US" w:eastAsia="zh-CN"/>
                    </w:rPr>
                  </w:pPr>
                  <w:r>
                    <w:rPr>
                      <w:rFonts w:hint="eastAsia"/>
                      <w:kern w:val="2"/>
                      <w:lang w:val="en-US" w:eastAsia="zh-CN"/>
                    </w:rPr>
                    <w:t>沿街商铺</w:t>
                  </w:r>
                </w:p>
              </w:tc>
              <w:tc>
                <w:tcPr>
                  <w:tcW w:w="773" w:type="dxa"/>
                  <w:tcBorders>
                    <w:tl2br w:val="nil"/>
                    <w:tr2bl w:val="nil"/>
                  </w:tcBorders>
                  <w:vAlign w:val="center"/>
                </w:tcPr>
                <w:p>
                  <w:pPr>
                    <w:pStyle w:val="11"/>
                    <w:jc w:val="center"/>
                    <w:rPr>
                      <w:rFonts w:hint="default" w:eastAsia="宋体"/>
                      <w:kern w:val="2"/>
                      <w:lang w:val="en-US" w:eastAsia="zh-CN"/>
                    </w:rPr>
                  </w:pPr>
                  <w:r>
                    <w:rPr>
                      <w:rFonts w:hint="eastAsia"/>
                      <w:kern w:val="2"/>
                      <w:lang w:val="en-US" w:eastAsia="zh-CN"/>
                    </w:rPr>
                    <w:t>零售</w:t>
                  </w:r>
                </w:p>
              </w:tc>
              <w:tc>
                <w:tcPr>
                  <w:tcW w:w="720" w:type="dxa"/>
                  <w:tcBorders>
                    <w:tl2br w:val="nil"/>
                    <w:tr2bl w:val="nil"/>
                  </w:tcBorders>
                  <w:vAlign w:val="center"/>
                </w:tcPr>
                <w:p>
                  <w:pPr>
                    <w:pStyle w:val="11"/>
                    <w:jc w:val="center"/>
                    <w:rPr>
                      <w:rFonts w:hint="default" w:eastAsia="宋体"/>
                      <w:kern w:val="2"/>
                      <w:lang w:val="en-US" w:eastAsia="zh-CN"/>
                    </w:rPr>
                  </w:pPr>
                  <w:r>
                    <w:rPr>
                      <w:rFonts w:hint="eastAsia"/>
                      <w:kern w:val="2"/>
                      <w:lang w:val="en-US" w:eastAsia="zh-CN"/>
                    </w:rPr>
                    <w:t>20人</w:t>
                  </w:r>
                </w:p>
              </w:tc>
              <w:tc>
                <w:tcPr>
                  <w:tcW w:w="787" w:type="dxa"/>
                  <w:tcBorders>
                    <w:tl2br w:val="nil"/>
                    <w:tr2bl w:val="nil"/>
                  </w:tcBorders>
                  <w:vAlign w:val="center"/>
                </w:tcPr>
                <w:p>
                  <w:pPr>
                    <w:pStyle w:val="11"/>
                    <w:jc w:val="center"/>
                    <w:rPr>
                      <w:rFonts w:ascii="Times New Roman" w:hAnsi="Times New Roman" w:eastAsia="宋体" w:cs="Times New Roman"/>
                      <w:sz w:val="21"/>
                      <w:szCs w:val="21"/>
                      <w:lang w:val="en-US" w:eastAsia="zh-CN" w:bidi="ar-SA"/>
                    </w:rPr>
                  </w:pPr>
                  <w:r>
                    <w:t>东侧</w:t>
                  </w:r>
                </w:p>
              </w:tc>
              <w:tc>
                <w:tcPr>
                  <w:tcW w:w="1013" w:type="dxa"/>
                  <w:tcBorders>
                    <w:tl2br w:val="nil"/>
                    <w:tr2bl w:val="nil"/>
                  </w:tcBorders>
                  <w:vAlign w:val="center"/>
                </w:tcPr>
                <w:p>
                  <w:pPr>
                    <w:pStyle w:val="11"/>
                    <w:jc w:val="center"/>
                    <w:rPr>
                      <w:rFonts w:hint="default" w:ascii="Times New Roman" w:hAnsi="Times New Roman" w:eastAsia="宋体" w:cs="Times New Roman"/>
                      <w:sz w:val="21"/>
                      <w:szCs w:val="21"/>
                      <w:lang w:val="en-US" w:eastAsia="zh-CN" w:bidi="ar-SA"/>
                    </w:rPr>
                  </w:pPr>
                  <w:r>
                    <w:rPr>
                      <w:rFonts w:hint="eastAsia"/>
                      <w:lang w:val="en-US" w:eastAsia="zh-CN"/>
                    </w:rPr>
                    <w:t>120m</w:t>
                  </w:r>
                </w:p>
              </w:tc>
              <w:tc>
                <w:tcPr>
                  <w:tcW w:w="2371" w:type="dxa"/>
                  <w:vMerge w:val="restart"/>
                  <w:tcBorders>
                    <w:tl2br w:val="nil"/>
                    <w:tr2bl w:val="nil"/>
                  </w:tcBorders>
                  <w:vAlign w:val="center"/>
                </w:tcPr>
                <w:p>
                  <w:pPr>
                    <w:pStyle w:val="11"/>
                    <w:jc w:val="center"/>
                  </w:pPr>
                  <w:r>
                    <w:t>《环境空气质量标准》二级标准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42" w:type="dxa"/>
                  <w:vMerge w:val="continue"/>
                  <w:tcBorders>
                    <w:tl2br w:val="nil"/>
                    <w:tr2bl w:val="nil"/>
                  </w:tcBorders>
                  <w:vAlign w:val="center"/>
                </w:tcPr>
                <w:p>
                  <w:pPr>
                    <w:pStyle w:val="11"/>
                    <w:jc w:val="center"/>
                  </w:pPr>
                </w:p>
              </w:tc>
              <w:tc>
                <w:tcPr>
                  <w:tcW w:w="667" w:type="dxa"/>
                  <w:tcBorders>
                    <w:tl2br w:val="nil"/>
                    <w:tr2bl w:val="nil"/>
                  </w:tcBorders>
                  <w:vAlign w:val="center"/>
                </w:tcPr>
                <w:p>
                  <w:pPr>
                    <w:pStyle w:val="11"/>
                    <w:jc w:val="center"/>
                    <w:rPr>
                      <w:kern w:val="2"/>
                    </w:rPr>
                  </w:pPr>
                  <w:r>
                    <w:rPr>
                      <w:rFonts w:hint="eastAsia"/>
                      <w:kern w:val="2"/>
                    </w:rPr>
                    <w:t>107.52568245</w:t>
                  </w:r>
                </w:p>
              </w:tc>
              <w:tc>
                <w:tcPr>
                  <w:tcW w:w="693" w:type="dxa"/>
                  <w:tcBorders>
                    <w:tl2br w:val="nil"/>
                    <w:tr2bl w:val="nil"/>
                  </w:tcBorders>
                  <w:vAlign w:val="center"/>
                </w:tcPr>
                <w:p>
                  <w:pPr>
                    <w:pStyle w:val="11"/>
                    <w:jc w:val="center"/>
                    <w:rPr>
                      <w:kern w:val="2"/>
                    </w:rPr>
                  </w:pPr>
                  <w:r>
                    <w:rPr>
                      <w:rFonts w:hint="eastAsia"/>
                      <w:kern w:val="2"/>
                    </w:rPr>
                    <w:t>31.35706810</w:t>
                  </w:r>
                </w:p>
              </w:tc>
              <w:tc>
                <w:tcPr>
                  <w:tcW w:w="840" w:type="dxa"/>
                  <w:tcBorders>
                    <w:tl2br w:val="nil"/>
                    <w:tr2bl w:val="nil"/>
                  </w:tcBorders>
                  <w:vAlign w:val="center"/>
                </w:tcPr>
                <w:p>
                  <w:pPr>
                    <w:pStyle w:val="11"/>
                    <w:jc w:val="center"/>
                    <w:rPr>
                      <w:rFonts w:hint="default" w:eastAsia="宋体"/>
                      <w:kern w:val="2"/>
                      <w:lang w:val="en-US" w:eastAsia="zh-CN"/>
                    </w:rPr>
                  </w:pPr>
                  <w:r>
                    <w:rPr>
                      <w:rFonts w:hint="eastAsia"/>
                      <w:kern w:val="2"/>
                      <w:lang w:val="en-US" w:eastAsia="zh-CN"/>
                    </w:rPr>
                    <w:t>杨家村居民散户</w:t>
                  </w:r>
                </w:p>
              </w:tc>
              <w:tc>
                <w:tcPr>
                  <w:tcW w:w="773" w:type="dxa"/>
                  <w:tcBorders>
                    <w:tl2br w:val="nil"/>
                    <w:tr2bl w:val="nil"/>
                  </w:tcBorders>
                  <w:vAlign w:val="center"/>
                </w:tcPr>
                <w:p>
                  <w:pPr>
                    <w:pStyle w:val="11"/>
                    <w:jc w:val="center"/>
                    <w:rPr>
                      <w:rFonts w:hint="eastAsia" w:eastAsia="宋体"/>
                      <w:kern w:val="2"/>
                      <w:lang w:val="en-US" w:eastAsia="zh-CN"/>
                    </w:rPr>
                  </w:pPr>
                  <w:r>
                    <w:rPr>
                      <w:rFonts w:hint="eastAsia"/>
                      <w:kern w:val="2"/>
                      <w:lang w:val="en-US" w:eastAsia="zh-CN"/>
                    </w:rPr>
                    <w:t>居住</w:t>
                  </w:r>
                </w:p>
              </w:tc>
              <w:tc>
                <w:tcPr>
                  <w:tcW w:w="720" w:type="dxa"/>
                  <w:tcBorders>
                    <w:tl2br w:val="nil"/>
                    <w:tr2bl w:val="nil"/>
                  </w:tcBorders>
                  <w:vAlign w:val="center"/>
                </w:tcPr>
                <w:p>
                  <w:pPr>
                    <w:pStyle w:val="11"/>
                    <w:jc w:val="center"/>
                    <w:rPr>
                      <w:rFonts w:hint="default" w:eastAsia="宋体"/>
                      <w:kern w:val="2"/>
                      <w:lang w:val="en-US" w:eastAsia="zh-CN"/>
                    </w:rPr>
                  </w:pPr>
                  <w:r>
                    <w:rPr>
                      <w:rFonts w:hint="eastAsia"/>
                      <w:kern w:val="2"/>
                      <w:lang w:val="en-US" w:eastAsia="zh-CN"/>
                    </w:rPr>
                    <w:t>5人</w:t>
                  </w:r>
                </w:p>
              </w:tc>
              <w:tc>
                <w:tcPr>
                  <w:tcW w:w="787" w:type="dxa"/>
                  <w:tcBorders>
                    <w:tl2br w:val="nil"/>
                    <w:tr2bl w:val="nil"/>
                  </w:tcBorders>
                  <w:vAlign w:val="center"/>
                </w:tcPr>
                <w:p>
                  <w:pPr>
                    <w:pStyle w:val="11"/>
                    <w:jc w:val="center"/>
                    <w:rPr>
                      <w:rFonts w:hint="eastAsia" w:eastAsia="宋体"/>
                      <w:kern w:val="2"/>
                      <w:lang w:val="en-US" w:eastAsia="zh-CN"/>
                    </w:rPr>
                  </w:pPr>
                  <w:r>
                    <w:rPr>
                      <w:rFonts w:hint="eastAsia"/>
                      <w:kern w:val="2"/>
                      <w:lang w:val="en-US" w:eastAsia="zh-CN"/>
                    </w:rPr>
                    <w:t>东侧</w:t>
                  </w:r>
                </w:p>
              </w:tc>
              <w:tc>
                <w:tcPr>
                  <w:tcW w:w="1013" w:type="dxa"/>
                  <w:tcBorders>
                    <w:tl2br w:val="nil"/>
                    <w:tr2bl w:val="nil"/>
                  </w:tcBorders>
                  <w:vAlign w:val="center"/>
                </w:tcPr>
                <w:p>
                  <w:pPr>
                    <w:pStyle w:val="11"/>
                    <w:jc w:val="center"/>
                    <w:rPr>
                      <w:rFonts w:hint="default" w:eastAsia="宋体"/>
                      <w:kern w:val="2"/>
                      <w:lang w:val="en-US" w:eastAsia="zh-CN"/>
                    </w:rPr>
                  </w:pPr>
                  <w:r>
                    <w:rPr>
                      <w:rFonts w:hint="eastAsia"/>
                      <w:kern w:val="2"/>
                      <w:lang w:val="en-US" w:eastAsia="zh-CN"/>
                    </w:rPr>
                    <w:t>450m</w:t>
                  </w:r>
                </w:p>
              </w:tc>
              <w:tc>
                <w:tcPr>
                  <w:tcW w:w="2371" w:type="dxa"/>
                  <w:vMerge w:val="continue"/>
                  <w:tcBorders>
                    <w:tl2br w:val="nil"/>
                    <w:tr2bl w:val="nil"/>
                  </w:tcBorders>
                  <w:vAlign w:val="center"/>
                </w:tcPr>
                <w:p>
                  <w:pPr>
                    <w:pStyle w:val="11"/>
                    <w:jc w:val="center"/>
                    <w:rPr>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42" w:type="dxa"/>
                  <w:vMerge w:val="continue"/>
                  <w:tcBorders>
                    <w:tl2br w:val="nil"/>
                    <w:tr2bl w:val="nil"/>
                  </w:tcBorders>
                  <w:vAlign w:val="center"/>
                </w:tcPr>
                <w:p>
                  <w:pPr>
                    <w:pStyle w:val="11"/>
                    <w:jc w:val="center"/>
                    <w:rPr>
                      <w:kern w:val="2"/>
                    </w:rPr>
                  </w:pPr>
                </w:p>
              </w:tc>
              <w:tc>
                <w:tcPr>
                  <w:tcW w:w="667" w:type="dxa"/>
                  <w:tcBorders>
                    <w:tl2br w:val="nil"/>
                    <w:tr2bl w:val="nil"/>
                  </w:tcBorders>
                  <w:vAlign w:val="center"/>
                </w:tcPr>
                <w:p>
                  <w:pPr>
                    <w:pStyle w:val="11"/>
                    <w:jc w:val="center"/>
                    <w:rPr>
                      <w:rFonts w:ascii="Times New Roman" w:hAnsi="Times New Roman" w:eastAsia="宋体" w:cs="Times New Roman"/>
                      <w:kern w:val="2"/>
                      <w:sz w:val="21"/>
                      <w:szCs w:val="21"/>
                      <w:lang w:val="en-US" w:eastAsia="zh-CN" w:bidi="ar-SA"/>
                    </w:rPr>
                  </w:pPr>
                  <w:r>
                    <w:rPr>
                      <w:rFonts w:hint="eastAsia"/>
                      <w:kern w:val="2"/>
                    </w:rPr>
                    <w:t>107.52243161</w:t>
                  </w:r>
                </w:p>
              </w:tc>
              <w:tc>
                <w:tcPr>
                  <w:tcW w:w="693" w:type="dxa"/>
                  <w:tcBorders>
                    <w:tl2br w:val="nil"/>
                    <w:tr2bl w:val="nil"/>
                  </w:tcBorders>
                  <w:vAlign w:val="center"/>
                </w:tcPr>
                <w:p>
                  <w:pPr>
                    <w:pStyle w:val="11"/>
                    <w:jc w:val="center"/>
                    <w:rPr>
                      <w:rFonts w:ascii="Times New Roman" w:hAnsi="Times New Roman" w:eastAsia="宋体" w:cs="Times New Roman"/>
                      <w:kern w:val="2"/>
                      <w:sz w:val="21"/>
                      <w:szCs w:val="21"/>
                      <w:lang w:val="en-US" w:eastAsia="zh-CN" w:bidi="ar-SA"/>
                    </w:rPr>
                  </w:pPr>
                  <w:r>
                    <w:rPr>
                      <w:rFonts w:hint="eastAsia"/>
                      <w:kern w:val="2"/>
                    </w:rPr>
                    <w:t>31.35313302</w:t>
                  </w:r>
                </w:p>
              </w:tc>
              <w:tc>
                <w:tcPr>
                  <w:tcW w:w="840" w:type="dxa"/>
                  <w:tcBorders>
                    <w:tl2br w:val="nil"/>
                    <w:tr2bl w:val="nil"/>
                  </w:tcBorders>
                  <w:vAlign w:val="center"/>
                </w:tcPr>
                <w:p>
                  <w:pPr>
                    <w:pStyle w:val="11"/>
                    <w:jc w:val="center"/>
                    <w:rPr>
                      <w:rFonts w:hint="default" w:ascii="Times New Roman" w:hAnsi="Times New Roman" w:eastAsia="宋体" w:cs="Times New Roman"/>
                      <w:kern w:val="2"/>
                      <w:sz w:val="21"/>
                      <w:szCs w:val="21"/>
                      <w:lang w:val="en-US" w:eastAsia="zh-CN" w:bidi="ar-SA"/>
                    </w:rPr>
                  </w:pPr>
                  <w:r>
                    <w:rPr>
                      <w:rFonts w:hint="eastAsia"/>
                      <w:kern w:val="2"/>
                      <w:lang w:val="en-US" w:eastAsia="zh-CN"/>
                    </w:rPr>
                    <w:t>沿街商铺</w:t>
                  </w:r>
                </w:p>
              </w:tc>
              <w:tc>
                <w:tcPr>
                  <w:tcW w:w="773" w:type="dxa"/>
                  <w:tcBorders>
                    <w:tl2br w:val="nil"/>
                    <w:tr2bl w:val="nil"/>
                  </w:tcBorders>
                  <w:vAlign w:val="center"/>
                </w:tcPr>
                <w:p>
                  <w:pPr>
                    <w:pStyle w:val="11"/>
                    <w:jc w:val="center"/>
                    <w:rPr>
                      <w:rFonts w:hint="default" w:ascii="Times New Roman" w:hAnsi="Times New Roman" w:eastAsia="宋体" w:cs="Times New Roman"/>
                      <w:kern w:val="2"/>
                      <w:sz w:val="21"/>
                      <w:szCs w:val="21"/>
                      <w:lang w:val="en-US" w:eastAsia="zh-CN" w:bidi="ar-SA"/>
                    </w:rPr>
                  </w:pPr>
                  <w:r>
                    <w:rPr>
                      <w:rFonts w:hint="eastAsia"/>
                      <w:kern w:val="2"/>
                      <w:lang w:val="en-US" w:eastAsia="zh-CN"/>
                    </w:rPr>
                    <w:t>零售</w:t>
                  </w:r>
                </w:p>
              </w:tc>
              <w:tc>
                <w:tcPr>
                  <w:tcW w:w="720" w:type="dxa"/>
                  <w:tcBorders>
                    <w:tl2br w:val="nil"/>
                    <w:tr2bl w:val="nil"/>
                  </w:tcBorders>
                  <w:vAlign w:val="center"/>
                </w:tcPr>
                <w:p>
                  <w:pPr>
                    <w:pStyle w:val="11"/>
                    <w:jc w:val="center"/>
                    <w:rPr>
                      <w:rFonts w:hint="default" w:ascii="Times New Roman" w:hAnsi="Times New Roman" w:eastAsia="宋体" w:cs="Times New Roman"/>
                      <w:kern w:val="2"/>
                      <w:sz w:val="21"/>
                      <w:szCs w:val="21"/>
                      <w:lang w:val="en-US" w:eastAsia="zh-CN" w:bidi="ar-SA"/>
                    </w:rPr>
                  </w:pPr>
                  <w:r>
                    <w:rPr>
                      <w:rFonts w:hint="eastAsia"/>
                      <w:kern w:val="2"/>
                      <w:lang w:val="en-US" w:eastAsia="zh-CN"/>
                    </w:rPr>
                    <w:t>20人</w:t>
                  </w:r>
                </w:p>
              </w:tc>
              <w:tc>
                <w:tcPr>
                  <w:tcW w:w="787" w:type="dxa"/>
                  <w:tcBorders>
                    <w:tl2br w:val="nil"/>
                    <w:tr2bl w:val="nil"/>
                  </w:tcBorders>
                  <w:vAlign w:val="center"/>
                </w:tcPr>
                <w:p>
                  <w:pPr>
                    <w:pStyle w:val="11"/>
                    <w:jc w:val="center"/>
                    <w:rPr>
                      <w:rFonts w:ascii="Times New Roman" w:hAnsi="Times New Roman" w:eastAsia="宋体" w:cs="Times New Roman"/>
                      <w:sz w:val="21"/>
                      <w:szCs w:val="21"/>
                      <w:lang w:val="en-US" w:eastAsia="zh-CN" w:bidi="ar-SA"/>
                    </w:rPr>
                  </w:pPr>
                  <w:r>
                    <w:t>东</w:t>
                  </w:r>
                  <w:r>
                    <w:rPr>
                      <w:rFonts w:hint="eastAsia"/>
                      <w:lang w:val="en-US" w:eastAsia="zh-CN"/>
                    </w:rPr>
                    <w:t>南</w:t>
                  </w:r>
                  <w:r>
                    <w:t>侧</w:t>
                  </w:r>
                </w:p>
              </w:tc>
              <w:tc>
                <w:tcPr>
                  <w:tcW w:w="1013" w:type="dxa"/>
                  <w:tcBorders>
                    <w:tl2br w:val="nil"/>
                    <w:tr2bl w:val="nil"/>
                  </w:tcBorders>
                  <w:vAlign w:val="center"/>
                </w:tcPr>
                <w:p>
                  <w:pPr>
                    <w:pStyle w:val="11"/>
                    <w:jc w:val="center"/>
                    <w:rPr>
                      <w:rFonts w:hint="default" w:ascii="Times New Roman" w:hAnsi="Times New Roman" w:eastAsia="宋体" w:cs="Times New Roman"/>
                      <w:sz w:val="21"/>
                      <w:szCs w:val="21"/>
                      <w:lang w:val="en-US" w:eastAsia="zh-CN" w:bidi="ar-SA"/>
                    </w:rPr>
                  </w:pPr>
                  <w:r>
                    <w:rPr>
                      <w:rFonts w:hint="eastAsia"/>
                      <w:lang w:val="en-US" w:eastAsia="zh-CN"/>
                    </w:rPr>
                    <w:t>220m</w:t>
                  </w:r>
                </w:p>
              </w:tc>
              <w:tc>
                <w:tcPr>
                  <w:tcW w:w="2371" w:type="dxa"/>
                  <w:vMerge w:val="continue"/>
                  <w:tcBorders>
                    <w:tl2br w:val="nil"/>
                    <w:tr2bl w:val="nil"/>
                  </w:tcBorders>
                  <w:vAlign w:val="center"/>
                </w:tcPr>
                <w:p>
                  <w:pPr>
                    <w:pStyle w:val="11"/>
                    <w:jc w:val="center"/>
                    <w:rPr>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2" w:type="dxa"/>
                  <w:tcBorders>
                    <w:tl2br w:val="nil"/>
                    <w:tr2bl w:val="nil"/>
                  </w:tcBorders>
                  <w:vAlign w:val="center"/>
                </w:tcPr>
                <w:p>
                  <w:pPr>
                    <w:pStyle w:val="11"/>
                    <w:jc w:val="center"/>
                  </w:pPr>
                  <w:r>
                    <w:t>声环境</w:t>
                  </w:r>
                </w:p>
                <w:p>
                  <w:pPr>
                    <w:pStyle w:val="11"/>
                    <w:jc w:val="center"/>
                  </w:pPr>
                  <w:r>
                    <w:t>保护目标</w:t>
                  </w:r>
                </w:p>
              </w:tc>
              <w:tc>
                <w:tcPr>
                  <w:tcW w:w="667" w:type="dxa"/>
                  <w:tcBorders>
                    <w:tl2br w:val="nil"/>
                    <w:tr2bl w:val="nil"/>
                  </w:tcBorders>
                  <w:vAlign w:val="center"/>
                </w:tcPr>
                <w:p>
                  <w:pPr>
                    <w:pStyle w:val="11"/>
                    <w:jc w:val="center"/>
                    <w:rPr>
                      <w:kern w:val="2"/>
                    </w:rPr>
                  </w:pPr>
                  <w:r>
                    <w:rPr>
                      <w:kern w:val="2"/>
                    </w:rPr>
                    <w:t>/</w:t>
                  </w:r>
                </w:p>
              </w:tc>
              <w:tc>
                <w:tcPr>
                  <w:tcW w:w="693" w:type="dxa"/>
                  <w:tcBorders>
                    <w:tl2br w:val="nil"/>
                    <w:tr2bl w:val="nil"/>
                  </w:tcBorders>
                  <w:vAlign w:val="center"/>
                </w:tcPr>
                <w:p>
                  <w:pPr>
                    <w:pStyle w:val="11"/>
                    <w:jc w:val="center"/>
                    <w:rPr>
                      <w:kern w:val="2"/>
                    </w:rPr>
                  </w:pPr>
                  <w:r>
                    <w:rPr>
                      <w:kern w:val="2"/>
                    </w:rPr>
                    <w:t>/</w:t>
                  </w:r>
                </w:p>
              </w:tc>
              <w:tc>
                <w:tcPr>
                  <w:tcW w:w="840" w:type="dxa"/>
                  <w:tcBorders>
                    <w:tl2br w:val="nil"/>
                    <w:tr2bl w:val="nil"/>
                  </w:tcBorders>
                  <w:vAlign w:val="center"/>
                </w:tcPr>
                <w:p>
                  <w:pPr>
                    <w:pStyle w:val="11"/>
                    <w:jc w:val="center"/>
                    <w:rPr>
                      <w:kern w:val="2"/>
                    </w:rPr>
                  </w:pPr>
                  <w:r>
                    <w:rPr>
                      <w:kern w:val="2"/>
                    </w:rPr>
                    <w:t>/</w:t>
                  </w:r>
                </w:p>
              </w:tc>
              <w:tc>
                <w:tcPr>
                  <w:tcW w:w="773" w:type="dxa"/>
                  <w:tcBorders>
                    <w:tl2br w:val="nil"/>
                    <w:tr2bl w:val="nil"/>
                  </w:tcBorders>
                  <w:vAlign w:val="center"/>
                </w:tcPr>
                <w:p>
                  <w:pPr>
                    <w:pStyle w:val="11"/>
                    <w:jc w:val="center"/>
                    <w:rPr>
                      <w:kern w:val="2"/>
                    </w:rPr>
                  </w:pPr>
                  <w:r>
                    <w:rPr>
                      <w:kern w:val="2"/>
                    </w:rPr>
                    <w:t>/</w:t>
                  </w:r>
                </w:p>
              </w:tc>
              <w:tc>
                <w:tcPr>
                  <w:tcW w:w="720" w:type="dxa"/>
                  <w:tcBorders>
                    <w:tl2br w:val="nil"/>
                    <w:tr2bl w:val="nil"/>
                  </w:tcBorders>
                  <w:vAlign w:val="center"/>
                </w:tcPr>
                <w:p>
                  <w:pPr>
                    <w:pStyle w:val="11"/>
                    <w:jc w:val="center"/>
                    <w:rPr>
                      <w:kern w:val="2"/>
                    </w:rPr>
                  </w:pPr>
                  <w:r>
                    <w:rPr>
                      <w:kern w:val="2"/>
                    </w:rPr>
                    <w:t>/</w:t>
                  </w:r>
                </w:p>
              </w:tc>
              <w:tc>
                <w:tcPr>
                  <w:tcW w:w="787" w:type="dxa"/>
                  <w:tcBorders>
                    <w:tl2br w:val="nil"/>
                    <w:tr2bl w:val="nil"/>
                  </w:tcBorders>
                  <w:vAlign w:val="center"/>
                </w:tcPr>
                <w:p>
                  <w:pPr>
                    <w:pStyle w:val="11"/>
                    <w:jc w:val="center"/>
                    <w:rPr>
                      <w:kern w:val="2"/>
                    </w:rPr>
                  </w:pPr>
                  <w:r>
                    <w:rPr>
                      <w:kern w:val="2"/>
                    </w:rPr>
                    <w:t>/</w:t>
                  </w:r>
                </w:p>
              </w:tc>
              <w:tc>
                <w:tcPr>
                  <w:tcW w:w="1013" w:type="dxa"/>
                  <w:tcBorders>
                    <w:tl2br w:val="nil"/>
                    <w:tr2bl w:val="nil"/>
                  </w:tcBorders>
                  <w:vAlign w:val="center"/>
                </w:tcPr>
                <w:p>
                  <w:pPr>
                    <w:pStyle w:val="11"/>
                    <w:jc w:val="center"/>
                    <w:rPr>
                      <w:kern w:val="2"/>
                    </w:rPr>
                  </w:pPr>
                  <w:r>
                    <w:rPr>
                      <w:kern w:val="2"/>
                    </w:rPr>
                    <w:t>/</w:t>
                  </w:r>
                </w:p>
              </w:tc>
              <w:tc>
                <w:tcPr>
                  <w:tcW w:w="2371" w:type="dxa"/>
                  <w:tcBorders>
                    <w:tl2br w:val="nil"/>
                    <w:tr2bl w:val="nil"/>
                  </w:tcBorders>
                  <w:vAlign w:val="center"/>
                </w:tcPr>
                <w:p>
                  <w:pPr>
                    <w:pStyle w:val="11"/>
                    <w:jc w:val="center"/>
                  </w:pPr>
                  <w:r>
                    <w:t>《声环境质量标准》</w:t>
                  </w:r>
                </w:p>
                <w:p>
                  <w:pPr>
                    <w:pStyle w:val="11"/>
                    <w:jc w:val="center"/>
                  </w:pPr>
                  <w:r>
                    <w:t>3类标准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2" w:type="dxa"/>
                  <w:tcBorders>
                    <w:tl2br w:val="nil"/>
                    <w:tr2bl w:val="nil"/>
                  </w:tcBorders>
                  <w:vAlign w:val="center"/>
                </w:tcPr>
                <w:p>
                  <w:pPr>
                    <w:pStyle w:val="11"/>
                    <w:jc w:val="center"/>
                  </w:pPr>
                  <w:r>
                    <w:t>地下水保护目标</w:t>
                  </w:r>
                </w:p>
              </w:tc>
              <w:tc>
                <w:tcPr>
                  <w:tcW w:w="7864" w:type="dxa"/>
                  <w:gridSpan w:val="8"/>
                  <w:tcBorders>
                    <w:tl2br w:val="nil"/>
                    <w:tr2bl w:val="nil"/>
                  </w:tcBorders>
                  <w:vAlign w:val="center"/>
                </w:tcPr>
                <w:p>
                  <w:pPr>
                    <w:pStyle w:val="11"/>
                    <w:jc w:val="center"/>
                  </w:pPr>
                  <w:r>
                    <w:t>不破坏区域内地下水环境完整性为标准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2" w:type="dxa"/>
                  <w:tcBorders>
                    <w:tl2br w:val="nil"/>
                    <w:tr2bl w:val="nil"/>
                  </w:tcBorders>
                  <w:vAlign w:val="center"/>
                </w:tcPr>
                <w:p>
                  <w:pPr>
                    <w:pStyle w:val="11"/>
                    <w:jc w:val="center"/>
                  </w:pPr>
                  <w:r>
                    <w:t>生态保护目标</w:t>
                  </w:r>
                </w:p>
              </w:tc>
              <w:tc>
                <w:tcPr>
                  <w:tcW w:w="7864" w:type="dxa"/>
                  <w:gridSpan w:val="8"/>
                  <w:tcBorders>
                    <w:tl2br w:val="nil"/>
                    <w:tr2bl w:val="nil"/>
                  </w:tcBorders>
                  <w:vAlign w:val="center"/>
                </w:tcPr>
                <w:p>
                  <w:pPr>
                    <w:pStyle w:val="11"/>
                    <w:jc w:val="center"/>
                  </w:pPr>
                  <w:r>
                    <w:t>不破坏区域内生态环境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806" w:type="dxa"/>
                  <w:gridSpan w:val="9"/>
                  <w:tcBorders>
                    <w:tl2br w:val="nil"/>
                    <w:tr2bl w:val="nil"/>
                  </w:tcBorders>
                  <w:vAlign w:val="center"/>
                </w:tcPr>
                <w:p>
                  <w:pPr>
                    <w:pStyle w:val="11"/>
                    <w:ind w:firstLine="210" w:firstLineChars="100"/>
                    <w:jc w:val="both"/>
                    <w:rPr>
                      <w:kern w:val="2"/>
                    </w:rPr>
                  </w:pPr>
                  <w:r>
                    <w:t>注：项目所处工业园区内，厂界</w:t>
                  </w:r>
                  <w:r>
                    <w:rPr>
                      <w:rFonts w:hint="eastAsia"/>
                      <w:lang w:val="en-US" w:eastAsia="zh-CN"/>
                    </w:rPr>
                    <w:t>5</w:t>
                  </w:r>
                  <w:r>
                    <w:t>0m范围内无声环境保护目标；</w:t>
                  </w:r>
                </w:p>
              </w:tc>
            </w:tr>
          </w:tbl>
          <w:p>
            <w:pPr>
              <w:spacing w:line="240" w:lineRule="auto"/>
              <w:ind w:firstLine="480"/>
            </w:pPr>
          </w:p>
          <w:p>
            <w:pPr>
              <w:pStyle w:val="11"/>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800" w:type="dxa"/>
            <w:tcMar>
              <w:left w:w="28" w:type="dxa"/>
              <w:right w:w="28" w:type="dxa"/>
            </w:tcMar>
            <w:vAlign w:val="center"/>
          </w:tcPr>
          <w:p>
            <w:pPr>
              <w:pStyle w:val="11"/>
              <w:spacing w:line="360" w:lineRule="auto"/>
              <w:jc w:val="center"/>
              <w:rPr>
                <w:b/>
                <w:bCs/>
                <w:sz w:val="24"/>
                <w:szCs w:val="24"/>
              </w:rPr>
            </w:pPr>
            <w:r>
              <w:rPr>
                <w:b/>
                <w:bCs/>
                <w:sz w:val="24"/>
                <w:szCs w:val="24"/>
              </w:rPr>
              <w:t>污染</w:t>
            </w:r>
          </w:p>
          <w:p>
            <w:pPr>
              <w:pStyle w:val="11"/>
              <w:spacing w:line="360" w:lineRule="auto"/>
              <w:jc w:val="center"/>
              <w:rPr>
                <w:b/>
                <w:bCs/>
                <w:sz w:val="24"/>
                <w:szCs w:val="24"/>
              </w:rPr>
            </w:pPr>
            <w:r>
              <w:rPr>
                <w:b/>
                <w:bCs/>
                <w:sz w:val="24"/>
                <w:szCs w:val="24"/>
              </w:rPr>
              <w:t>物排</w:t>
            </w:r>
          </w:p>
          <w:p>
            <w:pPr>
              <w:pStyle w:val="11"/>
              <w:spacing w:line="360" w:lineRule="auto"/>
              <w:jc w:val="center"/>
              <w:rPr>
                <w:b/>
                <w:bCs/>
                <w:sz w:val="24"/>
                <w:szCs w:val="24"/>
              </w:rPr>
            </w:pPr>
            <w:r>
              <w:rPr>
                <w:b/>
                <w:bCs/>
                <w:sz w:val="24"/>
                <w:szCs w:val="24"/>
              </w:rPr>
              <w:t>放控</w:t>
            </w:r>
          </w:p>
          <w:p>
            <w:pPr>
              <w:pStyle w:val="11"/>
              <w:spacing w:line="360" w:lineRule="auto"/>
              <w:jc w:val="center"/>
              <w:rPr>
                <w:b/>
                <w:bCs/>
                <w:sz w:val="24"/>
                <w:szCs w:val="24"/>
              </w:rPr>
            </w:pPr>
            <w:r>
              <w:rPr>
                <w:b/>
                <w:bCs/>
                <w:sz w:val="24"/>
                <w:szCs w:val="24"/>
              </w:rPr>
              <w:t>制标</w:t>
            </w:r>
          </w:p>
          <w:p>
            <w:pPr>
              <w:pStyle w:val="11"/>
              <w:spacing w:line="360" w:lineRule="auto"/>
              <w:jc w:val="center"/>
            </w:pPr>
            <w:r>
              <w:rPr>
                <w:b/>
                <w:bCs/>
                <w:sz w:val="24"/>
                <w:szCs w:val="24"/>
              </w:rPr>
              <w:t>准</w:t>
            </w:r>
          </w:p>
        </w:tc>
        <w:tc>
          <w:tcPr>
            <w:tcW w:w="9001" w:type="dxa"/>
            <w:vAlign w:val="center"/>
          </w:tcPr>
          <w:p>
            <w:pPr>
              <w:adjustRightInd w:val="0"/>
              <w:snapToGrid w:val="0"/>
              <w:ind w:firstLine="480"/>
            </w:pPr>
            <w:r>
              <w:t>1、废气排放标准</w:t>
            </w:r>
          </w:p>
          <w:p>
            <w:pPr>
              <w:adjustRightInd w:val="0"/>
              <w:snapToGrid w:val="0"/>
              <w:ind w:firstLine="480"/>
            </w:pPr>
            <w:r>
              <w:t>施工期</w:t>
            </w:r>
          </w:p>
          <w:p>
            <w:pPr>
              <w:adjustRightInd w:val="0"/>
              <w:snapToGrid w:val="0"/>
              <w:ind w:firstLine="480"/>
            </w:pPr>
            <w:r>
              <w:t>扬尘执行《四川省施工场地扬尘排放标准》（DB51/2682-2020）相关标准，排放限值详见下表。</w:t>
            </w:r>
          </w:p>
          <w:p>
            <w:pPr>
              <w:pStyle w:val="11"/>
              <w:jc w:val="center"/>
              <w:rPr>
                <w:b/>
                <w:bCs/>
              </w:rPr>
            </w:pPr>
            <w:r>
              <w:rPr>
                <w:b/>
                <w:bCs/>
              </w:rPr>
              <w:t>表3-3   《四川省施工场地扬尘排放标准》</w:t>
            </w:r>
          </w:p>
          <w:tbl>
            <w:tblPr>
              <w:tblStyle w:val="6"/>
              <w:tblW w:w="8598" w:type="dxa"/>
              <w:jc w:val="center"/>
              <w:tblBorders>
                <w:top w:val="single" w:color="auto" w:sz="4"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99" w:type="dxa"/>
                <w:bottom w:w="0" w:type="dxa"/>
                <w:right w:w="99" w:type="dxa"/>
              </w:tblCellMar>
            </w:tblPr>
            <w:tblGrid>
              <w:gridCol w:w="1550"/>
              <w:gridCol w:w="1177"/>
              <w:gridCol w:w="2139"/>
              <w:gridCol w:w="2151"/>
              <w:gridCol w:w="1581"/>
            </w:tblGrid>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550" w:type="dxa"/>
                  <w:vMerge w:val="restart"/>
                  <w:vAlign w:val="center"/>
                </w:tcPr>
                <w:p>
                  <w:pPr>
                    <w:pStyle w:val="11"/>
                    <w:jc w:val="center"/>
                    <w:rPr>
                      <w:b/>
                      <w:bCs/>
                    </w:rPr>
                  </w:pPr>
                  <w:r>
                    <w:rPr>
                      <w:b/>
                      <w:bCs/>
                    </w:rPr>
                    <w:t>污染物</w:t>
                  </w:r>
                </w:p>
              </w:tc>
              <w:tc>
                <w:tcPr>
                  <w:tcW w:w="1177" w:type="dxa"/>
                  <w:vMerge w:val="restart"/>
                  <w:vAlign w:val="center"/>
                </w:tcPr>
                <w:p>
                  <w:pPr>
                    <w:pStyle w:val="11"/>
                    <w:jc w:val="center"/>
                    <w:rPr>
                      <w:b/>
                      <w:bCs/>
                    </w:rPr>
                  </w:pPr>
                  <w:r>
                    <w:rPr>
                      <w:b/>
                      <w:bCs/>
                    </w:rPr>
                    <w:t>区域</w:t>
                  </w:r>
                </w:p>
              </w:tc>
              <w:tc>
                <w:tcPr>
                  <w:tcW w:w="4290" w:type="dxa"/>
                  <w:gridSpan w:val="2"/>
                  <w:vAlign w:val="center"/>
                </w:tcPr>
                <w:p>
                  <w:pPr>
                    <w:pStyle w:val="11"/>
                    <w:jc w:val="center"/>
                    <w:rPr>
                      <w:b/>
                      <w:bCs/>
                    </w:rPr>
                  </w:pPr>
                  <w:r>
                    <w:rPr>
                      <w:b/>
                      <w:bCs/>
                    </w:rPr>
                    <w:t>监控浓度限值</w:t>
                  </w:r>
                </w:p>
              </w:tc>
              <w:tc>
                <w:tcPr>
                  <w:tcW w:w="1581" w:type="dxa"/>
                  <w:vMerge w:val="restart"/>
                  <w:vAlign w:val="center"/>
                </w:tcPr>
                <w:p>
                  <w:pPr>
                    <w:pStyle w:val="11"/>
                    <w:jc w:val="center"/>
                    <w:rPr>
                      <w:b/>
                      <w:bCs/>
                    </w:rPr>
                  </w:pPr>
                  <w:r>
                    <w:rPr>
                      <w:b/>
                      <w:bCs/>
                    </w:rPr>
                    <w:t>监测时间</w:t>
                  </w:r>
                </w:p>
              </w:tc>
            </w:tr>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550" w:type="dxa"/>
                  <w:vMerge w:val="continue"/>
                  <w:vAlign w:val="center"/>
                </w:tcPr>
                <w:p>
                  <w:pPr>
                    <w:pStyle w:val="11"/>
                    <w:jc w:val="center"/>
                    <w:rPr>
                      <w:b/>
                      <w:bCs/>
                    </w:rPr>
                  </w:pPr>
                </w:p>
              </w:tc>
              <w:tc>
                <w:tcPr>
                  <w:tcW w:w="1177" w:type="dxa"/>
                  <w:vMerge w:val="continue"/>
                  <w:vAlign w:val="center"/>
                </w:tcPr>
                <w:p>
                  <w:pPr>
                    <w:pStyle w:val="11"/>
                    <w:jc w:val="center"/>
                    <w:rPr>
                      <w:b/>
                      <w:bCs/>
                    </w:rPr>
                  </w:pPr>
                </w:p>
              </w:tc>
              <w:tc>
                <w:tcPr>
                  <w:tcW w:w="2139" w:type="dxa"/>
                  <w:vAlign w:val="center"/>
                </w:tcPr>
                <w:p>
                  <w:pPr>
                    <w:pStyle w:val="11"/>
                    <w:jc w:val="center"/>
                    <w:rPr>
                      <w:b/>
                      <w:bCs/>
                    </w:rPr>
                  </w:pPr>
                  <w:r>
                    <w:rPr>
                      <w:b/>
                      <w:bCs/>
                    </w:rPr>
                    <w:t>施工阶段</w:t>
                  </w:r>
                </w:p>
              </w:tc>
              <w:tc>
                <w:tcPr>
                  <w:tcW w:w="2151" w:type="dxa"/>
                  <w:vAlign w:val="center"/>
                </w:tcPr>
                <w:p>
                  <w:pPr>
                    <w:pStyle w:val="11"/>
                    <w:jc w:val="center"/>
                    <w:rPr>
                      <w:b/>
                      <w:bCs/>
                    </w:rPr>
                  </w:pPr>
                  <w:r>
                    <w:rPr>
                      <w:b/>
                      <w:bCs/>
                    </w:rPr>
                    <w:t>浓度（μg/m</w:t>
                  </w:r>
                  <w:r>
                    <w:rPr>
                      <w:b/>
                      <w:bCs/>
                      <w:vertAlign w:val="superscript"/>
                    </w:rPr>
                    <w:t>3</w:t>
                  </w:r>
                  <w:r>
                    <w:rPr>
                      <w:b/>
                      <w:bCs/>
                    </w:rPr>
                    <w:t>）</w:t>
                  </w:r>
                </w:p>
              </w:tc>
              <w:tc>
                <w:tcPr>
                  <w:tcW w:w="1581" w:type="dxa"/>
                  <w:vMerge w:val="continue"/>
                  <w:vAlign w:val="center"/>
                </w:tcPr>
                <w:p>
                  <w:pPr>
                    <w:pStyle w:val="11"/>
                    <w:jc w:val="center"/>
                    <w:rPr>
                      <w:b/>
                      <w:bCs/>
                    </w:rPr>
                  </w:pPr>
                </w:p>
              </w:tc>
            </w:tr>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550" w:type="dxa"/>
                  <w:vMerge w:val="restart"/>
                  <w:vAlign w:val="center"/>
                </w:tcPr>
                <w:p>
                  <w:pPr>
                    <w:pStyle w:val="11"/>
                    <w:jc w:val="center"/>
                  </w:pPr>
                  <w:r>
                    <w:t>总悬浮颗粒物</w:t>
                  </w:r>
                </w:p>
                <w:p>
                  <w:pPr>
                    <w:pStyle w:val="11"/>
                    <w:jc w:val="center"/>
                  </w:pPr>
                  <w:r>
                    <w:t>（TSP）</w:t>
                  </w:r>
                </w:p>
              </w:tc>
              <w:tc>
                <w:tcPr>
                  <w:tcW w:w="1177" w:type="dxa"/>
                  <w:vMerge w:val="restart"/>
                  <w:vAlign w:val="center"/>
                </w:tcPr>
                <w:p>
                  <w:pPr>
                    <w:pStyle w:val="11"/>
                    <w:jc w:val="center"/>
                  </w:pPr>
                  <w:r>
                    <w:t>达州市</w:t>
                  </w:r>
                </w:p>
              </w:tc>
              <w:tc>
                <w:tcPr>
                  <w:tcW w:w="2139" w:type="dxa"/>
                  <w:vAlign w:val="center"/>
                </w:tcPr>
                <w:p>
                  <w:pPr>
                    <w:pStyle w:val="11"/>
                    <w:jc w:val="center"/>
                  </w:pPr>
                  <w:r>
                    <w:t>拆除工程/土方开挖/土方回填阶段</w:t>
                  </w:r>
                </w:p>
              </w:tc>
              <w:tc>
                <w:tcPr>
                  <w:tcW w:w="2151" w:type="dxa"/>
                  <w:vAlign w:val="center"/>
                </w:tcPr>
                <w:p>
                  <w:pPr>
                    <w:pStyle w:val="11"/>
                    <w:jc w:val="center"/>
                  </w:pPr>
                  <w:r>
                    <w:t>600</w:t>
                  </w:r>
                </w:p>
              </w:tc>
              <w:tc>
                <w:tcPr>
                  <w:tcW w:w="1581" w:type="dxa"/>
                  <w:vMerge w:val="restart"/>
                  <w:vAlign w:val="center"/>
                </w:tcPr>
                <w:p>
                  <w:pPr>
                    <w:pStyle w:val="11"/>
                    <w:jc w:val="center"/>
                  </w:pPr>
                  <w:r>
                    <w:t>自监测起持续15min</w:t>
                  </w:r>
                </w:p>
              </w:tc>
            </w:tr>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550" w:type="dxa"/>
                  <w:vMerge w:val="continue"/>
                  <w:vAlign w:val="center"/>
                </w:tcPr>
                <w:p>
                  <w:pPr>
                    <w:adjustRightInd w:val="0"/>
                    <w:snapToGrid w:val="0"/>
                    <w:ind w:firstLine="480"/>
                  </w:pPr>
                </w:p>
              </w:tc>
              <w:tc>
                <w:tcPr>
                  <w:tcW w:w="1177" w:type="dxa"/>
                  <w:vMerge w:val="continue"/>
                  <w:vAlign w:val="center"/>
                </w:tcPr>
                <w:p>
                  <w:pPr>
                    <w:adjustRightInd w:val="0"/>
                    <w:snapToGrid w:val="0"/>
                    <w:ind w:firstLine="480"/>
                  </w:pPr>
                </w:p>
              </w:tc>
              <w:tc>
                <w:tcPr>
                  <w:tcW w:w="2139" w:type="dxa"/>
                  <w:vAlign w:val="center"/>
                </w:tcPr>
                <w:p>
                  <w:pPr>
                    <w:pStyle w:val="11"/>
                    <w:jc w:val="center"/>
                  </w:pPr>
                  <w:r>
                    <w:t>其他工程阶段</w:t>
                  </w:r>
                </w:p>
              </w:tc>
              <w:tc>
                <w:tcPr>
                  <w:tcW w:w="2151" w:type="dxa"/>
                  <w:vAlign w:val="center"/>
                </w:tcPr>
                <w:p>
                  <w:pPr>
                    <w:pStyle w:val="11"/>
                    <w:jc w:val="center"/>
                  </w:pPr>
                  <w:r>
                    <w:t>250</w:t>
                  </w:r>
                </w:p>
              </w:tc>
              <w:tc>
                <w:tcPr>
                  <w:tcW w:w="1581" w:type="dxa"/>
                  <w:vMerge w:val="continue"/>
                  <w:vAlign w:val="center"/>
                </w:tcPr>
                <w:p>
                  <w:pPr>
                    <w:adjustRightInd w:val="0"/>
                    <w:snapToGrid w:val="0"/>
                    <w:ind w:firstLine="480"/>
                  </w:pPr>
                </w:p>
              </w:tc>
            </w:tr>
          </w:tbl>
          <w:p>
            <w:pPr>
              <w:adjustRightInd w:val="0"/>
              <w:snapToGrid w:val="0"/>
              <w:ind w:firstLine="480"/>
            </w:pPr>
            <w:r>
              <w:t>营运期</w:t>
            </w:r>
          </w:p>
          <w:p>
            <w:pPr>
              <w:ind w:firstLine="480"/>
            </w:pPr>
            <w:r>
              <w:t>天然气燃烧废气执行《锅炉大气污染物排放标准》（GB13271-2014）中相关排放限值；油烟排放执行《饮食业油烟排放标准》（GB18483-2001）中表2要求。</w:t>
            </w:r>
          </w:p>
          <w:p>
            <w:pPr>
              <w:pStyle w:val="11"/>
              <w:jc w:val="center"/>
              <w:rPr>
                <w:b/>
                <w:bCs/>
              </w:rPr>
            </w:pPr>
            <w:r>
              <w:rPr>
                <w:b/>
                <w:bCs/>
              </w:rPr>
              <w:t>表3-4 《锅炉大气污染物排放标准》（GB13271-2014）中重点地区特别排放限值</w:t>
            </w:r>
          </w:p>
          <w:tbl>
            <w:tblPr>
              <w:tblStyle w:val="7"/>
              <w:tblW w:w="823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48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2" w:type="dxa"/>
                  <w:tcBorders>
                    <w:tl2br w:val="nil"/>
                    <w:tr2bl w:val="nil"/>
                  </w:tcBorders>
                  <w:vAlign w:val="center"/>
                </w:tcPr>
                <w:p>
                  <w:pPr>
                    <w:pStyle w:val="11"/>
                    <w:jc w:val="center"/>
                  </w:pPr>
                  <w:r>
                    <w:t>污染物名称</w:t>
                  </w:r>
                </w:p>
              </w:tc>
              <w:tc>
                <w:tcPr>
                  <w:tcW w:w="4836" w:type="dxa"/>
                  <w:tcBorders>
                    <w:tl2br w:val="nil"/>
                    <w:tr2bl w:val="nil"/>
                  </w:tcBorders>
                  <w:vAlign w:val="center"/>
                </w:tcPr>
                <w:p>
                  <w:pPr>
                    <w:pStyle w:val="11"/>
                    <w:jc w:val="center"/>
                  </w:pPr>
                  <w:r>
                    <w:t>燃气锅炉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2" w:type="dxa"/>
                  <w:tcBorders>
                    <w:tl2br w:val="nil"/>
                    <w:tr2bl w:val="nil"/>
                  </w:tcBorders>
                  <w:vAlign w:val="center"/>
                </w:tcPr>
                <w:p>
                  <w:pPr>
                    <w:pStyle w:val="11"/>
                    <w:jc w:val="center"/>
                  </w:pPr>
                  <w:r>
                    <w:t>颗粒物</w:t>
                  </w:r>
                </w:p>
              </w:tc>
              <w:tc>
                <w:tcPr>
                  <w:tcW w:w="4836" w:type="dxa"/>
                  <w:tcBorders>
                    <w:tl2br w:val="nil"/>
                    <w:tr2bl w:val="nil"/>
                  </w:tcBorders>
                  <w:vAlign w:val="center"/>
                </w:tcPr>
                <w:p>
                  <w:pPr>
                    <w:pStyle w:val="11"/>
                    <w:jc w:val="center"/>
                  </w:pPr>
                  <w: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2" w:type="dxa"/>
                  <w:tcBorders>
                    <w:tl2br w:val="nil"/>
                    <w:tr2bl w:val="nil"/>
                  </w:tcBorders>
                  <w:vAlign w:val="center"/>
                </w:tcPr>
                <w:p>
                  <w:pPr>
                    <w:pStyle w:val="11"/>
                    <w:jc w:val="center"/>
                  </w:pPr>
                  <w:r>
                    <w:t>二氧化硫</w:t>
                  </w:r>
                </w:p>
              </w:tc>
              <w:tc>
                <w:tcPr>
                  <w:tcW w:w="4836" w:type="dxa"/>
                  <w:tcBorders>
                    <w:tl2br w:val="nil"/>
                    <w:tr2bl w:val="nil"/>
                  </w:tcBorders>
                  <w:vAlign w:val="center"/>
                </w:tcPr>
                <w:p>
                  <w:pPr>
                    <w:pStyle w:val="11"/>
                    <w:jc w:val="center"/>
                  </w:pPr>
                  <w: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2" w:type="dxa"/>
                  <w:tcBorders>
                    <w:tl2br w:val="nil"/>
                    <w:tr2bl w:val="nil"/>
                  </w:tcBorders>
                  <w:vAlign w:val="center"/>
                </w:tcPr>
                <w:p>
                  <w:pPr>
                    <w:pStyle w:val="11"/>
                    <w:jc w:val="center"/>
                  </w:pPr>
                  <w:r>
                    <w:t>氮氧化物</w:t>
                  </w:r>
                </w:p>
              </w:tc>
              <w:tc>
                <w:tcPr>
                  <w:tcW w:w="4836" w:type="dxa"/>
                  <w:tcBorders>
                    <w:tl2br w:val="nil"/>
                    <w:tr2bl w:val="nil"/>
                  </w:tcBorders>
                  <w:vAlign w:val="center"/>
                </w:tcPr>
                <w:p>
                  <w:pPr>
                    <w:pStyle w:val="11"/>
                    <w:jc w:val="center"/>
                  </w:pPr>
                  <w: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2" w:type="dxa"/>
                  <w:tcBorders>
                    <w:tl2br w:val="nil"/>
                    <w:tr2bl w:val="nil"/>
                  </w:tcBorders>
                  <w:vAlign w:val="center"/>
                </w:tcPr>
                <w:p>
                  <w:pPr>
                    <w:pStyle w:val="11"/>
                    <w:jc w:val="center"/>
                  </w:pPr>
                  <w:r>
                    <w:t>烟气黑度</w:t>
                  </w:r>
                </w:p>
              </w:tc>
              <w:tc>
                <w:tcPr>
                  <w:tcW w:w="4836" w:type="dxa"/>
                  <w:tcBorders>
                    <w:tl2br w:val="nil"/>
                    <w:tr2bl w:val="nil"/>
                  </w:tcBorders>
                  <w:vAlign w:val="center"/>
                </w:tcPr>
                <w:p>
                  <w:pPr>
                    <w:pStyle w:val="11"/>
                    <w:jc w:val="center"/>
                  </w:pPr>
                  <w:r>
                    <w:t>≤1</w:t>
                  </w:r>
                </w:p>
              </w:tc>
            </w:tr>
          </w:tbl>
          <w:p>
            <w:pPr>
              <w:pStyle w:val="11"/>
              <w:jc w:val="center"/>
              <w:rPr>
                <w:b/>
                <w:bCs/>
              </w:rPr>
            </w:pPr>
            <w:r>
              <w:rPr>
                <w:b/>
                <w:bCs/>
              </w:rPr>
              <w:t>表3-5   饮食业油烟排放标准值</w:t>
            </w:r>
          </w:p>
          <w:tbl>
            <w:tblPr>
              <w:tblStyle w:val="7"/>
              <w:tblW w:w="823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00"/>
              <w:gridCol w:w="1787"/>
              <w:gridCol w:w="1863"/>
              <w:gridCol w:w="1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400" w:type="dxa"/>
                  <w:tcBorders>
                    <w:tl2br w:val="nil"/>
                    <w:tr2bl w:val="nil"/>
                  </w:tcBorders>
                  <w:vAlign w:val="center"/>
                </w:tcPr>
                <w:p>
                  <w:pPr>
                    <w:pStyle w:val="11"/>
                    <w:jc w:val="center"/>
                    <w:rPr>
                      <w:b/>
                      <w:bCs/>
                    </w:rPr>
                  </w:pPr>
                  <w:r>
                    <w:rPr>
                      <w:b/>
                      <w:bCs/>
                    </w:rPr>
                    <w:t>规模</w:t>
                  </w:r>
                </w:p>
              </w:tc>
              <w:tc>
                <w:tcPr>
                  <w:tcW w:w="1787" w:type="dxa"/>
                  <w:tcBorders>
                    <w:tl2br w:val="nil"/>
                    <w:tr2bl w:val="nil"/>
                  </w:tcBorders>
                  <w:vAlign w:val="center"/>
                </w:tcPr>
                <w:p>
                  <w:pPr>
                    <w:pStyle w:val="11"/>
                    <w:jc w:val="center"/>
                    <w:rPr>
                      <w:b/>
                      <w:bCs/>
                    </w:rPr>
                  </w:pPr>
                  <w:r>
                    <w:rPr>
                      <w:b/>
                      <w:bCs/>
                    </w:rPr>
                    <w:t>小型</w:t>
                  </w:r>
                </w:p>
              </w:tc>
              <w:tc>
                <w:tcPr>
                  <w:tcW w:w="1863" w:type="dxa"/>
                  <w:tcBorders>
                    <w:tl2br w:val="nil"/>
                    <w:tr2bl w:val="nil"/>
                  </w:tcBorders>
                  <w:vAlign w:val="center"/>
                </w:tcPr>
                <w:p>
                  <w:pPr>
                    <w:pStyle w:val="11"/>
                    <w:jc w:val="center"/>
                    <w:rPr>
                      <w:b/>
                      <w:bCs/>
                    </w:rPr>
                  </w:pPr>
                  <w:r>
                    <w:rPr>
                      <w:b/>
                      <w:bCs/>
                    </w:rPr>
                    <w:t>中型</w:t>
                  </w:r>
                </w:p>
              </w:tc>
              <w:tc>
                <w:tcPr>
                  <w:tcW w:w="1188" w:type="dxa"/>
                  <w:tcBorders>
                    <w:tl2br w:val="nil"/>
                    <w:tr2bl w:val="nil"/>
                  </w:tcBorders>
                  <w:vAlign w:val="center"/>
                </w:tcPr>
                <w:p>
                  <w:pPr>
                    <w:pStyle w:val="11"/>
                    <w:jc w:val="center"/>
                    <w:rPr>
                      <w:b/>
                      <w:bCs/>
                    </w:rPr>
                  </w:pPr>
                  <w:r>
                    <w:rPr>
                      <w:b/>
                      <w:bCs/>
                    </w:rPr>
                    <w:t>大型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0" w:type="dxa"/>
                  <w:tcBorders>
                    <w:tl2br w:val="nil"/>
                    <w:tr2bl w:val="nil"/>
                  </w:tcBorders>
                  <w:vAlign w:val="center"/>
                </w:tcPr>
                <w:p>
                  <w:pPr>
                    <w:pStyle w:val="11"/>
                    <w:jc w:val="center"/>
                  </w:pPr>
                  <w:r>
                    <w:t>最高允许排放浓度（mg/m</w:t>
                  </w:r>
                  <w:r>
                    <w:rPr>
                      <w:vertAlign w:val="superscript"/>
                    </w:rPr>
                    <w:t>3</w:t>
                  </w:r>
                  <w:r>
                    <w:t>（标））</w:t>
                  </w:r>
                </w:p>
              </w:tc>
              <w:tc>
                <w:tcPr>
                  <w:tcW w:w="4838" w:type="dxa"/>
                  <w:gridSpan w:val="3"/>
                  <w:tcBorders>
                    <w:tl2br w:val="nil"/>
                    <w:tr2bl w:val="nil"/>
                  </w:tcBorders>
                  <w:vAlign w:val="center"/>
                </w:tcPr>
                <w:p>
                  <w:pPr>
                    <w:pStyle w:val="11"/>
                    <w:jc w:val="center"/>
                  </w:pPr>
                  <w: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0" w:type="dxa"/>
                  <w:tcBorders>
                    <w:tl2br w:val="nil"/>
                    <w:tr2bl w:val="nil"/>
                  </w:tcBorders>
                  <w:vAlign w:val="center"/>
                </w:tcPr>
                <w:p>
                  <w:pPr>
                    <w:pStyle w:val="11"/>
                    <w:jc w:val="center"/>
                  </w:pPr>
                  <w:r>
                    <w:t>净化设施最低去除效率（%）</w:t>
                  </w:r>
                </w:p>
              </w:tc>
              <w:tc>
                <w:tcPr>
                  <w:tcW w:w="1787" w:type="dxa"/>
                  <w:tcBorders>
                    <w:tl2br w:val="nil"/>
                    <w:tr2bl w:val="nil"/>
                  </w:tcBorders>
                  <w:vAlign w:val="center"/>
                </w:tcPr>
                <w:p>
                  <w:pPr>
                    <w:pStyle w:val="11"/>
                    <w:jc w:val="center"/>
                  </w:pPr>
                  <w:r>
                    <w:t>60</w:t>
                  </w:r>
                </w:p>
              </w:tc>
              <w:tc>
                <w:tcPr>
                  <w:tcW w:w="1863" w:type="dxa"/>
                  <w:tcBorders>
                    <w:tl2br w:val="nil"/>
                    <w:tr2bl w:val="nil"/>
                  </w:tcBorders>
                  <w:vAlign w:val="center"/>
                </w:tcPr>
                <w:p>
                  <w:pPr>
                    <w:pStyle w:val="11"/>
                    <w:jc w:val="center"/>
                  </w:pPr>
                  <w:r>
                    <w:t>75</w:t>
                  </w:r>
                </w:p>
              </w:tc>
              <w:tc>
                <w:tcPr>
                  <w:tcW w:w="1188" w:type="dxa"/>
                  <w:tcBorders>
                    <w:tl2br w:val="nil"/>
                    <w:tr2bl w:val="nil"/>
                  </w:tcBorders>
                  <w:vAlign w:val="center"/>
                </w:tcPr>
                <w:p>
                  <w:pPr>
                    <w:pStyle w:val="11"/>
                    <w:jc w:val="center"/>
                  </w:pPr>
                  <w:r>
                    <w:t>85</w:t>
                  </w:r>
                </w:p>
              </w:tc>
            </w:tr>
          </w:tbl>
          <w:p>
            <w:pPr>
              <w:adjustRightInd w:val="0"/>
              <w:snapToGrid w:val="0"/>
              <w:ind w:firstLine="480"/>
            </w:pPr>
            <w:r>
              <w:t>2、噪声排放标准</w:t>
            </w:r>
          </w:p>
          <w:p>
            <w:pPr>
              <w:adjustRightInd w:val="0"/>
              <w:snapToGrid w:val="0"/>
              <w:ind w:firstLine="480"/>
            </w:pPr>
            <w:r>
              <w:t>施工期噪声执行《建筑施工场界环境噪声排放标准》GB(12523-2011)</w:t>
            </w:r>
            <w:r>
              <w:rPr>
                <w:rFonts w:hint="eastAsia"/>
              </w:rPr>
              <w:t>相关</w:t>
            </w:r>
            <w:r>
              <w:t>排放标准。</w:t>
            </w:r>
          </w:p>
          <w:p>
            <w:pPr>
              <w:pStyle w:val="11"/>
              <w:jc w:val="center"/>
              <w:rPr>
                <w:b/>
                <w:bCs/>
                <w:sz w:val="21"/>
                <w:szCs w:val="21"/>
              </w:rPr>
            </w:pPr>
            <w:r>
              <w:rPr>
                <w:b/>
                <w:bCs/>
                <w:sz w:val="21"/>
                <w:szCs w:val="21"/>
              </w:rPr>
              <w:t>表3-</w:t>
            </w:r>
            <w:r>
              <w:rPr>
                <w:rFonts w:hint="eastAsia"/>
                <w:b/>
                <w:bCs/>
                <w:sz w:val="21"/>
                <w:szCs w:val="21"/>
              </w:rPr>
              <w:t xml:space="preserve">6  </w:t>
            </w:r>
            <w:r>
              <w:rPr>
                <w:b/>
                <w:bCs/>
                <w:sz w:val="21"/>
                <w:szCs w:val="21"/>
              </w:rPr>
              <w:t xml:space="preserve"> 建筑施工场界环境噪声排放标准   单位：dB(A)</w:t>
            </w:r>
          </w:p>
          <w:tbl>
            <w:tblPr>
              <w:tblStyle w:val="6"/>
              <w:tblW w:w="85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20"/>
              <w:gridCol w:w="4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0" w:type="dxa"/>
                  <w:vAlign w:val="center"/>
                </w:tcPr>
                <w:p>
                  <w:pPr>
                    <w:adjustRightInd w:val="0"/>
                    <w:snapToGrid w:val="0"/>
                    <w:spacing w:line="240" w:lineRule="auto"/>
                    <w:ind w:firstLine="482"/>
                    <w:jc w:val="center"/>
                    <w:rPr>
                      <w:b/>
                      <w:bCs/>
                      <w:sz w:val="21"/>
                      <w:szCs w:val="21"/>
                    </w:rPr>
                  </w:pPr>
                  <w:r>
                    <w:rPr>
                      <w:b/>
                      <w:bCs/>
                      <w:sz w:val="21"/>
                      <w:szCs w:val="21"/>
                    </w:rPr>
                    <w:t>昼间</w:t>
                  </w:r>
                </w:p>
              </w:tc>
              <w:tc>
                <w:tcPr>
                  <w:tcW w:w="4081" w:type="dxa"/>
                  <w:vAlign w:val="center"/>
                </w:tcPr>
                <w:p>
                  <w:pPr>
                    <w:adjustRightInd w:val="0"/>
                    <w:snapToGrid w:val="0"/>
                    <w:spacing w:line="240" w:lineRule="auto"/>
                    <w:ind w:firstLine="482"/>
                    <w:jc w:val="center"/>
                    <w:rPr>
                      <w:b/>
                      <w:bCs/>
                      <w:sz w:val="21"/>
                      <w:szCs w:val="21"/>
                    </w:rPr>
                  </w:pPr>
                  <w:r>
                    <w:rPr>
                      <w:b/>
                      <w:bCs/>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0" w:type="dxa"/>
                  <w:vAlign w:val="center"/>
                </w:tcPr>
                <w:p>
                  <w:pPr>
                    <w:adjustRightInd w:val="0"/>
                    <w:snapToGrid w:val="0"/>
                    <w:spacing w:line="240" w:lineRule="auto"/>
                    <w:ind w:firstLine="480"/>
                    <w:jc w:val="center"/>
                    <w:rPr>
                      <w:sz w:val="21"/>
                      <w:szCs w:val="21"/>
                    </w:rPr>
                  </w:pPr>
                  <w:r>
                    <w:rPr>
                      <w:sz w:val="21"/>
                      <w:szCs w:val="21"/>
                    </w:rPr>
                    <w:t>70</w:t>
                  </w:r>
                </w:p>
              </w:tc>
              <w:tc>
                <w:tcPr>
                  <w:tcW w:w="4081" w:type="dxa"/>
                  <w:vAlign w:val="center"/>
                </w:tcPr>
                <w:p>
                  <w:pPr>
                    <w:adjustRightInd w:val="0"/>
                    <w:snapToGrid w:val="0"/>
                    <w:spacing w:line="240" w:lineRule="auto"/>
                    <w:ind w:firstLine="480"/>
                    <w:jc w:val="center"/>
                    <w:rPr>
                      <w:sz w:val="21"/>
                      <w:szCs w:val="21"/>
                    </w:rPr>
                  </w:pPr>
                  <w:r>
                    <w:rPr>
                      <w:sz w:val="21"/>
                      <w:szCs w:val="21"/>
                    </w:rPr>
                    <w:t>55</w:t>
                  </w:r>
                </w:p>
              </w:tc>
            </w:tr>
          </w:tbl>
          <w:p>
            <w:pPr>
              <w:adjustRightInd w:val="0"/>
              <w:snapToGrid w:val="0"/>
              <w:ind w:firstLine="480"/>
            </w:pPr>
            <w:r>
              <w:t>营运期噪声执行《工业企业厂界环境噪声排放标准》（GB12348-2008）的3类排放标准。</w:t>
            </w:r>
          </w:p>
          <w:p>
            <w:pPr>
              <w:pStyle w:val="11"/>
              <w:jc w:val="center"/>
              <w:rPr>
                <w:b/>
                <w:bCs/>
                <w:sz w:val="21"/>
                <w:szCs w:val="21"/>
              </w:rPr>
            </w:pPr>
            <w:r>
              <w:rPr>
                <w:b/>
                <w:bCs/>
                <w:sz w:val="21"/>
                <w:szCs w:val="21"/>
              </w:rPr>
              <w:t>表3-</w:t>
            </w:r>
            <w:r>
              <w:rPr>
                <w:rFonts w:hint="eastAsia"/>
                <w:b/>
                <w:bCs/>
                <w:sz w:val="21"/>
                <w:szCs w:val="21"/>
              </w:rPr>
              <w:t>7</w:t>
            </w:r>
            <w:r>
              <w:rPr>
                <w:b/>
                <w:bCs/>
                <w:sz w:val="21"/>
                <w:szCs w:val="21"/>
              </w:rPr>
              <w:t xml:space="preserve">  营运期噪声排放限值  单位：dB（A）</w:t>
            </w:r>
          </w:p>
          <w:tbl>
            <w:tblPr>
              <w:tblStyle w:val="6"/>
              <w:tblW w:w="81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09"/>
              <w:gridCol w:w="2335"/>
              <w:gridCol w:w="2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09" w:type="dxa"/>
                  <w:vAlign w:val="center"/>
                </w:tcPr>
                <w:p>
                  <w:pPr>
                    <w:adjustRightInd w:val="0"/>
                    <w:snapToGrid w:val="0"/>
                    <w:spacing w:line="240" w:lineRule="auto"/>
                    <w:ind w:firstLine="482"/>
                    <w:jc w:val="center"/>
                    <w:rPr>
                      <w:b/>
                      <w:bCs/>
                      <w:sz w:val="21"/>
                      <w:szCs w:val="21"/>
                    </w:rPr>
                  </w:pPr>
                  <w:r>
                    <w:rPr>
                      <w:b/>
                      <w:bCs/>
                      <w:sz w:val="21"/>
                      <w:szCs w:val="21"/>
                    </w:rPr>
                    <w:t>执行标准</w:t>
                  </w:r>
                </w:p>
              </w:tc>
              <w:tc>
                <w:tcPr>
                  <w:tcW w:w="2335" w:type="dxa"/>
                  <w:vAlign w:val="center"/>
                </w:tcPr>
                <w:p>
                  <w:pPr>
                    <w:adjustRightInd w:val="0"/>
                    <w:snapToGrid w:val="0"/>
                    <w:spacing w:line="240" w:lineRule="auto"/>
                    <w:ind w:firstLine="482"/>
                    <w:jc w:val="center"/>
                    <w:rPr>
                      <w:b/>
                      <w:bCs/>
                      <w:sz w:val="21"/>
                      <w:szCs w:val="21"/>
                    </w:rPr>
                  </w:pPr>
                  <w:r>
                    <w:rPr>
                      <w:b/>
                      <w:bCs/>
                      <w:sz w:val="21"/>
                      <w:szCs w:val="21"/>
                    </w:rPr>
                    <w:t>昼间</w:t>
                  </w:r>
                </w:p>
              </w:tc>
              <w:tc>
                <w:tcPr>
                  <w:tcW w:w="2864" w:type="dxa"/>
                  <w:vAlign w:val="center"/>
                </w:tcPr>
                <w:p>
                  <w:pPr>
                    <w:adjustRightInd w:val="0"/>
                    <w:snapToGrid w:val="0"/>
                    <w:spacing w:line="240" w:lineRule="auto"/>
                    <w:ind w:firstLine="482"/>
                    <w:jc w:val="center"/>
                    <w:rPr>
                      <w:b/>
                      <w:bCs/>
                      <w:sz w:val="21"/>
                      <w:szCs w:val="21"/>
                    </w:rPr>
                  </w:pPr>
                  <w:r>
                    <w:rPr>
                      <w:b/>
                      <w:bCs/>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09" w:type="dxa"/>
                  <w:vAlign w:val="center"/>
                </w:tcPr>
                <w:p>
                  <w:pPr>
                    <w:adjustRightInd w:val="0"/>
                    <w:snapToGrid w:val="0"/>
                    <w:spacing w:line="240" w:lineRule="auto"/>
                    <w:ind w:firstLine="480"/>
                    <w:jc w:val="center"/>
                    <w:rPr>
                      <w:sz w:val="21"/>
                      <w:szCs w:val="21"/>
                    </w:rPr>
                  </w:pPr>
                  <w:r>
                    <w:rPr>
                      <w:sz w:val="21"/>
                      <w:szCs w:val="21"/>
                    </w:rPr>
                    <w:t>3类</w:t>
                  </w:r>
                </w:p>
              </w:tc>
              <w:tc>
                <w:tcPr>
                  <w:tcW w:w="2335" w:type="dxa"/>
                  <w:vAlign w:val="center"/>
                </w:tcPr>
                <w:p>
                  <w:pPr>
                    <w:adjustRightInd w:val="0"/>
                    <w:snapToGrid w:val="0"/>
                    <w:spacing w:line="240" w:lineRule="auto"/>
                    <w:ind w:firstLine="480"/>
                    <w:jc w:val="center"/>
                    <w:rPr>
                      <w:sz w:val="21"/>
                      <w:szCs w:val="21"/>
                    </w:rPr>
                  </w:pPr>
                  <w:r>
                    <w:rPr>
                      <w:sz w:val="21"/>
                      <w:szCs w:val="21"/>
                    </w:rPr>
                    <w:t>65</w:t>
                  </w:r>
                </w:p>
              </w:tc>
              <w:tc>
                <w:tcPr>
                  <w:tcW w:w="2864" w:type="dxa"/>
                  <w:vAlign w:val="center"/>
                </w:tcPr>
                <w:p>
                  <w:pPr>
                    <w:adjustRightInd w:val="0"/>
                    <w:snapToGrid w:val="0"/>
                    <w:spacing w:line="240" w:lineRule="auto"/>
                    <w:ind w:firstLine="480"/>
                    <w:jc w:val="center"/>
                    <w:rPr>
                      <w:sz w:val="21"/>
                      <w:szCs w:val="21"/>
                    </w:rPr>
                  </w:pPr>
                  <w:r>
                    <w:rPr>
                      <w:sz w:val="21"/>
                      <w:szCs w:val="21"/>
                    </w:rPr>
                    <w:t>55</w:t>
                  </w:r>
                </w:p>
              </w:tc>
            </w:tr>
          </w:tbl>
          <w:p>
            <w:pPr>
              <w:adjustRightInd w:val="0"/>
              <w:snapToGrid w:val="0"/>
              <w:ind w:firstLine="480"/>
            </w:pPr>
            <w:r>
              <w:t>3、废水排放标准</w:t>
            </w:r>
          </w:p>
          <w:p>
            <w:pPr>
              <w:adjustRightInd w:val="0"/>
              <w:snapToGrid w:val="0"/>
              <w:ind w:firstLine="480"/>
              <w:rPr>
                <w:color w:val="auto"/>
                <w:kern w:val="0"/>
                <w:szCs w:val="21"/>
              </w:rPr>
            </w:pPr>
            <w:r>
              <w:rPr>
                <w:color w:val="auto"/>
              </w:rPr>
              <w:t>本项目的污水经</w:t>
            </w:r>
            <w:r>
              <w:rPr>
                <w:rFonts w:hint="eastAsia"/>
                <w:color w:val="auto"/>
                <w:lang w:val="en-US" w:eastAsia="zh-CN"/>
              </w:rPr>
              <w:t>污水处理站</w:t>
            </w:r>
            <w:r>
              <w:rPr>
                <w:color w:val="auto"/>
              </w:rPr>
              <w:t>处理后排入</w:t>
            </w:r>
            <w:r>
              <w:rPr>
                <w:rFonts w:hint="eastAsia"/>
                <w:color w:val="auto"/>
              </w:rPr>
              <w:t>园区管网</w:t>
            </w:r>
            <w:r>
              <w:rPr>
                <w:rFonts w:hint="eastAsia"/>
                <w:color w:val="auto"/>
                <w:lang w:val="en-US" w:eastAsia="zh-CN"/>
              </w:rPr>
              <w:t>，</w:t>
            </w:r>
            <w:r>
              <w:rPr>
                <w:color w:val="auto"/>
                <w:kern w:val="0"/>
                <w:szCs w:val="21"/>
              </w:rPr>
              <w:t>水污染物排放执行《污水综合排放标准》（GB8978-1996）表4中的三级标准，详见下表。</w:t>
            </w:r>
          </w:p>
          <w:p>
            <w:pPr>
              <w:pStyle w:val="11"/>
              <w:jc w:val="center"/>
              <w:rPr>
                <w:b/>
                <w:bCs/>
                <w:color w:val="auto"/>
                <w:sz w:val="21"/>
                <w:szCs w:val="21"/>
              </w:rPr>
            </w:pPr>
            <w:r>
              <w:rPr>
                <w:b/>
                <w:bCs/>
                <w:color w:val="auto"/>
                <w:sz w:val="21"/>
                <w:szCs w:val="21"/>
              </w:rPr>
              <w:t>表3</w:t>
            </w:r>
            <w:r>
              <w:rPr>
                <w:rFonts w:hint="eastAsia"/>
                <w:b/>
                <w:bCs/>
                <w:color w:val="auto"/>
                <w:sz w:val="21"/>
                <w:szCs w:val="21"/>
              </w:rPr>
              <w:t>-</w:t>
            </w:r>
            <w:r>
              <w:rPr>
                <w:rFonts w:hint="eastAsia"/>
                <w:b/>
                <w:bCs/>
                <w:color w:val="auto"/>
                <w:sz w:val="21"/>
                <w:szCs w:val="21"/>
                <w:lang w:val="en-US" w:eastAsia="zh-CN"/>
              </w:rPr>
              <w:t xml:space="preserve">8  </w:t>
            </w:r>
            <w:r>
              <w:rPr>
                <w:b/>
                <w:bCs/>
                <w:color w:val="auto"/>
                <w:sz w:val="21"/>
                <w:szCs w:val="21"/>
              </w:rPr>
              <w:t>污水排放标准   单位：mg/L</w:t>
            </w:r>
          </w:p>
          <w:tbl>
            <w:tblPr>
              <w:tblStyle w:val="6"/>
              <w:tblW w:w="809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904"/>
              <w:gridCol w:w="1033"/>
              <w:gridCol w:w="1282"/>
              <w:gridCol w:w="777"/>
              <w:gridCol w:w="20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019" w:type="dxa"/>
                  <w:vAlign w:val="center"/>
                </w:tcPr>
                <w:p>
                  <w:pPr>
                    <w:pStyle w:val="11"/>
                    <w:jc w:val="center"/>
                    <w:rPr>
                      <w:b/>
                      <w:bCs/>
                      <w:color w:val="auto"/>
                      <w:sz w:val="21"/>
                      <w:szCs w:val="21"/>
                    </w:rPr>
                  </w:pPr>
                  <w:r>
                    <w:rPr>
                      <w:b/>
                      <w:bCs/>
                      <w:color w:val="auto"/>
                      <w:sz w:val="21"/>
                      <w:szCs w:val="21"/>
                    </w:rPr>
                    <w:t>指标</w:t>
                  </w:r>
                </w:p>
              </w:tc>
              <w:tc>
                <w:tcPr>
                  <w:tcW w:w="904" w:type="dxa"/>
                  <w:vAlign w:val="center"/>
                </w:tcPr>
                <w:p>
                  <w:pPr>
                    <w:pStyle w:val="11"/>
                    <w:jc w:val="center"/>
                    <w:rPr>
                      <w:b/>
                      <w:bCs/>
                      <w:color w:val="auto"/>
                      <w:sz w:val="21"/>
                      <w:szCs w:val="21"/>
                    </w:rPr>
                  </w:pPr>
                  <w:r>
                    <w:rPr>
                      <w:b/>
                      <w:bCs/>
                      <w:color w:val="auto"/>
                      <w:sz w:val="21"/>
                      <w:szCs w:val="21"/>
                    </w:rPr>
                    <w:t>pH</w:t>
                  </w:r>
                </w:p>
              </w:tc>
              <w:tc>
                <w:tcPr>
                  <w:tcW w:w="1033" w:type="dxa"/>
                  <w:vAlign w:val="center"/>
                </w:tcPr>
                <w:p>
                  <w:pPr>
                    <w:pStyle w:val="11"/>
                    <w:jc w:val="center"/>
                    <w:rPr>
                      <w:b/>
                      <w:bCs/>
                      <w:color w:val="auto"/>
                      <w:sz w:val="21"/>
                      <w:szCs w:val="21"/>
                    </w:rPr>
                  </w:pPr>
                  <w:r>
                    <w:rPr>
                      <w:b/>
                      <w:bCs/>
                      <w:color w:val="auto"/>
                      <w:sz w:val="21"/>
                      <w:szCs w:val="21"/>
                    </w:rPr>
                    <w:t>COD</w:t>
                  </w:r>
                  <w:r>
                    <w:rPr>
                      <w:b/>
                      <w:bCs/>
                      <w:color w:val="auto"/>
                      <w:sz w:val="21"/>
                      <w:szCs w:val="21"/>
                      <w:vertAlign w:val="subscript"/>
                    </w:rPr>
                    <w:t>Cr</w:t>
                  </w:r>
                </w:p>
              </w:tc>
              <w:tc>
                <w:tcPr>
                  <w:tcW w:w="1282" w:type="dxa"/>
                  <w:vAlign w:val="center"/>
                </w:tcPr>
                <w:p>
                  <w:pPr>
                    <w:pStyle w:val="11"/>
                    <w:jc w:val="center"/>
                    <w:rPr>
                      <w:b/>
                      <w:bCs/>
                      <w:color w:val="auto"/>
                      <w:sz w:val="21"/>
                      <w:szCs w:val="21"/>
                    </w:rPr>
                  </w:pPr>
                  <w:r>
                    <w:rPr>
                      <w:b/>
                      <w:bCs/>
                      <w:color w:val="auto"/>
                      <w:sz w:val="21"/>
                      <w:szCs w:val="21"/>
                    </w:rPr>
                    <w:t>BOD</w:t>
                  </w:r>
                  <w:r>
                    <w:rPr>
                      <w:b/>
                      <w:bCs/>
                      <w:color w:val="auto"/>
                      <w:sz w:val="21"/>
                      <w:szCs w:val="21"/>
                      <w:vertAlign w:val="subscript"/>
                    </w:rPr>
                    <w:t>5</w:t>
                  </w:r>
                </w:p>
              </w:tc>
              <w:tc>
                <w:tcPr>
                  <w:tcW w:w="777" w:type="dxa"/>
                  <w:vAlign w:val="center"/>
                </w:tcPr>
                <w:p>
                  <w:pPr>
                    <w:pStyle w:val="11"/>
                    <w:jc w:val="center"/>
                    <w:rPr>
                      <w:rFonts w:ascii="Times New Roman" w:hAnsi="Times New Roman" w:eastAsia="宋体" w:cs="Times New Roman"/>
                      <w:b/>
                      <w:bCs/>
                      <w:color w:val="auto"/>
                      <w:sz w:val="21"/>
                      <w:szCs w:val="21"/>
                      <w:lang w:val="en-US" w:eastAsia="zh-CN" w:bidi="ar-SA"/>
                    </w:rPr>
                  </w:pPr>
                  <w:r>
                    <w:rPr>
                      <w:b/>
                      <w:bCs/>
                      <w:color w:val="auto"/>
                      <w:sz w:val="21"/>
                      <w:szCs w:val="21"/>
                    </w:rPr>
                    <w:t>SS</w:t>
                  </w:r>
                </w:p>
              </w:tc>
              <w:tc>
                <w:tcPr>
                  <w:tcW w:w="2078" w:type="dxa"/>
                  <w:vAlign w:val="center"/>
                </w:tcPr>
                <w:p>
                  <w:pPr>
                    <w:pStyle w:val="11"/>
                    <w:jc w:val="center"/>
                    <w:rPr>
                      <w:rFonts w:ascii="Times New Roman" w:hAnsi="Times New Roman" w:eastAsia="宋体" w:cs="Times New Roman"/>
                      <w:b/>
                      <w:bCs/>
                      <w:color w:val="auto"/>
                      <w:sz w:val="21"/>
                      <w:szCs w:val="21"/>
                      <w:lang w:val="en-US" w:eastAsia="zh-CN" w:bidi="ar-SA"/>
                    </w:rPr>
                  </w:pPr>
                  <w:r>
                    <w:rPr>
                      <w:b/>
                      <w:bCs/>
                      <w:color w:val="auto"/>
                      <w:sz w:val="21"/>
                      <w:szCs w:val="21"/>
                    </w:rPr>
                    <w:t>动植物油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vAlign w:val="center"/>
                </w:tcPr>
                <w:p>
                  <w:pPr>
                    <w:pStyle w:val="11"/>
                    <w:jc w:val="center"/>
                    <w:rPr>
                      <w:color w:val="auto"/>
                      <w:sz w:val="21"/>
                      <w:szCs w:val="21"/>
                    </w:rPr>
                  </w:pPr>
                  <w:r>
                    <w:rPr>
                      <w:color w:val="auto"/>
                      <w:sz w:val="21"/>
                      <w:szCs w:val="21"/>
                    </w:rPr>
                    <w:t>最高允许排放浓度</w:t>
                  </w:r>
                </w:p>
              </w:tc>
              <w:tc>
                <w:tcPr>
                  <w:tcW w:w="904" w:type="dxa"/>
                  <w:vAlign w:val="center"/>
                </w:tcPr>
                <w:p>
                  <w:pPr>
                    <w:pStyle w:val="11"/>
                    <w:jc w:val="center"/>
                    <w:rPr>
                      <w:color w:val="auto"/>
                      <w:sz w:val="21"/>
                      <w:szCs w:val="21"/>
                    </w:rPr>
                  </w:pPr>
                  <w:r>
                    <w:rPr>
                      <w:color w:val="auto"/>
                      <w:sz w:val="21"/>
                      <w:szCs w:val="21"/>
                    </w:rPr>
                    <w:t>6~9</w:t>
                  </w:r>
                </w:p>
              </w:tc>
              <w:tc>
                <w:tcPr>
                  <w:tcW w:w="1033" w:type="dxa"/>
                  <w:vAlign w:val="center"/>
                </w:tcPr>
                <w:p>
                  <w:pPr>
                    <w:pStyle w:val="11"/>
                    <w:jc w:val="center"/>
                    <w:rPr>
                      <w:color w:val="auto"/>
                      <w:sz w:val="21"/>
                      <w:szCs w:val="21"/>
                    </w:rPr>
                  </w:pPr>
                  <w:r>
                    <w:rPr>
                      <w:color w:val="auto"/>
                      <w:sz w:val="21"/>
                      <w:szCs w:val="21"/>
                    </w:rPr>
                    <w:t>500</w:t>
                  </w:r>
                </w:p>
              </w:tc>
              <w:tc>
                <w:tcPr>
                  <w:tcW w:w="1282" w:type="dxa"/>
                  <w:vAlign w:val="center"/>
                </w:tcPr>
                <w:p>
                  <w:pPr>
                    <w:pStyle w:val="11"/>
                    <w:jc w:val="center"/>
                    <w:rPr>
                      <w:color w:val="auto"/>
                      <w:sz w:val="21"/>
                      <w:szCs w:val="21"/>
                    </w:rPr>
                  </w:pPr>
                  <w:r>
                    <w:rPr>
                      <w:color w:val="auto"/>
                      <w:sz w:val="21"/>
                      <w:szCs w:val="21"/>
                    </w:rPr>
                    <w:t>300</w:t>
                  </w:r>
                </w:p>
              </w:tc>
              <w:tc>
                <w:tcPr>
                  <w:tcW w:w="777"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400</w:t>
                  </w:r>
                </w:p>
              </w:tc>
              <w:tc>
                <w:tcPr>
                  <w:tcW w:w="2078" w:type="dxa"/>
                  <w:vAlign w:val="center"/>
                </w:tcPr>
                <w:p>
                  <w:pPr>
                    <w:pStyle w:val="11"/>
                    <w:jc w:val="center"/>
                    <w:rPr>
                      <w:rFonts w:ascii="Times New Roman" w:hAnsi="Times New Roman" w:eastAsia="宋体" w:cs="Times New Roman"/>
                      <w:color w:val="auto"/>
                      <w:sz w:val="21"/>
                      <w:szCs w:val="21"/>
                      <w:lang w:val="en-US" w:eastAsia="zh-CN" w:bidi="ar-SA"/>
                    </w:rPr>
                  </w:pPr>
                  <w:r>
                    <w:rPr>
                      <w:color w:val="auto"/>
                      <w:sz w:val="21"/>
                      <w:szCs w:val="21"/>
                    </w:rPr>
                    <w:t>100</w:t>
                  </w:r>
                </w:p>
              </w:tc>
            </w:tr>
          </w:tbl>
          <w:p>
            <w:pPr>
              <w:adjustRightInd w:val="0"/>
              <w:snapToGrid w:val="0"/>
              <w:ind w:firstLine="480"/>
              <w:rPr>
                <w:rFonts w:hint="eastAsia"/>
                <w:color w:val="auto"/>
                <w:kern w:val="0"/>
                <w:szCs w:val="21"/>
              </w:rPr>
            </w:pPr>
          </w:p>
          <w:p>
            <w:pPr>
              <w:adjustRightInd w:val="0"/>
              <w:snapToGrid w:val="0"/>
              <w:ind w:firstLine="480"/>
              <w:rPr>
                <w:color w:val="auto"/>
                <w:kern w:val="0"/>
                <w:szCs w:val="21"/>
              </w:rPr>
            </w:pPr>
            <w:r>
              <w:rPr>
                <w:rFonts w:hint="eastAsia"/>
                <w:color w:val="auto"/>
                <w:kern w:val="0"/>
                <w:szCs w:val="21"/>
              </w:rPr>
              <w:t>污水处理厂排放标准执行</w:t>
            </w:r>
            <w:r>
              <w:rPr>
                <w:rFonts w:hint="eastAsia"/>
                <w:snapToGrid w:val="0"/>
                <w:color w:val="auto"/>
                <w:spacing w:val="0"/>
                <w:kern w:val="0"/>
                <w:position w:val="0"/>
                <w:sz w:val="24"/>
                <w:szCs w:val="24"/>
              </w:rPr>
              <w:t>《城镇污水处理厂污染物排放标准》（GB18918-2002）一级A标</w:t>
            </w:r>
            <w:r>
              <w:rPr>
                <w:rFonts w:hint="eastAsia"/>
                <w:color w:val="auto"/>
                <w:kern w:val="0"/>
                <w:szCs w:val="21"/>
              </w:rPr>
              <w:t>出水限值要求</w:t>
            </w:r>
            <w:r>
              <w:rPr>
                <w:color w:val="auto"/>
                <w:kern w:val="0"/>
                <w:szCs w:val="21"/>
              </w:rPr>
              <w:t>，具体限值见表</w:t>
            </w:r>
            <w:r>
              <w:rPr>
                <w:rFonts w:hint="eastAsia"/>
                <w:color w:val="auto"/>
                <w:kern w:val="0"/>
                <w:szCs w:val="21"/>
              </w:rPr>
              <w:t>3-</w:t>
            </w:r>
            <w:r>
              <w:rPr>
                <w:rFonts w:hint="eastAsia"/>
                <w:color w:val="auto"/>
                <w:kern w:val="0"/>
                <w:szCs w:val="21"/>
                <w:lang w:val="en-US" w:eastAsia="zh-CN"/>
              </w:rPr>
              <w:t>9</w:t>
            </w:r>
            <w:r>
              <w:rPr>
                <w:color w:val="auto"/>
                <w:kern w:val="0"/>
                <w:szCs w:val="21"/>
              </w:rPr>
              <w:t>。</w:t>
            </w:r>
          </w:p>
          <w:p>
            <w:pPr>
              <w:pStyle w:val="11"/>
              <w:jc w:val="center"/>
              <w:rPr>
                <w:b/>
                <w:bCs/>
                <w:color w:val="auto"/>
              </w:rPr>
            </w:pPr>
            <w:r>
              <w:rPr>
                <w:b/>
                <w:bCs/>
                <w:color w:val="auto"/>
                <w:sz w:val="21"/>
                <w:szCs w:val="21"/>
              </w:rPr>
              <w:t>表</w:t>
            </w:r>
            <w:r>
              <w:rPr>
                <w:rFonts w:hint="eastAsia"/>
                <w:b/>
                <w:bCs/>
                <w:color w:val="auto"/>
                <w:sz w:val="21"/>
                <w:szCs w:val="21"/>
              </w:rPr>
              <w:t>3</w:t>
            </w:r>
            <w:r>
              <w:rPr>
                <w:b/>
                <w:bCs/>
                <w:color w:val="auto"/>
                <w:sz w:val="21"/>
                <w:szCs w:val="21"/>
              </w:rPr>
              <w:t>-</w:t>
            </w:r>
            <w:r>
              <w:rPr>
                <w:rFonts w:hint="eastAsia"/>
                <w:b/>
                <w:bCs/>
                <w:color w:val="auto"/>
                <w:sz w:val="21"/>
                <w:szCs w:val="21"/>
                <w:lang w:val="en-US" w:eastAsia="zh-CN"/>
              </w:rPr>
              <w:t xml:space="preserve">9 </w:t>
            </w:r>
            <w:r>
              <w:rPr>
                <w:b/>
                <w:bCs/>
                <w:color w:val="auto"/>
                <w:sz w:val="21"/>
                <w:szCs w:val="21"/>
              </w:rPr>
              <w:t>《</w:t>
            </w:r>
            <w:r>
              <w:rPr>
                <w:rFonts w:hint="eastAsia"/>
                <w:b/>
                <w:bCs/>
                <w:snapToGrid w:val="0"/>
                <w:color w:val="auto"/>
                <w:spacing w:val="0"/>
                <w:kern w:val="0"/>
                <w:position w:val="0"/>
                <w:sz w:val="21"/>
                <w:szCs w:val="21"/>
              </w:rPr>
              <w:t>城镇污水处理厂污染物排放标准</w:t>
            </w:r>
            <w:r>
              <w:rPr>
                <w:b/>
                <w:bCs/>
                <w:color w:val="auto"/>
                <w:sz w:val="21"/>
                <w:szCs w:val="21"/>
              </w:rPr>
              <w:t xml:space="preserve">》  </w:t>
            </w:r>
            <w:r>
              <w:rPr>
                <w:b/>
                <w:bCs/>
                <w:color w:val="auto"/>
              </w:rPr>
              <w:t>单位：mg/L，pH无量纲</w:t>
            </w:r>
          </w:p>
          <w:tbl>
            <w:tblPr>
              <w:tblStyle w:val="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1459"/>
              <w:gridCol w:w="1397"/>
              <w:gridCol w:w="875"/>
              <w:gridCol w:w="1186"/>
              <w:gridCol w:w="1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15" w:type="dxa"/>
                  <w:vAlign w:val="center"/>
                </w:tcPr>
                <w:p>
                  <w:pPr>
                    <w:pStyle w:val="11"/>
                    <w:jc w:val="center"/>
                    <w:rPr>
                      <w:color w:val="auto"/>
                    </w:rPr>
                  </w:pPr>
                  <w:r>
                    <w:rPr>
                      <w:color w:val="auto"/>
                    </w:rPr>
                    <w:t>项目名称</w:t>
                  </w:r>
                </w:p>
              </w:tc>
              <w:tc>
                <w:tcPr>
                  <w:tcW w:w="1459" w:type="dxa"/>
                  <w:vAlign w:val="center"/>
                </w:tcPr>
                <w:p>
                  <w:pPr>
                    <w:pStyle w:val="11"/>
                    <w:jc w:val="center"/>
                    <w:rPr>
                      <w:color w:val="auto"/>
                    </w:rPr>
                  </w:pPr>
                  <w:r>
                    <w:rPr>
                      <w:color w:val="auto"/>
                    </w:rPr>
                    <w:t>COD</w:t>
                  </w:r>
                  <w:r>
                    <w:rPr>
                      <w:rFonts w:hint="eastAsia"/>
                      <w:color w:val="auto"/>
                      <w:vertAlign w:val="subscript"/>
                    </w:rPr>
                    <w:t>C</w:t>
                  </w:r>
                  <w:r>
                    <w:rPr>
                      <w:color w:val="auto"/>
                      <w:vertAlign w:val="subscript"/>
                    </w:rPr>
                    <w:t>r</w:t>
                  </w:r>
                </w:p>
              </w:tc>
              <w:tc>
                <w:tcPr>
                  <w:tcW w:w="1397" w:type="dxa"/>
                  <w:vAlign w:val="center"/>
                </w:tcPr>
                <w:p>
                  <w:pPr>
                    <w:pStyle w:val="11"/>
                    <w:jc w:val="center"/>
                    <w:rPr>
                      <w:color w:val="auto"/>
                    </w:rPr>
                  </w:pPr>
                  <w:r>
                    <w:rPr>
                      <w:color w:val="auto"/>
                    </w:rPr>
                    <w:t>BOD</w:t>
                  </w:r>
                  <w:r>
                    <w:rPr>
                      <w:color w:val="auto"/>
                      <w:vertAlign w:val="subscript"/>
                    </w:rPr>
                    <w:t>5</w:t>
                  </w:r>
                </w:p>
              </w:tc>
              <w:tc>
                <w:tcPr>
                  <w:tcW w:w="875" w:type="dxa"/>
                  <w:vAlign w:val="center"/>
                </w:tcPr>
                <w:p>
                  <w:pPr>
                    <w:pStyle w:val="11"/>
                    <w:jc w:val="center"/>
                    <w:rPr>
                      <w:color w:val="auto"/>
                    </w:rPr>
                  </w:pPr>
                  <w:r>
                    <w:rPr>
                      <w:color w:val="auto"/>
                    </w:rPr>
                    <w:t>NH</w:t>
                  </w:r>
                  <w:r>
                    <w:rPr>
                      <w:color w:val="auto"/>
                      <w:vertAlign w:val="subscript"/>
                    </w:rPr>
                    <w:t>3</w:t>
                  </w:r>
                  <w:r>
                    <w:rPr>
                      <w:color w:val="auto"/>
                    </w:rPr>
                    <w:t>-N</w:t>
                  </w:r>
                </w:p>
              </w:tc>
              <w:tc>
                <w:tcPr>
                  <w:tcW w:w="1186" w:type="dxa"/>
                  <w:vAlign w:val="center"/>
                </w:tcPr>
                <w:p>
                  <w:pPr>
                    <w:pStyle w:val="11"/>
                    <w:jc w:val="center"/>
                    <w:rPr>
                      <w:color w:val="auto"/>
                    </w:rPr>
                  </w:pPr>
                  <w:r>
                    <w:rPr>
                      <w:rFonts w:hint="eastAsia"/>
                      <w:color w:val="auto"/>
                    </w:rPr>
                    <w:t>TN</w:t>
                  </w:r>
                </w:p>
              </w:tc>
              <w:tc>
                <w:tcPr>
                  <w:tcW w:w="1105" w:type="dxa"/>
                  <w:vAlign w:val="center"/>
                </w:tcPr>
                <w:p>
                  <w:pPr>
                    <w:pStyle w:val="11"/>
                    <w:jc w:val="center"/>
                    <w:rPr>
                      <w:color w:val="auto"/>
                    </w:rPr>
                  </w:pPr>
                  <w:r>
                    <w:rPr>
                      <w:rFonts w:hint="eastAsia"/>
                      <w:color w:val="auto"/>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5" w:type="dxa"/>
                  <w:vAlign w:val="center"/>
                </w:tcPr>
                <w:p>
                  <w:pPr>
                    <w:pStyle w:val="11"/>
                    <w:jc w:val="center"/>
                    <w:rPr>
                      <w:color w:val="auto"/>
                    </w:rPr>
                  </w:pPr>
                  <w:r>
                    <w:rPr>
                      <w:color w:val="auto"/>
                    </w:rPr>
                    <w:t>标准（mg/L）</w:t>
                  </w:r>
                </w:p>
              </w:tc>
              <w:tc>
                <w:tcPr>
                  <w:tcW w:w="1459" w:type="dxa"/>
                  <w:vAlign w:val="center"/>
                </w:tcPr>
                <w:p>
                  <w:pPr>
                    <w:pStyle w:val="11"/>
                    <w:jc w:val="center"/>
                    <w:rPr>
                      <w:rFonts w:hint="default" w:eastAsia="宋体"/>
                      <w:color w:val="auto"/>
                      <w:lang w:val="en-US" w:eastAsia="zh-CN"/>
                    </w:rPr>
                  </w:pPr>
                  <w:r>
                    <w:rPr>
                      <w:rFonts w:hint="eastAsia"/>
                      <w:color w:val="auto"/>
                      <w:lang w:val="en-US" w:eastAsia="zh-CN"/>
                    </w:rPr>
                    <w:t>50</w:t>
                  </w:r>
                </w:p>
              </w:tc>
              <w:tc>
                <w:tcPr>
                  <w:tcW w:w="1397" w:type="dxa"/>
                  <w:vAlign w:val="center"/>
                </w:tcPr>
                <w:p>
                  <w:pPr>
                    <w:pStyle w:val="11"/>
                    <w:jc w:val="center"/>
                    <w:rPr>
                      <w:color w:val="auto"/>
                    </w:rPr>
                  </w:pPr>
                  <w:r>
                    <w:rPr>
                      <w:color w:val="auto"/>
                    </w:rPr>
                    <w:t>10</w:t>
                  </w:r>
                </w:p>
              </w:tc>
              <w:tc>
                <w:tcPr>
                  <w:tcW w:w="875" w:type="dxa"/>
                  <w:vAlign w:val="center"/>
                </w:tcPr>
                <w:p>
                  <w:pPr>
                    <w:pStyle w:val="11"/>
                    <w:jc w:val="center"/>
                    <w:rPr>
                      <w:rFonts w:hint="eastAsia" w:eastAsia="宋体"/>
                      <w:color w:val="auto"/>
                      <w:lang w:eastAsia="zh-CN"/>
                    </w:rPr>
                  </w:pPr>
                  <w:r>
                    <w:rPr>
                      <w:rFonts w:hint="eastAsia"/>
                      <w:color w:val="auto"/>
                      <w:lang w:val="en-US" w:eastAsia="zh-CN"/>
                    </w:rPr>
                    <w:t>5</w:t>
                  </w:r>
                </w:p>
              </w:tc>
              <w:tc>
                <w:tcPr>
                  <w:tcW w:w="1186" w:type="dxa"/>
                  <w:vAlign w:val="center"/>
                </w:tcPr>
                <w:p>
                  <w:pPr>
                    <w:pStyle w:val="11"/>
                    <w:jc w:val="center"/>
                    <w:rPr>
                      <w:color w:val="auto"/>
                    </w:rPr>
                  </w:pPr>
                  <w:r>
                    <w:rPr>
                      <w:rFonts w:hint="eastAsia"/>
                      <w:color w:val="auto"/>
                    </w:rPr>
                    <w:t>15</w:t>
                  </w:r>
                </w:p>
              </w:tc>
              <w:tc>
                <w:tcPr>
                  <w:tcW w:w="1105" w:type="dxa"/>
                  <w:vAlign w:val="center"/>
                </w:tcPr>
                <w:p>
                  <w:pPr>
                    <w:pStyle w:val="11"/>
                    <w:jc w:val="center"/>
                    <w:rPr>
                      <w:color w:val="auto"/>
                    </w:rPr>
                  </w:pPr>
                  <w:r>
                    <w:rPr>
                      <w:rFonts w:hint="eastAsia"/>
                      <w:color w:val="auto"/>
                    </w:rPr>
                    <w:t>0.5</w:t>
                  </w:r>
                </w:p>
              </w:tc>
            </w:tr>
          </w:tbl>
          <w:p>
            <w:pPr>
              <w:adjustRightInd w:val="0"/>
              <w:snapToGrid w:val="0"/>
              <w:ind w:firstLine="480"/>
            </w:pPr>
            <w:r>
              <w:t>4、固体废物排放标准</w:t>
            </w:r>
          </w:p>
          <w:p>
            <w:pPr>
              <w:adjustRightInd w:val="0"/>
              <w:snapToGrid w:val="0"/>
              <w:ind w:firstLine="480"/>
            </w:pPr>
            <w:r>
              <w:t>一般固体废物执行《一般工业固体废物贮存和填埋污染控制标准》（GB18599-2020）相应内容。危险固废执行《危险废物贮存污染物控制标准》（GB18597-2023）相关内容。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03" w:hRule="atLeast"/>
          <w:jc w:val="center"/>
        </w:trPr>
        <w:tc>
          <w:tcPr>
            <w:tcW w:w="800" w:type="dxa"/>
            <w:vAlign w:val="center"/>
          </w:tcPr>
          <w:p>
            <w:pPr>
              <w:pStyle w:val="11"/>
              <w:spacing w:line="360" w:lineRule="auto"/>
              <w:jc w:val="center"/>
              <w:rPr>
                <w:b/>
                <w:bCs/>
                <w:sz w:val="24"/>
                <w:szCs w:val="24"/>
              </w:rPr>
            </w:pPr>
            <w:r>
              <w:rPr>
                <w:b/>
                <w:bCs/>
                <w:sz w:val="24"/>
                <w:szCs w:val="24"/>
              </w:rPr>
              <w:t>总量</w:t>
            </w:r>
          </w:p>
          <w:p>
            <w:pPr>
              <w:pStyle w:val="11"/>
              <w:spacing w:line="360" w:lineRule="auto"/>
              <w:jc w:val="center"/>
              <w:rPr>
                <w:b/>
                <w:bCs/>
                <w:sz w:val="24"/>
                <w:szCs w:val="24"/>
              </w:rPr>
            </w:pPr>
            <w:r>
              <w:rPr>
                <w:b/>
                <w:bCs/>
                <w:sz w:val="24"/>
                <w:szCs w:val="24"/>
              </w:rPr>
              <w:t>控制</w:t>
            </w:r>
          </w:p>
          <w:p>
            <w:pPr>
              <w:pStyle w:val="11"/>
              <w:spacing w:line="360" w:lineRule="auto"/>
              <w:jc w:val="center"/>
            </w:pPr>
            <w:r>
              <w:rPr>
                <w:b/>
                <w:bCs/>
                <w:sz w:val="24"/>
                <w:szCs w:val="24"/>
              </w:rPr>
              <w:t>指标</w:t>
            </w:r>
          </w:p>
        </w:tc>
        <w:tc>
          <w:tcPr>
            <w:tcW w:w="9001" w:type="dxa"/>
            <w:vAlign w:val="center"/>
          </w:tcPr>
          <w:p>
            <w:pPr>
              <w:ind w:firstLine="480"/>
            </w:pPr>
            <w:r>
              <w:t>根据项目特点，本项目污水进入园区管网后由污水处理厂处理，不直接外排入地表水体。该项目主要大气污染物为二氧化硫和氨氮化合物，根据本项目的具体情况，建议本项目设置总量控制指标如下：</w:t>
            </w:r>
          </w:p>
          <w:p>
            <w:pPr>
              <w:ind w:firstLine="482"/>
              <w:rPr>
                <w:b/>
                <w:bCs/>
                <w:u w:val="single"/>
              </w:rPr>
            </w:pPr>
            <w:r>
              <w:rPr>
                <w:b/>
                <w:bCs/>
                <w:u w:val="single"/>
              </w:rPr>
              <w:t>废气</w:t>
            </w:r>
          </w:p>
          <w:p>
            <w:pPr>
              <w:ind w:firstLine="480"/>
            </w:pPr>
            <w:r>
              <w:t>NO</w:t>
            </w:r>
            <w:r>
              <w:rPr>
                <w:vertAlign w:val="subscript"/>
              </w:rPr>
              <w:t>x</w:t>
            </w:r>
            <w:r>
              <w:rPr>
                <w:rFonts w:hint="eastAsia"/>
                <w:lang w:val="zh-TW" w:eastAsia="zh-TW"/>
              </w:rPr>
              <w:t>产生量为</w:t>
            </w:r>
            <w:r>
              <w:rPr>
                <w:rFonts w:hint="eastAsia"/>
                <w:lang w:val="zh-TW"/>
              </w:rPr>
              <w:t>：</w:t>
            </w:r>
            <w:r>
              <w:rPr>
                <w:rFonts w:hint="eastAsia"/>
              </w:rPr>
              <w:t>6.97</w:t>
            </w:r>
            <w:r>
              <w:t>kg/</w:t>
            </w:r>
            <w:r>
              <w:rPr>
                <w:rFonts w:hint="eastAsia"/>
                <w:lang w:val="zh-TW" w:eastAsia="zh-TW"/>
              </w:rPr>
              <w:t>万</w:t>
            </w:r>
            <w:r>
              <w:t>m</w:t>
            </w:r>
            <w:r>
              <w:rPr>
                <w:vertAlign w:val="superscript"/>
              </w:rPr>
              <w:t>3</w:t>
            </w:r>
            <w:r>
              <w:t>×</w:t>
            </w:r>
            <w:r>
              <w:rPr>
                <w:rFonts w:hint="eastAsia"/>
              </w:rPr>
              <w:t>250万</w:t>
            </w:r>
            <w:r>
              <w:t>m</w:t>
            </w:r>
            <w:r>
              <w:rPr>
                <w:rFonts w:hint="eastAsia"/>
                <w:vertAlign w:val="superscript"/>
              </w:rPr>
              <w:t>3</w:t>
            </w:r>
            <w:r>
              <w:rPr>
                <w:rFonts w:hint="eastAsia"/>
                <w:lang w:val="zh-TW" w:eastAsia="zh-TW"/>
              </w:rPr>
              <w:t>=</w:t>
            </w:r>
            <w:r>
              <w:rPr>
                <w:rFonts w:hint="eastAsia"/>
              </w:rPr>
              <w:t>1.74</w:t>
            </w:r>
            <w:r>
              <w:t>t/a</w:t>
            </w:r>
          </w:p>
          <w:p>
            <w:pPr>
              <w:ind w:firstLine="480"/>
            </w:pPr>
            <w:r>
              <w:t>S</w:t>
            </w:r>
            <w:r>
              <w:rPr>
                <w:rFonts w:hint="eastAsia"/>
              </w:rPr>
              <w:t>O</w:t>
            </w:r>
            <w:r>
              <w:rPr>
                <w:vertAlign w:val="subscript"/>
              </w:rPr>
              <w:t>2</w:t>
            </w:r>
            <w:r>
              <w:rPr>
                <w:rFonts w:hint="eastAsia"/>
                <w:lang w:val="zh-TW" w:eastAsia="zh-TW"/>
              </w:rPr>
              <w:t>产生量为</w:t>
            </w:r>
            <w:r>
              <w:rPr>
                <w:rFonts w:hint="eastAsia"/>
                <w:lang w:val="zh-TW"/>
              </w:rPr>
              <w:t>：</w:t>
            </w:r>
            <w:r>
              <w:rPr>
                <w:rFonts w:hint="eastAsia"/>
              </w:rPr>
              <w:t>1.2</w:t>
            </w:r>
            <w:r>
              <w:t>kg/</w:t>
            </w:r>
            <w:r>
              <w:rPr>
                <w:rFonts w:hint="eastAsia"/>
                <w:lang w:val="zh-TW" w:eastAsia="zh-TW"/>
              </w:rPr>
              <w:t>万</w:t>
            </w:r>
            <w:r>
              <w:t>m</w:t>
            </w:r>
            <w:r>
              <w:rPr>
                <w:vertAlign w:val="superscript"/>
              </w:rPr>
              <w:t>3</w:t>
            </w:r>
            <w:r>
              <w:t>×</w:t>
            </w:r>
            <w:r>
              <w:rPr>
                <w:rFonts w:hint="eastAsia"/>
              </w:rPr>
              <w:t>250万</w:t>
            </w:r>
            <w:r>
              <w:t>m</w:t>
            </w:r>
            <w:r>
              <w:rPr>
                <w:rFonts w:hint="eastAsia"/>
                <w:vertAlign w:val="superscript"/>
              </w:rPr>
              <w:t>3</w:t>
            </w:r>
            <w:r>
              <w:rPr>
                <w:rFonts w:hint="eastAsia"/>
                <w:lang w:val="zh-TW" w:eastAsia="zh-TW"/>
              </w:rPr>
              <w:t>=</w:t>
            </w:r>
            <w:r>
              <w:t>0.</w:t>
            </w:r>
            <w:r>
              <w:rPr>
                <w:rFonts w:hint="eastAsia"/>
              </w:rPr>
              <w:t>30</w:t>
            </w:r>
            <w:r>
              <w:t>t/a</w:t>
            </w:r>
          </w:p>
          <w:p>
            <w:pPr>
              <w:ind w:firstLine="482"/>
              <w:rPr>
                <w:b/>
                <w:bCs/>
              </w:rPr>
            </w:pPr>
            <w:r>
              <w:rPr>
                <w:b/>
                <w:bCs/>
              </w:rPr>
              <w:t>废水：</w:t>
            </w:r>
          </w:p>
          <w:p>
            <w:pPr>
              <w:ind w:firstLine="480"/>
            </w:pPr>
            <w:r>
              <w:t>进入园区工业污水处理厂前</w:t>
            </w:r>
          </w:p>
          <w:p>
            <w:pPr>
              <w:ind w:firstLine="480"/>
            </w:pPr>
            <w:r>
              <w:rPr>
                <w:rFonts w:hint="eastAsia"/>
                <w:lang w:eastAsia="zh-CN"/>
              </w:rPr>
              <w:t>COD</w:t>
            </w:r>
            <w:r>
              <w:t>：</w:t>
            </w:r>
            <w:r>
              <w:rPr>
                <w:rFonts w:hint="eastAsia"/>
              </w:rPr>
              <w:t>75690m</w:t>
            </w:r>
            <w:r>
              <w:rPr>
                <w:vertAlign w:val="superscript"/>
              </w:rPr>
              <w:t>3</w:t>
            </w:r>
            <w:r>
              <w:t>/a×500mg/L=</w:t>
            </w:r>
            <w:r>
              <w:rPr>
                <w:rFonts w:hint="eastAsia"/>
              </w:rPr>
              <w:t>3.785</w:t>
            </w:r>
            <w:r>
              <w:t>t/a；</w:t>
            </w:r>
          </w:p>
          <w:p>
            <w:pPr>
              <w:ind w:firstLine="480"/>
            </w:pPr>
            <w:r>
              <w:t>NH</w:t>
            </w:r>
            <w:r>
              <w:rPr>
                <w:vertAlign w:val="subscript"/>
              </w:rPr>
              <w:t>3</w:t>
            </w:r>
            <w:r>
              <w:t>-N：</w:t>
            </w:r>
            <w:r>
              <w:rPr>
                <w:rFonts w:hint="eastAsia"/>
              </w:rPr>
              <w:t>75690m</w:t>
            </w:r>
            <w:r>
              <w:rPr>
                <w:vertAlign w:val="superscript"/>
              </w:rPr>
              <w:t>3</w:t>
            </w:r>
            <w:r>
              <w:t>/a×45mg/L=</w:t>
            </w:r>
            <w:r>
              <w:rPr>
                <w:rFonts w:hint="eastAsia"/>
              </w:rPr>
              <w:t>0.341</w:t>
            </w:r>
            <w:r>
              <w:t>t/a；</w:t>
            </w:r>
          </w:p>
          <w:p>
            <w:pPr>
              <w:ind w:firstLine="480"/>
            </w:pPr>
            <w:r>
              <w:t>TP：</w:t>
            </w:r>
            <w:r>
              <w:rPr>
                <w:rFonts w:hint="eastAsia"/>
              </w:rPr>
              <w:t>75690m</w:t>
            </w:r>
            <w:r>
              <w:rPr>
                <w:vertAlign w:val="superscript"/>
              </w:rPr>
              <w:t>3</w:t>
            </w:r>
            <w:r>
              <w:t>/a×8mg/L=</w:t>
            </w:r>
            <w:r>
              <w:rPr>
                <w:rFonts w:hint="eastAsia"/>
              </w:rPr>
              <w:t>0.061t</w:t>
            </w:r>
            <w:r>
              <w:t>/a；</w:t>
            </w:r>
          </w:p>
          <w:p>
            <w:pPr>
              <w:ind w:firstLine="480"/>
            </w:pPr>
            <w:r>
              <w:t>园区工业污水处理厂出水</w:t>
            </w:r>
          </w:p>
          <w:p>
            <w:pPr>
              <w:ind w:firstLine="480"/>
            </w:pPr>
            <w:r>
              <w:rPr>
                <w:rFonts w:hint="eastAsia"/>
                <w:lang w:eastAsia="zh-CN"/>
              </w:rPr>
              <w:t>COD</w:t>
            </w:r>
            <w:r>
              <w:t>：</w:t>
            </w:r>
            <w:r>
              <w:rPr>
                <w:rFonts w:hint="eastAsia"/>
              </w:rPr>
              <w:t>75690m</w:t>
            </w:r>
            <w:r>
              <w:rPr>
                <w:vertAlign w:val="superscript"/>
              </w:rPr>
              <w:t>3</w:t>
            </w:r>
            <w:r>
              <w:t>/a×50mg/L=0.</w:t>
            </w:r>
            <w:r>
              <w:rPr>
                <w:rFonts w:hint="eastAsia"/>
              </w:rPr>
              <w:t>378</w:t>
            </w:r>
            <w:r>
              <w:t>t/a；</w:t>
            </w:r>
          </w:p>
          <w:p>
            <w:pPr>
              <w:ind w:firstLine="480"/>
            </w:pPr>
            <w:r>
              <w:t>NH</w:t>
            </w:r>
            <w:r>
              <w:rPr>
                <w:vertAlign w:val="subscript"/>
              </w:rPr>
              <w:t>3</w:t>
            </w:r>
            <w:r>
              <w:t>-N：</w:t>
            </w:r>
            <w:r>
              <w:rPr>
                <w:rFonts w:hint="eastAsia"/>
              </w:rPr>
              <w:t>75690m</w:t>
            </w:r>
            <w:r>
              <w:rPr>
                <w:vertAlign w:val="superscript"/>
              </w:rPr>
              <w:t>3</w:t>
            </w:r>
            <w:r>
              <w:t>/a×5mg/L=0.0</w:t>
            </w:r>
            <w:r>
              <w:rPr>
                <w:rFonts w:hint="eastAsia"/>
              </w:rPr>
              <w:t>38</w:t>
            </w:r>
            <w:r>
              <w:t>t/a；</w:t>
            </w:r>
          </w:p>
          <w:p>
            <w:pPr>
              <w:ind w:firstLine="480"/>
            </w:pPr>
            <w:r>
              <w:t>TP：</w:t>
            </w:r>
            <w:r>
              <w:rPr>
                <w:rFonts w:hint="eastAsia"/>
              </w:rPr>
              <w:t>75690m</w:t>
            </w:r>
            <w:r>
              <w:rPr>
                <w:vertAlign w:val="superscript"/>
              </w:rPr>
              <w:t>3</w:t>
            </w:r>
            <w:r>
              <w:t>/a×0.5mg/L=0.00</w:t>
            </w:r>
            <w:r>
              <w:rPr>
                <w:rFonts w:hint="eastAsia"/>
              </w:rPr>
              <w:t>4</w:t>
            </w:r>
            <w:r>
              <w:t>t/a；</w:t>
            </w:r>
          </w:p>
          <w:p>
            <w:pPr>
              <w:ind w:firstLine="48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ind w:firstLine="480"/>
            </w:pPr>
          </w:p>
          <w:p>
            <w:pPr>
              <w:bidi w:val="0"/>
            </w:pPr>
          </w:p>
          <w:p>
            <w:pPr>
              <w:ind w:firstLine="995" w:firstLineChars="0"/>
            </w:pPr>
          </w:p>
        </w:tc>
      </w:tr>
    </w:tbl>
    <w:p>
      <w:pPr>
        <w:ind w:firstLine="720"/>
        <w:jc w:val="center"/>
        <w:outlineLvl w:val="0"/>
        <w:rPr>
          <w:rStyle w:val="9"/>
          <w:color w:val="auto"/>
        </w:rPr>
      </w:pPr>
      <w:r>
        <w:rPr>
          <w:rFonts w:eastAsia="黑体"/>
          <w:snapToGrid w:val="0"/>
          <w:sz w:val="36"/>
          <w:szCs w:val="36"/>
        </w:rPr>
        <w:br w:type="page"/>
      </w:r>
      <w:bookmarkStart w:id="6" w:name="_Toc4691"/>
      <w:r>
        <w:rPr>
          <w:rStyle w:val="9"/>
          <w:color w:val="auto"/>
        </w:rPr>
        <w:t>四、主要环境影响和保护措施</w:t>
      </w:r>
      <w:bookmarkEnd w:id="6"/>
    </w:p>
    <w:tbl>
      <w:tblPr>
        <w:tblStyle w:val="6"/>
        <w:tblW w:w="97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90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746" w:type="dxa"/>
            <w:tcMar>
              <w:left w:w="28" w:type="dxa"/>
              <w:right w:w="28" w:type="dxa"/>
            </w:tcMar>
            <w:vAlign w:val="center"/>
          </w:tcPr>
          <w:p>
            <w:pPr>
              <w:pStyle w:val="11"/>
              <w:jc w:val="center"/>
              <w:rPr>
                <w:b/>
                <w:bCs/>
                <w:color w:val="auto"/>
                <w:sz w:val="24"/>
                <w:szCs w:val="24"/>
              </w:rPr>
            </w:pPr>
            <w:r>
              <w:rPr>
                <w:b/>
                <w:bCs/>
                <w:color w:val="auto"/>
                <w:sz w:val="24"/>
                <w:szCs w:val="24"/>
              </w:rPr>
              <w:t>施工</w:t>
            </w:r>
          </w:p>
          <w:p>
            <w:pPr>
              <w:pStyle w:val="11"/>
              <w:jc w:val="center"/>
              <w:rPr>
                <w:b/>
                <w:bCs/>
                <w:color w:val="auto"/>
                <w:sz w:val="24"/>
                <w:szCs w:val="24"/>
              </w:rPr>
            </w:pPr>
            <w:r>
              <w:rPr>
                <w:b/>
                <w:bCs/>
                <w:color w:val="auto"/>
                <w:sz w:val="24"/>
                <w:szCs w:val="24"/>
              </w:rPr>
              <w:t>期环</w:t>
            </w:r>
          </w:p>
          <w:p>
            <w:pPr>
              <w:pStyle w:val="11"/>
              <w:jc w:val="center"/>
              <w:rPr>
                <w:b/>
                <w:bCs/>
                <w:color w:val="auto"/>
                <w:sz w:val="24"/>
                <w:szCs w:val="24"/>
              </w:rPr>
            </w:pPr>
            <w:r>
              <w:rPr>
                <w:b/>
                <w:bCs/>
                <w:color w:val="auto"/>
                <w:sz w:val="24"/>
                <w:szCs w:val="24"/>
              </w:rPr>
              <w:t>境保</w:t>
            </w:r>
          </w:p>
          <w:p>
            <w:pPr>
              <w:pStyle w:val="11"/>
              <w:jc w:val="center"/>
              <w:rPr>
                <w:b/>
                <w:bCs/>
                <w:color w:val="auto"/>
                <w:sz w:val="24"/>
                <w:szCs w:val="24"/>
              </w:rPr>
            </w:pPr>
            <w:r>
              <w:rPr>
                <w:b/>
                <w:bCs/>
                <w:color w:val="auto"/>
                <w:sz w:val="24"/>
                <w:szCs w:val="24"/>
              </w:rPr>
              <w:t>护措</w:t>
            </w:r>
          </w:p>
          <w:p>
            <w:pPr>
              <w:pStyle w:val="11"/>
              <w:jc w:val="center"/>
              <w:rPr>
                <w:bCs/>
                <w:color w:val="auto"/>
                <w:kern w:val="2"/>
              </w:rPr>
            </w:pPr>
            <w:r>
              <w:rPr>
                <w:b/>
                <w:bCs/>
                <w:color w:val="auto"/>
                <w:sz w:val="24"/>
                <w:szCs w:val="24"/>
              </w:rPr>
              <w:t>施</w:t>
            </w:r>
          </w:p>
        </w:tc>
        <w:tc>
          <w:tcPr>
            <w:tcW w:w="9053" w:type="dxa"/>
            <w:vAlign w:val="center"/>
          </w:tcPr>
          <w:p>
            <w:pPr>
              <w:adjustRightInd w:val="0"/>
              <w:snapToGrid w:val="0"/>
              <w:ind w:firstLine="442"/>
              <w:rPr>
                <w:b/>
                <w:color w:val="auto"/>
                <w:spacing w:val="-10"/>
                <w:szCs w:val="21"/>
              </w:rPr>
            </w:pPr>
            <w:r>
              <w:rPr>
                <w:b/>
                <w:color w:val="auto"/>
                <w:spacing w:val="-10"/>
                <w:szCs w:val="21"/>
              </w:rPr>
              <w:t>（一）施工期环境保护措施</w:t>
            </w:r>
          </w:p>
          <w:p>
            <w:pPr>
              <w:bidi w:val="0"/>
            </w:pPr>
            <w:r>
              <w:t>本项目施工期间产生的污染物主要是</w:t>
            </w:r>
            <w:r>
              <w:rPr>
                <w:rFonts w:hint="eastAsia"/>
                <w:lang w:val="en-US" w:eastAsia="zh-CN"/>
              </w:rPr>
              <w:t>部分</w:t>
            </w:r>
            <w:r>
              <w:t>厂房建设、设备安装等主体工程产生的噪声、扬尘及废气、生活垃圾、施工污水等污染物，其排放量随工序和施工强度不同而变化。施工期主要工艺流程及产污环节见图4-1。</w:t>
            </w:r>
          </w:p>
          <w:p>
            <w:pPr>
              <w:adjustRightInd w:val="0"/>
              <w:snapToGrid w:val="0"/>
              <w:ind w:firstLine="0" w:firstLineChars="0"/>
              <w:rPr>
                <w:bCs/>
                <w:color w:val="auto"/>
                <w:spacing w:val="-10"/>
                <w:szCs w:val="21"/>
              </w:rPr>
            </w:pPr>
            <w:r>
              <w:rPr>
                <w:bCs/>
                <w:color w:val="auto"/>
                <w:spacing w:val="-10"/>
                <w:szCs w:val="21"/>
              </w:rPr>
              <mc:AlternateContent>
                <mc:Choice Requires="wps">
                  <w:drawing>
                    <wp:anchor distT="0" distB="0" distL="114300" distR="114300" simplePos="0" relativeHeight="251662336" behindDoc="0" locked="0" layoutInCell="1" allowOverlap="1">
                      <wp:simplePos x="0" y="0"/>
                      <wp:positionH relativeFrom="column">
                        <wp:posOffset>2161540</wp:posOffset>
                      </wp:positionH>
                      <wp:positionV relativeFrom="paragraph">
                        <wp:posOffset>61595</wp:posOffset>
                      </wp:positionV>
                      <wp:extent cx="438785" cy="3390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438785" cy="339090"/>
                              </a:xfrm>
                              <a:prstGeom prst="rect">
                                <a:avLst/>
                              </a:prstGeom>
                              <a:noFill/>
                              <a:ln>
                                <a:noFill/>
                              </a:ln>
                            </wps:spPr>
                            <wps:txbx>
                              <w:txbxContent>
                                <w:p>
                                  <w:pPr>
                                    <w:ind w:firstLine="0" w:firstLineChars="0"/>
                                    <w:rPr>
                                      <w:sz w:val="18"/>
                                      <w:szCs w:val="18"/>
                                    </w:rPr>
                                  </w:pPr>
                                  <w:r>
                                    <w:rPr>
                                      <w:rFonts w:hint="eastAsia"/>
                                      <w:sz w:val="18"/>
                                      <w:szCs w:val="18"/>
                                    </w:rPr>
                                    <w:t>回用</w:t>
                                  </w:r>
                                </w:p>
                              </w:txbxContent>
                            </wps:txbx>
                            <wps:bodyPr lIns="91439" tIns="45720" rIns="91439" bIns="45720" upright="1"/>
                          </wps:wsp>
                        </a:graphicData>
                      </a:graphic>
                    </wp:anchor>
                  </w:drawing>
                </mc:Choice>
                <mc:Fallback>
                  <w:pict>
                    <v:shape id="_x0000_s1026" o:spid="_x0000_s1026" o:spt="202" type="#_x0000_t202" style="position:absolute;left:0pt;margin-left:170.2pt;margin-top:4.85pt;height:26.7pt;width:34.55pt;z-index:251662336;mso-width-relative:page;mso-height-relative:page;" filled="f" stroked="f" coordsize="21600,21600" o:gfxdata="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h5mqK2AAAAAgBAAAPAAAAAAAAAAEAIAAAACIAAABkcnMvZG93&#10;bnJldi54bWxQSwECFAAUAAAACACHTuJAxPuqiMcBAACBAwAADgAAAAAAAAABACAAAAAnAQAAZHJz&#10;L2Uyb0RvYy54bWxQSwUGAAAAAAYABgBZAQAAYAUAAAAA&#10;">
                      <v:fill on="f" focussize="0,0"/>
                      <v:stroke on="f"/>
                      <v:imagedata o:title=""/>
                      <o:lock v:ext="edit" aspectratio="f"/>
                      <v:textbox inset="7.19992125984252pt,1.27mm,7.19992125984252pt,1.27mm">
                        <w:txbxContent>
                          <w:p>
                            <w:pPr>
                              <w:ind w:firstLine="0" w:firstLineChars="0"/>
                              <w:rPr>
                                <w:sz w:val="18"/>
                                <w:szCs w:val="18"/>
                              </w:rPr>
                            </w:pPr>
                            <w:r>
                              <w:rPr>
                                <w:rFonts w:hint="eastAsia"/>
                                <w:sz w:val="18"/>
                                <w:szCs w:val="18"/>
                              </w:rPr>
                              <w:t>回用</w:t>
                            </w:r>
                          </w:p>
                        </w:txbxContent>
                      </v:textbox>
                    </v:shape>
                  </w:pict>
                </mc:Fallback>
              </mc:AlternateContent>
            </w:r>
            <w:r>
              <w:rPr>
                <w:bCs/>
                <w:color w:val="auto"/>
                <w:spacing w:val="-10"/>
                <w:szCs w:val="21"/>
              </w:rPr>
              <mc:AlternateContent>
                <mc:Choice Requires="wps">
                  <w:drawing>
                    <wp:anchor distT="0" distB="0" distL="114300" distR="114300" simplePos="0" relativeHeight="251687936" behindDoc="0" locked="0" layoutInCell="1" allowOverlap="1">
                      <wp:simplePos x="0" y="0"/>
                      <wp:positionH relativeFrom="column">
                        <wp:posOffset>2769235</wp:posOffset>
                      </wp:positionH>
                      <wp:positionV relativeFrom="paragraph">
                        <wp:posOffset>33020</wp:posOffset>
                      </wp:positionV>
                      <wp:extent cx="974090" cy="3384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974090" cy="338455"/>
                              </a:xfrm>
                              <a:prstGeom prst="rect">
                                <a:avLst/>
                              </a:prstGeom>
                              <a:noFill/>
                              <a:ln>
                                <a:noFill/>
                              </a:ln>
                            </wps:spPr>
                            <wps:txbx>
                              <w:txbxContent>
                                <w:p>
                                  <w:pPr>
                                    <w:pStyle w:val="11"/>
                                    <w:jc w:val="center"/>
                                    <w:rPr>
                                      <w:sz w:val="18"/>
                                      <w:szCs w:val="18"/>
                                    </w:rPr>
                                  </w:pPr>
                                  <w:r>
                                    <w:rPr>
                                      <w:rFonts w:hint="eastAsia"/>
                                      <w:sz w:val="18"/>
                                      <w:szCs w:val="18"/>
                                    </w:rPr>
                                    <w:t>定期清理</w:t>
                                  </w:r>
                                </w:p>
                              </w:txbxContent>
                            </wps:txbx>
                            <wps:bodyPr lIns="91439" tIns="45720" rIns="91439" bIns="45720" upright="1"/>
                          </wps:wsp>
                        </a:graphicData>
                      </a:graphic>
                    </wp:anchor>
                  </w:drawing>
                </mc:Choice>
                <mc:Fallback>
                  <w:pict>
                    <v:shape id="_x0000_s1026" o:spid="_x0000_s1026" o:spt="202" type="#_x0000_t202" style="position:absolute;left:0pt;margin-left:218.05pt;margin-top:2.6pt;height:26.65pt;width:76.7pt;z-index:251687936;mso-width-relative:page;mso-height-relative:page;" filled="f" stroked="f" coordsize="21600,21600" o:gfxdata="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UI16PYAAAACAEAAA8AAAAAAAAAAQAgAAAAIgAAAGRycy9kb3ducmV2&#10;LnhtbFBLAQIUABQAAAAIAIdO4kAn5W87wwEAAIEDAAAOAAAAAAAAAAEAIAAAACcBAABkcnMvZTJv&#10;RG9jLnhtbFBLBQYAAAAABgAGAFkBAABcBQAAAAA=&#10;">
                      <v:fill on="f" focussize="0,0"/>
                      <v:stroke on="f"/>
                      <v:imagedata o:title=""/>
                      <o:lock v:ext="edit" aspectratio="f"/>
                      <v:textbox inset="7.19992125984252pt,1.27mm,7.19992125984252pt,1.27mm">
                        <w:txbxContent>
                          <w:p>
                            <w:pPr>
                              <w:pStyle w:val="11"/>
                              <w:jc w:val="center"/>
                              <w:rPr>
                                <w:sz w:val="18"/>
                                <w:szCs w:val="18"/>
                              </w:rPr>
                            </w:pPr>
                            <w:r>
                              <w:rPr>
                                <w:rFonts w:hint="eastAsia"/>
                                <w:sz w:val="18"/>
                                <w:szCs w:val="18"/>
                              </w:rPr>
                              <w:t>定期清理</w:t>
                            </w:r>
                          </w:p>
                        </w:txbxContent>
                      </v:textbox>
                    </v:shape>
                  </w:pict>
                </mc:Fallback>
              </mc:AlternateContent>
            </w:r>
            <w:r>
              <w:rPr>
                <w:bCs/>
                <w:color w:val="auto"/>
                <w:spacing w:val="-10"/>
                <w:szCs w:val="21"/>
              </w:rPr>
              <mc:AlternateContent>
                <mc:Choice Requires="wps">
                  <w:drawing>
                    <wp:anchor distT="0" distB="0" distL="114300" distR="114300" simplePos="0" relativeHeight="251686912" behindDoc="0" locked="0" layoutInCell="1" allowOverlap="1">
                      <wp:simplePos x="0" y="0"/>
                      <wp:positionH relativeFrom="column">
                        <wp:posOffset>3793490</wp:posOffset>
                      </wp:positionH>
                      <wp:positionV relativeFrom="paragraph">
                        <wp:posOffset>108585</wp:posOffset>
                      </wp:positionV>
                      <wp:extent cx="986790" cy="51689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86790" cy="516890"/>
                              </a:xfrm>
                              <a:prstGeom prst="rect">
                                <a:avLst/>
                              </a:prstGeom>
                              <a:noFill/>
                              <a:ln>
                                <a:noFill/>
                              </a:ln>
                            </wps:spPr>
                            <wps:txbx>
                              <w:txbxContent>
                                <w:p>
                                  <w:pPr>
                                    <w:spacing w:line="240" w:lineRule="auto"/>
                                    <w:ind w:firstLine="0" w:firstLineChars="0"/>
                                    <w:rPr>
                                      <w:sz w:val="18"/>
                                      <w:szCs w:val="18"/>
                                    </w:rPr>
                                  </w:pPr>
                                  <w:r>
                                    <w:rPr>
                                      <w:rFonts w:hint="eastAsia"/>
                                      <w:sz w:val="18"/>
                                      <w:szCs w:val="18"/>
                                    </w:rPr>
                                    <w:t>城市垃圾</w:t>
                                  </w:r>
                                </w:p>
                                <w:p>
                                  <w:pPr>
                                    <w:spacing w:line="240" w:lineRule="auto"/>
                                    <w:ind w:firstLine="0" w:firstLineChars="0"/>
                                    <w:rPr>
                                      <w:sz w:val="18"/>
                                      <w:szCs w:val="18"/>
                                    </w:rPr>
                                  </w:pPr>
                                  <w:r>
                                    <w:rPr>
                                      <w:rFonts w:hint="eastAsia"/>
                                      <w:sz w:val="18"/>
                                      <w:szCs w:val="18"/>
                                    </w:rPr>
                                    <w:t>清运系统</w:t>
                                  </w:r>
                                </w:p>
                                <w:p>
                                  <w:pPr>
                                    <w:ind w:firstLine="360"/>
                                    <w:rPr>
                                      <w:sz w:val="18"/>
                                      <w:szCs w:val="21"/>
                                    </w:rPr>
                                  </w:pPr>
                                </w:p>
                              </w:txbxContent>
                            </wps:txbx>
                            <wps:bodyPr lIns="91439" tIns="45720" rIns="91439" bIns="45720" upright="1"/>
                          </wps:wsp>
                        </a:graphicData>
                      </a:graphic>
                    </wp:anchor>
                  </w:drawing>
                </mc:Choice>
                <mc:Fallback>
                  <w:pict>
                    <v:shape id="_x0000_s1026" o:spid="_x0000_s1026" o:spt="202" type="#_x0000_t202" style="position:absolute;left:0pt;margin-left:298.7pt;margin-top:8.55pt;height:40.7pt;width:77.7pt;z-index:251686912;mso-width-relative:page;mso-height-relative:page;" filled="f" stroked="f" coordsize="21600,21600" o:gfxdata="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vEgdtkAAAAJAQAADwAAAAAAAAABACAAAAAiAAAAZHJzL2Rvd25y&#10;ZXYueG1sUEsBAhQAFAAAAAgAh07iQHyp2wLEAQAAgwMAAA4AAAAAAAAAAQAgAAAAKAEAAGRycy9l&#10;Mm9Eb2MueG1sUEsFBgAAAAAGAAYAWQEAAF4FAAAAAA==&#10;">
                      <v:fill on="f" focussize="0,0"/>
                      <v:stroke on="f"/>
                      <v:imagedata o:title=""/>
                      <o:lock v:ext="edit" aspectratio="f"/>
                      <v:textbox inset="7.19992125984252pt,1.27mm,7.19992125984252pt,1.27mm">
                        <w:txbxContent>
                          <w:p>
                            <w:pPr>
                              <w:spacing w:line="240" w:lineRule="auto"/>
                              <w:ind w:firstLine="0" w:firstLineChars="0"/>
                              <w:rPr>
                                <w:sz w:val="18"/>
                                <w:szCs w:val="18"/>
                              </w:rPr>
                            </w:pPr>
                            <w:r>
                              <w:rPr>
                                <w:rFonts w:hint="eastAsia"/>
                                <w:sz w:val="18"/>
                                <w:szCs w:val="18"/>
                              </w:rPr>
                              <w:t>城市垃圾</w:t>
                            </w:r>
                          </w:p>
                          <w:p>
                            <w:pPr>
                              <w:spacing w:line="240" w:lineRule="auto"/>
                              <w:ind w:firstLine="0" w:firstLineChars="0"/>
                              <w:rPr>
                                <w:sz w:val="18"/>
                                <w:szCs w:val="18"/>
                              </w:rPr>
                            </w:pPr>
                            <w:r>
                              <w:rPr>
                                <w:rFonts w:hint="eastAsia"/>
                                <w:sz w:val="18"/>
                                <w:szCs w:val="18"/>
                              </w:rPr>
                              <w:t>清运系统</w:t>
                            </w:r>
                          </w:p>
                          <w:p>
                            <w:pPr>
                              <w:ind w:firstLine="360"/>
                              <w:rPr>
                                <w:sz w:val="18"/>
                                <w:szCs w:val="21"/>
                              </w:rPr>
                            </w:pPr>
                          </w:p>
                        </w:txbxContent>
                      </v:textbox>
                    </v:shape>
                  </w:pict>
                </mc:Fallback>
              </mc:AlternateContent>
            </w:r>
          </w:p>
          <w:p>
            <w:pPr>
              <w:adjustRightInd w:val="0"/>
              <w:snapToGrid w:val="0"/>
              <w:ind w:firstLine="0" w:firstLineChars="0"/>
              <w:rPr>
                <w:bCs/>
                <w:color w:val="auto"/>
                <w:spacing w:val="-10"/>
                <w:szCs w:val="21"/>
              </w:rPr>
            </w:pPr>
            <w:r>
              <w:rPr>
                <w:bCs/>
                <w:color w:val="auto"/>
                <w:spacing w:val="-10"/>
                <w:szCs w:val="21"/>
              </w:rPr>
              <mc:AlternateContent>
                <mc:Choice Requires="wps">
                  <w:drawing>
                    <wp:anchor distT="0" distB="0" distL="114300" distR="114300" simplePos="0" relativeHeight="251683840" behindDoc="0" locked="0" layoutInCell="1" allowOverlap="1">
                      <wp:simplePos x="0" y="0"/>
                      <wp:positionH relativeFrom="column">
                        <wp:posOffset>1234440</wp:posOffset>
                      </wp:positionH>
                      <wp:positionV relativeFrom="paragraph">
                        <wp:posOffset>85090</wp:posOffset>
                      </wp:positionV>
                      <wp:extent cx="723900" cy="32766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723900" cy="327660"/>
                              </a:xfrm>
                              <a:prstGeom prst="rect">
                                <a:avLst/>
                              </a:prstGeom>
                              <a:noFill/>
                              <a:ln>
                                <a:noFill/>
                              </a:ln>
                            </wps:spPr>
                            <wps:txbx>
                              <w:txbxContent>
                                <w:p>
                                  <w:pPr>
                                    <w:ind w:firstLine="0" w:firstLineChars="0"/>
                                    <w:rPr>
                                      <w:sz w:val="20"/>
                                      <w:szCs w:val="22"/>
                                    </w:rPr>
                                  </w:pPr>
                                  <w:r>
                                    <w:rPr>
                                      <w:rFonts w:hint="eastAsia"/>
                                      <w:sz w:val="20"/>
                                    </w:rPr>
                                    <w:t>大气环境</w:t>
                                  </w:r>
                                </w:p>
                              </w:txbxContent>
                            </wps:txbx>
                            <wps:bodyPr lIns="91439" tIns="45720" rIns="91439" bIns="45720" upright="1"/>
                          </wps:wsp>
                        </a:graphicData>
                      </a:graphic>
                    </wp:anchor>
                  </w:drawing>
                </mc:Choice>
                <mc:Fallback>
                  <w:pict>
                    <v:shape id="_x0000_s1026" o:spid="_x0000_s1026" o:spt="202" type="#_x0000_t202" style="position:absolute;left:0pt;margin-left:97.2pt;margin-top:6.7pt;height:25.8pt;width:57pt;z-index:251683840;mso-width-relative:page;mso-height-relative:page;" filled="f" stroked="f" coordsize="21600,21600" o:gfxdata="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iLljYAAAACQEAAA8AAAAAAAAAAQAgAAAAIgAAAGRycy9kb3du&#10;cmV2LnhtbFBLAQIUABQAAAAIAIdO4kCRJC5JxgEAAIMDAAAOAAAAAAAAAAEAIAAAACcBAABkcnMv&#10;ZTJvRG9jLnhtbFBLBQYAAAAABgAGAFkBAABfBQAAAAA=&#10;">
                      <v:fill on="f" focussize="0,0"/>
                      <v:stroke on="f"/>
                      <v:imagedata o:title=""/>
                      <o:lock v:ext="edit" aspectratio="f"/>
                      <v:textbox inset="7.19992125984252pt,1.27mm,7.19992125984252pt,1.27mm">
                        <w:txbxContent>
                          <w:p>
                            <w:pPr>
                              <w:ind w:firstLine="0" w:firstLineChars="0"/>
                              <w:rPr>
                                <w:sz w:val="20"/>
                                <w:szCs w:val="22"/>
                              </w:rPr>
                            </w:pPr>
                            <w:r>
                              <w:rPr>
                                <w:rFonts w:hint="eastAsia"/>
                                <w:sz w:val="20"/>
                              </w:rPr>
                              <w:t>大气环境</w:t>
                            </w:r>
                          </w:p>
                        </w:txbxContent>
                      </v:textbox>
                    </v:shape>
                  </w:pict>
                </mc:Fallback>
              </mc:AlternateContent>
            </w:r>
            <w:r>
              <w:rPr>
                <w:bCs/>
                <w:color w:val="auto"/>
                <w:spacing w:val="-10"/>
                <w:szCs w:val="21"/>
              </w:rPr>
              <mc:AlternateContent>
                <mc:Choice Requires="wps">
                  <w:drawing>
                    <wp:anchor distT="0" distB="0" distL="114300" distR="114300" simplePos="0" relativeHeight="251682816" behindDoc="0" locked="0" layoutInCell="1" allowOverlap="1">
                      <wp:simplePos x="0" y="0"/>
                      <wp:positionH relativeFrom="column">
                        <wp:posOffset>461010</wp:posOffset>
                      </wp:positionH>
                      <wp:positionV relativeFrom="paragraph">
                        <wp:posOffset>66675</wp:posOffset>
                      </wp:positionV>
                      <wp:extent cx="723265" cy="32766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23265" cy="327660"/>
                              </a:xfrm>
                              <a:prstGeom prst="rect">
                                <a:avLst/>
                              </a:prstGeom>
                              <a:noFill/>
                              <a:ln>
                                <a:noFill/>
                              </a:ln>
                            </wps:spPr>
                            <wps:txbx>
                              <w:txbxContent>
                                <w:p>
                                  <w:pPr>
                                    <w:ind w:firstLine="0" w:firstLineChars="0"/>
                                    <w:rPr>
                                      <w:sz w:val="20"/>
                                      <w:szCs w:val="22"/>
                                    </w:rPr>
                                  </w:pPr>
                                  <w:r>
                                    <w:rPr>
                                      <w:rFonts w:hint="eastAsia"/>
                                      <w:sz w:val="20"/>
                                    </w:rPr>
                                    <w:t>声学环境</w:t>
                                  </w:r>
                                </w:p>
                              </w:txbxContent>
                            </wps:txbx>
                            <wps:bodyPr lIns="91439" tIns="45720" rIns="91439" bIns="45720" upright="1"/>
                          </wps:wsp>
                        </a:graphicData>
                      </a:graphic>
                    </wp:anchor>
                  </w:drawing>
                </mc:Choice>
                <mc:Fallback>
                  <w:pict>
                    <v:shape id="_x0000_s1026" o:spid="_x0000_s1026" o:spt="202" type="#_x0000_t202" style="position:absolute;left:0pt;margin-left:36.3pt;margin-top:5.25pt;height:25.8pt;width:56.95pt;z-index:251682816;mso-width-relative:page;mso-height-relative:page;" filled="f" stroked="f" coordsize="21600,21600" o:gfxdata="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84cpWdcAAAAIAQAADwAAAAAAAAABACAAAAAiAAAAZHJzL2Rvd25y&#10;ZXYueG1sUEsBAhQAFAAAAAgAh07iQDSHwt/GAQAAgwMAAA4AAAAAAAAAAQAgAAAAJgEAAGRycy9l&#10;Mm9Eb2MueG1sUEsFBgAAAAAGAAYAWQEAAF4FAAAAAA==&#10;">
                      <v:fill on="f" focussize="0,0"/>
                      <v:stroke on="f"/>
                      <v:imagedata o:title=""/>
                      <o:lock v:ext="edit" aspectratio="f"/>
                      <v:textbox inset="7.19992125984252pt,1.27mm,7.19992125984252pt,1.27mm">
                        <w:txbxContent>
                          <w:p>
                            <w:pPr>
                              <w:ind w:firstLine="0" w:firstLineChars="0"/>
                              <w:rPr>
                                <w:sz w:val="20"/>
                                <w:szCs w:val="22"/>
                              </w:rPr>
                            </w:pPr>
                            <w:r>
                              <w:rPr>
                                <w:rFonts w:hint="eastAsia"/>
                                <w:sz w:val="20"/>
                              </w:rPr>
                              <w:t>声学环境</w:t>
                            </w:r>
                          </w:p>
                        </w:txbxContent>
                      </v:textbox>
                    </v:shape>
                  </w:pict>
                </mc:Fallback>
              </mc:AlternateContent>
            </w:r>
            <w:r>
              <w:rPr>
                <w:bCs/>
                <w:color w:val="auto"/>
                <w:spacing w:val="-10"/>
                <w:szCs w:val="21"/>
              </w:rPr>
              <mc:AlternateContent>
                <mc:Choice Requires="wps">
                  <w:drawing>
                    <wp:anchor distT="0" distB="0" distL="114300" distR="114300" simplePos="0" relativeHeight="251676672" behindDoc="0" locked="0" layoutInCell="1" allowOverlap="1">
                      <wp:simplePos x="0" y="0"/>
                      <wp:positionH relativeFrom="column">
                        <wp:posOffset>3223260</wp:posOffset>
                      </wp:positionH>
                      <wp:positionV relativeFrom="paragraph">
                        <wp:posOffset>99060</wp:posOffset>
                      </wp:positionV>
                      <wp:extent cx="635" cy="240030"/>
                      <wp:effectExtent l="37465" t="0" r="38100" b="7620"/>
                      <wp:wrapNone/>
                      <wp:docPr id="45" name="直接连接符 45"/>
                      <wp:cNvGraphicFramePr/>
                      <a:graphic xmlns:a="http://schemas.openxmlformats.org/drawingml/2006/main">
                        <a:graphicData uri="http://schemas.microsoft.com/office/word/2010/wordprocessingShape">
                          <wps:wsp>
                            <wps:cNvCnPr/>
                            <wps:spPr>
                              <a:xfrm flipV="1">
                                <a:off x="0" y="0"/>
                                <a:ext cx="635" cy="2400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53.8pt;margin-top:7.8pt;height:18.9pt;width:0.05pt;z-index:251676672;mso-width-relative:page;mso-height-relative:page;" filled="f" stroked="t" coordsize="21600,21600" o:gfxdata="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p+SddgAAAAJAQAADwAAAAAAAAABACAAAAAiAAAAZHJzL2Rvd25y&#10;ZXYueG1sUEsBAhQAFAAAAAgAh07iQNknC9f+AQAA6QMAAA4AAAAAAAAAAQAgAAAAJwEAAGRycy9l&#10;Mm9Eb2MueG1sUEsFBgAAAAAGAAYAWQEAAJcFAAAAAA==&#10;">
                      <v:fill on="f" focussize="0,0"/>
                      <v:stroke color="#000000" joinstyle="round" endarrow="block"/>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75648" behindDoc="0" locked="0" layoutInCell="1" allowOverlap="1">
                      <wp:simplePos x="0" y="0"/>
                      <wp:positionH relativeFrom="column">
                        <wp:posOffset>2391410</wp:posOffset>
                      </wp:positionH>
                      <wp:positionV relativeFrom="paragraph">
                        <wp:posOffset>81280</wp:posOffset>
                      </wp:positionV>
                      <wp:extent cx="635" cy="240030"/>
                      <wp:effectExtent l="37465" t="0" r="38100" b="3810"/>
                      <wp:wrapNone/>
                      <wp:docPr id="48" name="直接连接符 48"/>
                      <wp:cNvGraphicFramePr/>
                      <a:graphic xmlns:a="http://schemas.openxmlformats.org/drawingml/2006/main">
                        <a:graphicData uri="http://schemas.microsoft.com/office/word/2010/wordprocessingShape">
                          <wps:wsp>
                            <wps:cNvCnPr/>
                            <wps:spPr>
                              <a:xfrm flipV="1">
                                <a:off x="0" y="0"/>
                                <a:ext cx="635" cy="2400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88.3pt;margin-top:6.4pt;height:18.9pt;width:0.05pt;z-index:251675648;mso-width-relative:page;mso-height-relative:page;" filled="f" stroked="t" coordsize="21600,21600" o:gfxdata="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uUsPLYAAAACQEAAA8AAAAAAAAAAQAgAAAAIgAAAGRycy9kb3du&#10;cmV2LnhtbFBLAQIUABQAAAAIAIdO4kBOyItn/wEAAOkDAAAOAAAAAAAAAAEAIAAAACcBAABkcnMv&#10;ZTJvRG9jLnhtbFBLBQYAAAAABgAGAFkBAACYBQAAAAA=&#10;">
                      <v:fill on="f" focussize="0,0"/>
                      <v:stroke color="#000000" joinstyle="round" endarrow="block"/>
                      <v:imagedata o:title=""/>
                      <o:lock v:ext="edit" aspectratio="f"/>
                    </v:line>
                  </w:pict>
                </mc:Fallback>
              </mc:AlternateContent>
            </w:r>
          </w:p>
          <w:p>
            <w:pPr>
              <w:adjustRightInd w:val="0"/>
              <w:snapToGrid w:val="0"/>
              <w:ind w:firstLine="0" w:firstLineChars="0"/>
              <w:rPr>
                <w:bCs/>
                <w:color w:val="auto"/>
                <w:spacing w:val="-10"/>
                <w:szCs w:val="21"/>
              </w:rPr>
            </w:pPr>
            <w:r>
              <w:rPr>
                <w:bCs/>
                <w:color w:val="auto"/>
                <w:spacing w:val="-10"/>
                <w:szCs w:val="21"/>
              </w:rPr>
              <mc:AlternateContent>
                <mc:Choice Requires="wps">
                  <w:drawing>
                    <wp:anchor distT="0" distB="0" distL="114300" distR="114300" simplePos="0" relativeHeight="251684864" behindDoc="0" locked="0" layoutInCell="1" allowOverlap="1">
                      <wp:simplePos x="0" y="0"/>
                      <wp:positionH relativeFrom="column">
                        <wp:posOffset>2769235</wp:posOffset>
                      </wp:positionH>
                      <wp:positionV relativeFrom="paragraph">
                        <wp:posOffset>57150</wp:posOffset>
                      </wp:positionV>
                      <wp:extent cx="890905" cy="316865"/>
                      <wp:effectExtent l="4445" t="4445" r="19050" b="13970"/>
                      <wp:wrapNone/>
                      <wp:docPr id="44" name="文本框 44"/>
                      <wp:cNvGraphicFramePr/>
                      <a:graphic xmlns:a="http://schemas.openxmlformats.org/drawingml/2006/main">
                        <a:graphicData uri="http://schemas.microsoft.com/office/word/2010/wordprocessingShape">
                          <wps:wsp>
                            <wps:cNvSpPr txBox="1"/>
                            <wps:spPr>
                              <a:xfrm>
                                <a:off x="0" y="0"/>
                                <a:ext cx="890905" cy="31686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周边卫生设施</w:t>
                                  </w:r>
                                </w:p>
                              </w:txbxContent>
                            </wps:txbx>
                            <wps:bodyPr upright="1"/>
                          </wps:wsp>
                        </a:graphicData>
                      </a:graphic>
                    </wp:anchor>
                  </w:drawing>
                </mc:Choice>
                <mc:Fallback>
                  <w:pict>
                    <v:shape id="_x0000_s1026" o:spid="_x0000_s1026" o:spt="202" type="#_x0000_t202" style="position:absolute;left:0pt;margin-left:218.05pt;margin-top:4.5pt;height:24.95pt;width:70.15pt;z-index:251684864;mso-width-relative:page;mso-height-relative:page;" filled="f" stroked="t" coordsize="21600,21600" o:gfxdata="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Sfta9YAAAAIAQAADwAAAAAAAAABACAAAAAiAAAAZHJz&#10;L2Rvd25yZXYueG1sUEsBAhQAFAAAAAgAh07iQDNzvLAGAgAADgQAAA4AAAAAAAAAAQAgAAAAJQEA&#10;AGRycy9lMm9Eb2MueG1sUEsFBgAAAAAGAAYAWQEAAJ0FAAAAAA==&#10;">
                      <v:fill on="f" focussize="0,0"/>
                      <v:stroke color="#000000" joinstyle="miter"/>
                      <v:imagedata o:title=""/>
                      <o:lock v:ext="edit" aspectratio="f"/>
                      <v:textbox>
                        <w:txbxContent>
                          <w:p>
                            <w:pPr>
                              <w:ind w:firstLine="0" w:firstLineChars="0"/>
                              <w:jc w:val="center"/>
                              <w:rPr>
                                <w:sz w:val="18"/>
                                <w:szCs w:val="18"/>
                              </w:rPr>
                            </w:pPr>
                            <w:r>
                              <w:rPr>
                                <w:rFonts w:hint="eastAsia"/>
                                <w:sz w:val="18"/>
                                <w:szCs w:val="18"/>
                              </w:rPr>
                              <w:t>周边卫生设施</w:t>
                            </w:r>
                          </w:p>
                        </w:txbxContent>
                      </v:textbox>
                    </v:shape>
                  </w:pict>
                </mc:Fallback>
              </mc:AlternateContent>
            </w:r>
            <w:r>
              <w:rPr>
                <w:bCs/>
                <w:color w:val="auto"/>
                <w:spacing w:val="-10"/>
                <w:szCs w:val="21"/>
              </w:rPr>
              <mc:AlternateContent>
                <mc:Choice Requires="wps">
                  <w:drawing>
                    <wp:anchor distT="0" distB="0" distL="114300" distR="114300" simplePos="0" relativeHeight="251685888" behindDoc="0" locked="0" layoutInCell="1" allowOverlap="1">
                      <wp:simplePos x="0" y="0"/>
                      <wp:positionH relativeFrom="column">
                        <wp:posOffset>2036445</wp:posOffset>
                      </wp:positionH>
                      <wp:positionV relativeFrom="paragraph">
                        <wp:posOffset>68580</wp:posOffset>
                      </wp:positionV>
                      <wp:extent cx="587375" cy="305435"/>
                      <wp:effectExtent l="4445" t="4445" r="17780" b="10160"/>
                      <wp:wrapNone/>
                      <wp:docPr id="43" name="文本框 43"/>
                      <wp:cNvGraphicFramePr/>
                      <a:graphic xmlns:a="http://schemas.openxmlformats.org/drawingml/2006/main">
                        <a:graphicData uri="http://schemas.microsoft.com/office/word/2010/wordprocessingShape">
                          <wps:wsp>
                            <wps:cNvSpPr txBox="1"/>
                            <wps:spPr>
                              <a:xfrm>
                                <a:off x="0" y="0"/>
                                <a:ext cx="587375" cy="30543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left"/>
                                    <w:rPr>
                                      <w:sz w:val="18"/>
                                      <w:szCs w:val="18"/>
                                    </w:rPr>
                                  </w:pPr>
                                  <w:r>
                                    <w:rPr>
                                      <w:rFonts w:hint="eastAsia"/>
                                      <w:sz w:val="18"/>
                                      <w:szCs w:val="18"/>
                                    </w:rPr>
                                    <w:t>沉淀池</w:t>
                                  </w:r>
                                </w:p>
                              </w:txbxContent>
                            </wps:txbx>
                            <wps:bodyPr upright="1"/>
                          </wps:wsp>
                        </a:graphicData>
                      </a:graphic>
                    </wp:anchor>
                  </w:drawing>
                </mc:Choice>
                <mc:Fallback>
                  <w:pict>
                    <v:shape id="_x0000_s1026" o:spid="_x0000_s1026" o:spt="202" type="#_x0000_t202" style="position:absolute;left:0pt;margin-left:160.35pt;margin-top:5.4pt;height:24.05pt;width:46.25pt;z-index:251685888;mso-width-relative:page;mso-height-relative:page;" filled="f" stroked="t" coordsize="21600,21600" o:gfxdata="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pTvmtYAAAAJAQAADwAAAAAAAAABACAAAAAiAAAAZHJz&#10;L2Rvd25yZXYueG1sUEsBAhQAFAAAAAgAh07iQGVyPbAGAgAADgQAAA4AAAAAAAAAAQAgAAAAJQEA&#10;AGRycy9lMm9Eb2MueG1sUEsFBgAAAAAGAAYAWQEAAJ0FAAAAAA==&#10;">
                      <v:fill on="f" focussize="0,0"/>
                      <v:stroke color="#000000" joinstyle="miter"/>
                      <v:imagedata o:title=""/>
                      <o:lock v:ext="edit" aspectratio="f"/>
                      <v:textbox>
                        <w:txbxContent>
                          <w:p>
                            <w:pPr>
                              <w:ind w:firstLine="0" w:firstLineChars="0"/>
                              <w:jc w:val="left"/>
                              <w:rPr>
                                <w:sz w:val="18"/>
                                <w:szCs w:val="18"/>
                              </w:rPr>
                            </w:pPr>
                            <w:r>
                              <w:rPr>
                                <w:rFonts w:hint="eastAsia"/>
                                <w:sz w:val="18"/>
                                <w:szCs w:val="18"/>
                              </w:rPr>
                              <w:t>沉淀池</w:t>
                            </w:r>
                          </w:p>
                        </w:txbxContent>
                      </v:textbox>
                    </v:shape>
                  </w:pict>
                </mc:Fallback>
              </mc:AlternateContent>
            </w:r>
            <w:r>
              <w:rPr>
                <w:bCs/>
                <w:color w:val="auto"/>
                <w:spacing w:val="-10"/>
                <w:szCs w:val="21"/>
              </w:rPr>
              <mc:AlternateContent>
                <mc:Choice Requires="wps">
                  <w:drawing>
                    <wp:anchor distT="0" distB="0" distL="114300" distR="114300" simplePos="0" relativeHeight="251674624" behindDoc="0" locked="0" layoutInCell="1" allowOverlap="1">
                      <wp:simplePos x="0" y="0"/>
                      <wp:positionH relativeFrom="column">
                        <wp:posOffset>4137660</wp:posOffset>
                      </wp:positionH>
                      <wp:positionV relativeFrom="paragraph">
                        <wp:posOffset>146685</wp:posOffset>
                      </wp:positionV>
                      <wp:extent cx="635" cy="561340"/>
                      <wp:effectExtent l="37465" t="0" r="38100" b="10160"/>
                      <wp:wrapNone/>
                      <wp:docPr id="46" name="直接连接符 46"/>
                      <wp:cNvGraphicFramePr/>
                      <a:graphic xmlns:a="http://schemas.openxmlformats.org/drawingml/2006/main">
                        <a:graphicData uri="http://schemas.microsoft.com/office/word/2010/wordprocessingShape">
                          <wps:wsp>
                            <wps:cNvCnPr/>
                            <wps:spPr>
                              <a:xfrm flipV="1">
                                <a:off x="0" y="0"/>
                                <a:ext cx="635" cy="561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325.8pt;margin-top:11.55pt;height:44.2pt;width:0.05pt;z-index:251674624;mso-width-relative:page;mso-height-relative:page;" filled="f" stroked="t" coordsize="21600,21600" o:gfxdata="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vCALXYAAAACgEAAA8AAAAAAAAAAQAgAAAAIgAAAGRycy9kb3du&#10;cmV2LnhtbFBLAQIUABQAAAAIAIdO4kCegRFQ/wEAAOkDAAAOAAAAAAAAAAEAIAAAACcBAABkcnMv&#10;ZTJvRG9jLnhtbFBLBQYAAAAABgAGAFkBAACYBQAAAAA=&#10;">
                      <v:fill on="f" focussize="0,0"/>
                      <v:stroke color="#000000" joinstyle="round" endarrow="block"/>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73600" behindDoc="0" locked="0" layoutInCell="1" allowOverlap="1">
                      <wp:simplePos x="0" y="0"/>
                      <wp:positionH relativeFrom="column">
                        <wp:posOffset>1560195</wp:posOffset>
                      </wp:positionH>
                      <wp:positionV relativeFrom="paragraph">
                        <wp:posOffset>140970</wp:posOffset>
                      </wp:positionV>
                      <wp:extent cx="635" cy="561340"/>
                      <wp:effectExtent l="37465" t="0" r="38100" b="10160"/>
                      <wp:wrapNone/>
                      <wp:docPr id="49" name="直接连接符 49"/>
                      <wp:cNvGraphicFramePr/>
                      <a:graphic xmlns:a="http://schemas.openxmlformats.org/drawingml/2006/main">
                        <a:graphicData uri="http://schemas.microsoft.com/office/word/2010/wordprocessingShape">
                          <wps:wsp>
                            <wps:cNvCnPr/>
                            <wps:spPr>
                              <a:xfrm flipV="1">
                                <a:off x="0" y="0"/>
                                <a:ext cx="635" cy="56134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122.85pt;margin-top:11.1pt;height:44.2pt;width:0.05pt;z-index:251673600;mso-width-relative:page;mso-height-relative:page;" filled="f" stroked="t" coordsize="21600,21600" o:gfxdata="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gAWQ9YAAAAKAQAADwAAAAAAAAABACAAAAAiAAAAZHJzL2Rvd25y&#10;ZXYueG1sUEsBAhQAFAAAAAgAh07iQMp3qG8AAgAA6AMAAA4AAAAAAAAAAQAgAAAAJQEAAGRycy9l&#10;Mm9Eb2MueG1sUEsFBgAAAAAGAAYAWQEAAJcFAAAAAA==&#10;">
                      <v:fill on="f" focussize="0,0"/>
                      <v:stroke color="#000000" joinstyle="round" dashstyle="dash" endarrow="block"/>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72576" behindDoc="0" locked="0" layoutInCell="1" allowOverlap="1">
                      <wp:simplePos x="0" y="0"/>
                      <wp:positionH relativeFrom="column">
                        <wp:posOffset>781050</wp:posOffset>
                      </wp:positionH>
                      <wp:positionV relativeFrom="paragraph">
                        <wp:posOffset>139700</wp:posOffset>
                      </wp:positionV>
                      <wp:extent cx="635" cy="561340"/>
                      <wp:effectExtent l="37465" t="0" r="38100" b="10160"/>
                      <wp:wrapNone/>
                      <wp:docPr id="63" name="直接连接符 63"/>
                      <wp:cNvGraphicFramePr/>
                      <a:graphic xmlns:a="http://schemas.openxmlformats.org/drawingml/2006/main">
                        <a:graphicData uri="http://schemas.microsoft.com/office/word/2010/wordprocessingShape">
                          <wps:wsp>
                            <wps:cNvCnPr/>
                            <wps:spPr>
                              <a:xfrm flipV="1">
                                <a:off x="0" y="0"/>
                                <a:ext cx="635" cy="56134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61.5pt;margin-top:11pt;height:44.2pt;width:0.05pt;z-index:251672576;mso-width-relative:page;mso-height-relative:page;" filled="f" stroked="t" coordsize="21600,21600" o:gfxdata="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GlMH1gAAAAoBAAAPAAAAAAAAAAEAIAAAACIAAABkcnMvZG93bnJl&#10;di54bWxQSwECFAAUAAAACACHTuJAGOjRL/8BAADoAwAADgAAAAAAAAABACAAAAAlAQAAZHJzL2Uy&#10;b0RvYy54bWxQSwUGAAAAAAYABgBZAQAAlgUAAAAA&#10;">
                      <v:fill on="f" focussize="0,0"/>
                      <v:stroke color="#000000" joinstyle="round" dashstyle="dash" endarrow="block"/>
                      <v:imagedata o:title=""/>
                      <o:lock v:ext="edit" aspectratio="f"/>
                    </v:line>
                  </w:pict>
                </mc:Fallback>
              </mc:AlternateContent>
            </w:r>
          </w:p>
          <w:p>
            <w:pPr>
              <w:adjustRightInd w:val="0"/>
              <w:snapToGrid w:val="0"/>
              <w:ind w:firstLine="0" w:firstLineChars="0"/>
              <w:rPr>
                <w:bCs/>
                <w:color w:val="auto"/>
                <w:spacing w:val="-10"/>
                <w:szCs w:val="21"/>
              </w:rPr>
            </w:pPr>
            <w:r>
              <w:rPr>
                <w:bCs/>
                <w:color w:val="auto"/>
                <w:spacing w:val="-10"/>
                <w:szCs w:val="21"/>
              </w:rPr>
              <mc:AlternateContent>
                <mc:Choice Requires="wps">
                  <w:drawing>
                    <wp:anchor distT="0" distB="0" distL="114300" distR="114300" simplePos="0" relativeHeight="251664384" behindDoc="0" locked="0" layoutInCell="1" allowOverlap="1">
                      <wp:simplePos x="0" y="0"/>
                      <wp:positionH relativeFrom="column">
                        <wp:posOffset>3208020</wp:posOffset>
                      </wp:positionH>
                      <wp:positionV relativeFrom="paragraph">
                        <wp:posOffset>136525</wp:posOffset>
                      </wp:positionV>
                      <wp:extent cx="635" cy="248920"/>
                      <wp:effectExtent l="37465" t="0" r="38100" b="10160"/>
                      <wp:wrapNone/>
                      <wp:docPr id="37" name="直接连接符 37"/>
                      <wp:cNvGraphicFramePr/>
                      <a:graphic xmlns:a="http://schemas.openxmlformats.org/drawingml/2006/main">
                        <a:graphicData uri="http://schemas.microsoft.com/office/word/2010/wordprocessingShape">
                          <wps:wsp>
                            <wps:cNvCnPr>
                              <a:cxnSpLocks noChangeShapeType="1"/>
                            </wps:cNvCnPr>
                            <wps:spPr bwMode="auto">
                              <a:xfrm flipV="1">
                                <a:off x="0" y="0"/>
                                <a:ext cx="635" cy="24892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252.6pt;margin-top:10.75pt;height:19.6pt;width:0.05pt;z-index:251664384;mso-width-relative:page;mso-height-relative:page;" filled="f" stroked="t" coordsize="21600,21600" o:gfxdata="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E9gAAAAJAQAADwAAAAAAAAABACAA&#10;AAAiAAAAZHJzL2Rvd25yZXYueG1sUEsBAhQAFAAAAAgAh07iQCDNeXENAgAA8wMAAA4AAAAAAAAA&#10;AQAgAAAAJwEAAGRycy9lMm9Eb2MueG1sUEsFBgAAAAAGAAYAWQEAAKYFAAAAAA==&#10;">
                      <v:fill on="f" focussize="0,0"/>
                      <v:stroke color="#000000" joinstyle="round" endarrow="block"/>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63360" behindDoc="0" locked="0" layoutInCell="1" allowOverlap="1">
                      <wp:simplePos x="0" y="0"/>
                      <wp:positionH relativeFrom="column">
                        <wp:posOffset>2366010</wp:posOffset>
                      </wp:positionH>
                      <wp:positionV relativeFrom="paragraph">
                        <wp:posOffset>111125</wp:posOffset>
                      </wp:positionV>
                      <wp:extent cx="635" cy="248920"/>
                      <wp:effectExtent l="37465" t="0" r="38100" b="10160"/>
                      <wp:wrapNone/>
                      <wp:docPr id="51" name="直接连接符 51"/>
                      <wp:cNvGraphicFramePr/>
                      <a:graphic xmlns:a="http://schemas.openxmlformats.org/drawingml/2006/main">
                        <a:graphicData uri="http://schemas.microsoft.com/office/word/2010/wordprocessingShape">
                          <wps:wsp>
                            <wps:cNvCnPr>
                              <a:cxnSpLocks noChangeShapeType="1"/>
                            </wps:cNvCnPr>
                            <wps:spPr bwMode="auto">
                              <a:xfrm flipV="1">
                                <a:off x="0" y="0"/>
                                <a:ext cx="635" cy="24892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186.3pt;margin-top:8.75pt;height:19.6pt;width:0.05pt;z-index:251663360;mso-width-relative:page;mso-height-relative:page;" filled="f" stroked="t" coordsize="21600,21600" o:gfxdata="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apOd9gAAAAJAQAADwAAAAAAAAABACAA&#10;AAAiAAAAZHJzL2Rvd25yZXYueG1sUEsBAhQAFAAAAAgAh07iQKhtDT0NAgAA8wMAAA4AAAAAAAAA&#10;AQAgAAAAJwEAAGRycy9lMm9Eb2MueG1sUEsFBgAAAAAGAAYAWQEAAKYFAAAAAA==&#10;">
                      <v:fill on="f" focussize="0,0"/>
                      <v:stroke color="#000000" joinstyle="round" endarrow="block"/>
                      <v:imagedata o:title=""/>
                      <o:lock v:ext="edit" aspectratio="f"/>
                    </v:line>
                  </w:pict>
                </mc:Fallback>
              </mc:AlternateContent>
            </w:r>
          </w:p>
          <w:p>
            <w:pPr>
              <w:adjustRightInd w:val="0"/>
              <w:snapToGrid w:val="0"/>
              <w:ind w:firstLine="0" w:firstLineChars="0"/>
              <w:rPr>
                <w:bCs/>
                <w:color w:val="auto"/>
                <w:spacing w:val="-10"/>
                <w:szCs w:val="21"/>
              </w:rPr>
            </w:pPr>
            <w:r>
              <w:rPr>
                <w:bCs/>
                <w:color w:val="auto"/>
                <w:spacing w:val="-10"/>
                <w:szCs w:val="21"/>
              </w:rPr>
              <mc:AlternateContent>
                <mc:Choice Requires="wps">
                  <w:drawing>
                    <wp:anchor distT="0" distB="0" distL="114300" distR="114300" simplePos="0" relativeHeight="251681792" behindDoc="0" locked="0" layoutInCell="1" allowOverlap="1">
                      <wp:simplePos x="0" y="0"/>
                      <wp:positionH relativeFrom="column">
                        <wp:posOffset>3754755</wp:posOffset>
                      </wp:positionH>
                      <wp:positionV relativeFrom="paragraph">
                        <wp:posOffset>214630</wp:posOffset>
                      </wp:positionV>
                      <wp:extent cx="759460" cy="339725"/>
                      <wp:effectExtent l="4445" t="4445" r="13335" b="6350"/>
                      <wp:wrapNone/>
                      <wp:docPr id="19" name="文本框 19"/>
                      <wp:cNvGraphicFramePr/>
                      <a:graphic xmlns:a="http://schemas.openxmlformats.org/drawingml/2006/main">
                        <a:graphicData uri="http://schemas.microsoft.com/office/word/2010/wordprocessingShape">
                          <wps:wsp>
                            <wps:cNvSpPr txBox="1"/>
                            <wps:spPr>
                              <a:xfrm>
                                <a:off x="0" y="0"/>
                                <a:ext cx="759460" cy="339725"/>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18"/>
                                    </w:rPr>
                                  </w:pPr>
                                  <w:r>
                                    <w:rPr>
                                      <w:rFonts w:hint="eastAsia"/>
                                      <w:sz w:val="18"/>
                                      <w:szCs w:val="18"/>
                                    </w:rPr>
                                    <w:t>生活垃圾</w:t>
                                  </w:r>
                                </w:p>
                              </w:txbxContent>
                            </wps:txbx>
                            <wps:bodyPr lIns="91439" tIns="45720" rIns="91439" bIns="45720" upright="1"/>
                          </wps:wsp>
                        </a:graphicData>
                      </a:graphic>
                    </wp:anchor>
                  </w:drawing>
                </mc:Choice>
                <mc:Fallback>
                  <w:pict>
                    <v:shape id="_x0000_s1026" o:spid="_x0000_s1026" o:spt="202" type="#_x0000_t202" style="position:absolute;left:0pt;margin-left:295.65pt;margin-top:16.9pt;height:26.75pt;width:59.8pt;z-index:251681792;mso-width-relative:page;mso-height-relative:page;" filled="f" stroked="t" coordsize="21600,21600" o:gfxdata="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g0IvVAAAACQEA&#10;AA8AAAAAAAAAAQAgAAAAIgAAAGRycy9kb3ducmV2LnhtbFBLAQIUABQAAAAIAIdO4kCXfjv0HQIA&#10;AEEEAAAOAAAAAAAAAAEAIAAAACQBAABkcnMvZTJvRG9jLnhtbFBLBQYAAAAABgAGAFkBAACzBQAA&#10;AAA=&#10;">
                      <v:fill on="f" focussize="0,0"/>
                      <v:stroke color="#000000" joinstyle="miter" dashstyle="dash"/>
                      <v:imagedata o:title=""/>
                      <o:lock v:ext="edit" aspectratio="f"/>
                      <v:textbox inset="7.19992125984252pt,1.27mm,7.19992125984252pt,1.27mm">
                        <w:txbxContent>
                          <w:p>
                            <w:pPr>
                              <w:ind w:firstLine="0" w:firstLineChars="0"/>
                              <w:rPr>
                                <w:sz w:val="18"/>
                                <w:szCs w:val="18"/>
                              </w:rPr>
                            </w:pPr>
                            <w:r>
                              <w:rPr>
                                <w:rFonts w:hint="eastAsia"/>
                                <w:sz w:val="18"/>
                                <w:szCs w:val="18"/>
                              </w:rPr>
                              <w:t>生活垃圾</w:t>
                            </w:r>
                          </w:p>
                        </w:txbxContent>
                      </v:textbox>
                    </v:shape>
                  </w:pict>
                </mc:Fallback>
              </mc:AlternateContent>
            </w:r>
            <w:r>
              <w:rPr>
                <w:bCs/>
                <w:color w:val="auto"/>
                <w:spacing w:val="-10"/>
                <w:szCs w:val="21"/>
              </w:rPr>
              <mc:AlternateContent>
                <mc:Choice Requires="wps">
                  <w:drawing>
                    <wp:anchor distT="0" distB="0" distL="114300" distR="114300" simplePos="0" relativeHeight="251680768" behindDoc="0" locked="0" layoutInCell="1" allowOverlap="1">
                      <wp:simplePos x="0" y="0"/>
                      <wp:positionH relativeFrom="column">
                        <wp:posOffset>2891155</wp:posOffset>
                      </wp:positionH>
                      <wp:positionV relativeFrom="paragraph">
                        <wp:posOffset>195580</wp:posOffset>
                      </wp:positionV>
                      <wp:extent cx="688340" cy="339090"/>
                      <wp:effectExtent l="4445" t="4445" r="8255" b="6985"/>
                      <wp:wrapNone/>
                      <wp:docPr id="50" name="文本框 50"/>
                      <wp:cNvGraphicFramePr/>
                      <a:graphic xmlns:a="http://schemas.openxmlformats.org/drawingml/2006/main">
                        <a:graphicData uri="http://schemas.microsoft.com/office/word/2010/wordprocessingShape">
                          <wps:wsp>
                            <wps:cNvSpPr txBox="1"/>
                            <wps:spPr>
                              <a:xfrm>
                                <a:off x="0" y="0"/>
                                <a:ext cx="688340" cy="339090"/>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21"/>
                                    </w:rPr>
                                  </w:pPr>
                                  <w:r>
                                    <w:rPr>
                                      <w:rFonts w:hint="eastAsia"/>
                                      <w:sz w:val="18"/>
                                      <w:szCs w:val="21"/>
                                    </w:rPr>
                                    <w:t>生活污水</w:t>
                                  </w:r>
                                </w:p>
                              </w:txbxContent>
                            </wps:txbx>
                            <wps:bodyPr lIns="91439" tIns="45720" rIns="91439" bIns="45720" upright="1"/>
                          </wps:wsp>
                        </a:graphicData>
                      </a:graphic>
                    </wp:anchor>
                  </w:drawing>
                </mc:Choice>
                <mc:Fallback>
                  <w:pict>
                    <v:shape id="_x0000_s1026" o:spid="_x0000_s1026" o:spt="202" type="#_x0000_t202" style="position:absolute;left:0pt;margin-left:227.65pt;margin-top:15.4pt;height:26.7pt;width:54.2pt;z-index:251680768;mso-width-relative:page;mso-height-relative:page;" filled="f" stroked="t" coordsize="21600,21600" o:gfxdata="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1JE7nWAAAA&#10;CQEAAA8AAAAAAAAAAQAgAAAAIgAAAGRycy9kb3ducmV2LnhtbFBLAQIUABQAAAAIAIdO4kAJtI2f&#10;HwIAAEEEAAAOAAAAAAAAAAEAIAAAACUBAABkcnMvZTJvRG9jLnhtbFBLBQYAAAAABgAGAFkBAAC2&#10;BQAAAAA=&#10;">
                      <v:fill on="f" focussize="0,0"/>
                      <v:stroke color="#000000" joinstyle="miter" dashstyle="dash"/>
                      <v:imagedata o:title=""/>
                      <o:lock v:ext="edit" aspectratio="f"/>
                      <v:textbox inset="7.19992125984252pt,1.27mm,7.19992125984252pt,1.27mm">
                        <w:txbxContent>
                          <w:p>
                            <w:pPr>
                              <w:ind w:firstLine="0" w:firstLineChars="0"/>
                              <w:rPr>
                                <w:sz w:val="18"/>
                                <w:szCs w:val="21"/>
                              </w:rPr>
                            </w:pPr>
                            <w:r>
                              <w:rPr>
                                <w:rFonts w:hint="eastAsia"/>
                                <w:sz w:val="18"/>
                                <w:szCs w:val="21"/>
                              </w:rPr>
                              <w:t>生活污水</w:t>
                            </w:r>
                          </w:p>
                        </w:txbxContent>
                      </v:textbox>
                    </v:shape>
                  </w:pict>
                </mc:Fallback>
              </mc:AlternateContent>
            </w:r>
            <w:r>
              <w:rPr>
                <w:bCs/>
                <w:color w:val="auto"/>
                <w:spacing w:val="-10"/>
                <w:szCs w:val="21"/>
              </w:rPr>
              <mc:AlternateContent>
                <mc:Choice Requires="wps">
                  <w:drawing>
                    <wp:anchor distT="0" distB="0" distL="114300" distR="114300" simplePos="0" relativeHeight="251679744" behindDoc="0" locked="0" layoutInCell="1" allowOverlap="1">
                      <wp:simplePos x="0" y="0"/>
                      <wp:positionH relativeFrom="column">
                        <wp:posOffset>2035175</wp:posOffset>
                      </wp:positionH>
                      <wp:positionV relativeFrom="paragraph">
                        <wp:posOffset>173990</wp:posOffset>
                      </wp:positionV>
                      <wp:extent cx="688975" cy="339725"/>
                      <wp:effectExtent l="4445" t="5080" r="7620" b="5715"/>
                      <wp:wrapNone/>
                      <wp:docPr id="38" name="文本框 38"/>
                      <wp:cNvGraphicFramePr/>
                      <a:graphic xmlns:a="http://schemas.openxmlformats.org/drawingml/2006/main">
                        <a:graphicData uri="http://schemas.microsoft.com/office/word/2010/wordprocessingShape">
                          <wps:wsp>
                            <wps:cNvSpPr txBox="1"/>
                            <wps:spPr>
                              <a:xfrm>
                                <a:off x="0" y="0"/>
                                <a:ext cx="688975" cy="339725"/>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21"/>
                                    </w:rPr>
                                  </w:pPr>
                                  <w:r>
                                    <w:rPr>
                                      <w:rFonts w:hint="eastAsia"/>
                                      <w:sz w:val="18"/>
                                      <w:szCs w:val="21"/>
                                    </w:rPr>
                                    <w:t>建筑废水</w:t>
                                  </w:r>
                                </w:p>
                              </w:txbxContent>
                            </wps:txbx>
                            <wps:bodyPr lIns="91439" tIns="45720" rIns="91439" bIns="45720" upright="1"/>
                          </wps:wsp>
                        </a:graphicData>
                      </a:graphic>
                    </wp:anchor>
                  </w:drawing>
                </mc:Choice>
                <mc:Fallback>
                  <w:pict>
                    <v:shape id="_x0000_s1026" o:spid="_x0000_s1026" o:spt="202" type="#_x0000_t202" style="position:absolute;left:0pt;margin-left:160.25pt;margin-top:13.7pt;height:26.75pt;width:54.25pt;z-index:251679744;mso-width-relative:page;mso-height-relative:page;" filled="f" stroked="t" coordsize="21600,21600" o:gfxdata="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x4sbWAAAA&#10;CQEAAA8AAAAAAAAAAQAgAAAAIgAAAGRycy9kb3ducmV2LnhtbFBLAQIUABQAAAAIAIdO4kDW6pHb&#10;HwIAAEEEAAAOAAAAAAAAAAEAIAAAACUBAABkcnMvZTJvRG9jLnhtbFBLBQYAAAAABgAGAFkBAAC2&#10;BQAAAAA=&#10;">
                      <v:fill on="f" focussize="0,0"/>
                      <v:stroke color="#000000" joinstyle="miter" dashstyle="dash"/>
                      <v:imagedata o:title=""/>
                      <o:lock v:ext="edit" aspectratio="f"/>
                      <v:textbox inset="7.19992125984252pt,1.27mm,7.19992125984252pt,1.27mm">
                        <w:txbxContent>
                          <w:p>
                            <w:pPr>
                              <w:ind w:firstLine="0" w:firstLineChars="0"/>
                              <w:rPr>
                                <w:sz w:val="18"/>
                                <w:szCs w:val="21"/>
                              </w:rPr>
                            </w:pPr>
                            <w:r>
                              <w:rPr>
                                <w:rFonts w:hint="eastAsia"/>
                                <w:sz w:val="18"/>
                                <w:szCs w:val="21"/>
                              </w:rPr>
                              <w:t>建筑废水</w:t>
                            </w:r>
                          </w:p>
                        </w:txbxContent>
                      </v:textbox>
                    </v:shape>
                  </w:pict>
                </mc:Fallback>
              </mc:AlternateContent>
            </w:r>
            <w:r>
              <w:rPr>
                <w:bCs/>
                <w:color w:val="auto"/>
                <w:spacing w:val="-10"/>
                <w:szCs w:val="21"/>
              </w:rPr>
              <mc:AlternateContent>
                <mc:Choice Requires="wps">
                  <w:drawing>
                    <wp:anchor distT="0" distB="0" distL="114300" distR="114300" simplePos="0" relativeHeight="251678720" behindDoc="0" locked="0" layoutInCell="1" allowOverlap="1">
                      <wp:simplePos x="0" y="0"/>
                      <wp:positionH relativeFrom="column">
                        <wp:posOffset>1339850</wp:posOffset>
                      </wp:positionH>
                      <wp:positionV relativeFrom="paragraph">
                        <wp:posOffset>184785</wp:posOffset>
                      </wp:positionV>
                      <wp:extent cx="438785" cy="338455"/>
                      <wp:effectExtent l="5080" t="4445" r="13335" b="7620"/>
                      <wp:wrapNone/>
                      <wp:docPr id="20" name="文本框 20"/>
                      <wp:cNvGraphicFramePr/>
                      <a:graphic xmlns:a="http://schemas.openxmlformats.org/drawingml/2006/main">
                        <a:graphicData uri="http://schemas.microsoft.com/office/word/2010/wordprocessingShape">
                          <wps:wsp>
                            <wps:cNvSpPr txBox="1"/>
                            <wps:spPr>
                              <a:xfrm>
                                <a:off x="0" y="0"/>
                                <a:ext cx="438785" cy="338455"/>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21"/>
                                    </w:rPr>
                                  </w:pPr>
                                  <w:r>
                                    <w:rPr>
                                      <w:rFonts w:hint="eastAsia"/>
                                      <w:sz w:val="18"/>
                                      <w:szCs w:val="21"/>
                                    </w:rPr>
                                    <w:t>粉尘</w:t>
                                  </w:r>
                                </w:p>
                              </w:txbxContent>
                            </wps:txbx>
                            <wps:bodyPr lIns="91439" tIns="45720" rIns="91439" bIns="45720" upright="1"/>
                          </wps:wsp>
                        </a:graphicData>
                      </a:graphic>
                    </wp:anchor>
                  </w:drawing>
                </mc:Choice>
                <mc:Fallback>
                  <w:pict>
                    <v:shape id="_x0000_s1026" o:spid="_x0000_s1026" o:spt="202" type="#_x0000_t202" style="position:absolute;left:0pt;margin-left:105.5pt;margin-top:14.55pt;height:26.65pt;width:34.55pt;z-index:251678720;mso-width-relative:page;mso-height-relative:page;" filled="f" stroked="t" coordsize="21600,21600" o:gfxdata="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615tdQAAAAJAQAA&#10;DwAAAAAAAAABACAAAAAiAAAAZHJzL2Rvd25yZXYueG1sUEsBAhQAFAAAAAgAh07iQEAWWGcdAgAA&#10;QQQAAA4AAAAAAAAAAQAgAAAAIwEAAGRycy9lMm9Eb2MueG1sUEsFBgAAAAAGAAYAWQEAALIFAAAA&#10;AA==&#10;">
                      <v:fill on="f" focussize="0,0"/>
                      <v:stroke color="#000000" joinstyle="miter" dashstyle="dash"/>
                      <v:imagedata o:title=""/>
                      <o:lock v:ext="edit" aspectratio="f"/>
                      <v:textbox inset="7.19992125984252pt,1.27mm,7.19992125984252pt,1.27mm">
                        <w:txbxContent>
                          <w:p>
                            <w:pPr>
                              <w:ind w:firstLine="0" w:firstLineChars="0"/>
                              <w:rPr>
                                <w:sz w:val="18"/>
                                <w:szCs w:val="21"/>
                              </w:rPr>
                            </w:pPr>
                            <w:r>
                              <w:rPr>
                                <w:rFonts w:hint="eastAsia"/>
                                <w:sz w:val="18"/>
                                <w:szCs w:val="21"/>
                              </w:rPr>
                              <w:t>粉尘</w:t>
                            </w:r>
                          </w:p>
                        </w:txbxContent>
                      </v:textbox>
                    </v:shape>
                  </w:pict>
                </mc:Fallback>
              </mc:AlternateContent>
            </w:r>
            <w:r>
              <w:rPr>
                <w:bCs/>
                <w:color w:val="auto"/>
                <w:spacing w:val="-10"/>
                <w:szCs w:val="21"/>
              </w:rPr>
              <mc:AlternateContent>
                <mc:Choice Requires="wps">
                  <w:drawing>
                    <wp:anchor distT="0" distB="0" distL="114300" distR="114300" simplePos="0" relativeHeight="251677696" behindDoc="0" locked="0" layoutInCell="1" allowOverlap="1">
                      <wp:simplePos x="0" y="0"/>
                      <wp:positionH relativeFrom="column">
                        <wp:posOffset>568960</wp:posOffset>
                      </wp:positionH>
                      <wp:positionV relativeFrom="paragraph">
                        <wp:posOffset>179705</wp:posOffset>
                      </wp:positionV>
                      <wp:extent cx="438785" cy="339725"/>
                      <wp:effectExtent l="5080" t="4445" r="13335" b="6350"/>
                      <wp:wrapNone/>
                      <wp:docPr id="47" name="文本框 47"/>
                      <wp:cNvGraphicFramePr/>
                      <a:graphic xmlns:a="http://schemas.openxmlformats.org/drawingml/2006/main">
                        <a:graphicData uri="http://schemas.microsoft.com/office/word/2010/wordprocessingShape">
                          <wps:wsp>
                            <wps:cNvSpPr txBox="1"/>
                            <wps:spPr>
                              <a:xfrm>
                                <a:off x="0" y="0"/>
                                <a:ext cx="438785" cy="339725"/>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21"/>
                                    </w:rPr>
                                  </w:pPr>
                                  <w:r>
                                    <w:rPr>
                                      <w:rFonts w:hint="eastAsia"/>
                                      <w:sz w:val="18"/>
                                      <w:szCs w:val="21"/>
                                    </w:rPr>
                                    <w:t>噪声</w:t>
                                  </w:r>
                                </w:p>
                              </w:txbxContent>
                            </wps:txbx>
                            <wps:bodyPr lIns="91439" tIns="45720" rIns="91439" bIns="45720" upright="1"/>
                          </wps:wsp>
                        </a:graphicData>
                      </a:graphic>
                    </wp:anchor>
                  </w:drawing>
                </mc:Choice>
                <mc:Fallback>
                  <w:pict>
                    <v:shape id="_x0000_s1026" o:spid="_x0000_s1026" o:spt="202" type="#_x0000_t202" style="position:absolute;left:0pt;margin-left:44.8pt;margin-top:14.15pt;height:26.75pt;width:34.55pt;z-index:251677696;mso-width-relative:page;mso-height-relative:page;" filled="f" stroked="t" coordsize="21600,21600" o:gfxdata="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2eyw1AAAAAgB&#10;AAAPAAAAAAAAAAEAIAAAACIAAABkcnMvZG93bnJldi54bWxQSwECFAAUAAAACACHTuJAuOHR/h8C&#10;AABBBAAADgAAAAAAAAABACAAAAAjAQAAZHJzL2Uyb0RvYy54bWxQSwUGAAAAAAYABgBZAQAAtAUA&#10;AAAA&#10;">
                      <v:fill on="f" focussize="0,0"/>
                      <v:stroke color="#000000" joinstyle="miter" dashstyle="dash"/>
                      <v:imagedata o:title=""/>
                      <o:lock v:ext="edit" aspectratio="f"/>
                      <v:textbox inset="7.19992125984252pt,1.27mm,7.19992125984252pt,1.27mm">
                        <w:txbxContent>
                          <w:p>
                            <w:pPr>
                              <w:ind w:firstLine="0" w:firstLineChars="0"/>
                              <w:rPr>
                                <w:sz w:val="18"/>
                                <w:szCs w:val="21"/>
                              </w:rPr>
                            </w:pPr>
                            <w:r>
                              <w:rPr>
                                <w:rFonts w:hint="eastAsia"/>
                                <w:sz w:val="18"/>
                                <w:szCs w:val="21"/>
                              </w:rPr>
                              <w:t>噪声</w:t>
                            </w:r>
                          </w:p>
                        </w:txbxContent>
                      </v:textbox>
                    </v:shape>
                  </w:pict>
                </mc:Fallback>
              </mc:AlternateContent>
            </w:r>
          </w:p>
          <w:p>
            <w:pPr>
              <w:adjustRightInd w:val="0"/>
              <w:snapToGrid w:val="0"/>
              <w:ind w:firstLine="0" w:firstLineChars="0"/>
              <w:rPr>
                <w:bCs/>
                <w:color w:val="auto"/>
                <w:spacing w:val="-10"/>
                <w:szCs w:val="21"/>
              </w:rPr>
            </w:pPr>
          </w:p>
          <w:p>
            <w:pPr>
              <w:adjustRightInd w:val="0"/>
              <w:snapToGrid w:val="0"/>
              <w:ind w:firstLine="0" w:firstLineChars="0"/>
              <w:rPr>
                <w:bCs/>
                <w:color w:val="auto"/>
                <w:spacing w:val="-10"/>
                <w:szCs w:val="21"/>
              </w:rPr>
            </w:pPr>
            <w:r>
              <w:rPr>
                <w:bCs/>
                <w:color w:val="auto"/>
                <w:spacing w:val="-10"/>
                <w:szCs w:val="21"/>
              </w:rPr>
              <mc:AlternateContent>
                <mc:Choice Requires="wps">
                  <w:drawing>
                    <wp:anchor distT="0" distB="0" distL="114300" distR="114300" simplePos="0" relativeHeight="251689984" behindDoc="0" locked="0" layoutInCell="1" allowOverlap="1">
                      <wp:simplePos x="0" y="0"/>
                      <wp:positionH relativeFrom="column">
                        <wp:posOffset>4137025</wp:posOffset>
                      </wp:positionH>
                      <wp:positionV relativeFrom="paragraph">
                        <wp:posOffset>24765</wp:posOffset>
                      </wp:positionV>
                      <wp:extent cx="635" cy="240665"/>
                      <wp:effectExtent l="37465" t="0" r="38100" b="3175"/>
                      <wp:wrapNone/>
                      <wp:docPr id="42" name="直接连接符 42"/>
                      <wp:cNvGraphicFramePr/>
                      <a:graphic xmlns:a="http://schemas.openxmlformats.org/drawingml/2006/main">
                        <a:graphicData uri="http://schemas.microsoft.com/office/word/2010/wordprocessingShape">
                          <wps:wsp>
                            <wps:cNvCnPr/>
                            <wps:spPr>
                              <a:xfrm flipV="1">
                                <a:off x="0" y="0"/>
                                <a:ext cx="635" cy="2406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325.75pt;margin-top:1.95pt;height:18.95pt;width:0.05pt;z-index:251689984;mso-width-relative:page;mso-height-relative:page;" filled="f" stroked="t" coordsize="21600,21600" o:gfxdata="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2pD7DYAAAACAEAAA8AAAAAAAAAAQAgAAAAIgAAAGRycy9kb3ducmV2&#10;LnhtbFBLAQIUABQAAAAIAIdO4kAw1/Vh/AEAAOkDAAAOAAAAAAAAAAEAIAAAACcBAABkcnMvZTJv&#10;RG9jLnhtbFBLBQYAAAAABgAGAFkBAACVBQAAAAA=&#10;">
                      <v:fill on="f" focussize="0,0"/>
                      <v:stroke color="#000000" joinstyle="round" endarrow="block"/>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71552" behindDoc="0" locked="0" layoutInCell="1" allowOverlap="1">
                      <wp:simplePos x="0" y="0"/>
                      <wp:positionH relativeFrom="column">
                        <wp:posOffset>3214370</wp:posOffset>
                      </wp:positionH>
                      <wp:positionV relativeFrom="paragraph">
                        <wp:posOffset>32385</wp:posOffset>
                      </wp:positionV>
                      <wp:extent cx="635" cy="240030"/>
                      <wp:effectExtent l="37465" t="0" r="38100" b="3810"/>
                      <wp:wrapNone/>
                      <wp:docPr id="39" name="直接连接符 39"/>
                      <wp:cNvGraphicFramePr/>
                      <a:graphic xmlns:a="http://schemas.openxmlformats.org/drawingml/2006/main">
                        <a:graphicData uri="http://schemas.microsoft.com/office/word/2010/wordprocessingShape">
                          <wps:wsp>
                            <wps:cNvCnPr/>
                            <wps:spPr>
                              <a:xfrm flipV="1">
                                <a:off x="0" y="0"/>
                                <a:ext cx="635" cy="2400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53.1pt;margin-top:2.55pt;height:18.9pt;width:0.05pt;z-index:251671552;mso-width-relative:page;mso-height-relative:page;" filled="f" stroked="t" coordsize="21600,21600" o:gfxdata="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2/2/YAAAACAEAAA8AAAAAAAAAAQAgAAAAIgAAAGRycy9kb3du&#10;cmV2LnhtbFBLAQIUABQAAAAIAIdO4kCbKau9/wEAAOkDAAAOAAAAAAAAAAEAIAAAACcBAABkcnMv&#10;ZTJvRG9jLnhtbFBLBQYAAAAABgAGAFkBAACYBQAAAAA=&#10;">
                      <v:fill on="f" focussize="0,0"/>
                      <v:stroke color="#000000" joinstyle="round" endarrow="block"/>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70528" behindDoc="0" locked="0" layoutInCell="1" allowOverlap="1">
                      <wp:simplePos x="0" y="0"/>
                      <wp:positionH relativeFrom="column">
                        <wp:posOffset>2366645</wp:posOffset>
                      </wp:positionH>
                      <wp:positionV relativeFrom="paragraph">
                        <wp:posOffset>20320</wp:posOffset>
                      </wp:positionV>
                      <wp:extent cx="635" cy="240665"/>
                      <wp:effectExtent l="37465" t="0" r="38100" b="3175"/>
                      <wp:wrapNone/>
                      <wp:docPr id="40" name="直接连接符 40"/>
                      <wp:cNvGraphicFramePr/>
                      <a:graphic xmlns:a="http://schemas.openxmlformats.org/drawingml/2006/main">
                        <a:graphicData uri="http://schemas.microsoft.com/office/word/2010/wordprocessingShape">
                          <wps:wsp>
                            <wps:cNvCnPr/>
                            <wps:spPr>
                              <a:xfrm flipV="1">
                                <a:off x="0" y="0"/>
                                <a:ext cx="635" cy="2406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86.35pt;margin-top:1.6pt;height:18.95pt;width:0.05pt;z-index:251670528;mso-width-relative:page;mso-height-relative:page;" filled="f" stroked="t" coordsize="21600,21600" o:gfxdata="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dr3k61wAAAAgBAAAPAAAAAAAAAAEAIAAAACIAAABkcnMvZG93bnJldi54&#10;bWxQSwECFAAUAAAACACHTuJA61uLefsBAADpAwAADgAAAAAAAAABACAAAAAmAQAAZHJzL2Uyb0Rv&#10;Yy54bWxQSwUGAAAAAAYABgBZAQAAkwUAAAAA&#10;">
                      <v:fill on="f" focussize="0,0"/>
                      <v:stroke color="#000000" joinstyle="round" endarrow="block"/>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69504" behindDoc="0" locked="0" layoutInCell="1" allowOverlap="1">
                      <wp:simplePos x="0" y="0"/>
                      <wp:positionH relativeFrom="column">
                        <wp:posOffset>1542415</wp:posOffset>
                      </wp:positionH>
                      <wp:positionV relativeFrom="paragraph">
                        <wp:posOffset>21590</wp:posOffset>
                      </wp:positionV>
                      <wp:extent cx="635" cy="239395"/>
                      <wp:effectExtent l="37465" t="0" r="38100" b="4445"/>
                      <wp:wrapNone/>
                      <wp:docPr id="29" name="直接连接符 29"/>
                      <wp:cNvGraphicFramePr/>
                      <a:graphic xmlns:a="http://schemas.openxmlformats.org/drawingml/2006/main">
                        <a:graphicData uri="http://schemas.microsoft.com/office/word/2010/wordprocessingShape">
                          <wps:wsp>
                            <wps:cNvCnPr/>
                            <wps:spPr>
                              <a:xfrm flipV="1">
                                <a:off x="0" y="0"/>
                                <a:ext cx="635" cy="2393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21.45pt;margin-top:1.7pt;height:18.85pt;width:0.05pt;z-index:251669504;mso-width-relative:page;mso-height-relative:page;" filled="f" stroked="t" coordsize="21600,21600" o:gfxdata="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ST8fXYAAAACAEAAA8AAAAAAAAAAQAgAAAAIgAAAGRycy9kb3ducmV2&#10;LnhtbFBLAQIUABQAAAAIAIdO4kBkjQEH/AEAAOkDAAAOAAAAAAAAAAEAIAAAACcBAABkcnMvZTJv&#10;RG9jLnhtbFBLBQYAAAAABgAGAFkBAACVBQAAAAA=&#10;">
                      <v:fill on="f" focussize="0,0"/>
                      <v:stroke color="#000000" joinstyle="round" endarrow="block"/>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68480" behindDoc="0" locked="0" layoutInCell="1" allowOverlap="1">
                      <wp:simplePos x="0" y="0"/>
                      <wp:positionH relativeFrom="column">
                        <wp:posOffset>765175</wp:posOffset>
                      </wp:positionH>
                      <wp:positionV relativeFrom="paragraph">
                        <wp:posOffset>33655</wp:posOffset>
                      </wp:positionV>
                      <wp:extent cx="635" cy="240665"/>
                      <wp:effectExtent l="37465" t="0" r="38100" b="6985"/>
                      <wp:wrapNone/>
                      <wp:docPr id="30" name="直接连接符 30"/>
                      <wp:cNvGraphicFramePr/>
                      <a:graphic xmlns:a="http://schemas.openxmlformats.org/drawingml/2006/main">
                        <a:graphicData uri="http://schemas.microsoft.com/office/word/2010/wordprocessingShape">
                          <wps:wsp>
                            <wps:cNvCnPr/>
                            <wps:spPr>
                              <a:xfrm flipV="1">
                                <a:off x="0" y="0"/>
                                <a:ext cx="635" cy="2406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60.25pt;margin-top:2.65pt;height:18.95pt;width:0.05pt;z-index:251668480;mso-width-relative:page;mso-height-relative:page;" filled="f" stroked="t" coordsize="21600,21600" o:gfxdata="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0PIm1wAAAAgBAAAPAAAAAAAAAAEAIAAAACIAAABkcnMvZG93bnJldi54&#10;bWxQSwECFAAUAAAACACHTuJAc38sQvsBAADpAwAADgAAAAAAAAABACAAAAAmAQAAZHJzL2Uyb0Rv&#10;Yy54bWxQSwUGAAAAAAYABgBZAQAAkwUAAAAA&#10;">
                      <v:fill on="f" focussize="0,0"/>
                      <v:stroke color="#000000" joinstyle="round" endarrow="block"/>
                      <v:imagedata o:title=""/>
                      <o:lock v:ext="edit" aspectratio="f"/>
                    </v:line>
                  </w:pict>
                </mc:Fallback>
              </mc:AlternateContent>
            </w:r>
          </w:p>
          <w:p>
            <w:pPr>
              <w:adjustRightInd w:val="0"/>
              <w:snapToGrid w:val="0"/>
              <w:ind w:firstLine="0" w:firstLineChars="0"/>
              <w:rPr>
                <w:bCs/>
                <w:color w:val="auto"/>
                <w:spacing w:val="-10"/>
                <w:szCs w:val="21"/>
              </w:rPr>
            </w:pPr>
            <w:r>
              <w:rPr>
                <w:bCs/>
                <w:color w:val="auto"/>
                <w:spacing w:val="-10"/>
                <w:szCs w:val="21"/>
              </w:rPr>
              <mc:AlternateContent>
                <mc:Choice Requires="wps">
                  <w:drawing>
                    <wp:anchor distT="0" distB="0" distL="114300" distR="114300" simplePos="0" relativeHeight="251688960" behindDoc="0" locked="0" layoutInCell="1" allowOverlap="1">
                      <wp:simplePos x="0" y="0"/>
                      <wp:positionH relativeFrom="column">
                        <wp:posOffset>4519930</wp:posOffset>
                      </wp:positionH>
                      <wp:positionV relativeFrom="paragraph">
                        <wp:posOffset>6350</wp:posOffset>
                      </wp:positionV>
                      <wp:extent cx="635" cy="360680"/>
                      <wp:effectExtent l="4445" t="0" r="10160" b="5080"/>
                      <wp:wrapNone/>
                      <wp:docPr id="61" name="直接连接符 61"/>
                      <wp:cNvGraphicFramePr/>
                      <a:graphic xmlns:a="http://schemas.openxmlformats.org/drawingml/2006/main">
                        <a:graphicData uri="http://schemas.microsoft.com/office/word/2010/wordprocessingShape">
                          <wps:wsp>
                            <wps:cNvCnPr/>
                            <wps:spPr>
                              <a:xfrm flipV="1">
                                <a:off x="0" y="0"/>
                                <a:ext cx="635" cy="3606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355.9pt;margin-top:0.5pt;height:28.4pt;width:0.05pt;z-index:251688960;mso-width-relative:page;mso-height-relative:page;" filled="f" stroked="t" coordsize="21600,21600" o:gfxdata="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bCgm1QAAAAgBAAAPAAAAAAAAAAEAIAAAACIAAABkcnMvZG93bnJldi54bWxQSwEC&#10;FAAUAAAACACHTuJATUDJ5PcBAADlAwAADgAAAAAAAAABACAAAAAkAQAAZHJzL2Uyb0RvYy54bWxQ&#10;SwUGAAAAAAYABgBZAQAAjQUAAAAA&#10;">
                      <v:fill on="f" focussize="0,0"/>
                      <v:stroke color="#000000" joinstyle="round"/>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67456" behindDoc="0" locked="0" layoutInCell="1" allowOverlap="1">
                      <wp:simplePos x="0" y="0"/>
                      <wp:positionH relativeFrom="column">
                        <wp:posOffset>614680</wp:posOffset>
                      </wp:positionH>
                      <wp:positionV relativeFrom="paragraph">
                        <wp:posOffset>2540</wp:posOffset>
                      </wp:positionV>
                      <wp:extent cx="3915410" cy="3175"/>
                      <wp:effectExtent l="0" t="0" r="0" b="0"/>
                      <wp:wrapNone/>
                      <wp:docPr id="41" name="直接连接符 41"/>
                      <wp:cNvGraphicFramePr/>
                      <a:graphic xmlns:a="http://schemas.openxmlformats.org/drawingml/2006/main">
                        <a:graphicData uri="http://schemas.microsoft.com/office/word/2010/wordprocessingShape">
                          <wps:wsp>
                            <wps:cNvCnPr/>
                            <wps:spPr>
                              <a:xfrm flipV="1">
                                <a:off x="0" y="0"/>
                                <a:ext cx="3915410" cy="3175"/>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48.4pt;margin-top:0.2pt;height:0.25pt;width:308.3pt;z-index:251667456;mso-width-relative:page;mso-height-relative:page;" filled="f" stroked="t" coordsize="21600,21600" o:gfxdata="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N4De1gAAAAQBAAAPAAAAAAAAAAEAIAAAACIAAABkcnMvZG93bnJldi54bWxQSwEC&#10;FAAUAAAACACHTuJACP1qBfYBAADnAwAADgAAAAAAAAABACAAAAAlAQAAZHJzL2Uyb0RvYy54bWxQ&#10;SwUGAAAAAAYABgBZAQAAjQUAAAAA&#10;">
                      <v:fill on="f" focussize="0,0"/>
                      <v:stroke weight="0.5pt" color="#000000" joinstyle="round"/>
                      <v:imagedata o:title=""/>
                      <o:lock v:ext="edit" aspectratio="f"/>
                    </v:line>
                  </w:pict>
                </mc:Fallback>
              </mc:AlternateContent>
            </w:r>
            <w:r>
              <w:rPr>
                <w:bCs/>
                <w:color w:val="auto"/>
                <w:spacing w:val="-10"/>
                <w:szCs w:val="21"/>
              </w:rPr>
              <mc:AlternateContent>
                <mc:Choice Requires="wps">
                  <w:drawing>
                    <wp:anchor distT="0" distB="0" distL="114300" distR="114300" simplePos="0" relativeHeight="251666432" behindDoc="0" locked="0" layoutInCell="1" allowOverlap="1">
                      <wp:simplePos x="0" y="0"/>
                      <wp:positionH relativeFrom="column">
                        <wp:posOffset>621665</wp:posOffset>
                      </wp:positionH>
                      <wp:positionV relativeFrom="paragraph">
                        <wp:posOffset>3175</wp:posOffset>
                      </wp:positionV>
                      <wp:extent cx="635" cy="360680"/>
                      <wp:effectExtent l="4445" t="0" r="10160" b="5080"/>
                      <wp:wrapNone/>
                      <wp:docPr id="62" name="直接连接符 62"/>
                      <wp:cNvGraphicFramePr/>
                      <a:graphic xmlns:a="http://schemas.openxmlformats.org/drawingml/2006/main">
                        <a:graphicData uri="http://schemas.microsoft.com/office/word/2010/wordprocessingShape">
                          <wps:wsp>
                            <wps:cNvCnPr/>
                            <wps:spPr>
                              <a:xfrm flipV="1">
                                <a:off x="0" y="0"/>
                                <a:ext cx="635" cy="3606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48.95pt;margin-top:0.25pt;height:28.4pt;width:0.05pt;z-index:251666432;mso-width-relative:page;mso-height-relative:page;" filled="f" stroked="t" coordsize="21600,21600" o:gfxdata="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9l+MHUAAAABQEAAA8AAAAAAAAAAQAgAAAAIgAAAGRycy9kb3ducmV2LnhtbFBLAQIU&#10;ABQAAAAIAIdO4kCNFqw99wEAAOUDAAAOAAAAAAAAAAEAIAAAACMBAABkcnMvZTJvRG9jLnhtbFBL&#10;BQYAAAAABgAGAFkBAACMBQAAAAA=&#10;">
                      <v:fill on="f" focussize="0,0"/>
                      <v:stroke color="#000000" joinstyle="round"/>
                      <v:imagedata o:title=""/>
                      <o:lock v:ext="edit" aspectratio="f"/>
                    </v:line>
                  </w:pict>
                </mc:Fallback>
              </mc:AlternateContent>
            </w:r>
          </w:p>
          <w:p>
            <w:pPr>
              <w:adjustRightInd w:val="0"/>
              <w:snapToGrid w:val="0"/>
              <w:ind w:firstLine="0" w:firstLineChars="0"/>
              <w:rPr>
                <w:bCs/>
                <w:color w:val="auto"/>
                <w:spacing w:val="-10"/>
                <w:szCs w:val="21"/>
              </w:rPr>
            </w:pPr>
            <w:r>
              <w:rPr>
                <w:bCs/>
                <w:color w:val="auto"/>
                <w:spacing w:val="-10"/>
                <w:szCs w:val="21"/>
              </w:rPr>
              <mc:AlternateContent>
                <mc:Choice Requires="wpg">
                  <w:drawing>
                    <wp:anchor distT="0" distB="0" distL="114300" distR="114300" simplePos="0" relativeHeight="251665408" behindDoc="0" locked="0" layoutInCell="1" allowOverlap="1">
                      <wp:simplePos x="0" y="0"/>
                      <wp:positionH relativeFrom="column">
                        <wp:posOffset>283845</wp:posOffset>
                      </wp:positionH>
                      <wp:positionV relativeFrom="paragraph">
                        <wp:posOffset>104775</wp:posOffset>
                      </wp:positionV>
                      <wp:extent cx="4523105" cy="329565"/>
                      <wp:effectExtent l="5080" t="5080" r="13335" b="15875"/>
                      <wp:wrapNone/>
                      <wp:docPr id="52" name="组合 52"/>
                      <wp:cNvGraphicFramePr/>
                      <a:graphic xmlns:a="http://schemas.openxmlformats.org/drawingml/2006/main">
                        <a:graphicData uri="http://schemas.microsoft.com/office/word/2010/wordprocessingGroup">
                          <wpg:wgp>
                            <wpg:cNvGrpSpPr/>
                            <wpg:grpSpPr>
                              <a:xfrm>
                                <a:off x="0" y="0"/>
                                <a:ext cx="4523105" cy="329565"/>
                                <a:chOff x="0" y="0"/>
                                <a:chExt cx="7123" cy="519"/>
                              </a:xfrm>
                              <a:effectLst/>
                            </wpg:grpSpPr>
                            <wps:wsp>
                              <wps:cNvPr id="53" name="箭头 2"/>
                              <wps:cNvCnPr/>
                              <wps:spPr bwMode="auto">
                                <a:xfrm flipV="1">
                                  <a:off x="1100" y="222"/>
                                  <a:ext cx="420" cy="1"/>
                                </a:xfrm>
                                <a:prstGeom prst="line">
                                  <a:avLst/>
                                </a:prstGeom>
                                <a:noFill/>
                                <a:ln w="9525">
                                  <a:solidFill>
                                    <a:srgbClr val="000000"/>
                                  </a:solidFill>
                                  <a:round/>
                                  <a:tailEnd type="triangle" w="med" len="med"/>
                                </a:ln>
                                <a:effectLst/>
                              </wps:spPr>
                              <wps:bodyPr/>
                            </wps:wsp>
                            <wps:wsp>
                              <wps:cNvPr id="54" name="箭头 2"/>
                              <wps:cNvCnPr/>
                              <wps:spPr bwMode="auto">
                                <a:xfrm flipV="1">
                                  <a:off x="2619" y="237"/>
                                  <a:ext cx="421" cy="1"/>
                                </a:xfrm>
                                <a:prstGeom prst="line">
                                  <a:avLst/>
                                </a:prstGeom>
                                <a:noFill/>
                                <a:ln w="9525">
                                  <a:solidFill>
                                    <a:srgbClr val="000000"/>
                                  </a:solidFill>
                                  <a:round/>
                                  <a:tailEnd type="triangle" w="med" len="med"/>
                                </a:ln>
                                <a:effectLst/>
                              </wps:spPr>
                              <wps:bodyPr/>
                            </wps:wsp>
                            <wps:wsp>
                              <wps:cNvPr id="55" name="箭头 2"/>
                              <wps:cNvCnPr/>
                              <wps:spPr bwMode="auto">
                                <a:xfrm flipV="1">
                                  <a:off x="4127" y="267"/>
                                  <a:ext cx="420" cy="1"/>
                                </a:xfrm>
                                <a:prstGeom prst="line">
                                  <a:avLst/>
                                </a:prstGeom>
                                <a:noFill/>
                                <a:ln w="9525">
                                  <a:solidFill>
                                    <a:srgbClr val="000000"/>
                                  </a:solidFill>
                                  <a:round/>
                                  <a:tailEnd type="triangle" w="med" len="med"/>
                                </a:ln>
                                <a:effectLst/>
                              </wps:spPr>
                              <wps:bodyPr/>
                            </wps:wsp>
                            <wps:wsp>
                              <wps:cNvPr id="56" name="箭头 2"/>
                              <wps:cNvCnPr/>
                              <wps:spPr bwMode="auto">
                                <a:xfrm flipV="1">
                                  <a:off x="5621" y="296"/>
                                  <a:ext cx="420" cy="1"/>
                                </a:xfrm>
                                <a:prstGeom prst="line">
                                  <a:avLst/>
                                </a:prstGeom>
                                <a:noFill/>
                                <a:ln w="9525">
                                  <a:solidFill>
                                    <a:srgbClr val="000000"/>
                                  </a:solidFill>
                                  <a:round/>
                                  <a:tailEnd type="triangle" w="med" len="med"/>
                                </a:ln>
                                <a:effectLst/>
                              </wps:spPr>
                              <wps:bodyPr/>
                            </wps:wsp>
                            <wps:wsp>
                              <wps:cNvPr id="57" name="Text Box 13"/>
                              <wps:cNvSpPr txBox="1">
                                <a:spLocks noChangeArrowheads="1"/>
                              </wps:cNvSpPr>
                              <wps:spPr bwMode="auto">
                                <a:xfrm>
                                  <a:off x="6051" y="45"/>
                                  <a:ext cx="1072" cy="474"/>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工程验收</w:t>
                                    </w:r>
                                  </w:p>
                                </w:txbxContent>
                              </wps:txbx>
                              <wps:bodyPr rot="0" vert="horz" wrap="square" lIns="91440" tIns="45720" rIns="91440" bIns="45720" anchor="t" anchorCtr="0" upright="1">
                                <a:noAutofit/>
                              </wps:bodyPr>
                            </wps:wsp>
                            <wps:wsp>
                              <wps:cNvPr id="58" name="Text Box 14"/>
                              <wps:cNvSpPr txBox="1">
                                <a:spLocks noChangeArrowheads="1"/>
                              </wps:cNvSpPr>
                              <wps:spPr bwMode="auto">
                                <a:xfrm>
                                  <a:off x="4548" y="44"/>
                                  <a:ext cx="1072" cy="475"/>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设备安装</w:t>
                                    </w:r>
                                  </w:p>
                                </w:txbxContent>
                              </wps:txbx>
                              <wps:bodyPr rot="0" vert="horz" wrap="square" lIns="91440" tIns="45720" rIns="91440" bIns="45720" anchor="t" anchorCtr="0" upright="1">
                                <a:noAutofit/>
                              </wps:bodyPr>
                            </wps:wsp>
                            <wps:wsp>
                              <wps:cNvPr id="59" name="Text Box 15"/>
                              <wps:cNvSpPr txBox="1">
                                <a:spLocks noChangeArrowheads="1"/>
                              </wps:cNvSpPr>
                              <wps:spPr bwMode="auto">
                                <a:xfrm>
                                  <a:off x="3040" y="29"/>
                                  <a:ext cx="1073" cy="475"/>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装饰工程</w:t>
                                    </w:r>
                                  </w:p>
                                </w:txbxContent>
                              </wps:txbx>
                              <wps:bodyPr rot="0" vert="horz" wrap="square" lIns="91440" tIns="45720" rIns="91440" bIns="45720" anchor="t" anchorCtr="0" upright="1">
                                <a:noAutofit/>
                              </wps:bodyPr>
                            </wps:wsp>
                            <wps:wsp>
                              <wps:cNvPr id="60" name="Text Box 16"/>
                              <wps:cNvSpPr txBox="1">
                                <a:spLocks noChangeArrowheads="1"/>
                              </wps:cNvSpPr>
                              <wps:spPr bwMode="auto">
                                <a:xfrm>
                                  <a:off x="1519" y="14"/>
                                  <a:ext cx="1073" cy="475"/>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主体工程</w:t>
                                    </w:r>
                                  </w:p>
                                </w:txbxContent>
                              </wps:txbx>
                              <wps:bodyPr rot="0" vert="horz" wrap="square" lIns="91440" tIns="45720" rIns="91440" bIns="45720" anchor="t" anchorCtr="0" upright="1">
                                <a:noAutofit/>
                              </wps:bodyPr>
                            </wps:wsp>
                            <wps:wsp>
                              <wps:cNvPr id="64" name="Text Box 17"/>
                              <wps:cNvSpPr txBox="1">
                                <a:spLocks noChangeArrowheads="1"/>
                              </wps:cNvSpPr>
                              <wps:spPr bwMode="auto">
                                <a:xfrm>
                                  <a:off x="0" y="0"/>
                                  <a:ext cx="1072" cy="474"/>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基础工程</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35pt;margin-top:8.25pt;height:25.95pt;width:356.15pt;z-index:251665408;mso-width-relative:page;mso-height-relative:page;" coordsize="7123,519" o:gfxdata="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">
                      <o:lock v:ext="edit" aspectratio="f"/>
                      <v:line id="箭头 2" o:spid="_x0000_s1026" o:spt="20" style="position:absolute;left:1100;top:222;flip:y;height:1;width:420;" filled="f" stroked="t" coordsize="21600,21600" o:gfxdata="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c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2" o:spid="_x0000_s1026" o:spt="20" style="position:absolute;left:2619;top:237;flip:y;height:1;width:421;" filled="f" stroked="t"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箭头 2" o:spid="_x0000_s1026" o:spt="20" style="position:absolute;left:4127;top:267;flip:y;height:1;width:420;" filled="f" stroked="t" coordsize="21600,21600" o:gfxdata="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vw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2" o:spid="_x0000_s1026" o:spt="20" style="position:absolute;left:5621;top:296;flip:y;height:1;width:420;" filled="f" stroked="t" coordsize="21600,21600" o:gfxdata="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e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3" o:spid="_x0000_s1026" o:spt="202" type="#_x0000_t202" style="position:absolute;left:6051;top:45;height:474;width:1072;" filled="f" stroked="t" coordsize="21600,21600" o:gfxdata="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IyB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工程验收</w:t>
                              </w:r>
                            </w:p>
                          </w:txbxContent>
                        </v:textbox>
                      </v:shape>
                      <v:shape id="Text Box 14" o:spid="_x0000_s1026" o:spt="202" type="#_x0000_t202" style="position:absolute;left:4548;top:44;height:475;width:1072;" filled="f" stroked="t" coordsize="21600,21600" o:gfxdata="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8Y8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设备安装</w:t>
                              </w:r>
                            </w:p>
                          </w:txbxContent>
                        </v:textbox>
                      </v:shape>
                      <v:shape id="Text Box 15" o:spid="_x0000_s1026" o:spt="202" type="#_x0000_t202" style="position:absolute;left:3040;top:29;height:475;width:1073;" filled="f" stroked="t" coordsize="21600,21600" o:gfxdata="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9aL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装饰工程</w:t>
                              </w:r>
                            </w:p>
                          </w:txbxContent>
                        </v:textbox>
                      </v:shape>
                      <v:shape id="Text Box 16" o:spid="_x0000_s1026" o:spt="202" type="#_x0000_t202" style="position:absolute;left:1519;top:14;height:475;width:1073;" filled="f" stroked="t" coordsize="21600,21600" o:gfxdata="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d5I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主体工程</w:t>
                              </w:r>
                            </w:p>
                          </w:txbxContent>
                        </v:textbox>
                      </v:shape>
                      <v:shape id="Text Box 17" o:spid="_x0000_s1026" o:spt="202" type="#_x0000_t202" style="position:absolute;left:0;top:0;height:474;width:1072;" filled="f" stroked="t" coordsize="21600,21600" o:gfxdata="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7YS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基础工程</w:t>
                              </w:r>
                            </w:p>
                          </w:txbxContent>
                        </v:textbox>
                      </v:shape>
                    </v:group>
                  </w:pict>
                </mc:Fallback>
              </mc:AlternateContent>
            </w:r>
          </w:p>
          <w:p>
            <w:pPr>
              <w:adjustRightInd w:val="0"/>
              <w:snapToGrid w:val="0"/>
              <w:ind w:firstLine="0" w:firstLineChars="0"/>
              <w:rPr>
                <w:bCs/>
                <w:color w:val="auto"/>
                <w:spacing w:val="-10"/>
                <w:szCs w:val="21"/>
              </w:rPr>
            </w:pPr>
          </w:p>
          <w:p>
            <w:pPr>
              <w:adjustRightInd w:val="0"/>
              <w:snapToGrid w:val="0"/>
              <w:ind w:firstLine="382"/>
              <w:jc w:val="center"/>
              <w:rPr>
                <w:b/>
                <w:color w:val="auto"/>
                <w:spacing w:val="-10"/>
                <w:sz w:val="21"/>
                <w:szCs w:val="21"/>
              </w:rPr>
            </w:pPr>
            <w:r>
              <w:rPr>
                <w:b/>
                <w:color w:val="auto"/>
                <w:spacing w:val="-10"/>
                <w:sz w:val="21"/>
                <w:szCs w:val="21"/>
              </w:rPr>
              <w:t>图4-1 施工期工艺流程图</w:t>
            </w:r>
          </w:p>
          <w:p>
            <w:pPr>
              <w:bidi w:val="0"/>
            </w:pPr>
            <w:r>
              <w:t>建筑施工作业，将产生废水、垃圾、粉尘和噪声，对局部区域会产生影响。施工产生的生产废水，施工人员产生的生活污水，其中生产废水中的主要污染物是SS，施工人员的生活污水主要污染物为</w:t>
            </w:r>
            <w:r>
              <w:rPr>
                <w:rFonts w:hint="eastAsia"/>
                <w:lang w:eastAsia="zh-CN"/>
              </w:rPr>
              <w:t>COD</w:t>
            </w:r>
            <w:r>
              <w:t>、BOD</w:t>
            </w:r>
            <w:r>
              <w:rPr>
                <w:vertAlign w:val="subscript"/>
              </w:rPr>
              <w:t>5</w:t>
            </w:r>
            <w:r>
              <w:t>和氨氮；施工人员产生的生活垃圾；设备安装、建筑施工产生噪声、建筑垃圾；施工活动会造成局部区域粉尘浓度增大，施工过程中产生的机械燃油废气，建筑室内装修产生的油漆废气将影响周边环境。</w:t>
            </w:r>
          </w:p>
          <w:p>
            <w:pPr>
              <w:bidi w:val="0"/>
              <w:rPr>
                <w:b/>
                <w:bCs/>
                <w:color w:val="auto"/>
              </w:rPr>
            </w:pPr>
            <w:r>
              <w:rPr>
                <w:b/>
                <w:bCs/>
                <w:color w:val="auto"/>
              </w:rPr>
              <w:t>1、施工期污染物排放及治理</w:t>
            </w:r>
          </w:p>
          <w:p>
            <w:pPr>
              <w:bidi w:val="0"/>
              <w:rPr>
                <w:color w:val="auto"/>
              </w:rPr>
            </w:pPr>
            <w:r>
              <w:rPr>
                <w:color w:val="auto"/>
              </w:rPr>
              <w:t>（1）废气</w:t>
            </w:r>
          </w:p>
          <w:p>
            <w:pPr>
              <w:bidi w:val="0"/>
              <w:rPr>
                <w:color w:val="auto"/>
              </w:rPr>
            </w:pPr>
            <w:r>
              <w:rPr>
                <w:color w:val="auto"/>
              </w:rPr>
              <w:t>施工期废气主要为场地清理产生的扬尘和施工机械及运输车辆废气，其间断性排放，排放量少，采取场地洒水抑尘、加强通风等措施。</w:t>
            </w:r>
          </w:p>
          <w:p>
            <w:pPr>
              <w:bidi w:val="0"/>
              <w:rPr>
                <w:color w:val="auto"/>
              </w:rPr>
            </w:pPr>
            <w:r>
              <w:rPr>
                <w:color w:val="auto"/>
              </w:rPr>
              <w:t>施工扬尘</w:t>
            </w:r>
          </w:p>
          <w:p>
            <w:pPr>
              <w:bidi w:val="0"/>
              <w:rPr>
                <w:color w:val="auto"/>
              </w:rPr>
            </w:pPr>
            <w:r>
              <w:rPr>
                <w:color w:val="auto"/>
              </w:rPr>
              <w:t>本项目拟采取如下的施工扬尘的控制措施：</w:t>
            </w:r>
          </w:p>
          <w:p>
            <w:pPr>
              <w:bidi w:val="0"/>
              <w:rPr>
                <w:color w:val="auto"/>
              </w:rPr>
            </w:pPr>
            <w:r>
              <w:rPr>
                <w:color w:val="auto"/>
              </w:rPr>
              <w:t>①加强施工管理，安排专职人员负责施工现场卫生管理工作；</w:t>
            </w:r>
          </w:p>
          <w:p>
            <w:pPr>
              <w:bidi w:val="0"/>
              <w:rPr>
                <w:color w:val="auto"/>
              </w:rPr>
            </w:pPr>
            <w:r>
              <w:rPr>
                <w:color w:val="auto"/>
              </w:rPr>
              <w:t>②施工场地定期洒水降尘，及时清扫及冲洗道路；</w:t>
            </w:r>
          </w:p>
          <w:p>
            <w:pPr>
              <w:bidi w:val="0"/>
              <w:rPr>
                <w:color w:val="auto"/>
              </w:rPr>
            </w:pPr>
            <w:r>
              <w:rPr>
                <w:color w:val="auto"/>
              </w:rPr>
              <w:t>在项目施工期，对扬尘严格采取了上述防治措施后，其浓度可得到有效控制，能够实现达标排放。</w:t>
            </w:r>
          </w:p>
          <w:p>
            <w:pPr>
              <w:bidi w:val="0"/>
              <w:rPr>
                <w:color w:val="auto"/>
              </w:rPr>
            </w:pPr>
            <w:r>
              <w:rPr>
                <w:color w:val="auto"/>
              </w:rPr>
              <w:t>施工机械及运输车辆废气</w:t>
            </w:r>
          </w:p>
          <w:p>
            <w:pPr>
              <w:bidi w:val="0"/>
              <w:rPr>
                <w:color w:val="auto"/>
              </w:rPr>
            </w:pPr>
            <w:r>
              <w:rPr>
                <w:color w:val="auto"/>
              </w:rPr>
              <w:t>各种燃油施工机械和运输车辆在施工及运输过程中均排放一定数量的废气，主要污染物以NOx、CO为主。本工程燃油施工机具主要在基础施工过程中使用，尾气中污染物主要有NOx、CO和烃类。由于尾气污染物排放量不大，由于基础施工时间较短，施工工程机械设备产生的燃油废气污染物较少，对环境的影响较小。</w:t>
            </w:r>
          </w:p>
          <w:p>
            <w:pPr>
              <w:bidi w:val="0"/>
              <w:rPr>
                <w:color w:val="auto"/>
              </w:rPr>
            </w:pPr>
            <w:r>
              <w:rPr>
                <w:color w:val="auto"/>
              </w:rPr>
              <w:t>机械设备、车辆燃油废气防治措施如下：</w:t>
            </w:r>
          </w:p>
          <w:p>
            <w:pPr>
              <w:bidi w:val="0"/>
              <w:rPr>
                <w:color w:val="auto"/>
              </w:rPr>
            </w:pPr>
            <w:r>
              <w:rPr>
                <w:color w:val="auto"/>
              </w:rPr>
              <w:t>①选用先进的施工机械，减少油耗和燃油废气污染；</w:t>
            </w:r>
          </w:p>
          <w:p>
            <w:pPr>
              <w:bidi w:val="0"/>
              <w:rPr>
                <w:color w:val="auto"/>
              </w:rPr>
            </w:pPr>
            <w:r>
              <w:rPr>
                <w:color w:val="auto"/>
              </w:rPr>
              <w:t>②尽量使用电气化设备，少使用燃油设备；</w:t>
            </w:r>
          </w:p>
          <w:p>
            <w:pPr>
              <w:bidi w:val="0"/>
              <w:rPr>
                <w:color w:val="auto"/>
              </w:rPr>
            </w:pPr>
            <w:r>
              <w:rPr>
                <w:color w:val="auto"/>
              </w:rPr>
              <w:t>③做好设备的维修和养护工作，使机械设备处于良好的工作状态，减少油耗，同时降低污染；</w:t>
            </w:r>
          </w:p>
          <w:p>
            <w:pPr>
              <w:bidi w:val="0"/>
              <w:rPr>
                <w:color w:val="auto"/>
              </w:rPr>
            </w:pPr>
            <w:r>
              <w:rPr>
                <w:color w:val="auto"/>
              </w:rPr>
              <w:t>④使用节能低耗的运输车辆，减少汽车尾气的产生量；</w:t>
            </w:r>
          </w:p>
          <w:p>
            <w:pPr>
              <w:bidi w:val="0"/>
              <w:rPr>
                <w:color w:val="auto"/>
              </w:rPr>
            </w:pPr>
            <w:r>
              <w:rPr>
                <w:color w:val="auto"/>
              </w:rPr>
              <w:t>⑤合理安排材料运输时段，减少交通拥挤和堵塞几率，降低汽车尾气对环境产生的污染。</w:t>
            </w:r>
          </w:p>
          <w:p>
            <w:pPr>
              <w:bidi w:val="0"/>
              <w:rPr>
                <w:color w:val="auto"/>
              </w:rPr>
            </w:pPr>
            <w:r>
              <w:rPr>
                <w:color w:val="auto"/>
              </w:rPr>
              <w:t>（2）废水</w:t>
            </w:r>
          </w:p>
          <w:p>
            <w:pPr>
              <w:bidi w:val="0"/>
              <w:rPr>
                <w:color w:val="auto"/>
              </w:rPr>
            </w:pPr>
            <w:r>
              <w:rPr>
                <w:color w:val="auto"/>
              </w:rPr>
              <w:t>施工期废水主要是施工人员生活废水，依托</w:t>
            </w:r>
            <w:r>
              <w:rPr>
                <w:rFonts w:hint="eastAsia"/>
                <w:color w:val="auto"/>
              </w:rPr>
              <w:t>周边企业</w:t>
            </w:r>
            <w:r>
              <w:rPr>
                <w:color w:val="auto"/>
              </w:rPr>
              <w:t>现有</w:t>
            </w:r>
            <w:r>
              <w:rPr>
                <w:rFonts w:hint="eastAsia"/>
                <w:color w:val="auto"/>
                <w:lang w:eastAsia="zh-CN"/>
              </w:rPr>
              <w:t>预处理池</w:t>
            </w:r>
            <w:r>
              <w:rPr>
                <w:color w:val="auto"/>
              </w:rPr>
              <w:t>进行处理后进入</w:t>
            </w:r>
            <w:r>
              <w:rPr>
                <w:rFonts w:hint="eastAsia"/>
                <w:color w:val="auto"/>
              </w:rPr>
              <w:t>园区</w:t>
            </w:r>
            <w:r>
              <w:rPr>
                <w:color w:val="auto"/>
              </w:rPr>
              <w:t>管网。</w:t>
            </w:r>
          </w:p>
          <w:p>
            <w:pPr>
              <w:bidi w:val="0"/>
              <w:rPr>
                <w:color w:val="auto"/>
              </w:rPr>
            </w:pPr>
            <w:r>
              <w:rPr>
                <w:color w:val="auto"/>
              </w:rPr>
              <w:t>（3）噪声</w:t>
            </w:r>
          </w:p>
          <w:p>
            <w:pPr>
              <w:bidi w:val="0"/>
              <w:rPr>
                <w:color w:val="auto"/>
              </w:rPr>
            </w:pPr>
            <w:r>
              <w:rPr>
                <w:color w:val="auto"/>
              </w:rPr>
              <w:t>本项目主要设备安装过程中使用机械产生的噪声，产生的噪声通过隔声处理后，厂房外的噪声大大降低。因此，要求建设单位严格执行本环评报告表中提出的对施工期噪声的治理措施要求，夜间禁止施工（夜间22：00~早上6：00），对外环境影响较小。考虑到施工期的暂时性，且采取有效措施控制后，项目对周围环境造成的声学环境影响不大。</w:t>
            </w:r>
          </w:p>
          <w:p>
            <w:pPr>
              <w:bidi w:val="0"/>
              <w:rPr>
                <w:color w:val="auto"/>
              </w:rPr>
            </w:pPr>
            <w:r>
              <w:rPr>
                <w:color w:val="auto"/>
              </w:rPr>
              <w:t>（4）固废</w:t>
            </w:r>
          </w:p>
          <w:p>
            <w:pPr>
              <w:bidi w:val="0"/>
              <w:rPr>
                <w:color w:val="auto"/>
              </w:rPr>
            </w:pPr>
            <w:r>
              <w:rPr>
                <w:color w:val="auto"/>
              </w:rPr>
              <w:t>从现场踏勘可知，现场场地已经平整，本次项目不再对土石方进行估算。项目施工期产生的固体废物为施工垃圾及施工人员生活垃圾。施工单位根据《中华人民共和国固体废物污染环境防治法》相关规定，将产生的建筑垃圾和生活垃圾分类集中进行堆放，由</w:t>
            </w:r>
            <w:r>
              <w:rPr>
                <w:rFonts w:hint="eastAsia"/>
                <w:color w:val="auto"/>
                <w:lang w:eastAsia="zh-CN"/>
              </w:rPr>
              <w:t>环卫部门</w:t>
            </w:r>
            <w:r>
              <w:rPr>
                <w:color w:val="auto"/>
              </w:rPr>
              <w:t>统一运送到指定地点处理，避免造成二次污染。</w:t>
            </w:r>
          </w:p>
          <w:p>
            <w:pPr>
              <w:bidi w:val="0"/>
              <w:rPr>
                <w:b/>
                <w:bCs/>
                <w:color w:val="auto"/>
              </w:rPr>
            </w:pPr>
            <w:r>
              <w:rPr>
                <w:b/>
                <w:bCs/>
                <w:color w:val="auto"/>
              </w:rPr>
              <w:t>2、大气环境影响分析</w:t>
            </w:r>
          </w:p>
          <w:p>
            <w:pPr>
              <w:bidi w:val="0"/>
              <w:rPr>
                <w:color w:val="auto"/>
              </w:rPr>
            </w:pPr>
            <w:r>
              <w:rPr>
                <w:color w:val="auto"/>
              </w:rPr>
              <w:t>主要来自工程机械所排废气（含CO、HC、NO</w:t>
            </w:r>
            <w:r>
              <w:rPr>
                <w:rFonts w:hint="eastAsia"/>
                <w:color w:val="auto"/>
                <w:vertAlign w:val="subscript"/>
                <w:lang w:val="en-US" w:eastAsia="zh-CN"/>
              </w:rPr>
              <w:t>x</w:t>
            </w:r>
            <w:r>
              <w:rPr>
                <w:color w:val="auto"/>
              </w:rPr>
              <w:t>、SO</w:t>
            </w:r>
            <w:r>
              <w:rPr>
                <w:color w:val="auto"/>
                <w:vertAlign w:val="subscript"/>
              </w:rPr>
              <w:t>2</w:t>
            </w:r>
            <w:r>
              <w:rPr>
                <w:color w:val="auto"/>
              </w:rPr>
              <w:t>等污染物）以及机械扬尘和车辆运输过程中产生的扬尘。选用废气达标的施工机械和运输车辆，使用优质的燃料，缩短施工期，对区域大气环境影响较小。</w:t>
            </w:r>
          </w:p>
          <w:p>
            <w:pPr>
              <w:bidi w:val="0"/>
              <w:rPr>
                <w:b/>
                <w:bCs/>
                <w:color w:val="auto"/>
              </w:rPr>
            </w:pPr>
            <w:r>
              <w:rPr>
                <w:b/>
                <w:bCs/>
                <w:color w:val="auto"/>
              </w:rPr>
              <w:t>3、声环境影响分析</w:t>
            </w:r>
          </w:p>
          <w:p>
            <w:pPr>
              <w:bidi w:val="0"/>
              <w:rPr>
                <w:color w:val="auto"/>
              </w:rPr>
            </w:pPr>
            <w:r>
              <w:rPr>
                <w:color w:val="auto"/>
              </w:rPr>
              <w:t>本项目主要为基础施工。设备安装过程中使用机械产生的噪声，根据现场调查，施工期设备安装时产生的噪声对周边环境产生影响。建设单位通过执行本环评报告表中提出的对施工期噪声的治理措施要求，夜间禁止施工（夜间22：00~早上6：00），对外环境影响较小。考虑到施工期的暂时性，且采取有效措施控制后，项目对周围环境造成的声学环境影响较小。</w:t>
            </w:r>
          </w:p>
          <w:p>
            <w:pPr>
              <w:bidi w:val="0"/>
              <w:rPr>
                <w:b/>
                <w:bCs/>
                <w:color w:val="auto"/>
              </w:rPr>
            </w:pPr>
            <w:r>
              <w:rPr>
                <w:b/>
                <w:bCs/>
                <w:color w:val="auto"/>
              </w:rPr>
              <w:t>4、地表水环境影响分析</w:t>
            </w:r>
          </w:p>
          <w:p>
            <w:pPr>
              <w:bidi w:val="0"/>
              <w:rPr>
                <w:color w:val="auto"/>
              </w:rPr>
            </w:pPr>
            <w:r>
              <w:rPr>
                <w:color w:val="auto"/>
              </w:rPr>
              <w:t>主要来</w:t>
            </w:r>
            <w:r>
              <w:rPr>
                <w:rFonts w:hint="eastAsia"/>
                <w:color w:val="auto"/>
              </w:rPr>
              <w:t>施工人员</w:t>
            </w:r>
            <w:r>
              <w:rPr>
                <w:color w:val="auto"/>
              </w:rPr>
              <w:t>生活污水，依托</w:t>
            </w:r>
            <w:r>
              <w:rPr>
                <w:rFonts w:hint="eastAsia"/>
                <w:color w:val="auto"/>
              </w:rPr>
              <w:t>周边企业</w:t>
            </w:r>
            <w:r>
              <w:rPr>
                <w:color w:val="auto"/>
              </w:rPr>
              <w:t>现有</w:t>
            </w:r>
            <w:r>
              <w:rPr>
                <w:rFonts w:hint="eastAsia"/>
                <w:color w:val="auto"/>
                <w:lang w:eastAsia="zh-CN"/>
              </w:rPr>
              <w:t>预处理池</w:t>
            </w:r>
            <w:r>
              <w:rPr>
                <w:rFonts w:hint="eastAsia"/>
                <w:color w:val="auto"/>
              </w:rPr>
              <w:t>（已建成）</w:t>
            </w:r>
            <w:r>
              <w:rPr>
                <w:color w:val="auto"/>
              </w:rPr>
              <w:t>处理，不直接外排，对区域地表水影响</w:t>
            </w:r>
            <w:r>
              <w:rPr>
                <w:rFonts w:hint="eastAsia"/>
                <w:color w:val="auto"/>
              </w:rPr>
              <w:t>较小</w:t>
            </w:r>
            <w:r>
              <w:rPr>
                <w:color w:val="auto"/>
              </w:rPr>
              <w:t>。</w:t>
            </w:r>
          </w:p>
          <w:p>
            <w:pPr>
              <w:bidi w:val="0"/>
              <w:rPr>
                <w:b/>
                <w:bCs/>
                <w:color w:val="auto"/>
              </w:rPr>
            </w:pPr>
            <w:r>
              <w:rPr>
                <w:b/>
                <w:bCs/>
                <w:color w:val="auto"/>
              </w:rPr>
              <w:t>5、固废物影响分析</w:t>
            </w:r>
          </w:p>
          <w:p>
            <w:pPr>
              <w:bidi w:val="0"/>
              <w:rPr>
                <w:color w:val="auto"/>
              </w:rPr>
            </w:pPr>
            <w:r>
              <w:rPr>
                <w:color w:val="auto"/>
              </w:rPr>
              <w:t>经现场踏勘情况可知，项目所在地周边地势平坦，项目施工期间不涉及大规模的土石方工程。可回收利用的建筑垃圾回收利用，不可回收利用的与施工人员生活垃圾一同收集后由环卫所负责清运，对外环境影响小。</w:t>
            </w:r>
          </w:p>
          <w:p>
            <w:pPr>
              <w:bidi w:val="0"/>
              <w:rPr>
                <w:color w:val="auto"/>
              </w:rPr>
            </w:pPr>
            <w:bookmarkStart w:id="7" w:name="_Toc287645278"/>
            <w:r>
              <w:rPr>
                <w:color w:val="auto"/>
              </w:rPr>
              <w:t>综上所述，项目施工期间，对周围环境存在一定的影响，但是只要施工方严格按照施工规范文明施工，采取适当的防尘措施，可以将影响减小到最小。施工结束后，以上影响可消除。</w:t>
            </w:r>
            <w:bookmarkEnd w:id="7"/>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adjustRightInd w:val="0"/>
              <w:snapToGrid w:val="0"/>
              <w:ind w:firstLine="440"/>
              <w:rPr>
                <w:bCs/>
                <w:color w:val="auto"/>
                <w:spacing w:val="-10"/>
                <w:szCs w:val="21"/>
              </w:rPr>
            </w:pPr>
          </w:p>
          <w:p>
            <w:pPr>
              <w:adjustRightInd w:val="0"/>
              <w:snapToGrid w:val="0"/>
              <w:ind w:firstLine="440"/>
              <w:rPr>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pStyle w:val="11"/>
              <w:jc w:val="center"/>
              <w:rPr>
                <w:b/>
                <w:bCs/>
                <w:color w:val="auto"/>
              </w:rPr>
            </w:pPr>
            <w:r>
              <w:rPr>
                <w:b/>
                <w:bCs/>
                <w:color w:val="auto"/>
              </w:rPr>
              <w:t>运营</w:t>
            </w:r>
          </w:p>
          <w:p>
            <w:pPr>
              <w:pStyle w:val="11"/>
              <w:jc w:val="center"/>
              <w:rPr>
                <w:b/>
                <w:bCs/>
                <w:color w:val="auto"/>
              </w:rPr>
            </w:pPr>
            <w:r>
              <w:rPr>
                <w:b/>
                <w:bCs/>
                <w:color w:val="auto"/>
              </w:rPr>
              <w:t>期环</w:t>
            </w:r>
          </w:p>
          <w:p>
            <w:pPr>
              <w:pStyle w:val="11"/>
              <w:jc w:val="center"/>
              <w:rPr>
                <w:b/>
                <w:bCs/>
                <w:color w:val="auto"/>
              </w:rPr>
            </w:pPr>
            <w:r>
              <w:rPr>
                <w:b/>
                <w:bCs/>
                <w:color w:val="auto"/>
              </w:rPr>
              <w:t>境影</w:t>
            </w:r>
          </w:p>
          <w:p>
            <w:pPr>
              <w:pStyle w:val="11"/>
              <w:jc w:val="center"/>
              <w:rPr>
                <w:b/>
                <w:bCs/>
                <w:color w:val="auto"/>
              </w:rPr>
            </w:pPr>
            <w:r>
              <w:rPr>
                <w:b/>
                <w:bCs/>
                <w:color w:val="auto"/>
              </w:rPr>
              <w:t>响和</w:t>
            </w:r>
          </w:p>
          <w:p>
            <w:pPr>
              <w:pStyle w:val="11"/>
              <w:jc w:val="center"/>
              <w:rPr>
                <w:b/>
                <w:bCs/>
                <w:color w:val="auto"/>
              </w:rPr>
            </w:pPr>
            <w:r>
              <w:rPr>
                <w:b/>
                <w:bCs/>
                <w:color w:val="auto"/>
              </w:rPr>
              <w:t>保护</w:t>
            </w:r>
          </w:p>
          <w:p>
            <w:pPr>
              <w:pStyle w:val="11"/>
              <w:jc w:val="center"/>
              <w:rPr>
                <w:bCs/>
                <w:color w:val="auto"/>
              </w:rPr>
            </w:pPr>
            <w:r>
              <w:rPr>
                <w:b/>
                <w:bCs/>
                <w:color w:val="auto"/>
              </w:rPr>
              <w:t>措施</w:t>
            </w:r>
          </w:p>
        </w:tc>
        <w:tc>
          <w:tcPr>
            <w:tcW w:w="9053" w:type="dxa"/>
            <w:vAlign w:val="center"/>
          </w:tcPr>
          <w:p>
            <w:pPr>
              <w:adjustRightInd w:val="0"/>
              <w:snapToGrid w:val="0"/>
              <w:ind w:firstLine="442"/>
              <w:rPr>
                <w:b/>
                <w:color w:val="auto"/>
                <w:spacing w:val="-10"/>
                <w:szCs w:val="21"/>
              </w:rPr>
            </w:pPr>
            <w:r>
              <w:rPr>
                <w:b/>
                <w:color w:val="auto"/>
                <w:spacing w:val="-10"/>
                <w:szCs w:val="21"/>
              </w:rPr>
              <w:t>（一）运营期污染物排放及治理</w:t>
            </w:r>
          </w:p>
          <w:p>
            <w:pPr>
              <w:adjustRightInd w:val="0"/>
              <w:snapToGrid w:val="0"/>
              <w:ind w:firstLine="442"/>
              <w:rPr>
                <w:b/>
                <w:color w:val="auto"/>
                <w:spacing w:val="-10"/>
                <w:szCs w:val="21"/>
              </w:rPr>
            </w:pPr>
            <w:r>
              <w:rPr>
                <w:b/>
                <w:color w:val="auto"/>
                <w:spacing w:val="-10"/>
                <w:szCs w:val="21"/>
              </w:rPr>
              <w:t>1、水污染物排放及治理</w:t>
            </w:r>
          </w:p>
          <w:p>
            <w:pPr>
              <w:adjustRightInd w:val="0"/>
              <w:snapToGrid w:val="0"/>
              <w:ind w:firstLine="442"/>
              <w:rPr>
                <w:b/>
                <w:color w:val="auto"/>
                <w:spacing w:val="-10"/>
                <w:szCs w:val="21"/>
              </w:rPr>
            </w:pPr>
            <w:r>
              <w:rPr>
                <w:rFonts w:hint="eastAsia"/>
                <w:b/>
                <w:color w:val="auto"/>
                <w:spacing w:val="-10"/>
                <w:szCs w:val="21"/>
              </w:rPr>
              <w:t>（1）废水的产排污环节</w:t>
            </w:r>
          </w:p>
          <w:p>
            <w:pPr>
              <w:adjustRightInd w:val="0"/>
              <w:snapToGrid w:val="0"/>
              <w:ind w:firstLine="442"/>
              <w:rPr>
                <w:b/>
                <w:color w:val="auto"/>
                <w:spacing w:val="-10"/>
                <w:szCs w:val="21"/>
              </w:rPr>
            </w:pPr>
            <w:r>
              <w:rPr>
                <w:rFonts w:hint="eastAsia"/>
                <w:b/>
                <w:color w:val="auto"/>
                <w:spacing w:val="-10"/>
                <w:szCs w:val="21"/>
              </w:rPr>
              <w:t>生活污水</w:t>
            </w:r>
          </w:p>
          <w:p>
            <w:pPr>
              <w:keepNext w:val="0"/>
              <w:keepLines w:val="0"/>
              <w:pageBreakBefore w:val="0"/>
              <w:widowControl w:val="0"/>
              <w:kinsoku/>
              <w:wordWrap/>
              <w:overflowPunct/>
              <w:topLinePunct w:val="0"/>
              <w:autoSpaceDE/>
              <w:autoSpaceDN/>
              <w:bidi w:val="0"/>
              <w:adjustRightInd w:val="0"/>
              <w:snapToGrid w:val="0"/>
              <w:ind w:firstLine="480"/>
              <w:textAlignment w:val="auto"/>
              <w:rPr>
                <w:bCs/>
                <w:color w:val="auto"/>
                <w:szCs w:val="21"/>
              </w:rPr>
            </w:pPr>
            <w:r>
              <w:rPr>
                <w:bCs/>
                <w:color w:val="auto"/>
                <w:szCs w:val="21"/>
              </w:rPr>
              <w:t>本项目劳动定员</w:t>
            </w:r>
            <w:r>
              <w:rPr>
                <w:rFonts w:hint="eastAsia"/>
                <w:bCs/>
                <w:color w:val="auto"/>
                <w:szCs w:val="21"/>
              </w:rPr>
              <w:t>160</w:t>
            </w:r>
            <w:r>
              <w:rPr>
                <w:bCs/>
                <w:color w:val="auto"/>
                <w:szCs w:val="21"/>
              </w:rPr>
              <w:t>人</w:t>
            </w:r>
            <w:r>
              <w:rPr>
                <w:rFonts w:hint="eastAsia"/>
                <w:bCs/>
                <w:color w:val="auto"/>
                <w:szCs w:val="21"/>
              </w:rPr>
              <w:t>，</w:t>
            </w:r>
            <w:r>
              <w:rPr>
                <w:bCs/>
                <w:color w:val="auto"/>
              </w:rPr>
              <w:t>其中</w:t>
            </w:r>
            <w:r>
              <w:rPr>
                <w:color w:val="auto"/>
              </w:rPr>
              <w:t>在厂食宿</w:t>
            </w:r>
            <w:r>
              <w:rPr>
                <w:rFonts w:hint="eastAsia"/>
                <w:color w:val="auto"/>
              </w:rPr>
              <w:t>80</w:t>
            </w:r>
            <w:r>
              <w:rPr>
                <w:color w:val="auto"/>
              </w:rPr>
              <w:t>人</w:t>
            </w:r>
            <w:r>
              <w:rPr>
                <w:bCs/>
                <w:color w:val="auto"/>
                <w:szCs w:val="21"/>
              </w:rPr>
              <w:t>，参考</w:t>
            </w:r>
            <w:r>
              <w:rPr>
                <w:rFonts w:hint="eastAsia"/>
                <w:bCs/>
                <w:color w:val="auto"/>
                <w:szCs w:val="21"/>
              </w:rPr>
              <w:t>四川省用水定额标准（川府函〔2021〕8号）</w:t>
            </w:r>
            <w:r>
              <w:rPr>
                <w:bCs/>
                <w:color w:val="auto"/>
                <w:szCs w:val="21"/>
              </w:rPr>
              <w:t>中“表35-公共管理-通用值”的相关数据，</w:t>
            </w:r>
            <w:r>
              <w:rPr>
                <w:bCs/>
                <w:color w:val="auto"/>
              </w:rPr>
              <w:t>生产人员用水定额取19m</w:t>
            </w:r>
            <w:r>
              <w:rPr>
                <w:bCs/>
                <w:color w:val="auto"/>
                <w:vertAlign w:val="superscript"/>
              </w:rPr>
              <w:t>3</w:t>
            </w:r>
            <w:r>
              <w:rPr>
                <w:bCs/>
                <w:color w:val="auto"/>
              </w:rPr>
              <w:t>/人</w:t>
            </w:r>
            <w:r>
              <w:rPr>
                <w:rFonts w:hint="eastAsia"/>
                <w:bCs/>
                <w:color w:val="auto"/>
              </w:rPr>
              <w:t>.</w:t>
            </w:r>
            <w:r>
              <w:rPr>
                <w:bCs/>
                <w:color w:val="auto"/>
              </w:rPr>
              <w:t>a（不</w:t>
            </w:r>
            <w:r>
              <w:rPr>
                <w:rFonts w:hint="eastAsia"/>
                <w:bCs/>
                <w:color w:val="auto"/>
              </w:rPr>
              <w:t>住宿</w:t>
            </w:r>
            <w:r>
              <w:rPr>
                <w:bCs/>
                <w:color w:val="auto"/>
              </w:rPr>
              <w:t>）</w:t>
            </w:r>
            <w:r>
              <w:rPr>
                <w:rFonts w:hint="eastAsia"/>
                <w:bCs/>
                <w:color w:val="auto"/>
              </w:rPr>
              <w:t>，生产人员用水定额取38m</w:t>
            </w:r>
            <w:r>
              <w:rPr>
                <w:rFonts w:hint="eastAsia"/>
                <w:bCs/>
                <w:color w:val="auto"/>
                <w:vertAlign w:val="superscript"/>
              </w:rPr>
              <w:t>3</w:t>
            </w:r>
            <w:r>
              <w:rPr>
                <w:rFonts w:hint="eastAsia"/>
                <w:bCs/>
                <w:color w:val="auto"/>
              </w:rPr>
              <w:t>/人.a（住宿）</w:t>
            </w:r>
            <w:r>
              <w:rPr>
                <w:bCs/>
                <w:color w:val="auto"/>
                <w:szCs w:val="21"/>
              </w:rPr>
              <w:t>，年工作日为300天，则职工生活用水</w:t>
            </w:r>
            <w:r>
              <w:rPr>
                <w:rFonts w:hint="eastAsia"/>
                <w:bCs/>
                <w:color w:val="auto"/>
                <w:szCs w:val="21"/>
              </w:rPr>
              <w:t>15.2</w:t>
            </w:r>
            <w:r>
              <w:rPr>
                <w:bCs/>
                <w:color w:val="auto"/>
                <w:szCs w:val="21"/>
              </w:rPr>
              <w:t>m</w:t>
            </w:r>
            <w:r>
              <w:rPr>
                <w:bCs/>
                <w:color w:val="auto"/>
                <w:szCs w:val="21"/>
                <w:vertAlign w:val="superscript"/>
              </w:rPr>
              <w:t>3</w:t>
            </w:r>
            <w:r>
              <w:rPr>
                <w:bCs/>
                <w:color w:val="auto"/>
                <w:szCs w:val="21"/>
              </w:rPr>
              <w:t>/d （</w:t>
            </w:r>
            <w:r>
              <w:rPr>
                <w:rFonts w:hint="eastAsia"/>
                <w:bCs/>
                <w:color w:val="auto"/>
                <w:szCs w:val="21"/>
              </w:rPr>
              <w:t>4560</w:t>
            </w:r>
            <w:r>
              <w:rPr>
                <w:bCs/>
                <w:color w:val="auto"/>
                <w:szCs w:val="21"/>
              </w:rPr>
              <w:t>m</w:t>
            </w:r>
            <w:r>
              <w:rPr>
                <w:bCs/>
                <w:color w:val="auto"/>
                <w:szCs w:val="21"/>
                <w:vertAlign w:val="superscript"/>
              </w:rPr>
              <w:t>3</w:t>
            </w:r>
            <w:r>
              <w:rPr>
                <w:bCs/>
                <w:color w:val="auto"/>
                <w:szCs w:val="21"/>
              </w:rPr>
              <w:t>/a），排水量按用水量的85%计，则日排生活废水约</w:t>
            </w:r>
            <w:r>
              <w:rPr>
                <w:rFonts w:hint="eastAsia"/>
                <w:bCs/>
                <w:color w:val="auto"/>
                <w:szCs w:val="21"/>
              </w:rPr>
              <w:t>12.9</w:t>
            </w:r>
            <w:r>
              <w:rPr>
                <w:bCs/>
                <w:color w:val="auto"/>
                <w:szCs w:val="21"/>
              </w:rPr>
              <w:t>m</w:t>
            </w:r>
            <w:r>
              <w:rPr>
                <w:bCs/>
                <w:color w:val="auto"/>
                <w:szCs w:val="21"/>
                <w:vertAlign w:val="superscript"/>
              </w:rPr>
              <w:t>3</w:t>
            </w:r>
            <w:r>
              <w:rPr>
                <w:bCs/>
                <w:color w:val="auto"/>
                <w:szCs w:val="21"/>
              </w:rPr>
              <w:t>/d（</w:t>
            </w:r>
            <w:r>
              <w:rPr>
                <w:rFonts w:hint="eastAsia"/>
                <w:bCs/>
                <w:color w:val="auto"/>
                <w:szCs w:val="21"/>
              </w:rPr>
              <w:t>3876</w:t>
            </w:r>
            <w:r>
              <w:rPr>
                <w:bCs/>
                <w:color w:val="auto"/>
                <w:szCs w:val="21"/>
              </w:rPr>
              <w:t>m</w:t>
            </w:r>
            <w:r>
              <w:rPr>
                <w:bCs/>
                <w:color w:val="auto"/>
                <w:szCs w:val="21"/>
                <w:vertAlign w:val="superscript"/>
              </w:rPr>
              <w:t>3</w:t>
            </w:r>
            <w:r>
              <w:rPr>
                <w:bCs/>
                <w:color w:val="auto"/>
                <w:szCs w:val="21"/>
              </w:rPr>
              <w:t>/a），生活污水经</w:t>
            </w:r>
            <w:r>
              <w:rPr>
                <w:rFonts w:hint="eastAsia"/>
                <w:bCs/>
                <w:color w:val="auto"/>
                <w:szCs w:val="21"/>
              </w:rPr>
              <w:t>厂区污水处理站处理达标</w:t>
            </w:r>
            <w:r>
              <w:rPr>
                <w:bCs/>
                <w:color w:val="auto"/>
                <w:szCs w:val="21"/>
              </w:rPr>
              <w:t>后排入园区管网，通过园区污水管网进入污水处理厂。</w:t>
            </w:r>
          </w:p>
          <w:p>
            <w:pPr>
              <w:adjustRightInd w:val="0"/>
              <w:snapToGrid w:val="0"/>
              <w:ind w:firstLine="442"/>
              <w:rPr>
                <w:rFonts w:hint="eastAsia" w:eastAsia="宋体"/>
                <w:b/>
                <w:color w:val="auto"/>
                <w:spacing w:val="-10"/>
                <w:szCs w:val="21"/>
                <w:lang w:eastAsia="zh-CN"/>
              </w:rPr>
            </w:pPr>
            <w:r>
              <w:rPr>
                <w:b/>
                <w:color w:val="auto"/>
                <w:spacing w:val="-10"/>
                <w:szCs w:val="21"/>
              </w:rPr>
              <w:t>生产</w:t>
            </w:r>
            <w:r>
              <w:rPr>
                <w:rFonts w:hint="eastAsia"/>
                <w:b/>
                <w:color w:val="auto"/>
                <w:spacing w:val="-10"/>
                <w:szCs w:val="21"/>
                <w:lang w:val="en-US" w:eastAsia="zh-CN"/>
              </w:rPr>
              <w:t>废水</w:t>
            </w:r>
          </w:p>
          <w:p>
            <w:pPr>
              <w:adjustRightInd w:val="0"/>
              <w:snapToGrid w:val="0"/>
              <w:ind w:firstLine="480"/>
              <w:rPr>
                <w:bCs/>
                <w:color w:val="auto"/>
                <w:szCs w:val="21"/>
              </w:rPr>
            </w:pPr>
            <w:r>
              <w:rPr>
                <w:bCs/>
                <w:color w:val="auto"/>
                <w:szCs w:val="21"/>
              </w:rPr>
              <w:t>①、</w:t>
            </w:r>
            <w:r>
              <w:rPr>
                <w:rFonts w:hint="eastAsia"/>
                <w:bCs/>
                <w:color w:val="auto"/>
                <w:szCs w:val="21"/>
              </w:rPr>
              <w:t>原材料清洗废水</w:t>
            </w:r>
          </w:p>
          <w:p>
            <w:pPr>
              <w:adjustRightInd w:val="0"/>
              <w:snapToGrid w:val="0"/>
              <w:ind w:firstLine="480"/>
              <w:rPr>
                <w:bCs/>
                <w:color w:val="auto"/>
                <w:szCs w:val="21"/>
              </w:rPr>
            </w:pPr>
            <w:r>
              <w:rPr>
                <w:rFonts w:hint="eastAsia"/>
                <w:color w:val="auto"/>
              </w:rPr>
              <w:t>根据产品特点及企业单位提供资料，</w:t>
            </w:r>
            <w:r>
              <w:rPr>
                <w:bCs/>
                <w:color w:val="auto"/>
                <w:szCs w:val="21"/>
              </w:rPr>
              <w:t>经解冻后的原材料需要经过清洗再进入后续深加工工序，其中，原材料清洗用水量与原材料用量的比值按1：1计算，项目肉类原材料用量约为40000t/a，原材料清洗用水量约为40000m</w:t>
            </w:r>
            <w:r>
              <w:rPr>
                <w:bCs/>
                <w:color w:val="auto"/>
                <w:szCs w:val="21"/>
                <w:vertAlign w:val="superscript"/>
              </w:rPr>
              <w:t>3</w:t>
            </w:r>
            <w:r>
              <w:rPr>
                <w:bCs/>
                <w:color w:val="auto"/>
                <w:szCs w:val="21"/>
              </w:rPr>
              <w:t>/a，年工作日为300天，则原材料清洗用水133.3m</w:t>
            </w:r>
            <w:r>
              <w:rPr>
                <w:bCs/>
                <w:color w:val="auto"/>
                <w:szCs w:val="21"/>
                <w:vertAlign w:val="superscript"/>
              </w:rPr>
              <w:t>3</w:t>
            </w:r>
            <w:r>
              <w:rPr>
                <w:bCs/>
                <w:color w:val="auto"/>
                <w:szCs w:val="21"/>
              </w:rPr>
              <w:t>/d ，排水量按用水量的85%计，则日排废水约113.3m</w:t>
            </w:r>
            <w:r>
              <w:rPr>
                <w:bCs/>
                <w:color w:val="auto"/>
                <w:szCs w:val="21"/>
                <w:vertAlign w:val="superscript"/>
              </w:rPr>
              <w:t>3</w:t>
            </w:r>
            <w:r>
              <w:rPr>
                <w:bCs/>
                <w:color w:val="auto"/>
                <w:szCs w:val="21"/>
              </w:rPr>
              <w:t>/d，原材料清洗废水经厂区污水处理站处理达标后排入园区管网，通过园区污水管网进入污水处理厂。</w:t>
            </w:r>
          </w:p>
          <w:p>
            <w:pPr>
              <w:ind w:firstLine="480"/>
              <w:rPr>
                <w:color w:val="auto"/>
              </w:rPr>
            </w:pPr>
            <w:r>
              <w:rPr>
                <w:rFonts w:hint="eastAsia"/>
                <w:color w:val="auto"/>
              </w:rPr>
              <w:t>②、</w:t>
            </w:r>
            <w:r>
              <w:rPr>
                <w:rFonts w:hint="eastAsia"/>
                <w:color w:val="auto"/>
                <w:lang w:eastAsia="zh-CN"/>
              </w:rPr>
              <w:t>实罐清洗</w:t>
            </w:r>
            <w:r>
              <w:rPr>
                <w:rFonts w:hint="eastAsia"/>
                <w:bCs/>
                <w:color w:val="auto"/>
                <w:szCs w:val="21"/>
              </w:rPr>
              <w:t>废水</w:t>
            </w:r>
          </w:p>
          <w:p>
            <w:pPr>
              <w:adjustRightInd w:val="0"/>
              <w:snapToGrid w:val="0"/>
              <w:ind w:firstLine="480"/>
              <w:rPr>
                <w:bCs/>
                <w:color w:val="auto"/>
                <w:szCs w:val="21"/>
              </w:rPr>
            </w:pPr>
            <w:r>
              <w:rPr>
                <w:rFonts w:hint="eastAsia"/>
                <w:color w:val="auto"/>
              </w:rPr>
              <w:t>根据产品特点及企业单位提供资料，产品使用的空罐需经过相应的清洗后再进行填装，1号生产车间设清洗槽2个，有效容积按2.0m</w:t>
            </w:r>
            <w:r>
              <w:rPr>
                <w:rFonts w:hint="eastAsia"/>
                <w:color w:val="auto"/>
                <w:vertAlign w:val="superscript"/>
              </w:rPr>
              <w:t>3</w:t>
            </w:r>
            <w:r>
              <w:rPr>
                <w:rFonts w:hint="eastAsia"/>
                <w:color w:val="auto"/>
              </w:rPr>
              <w:t>进行计算，清洗过程由空罐带走及自然损耗水分约为15%，清洗过程视清洗槽内水量及时补充，补充水量按1.0m</w:t>
            </w:r>
            <w:r>
              <w:rPr>
                <w:rFonts w:hint="eastAsia"/>
                <w:color w:val="auto"/>
                <w:vertAlign w:val="superscript"/>
              </w:rPr>
              <w:t>3</w:t>
            </w:r>
            <w:r>
              <w:rPr>
                <w:rFonts w:hint="eastAsia"/>
                <w:color w:val="auto"/>
              </w:rPr>
              <w:t>/d计算，清洗槽内清洗水每天更换一次，补充水量按4.0m</w:t>
            </w:r>
            <w:r>
              <w:rPr>
                <w:rFonts w:hint="eastAsia"/>
                <w:color w:val="auto"/>
                <w:vertAlign w:val="superscript"/>
              </w:rPr>
              <w:t>3</w:t>
            </w:r>
            <w:r>
              <w:rPr>
                <w:rFonts w:hint="eastAsia"/>
                <w:color w:val="auto"/>
              </w:rPr>
              <w:t>/d计算，则</w:t>
            </w:r>
            <w:r>
              <w:rPr>
                <w:rFonts w:hint="eastAsia"/>
                <w:color w:val="auto"/>
                <w:lang w:eastAsia="zh-CN"/>
              </w:rPr>
              <w:t>实罐清洗用水</w:t>
            </w:r>
            <w:r>
              <w:rPr>
                <w:rFonts w:hint="eastAsia"/>
                <w:color w:val="auto"/>
              </w:rPr>
              <w:t>约为5.0m</w:t>
            </w:r>
            <w:r>
              <w:rPr>
                <w:rFonts w:hint="eastAsia"/>
                <w:color w:val="auto"/>
                <w:vertAlign w:val="superscript"/>
              </w:rPr>
              <w:t>3</w:t>
            </w:r>
            <w:r>
              <w:rPr>
                <w:rFonts w:hint="eastAsia"/>
                <w:color w:val="auto"/>
              </w:rPr>
              <w:t>/d</w:t>
            </w:r>
            <w:r>
              <w:rPr>
                <w:bCs/>
                <w:color w:val="auto"/>
                <w:szCs w:val="21"/>
              </w:rPr>
              <w:t>，排水量按用水量的85%计，则日排废水约</w:t>
            </w:r>
            <w:r>
              <w:rPr>
                <w:rFonts w:hint="eastAsia"/>
                <w:bCs/>
                <w:color w:val="auto"/>
                <w:szCs w:val="21"/>
              </w:rPr>
              <w:t>4</w:t>
            </w:r>
            <w:r>
              <w:rPr>
                <w:bCs/>
                <w:color w:val="auto"/>
                <w:szCs w:val="21"/>
              </w:rPr>
              <w:t>.3m</w:t>
            </w:r>
            <w:r>
              <w:rPr>
                <w:bCs/>
                <w:color w:val="auto"/>
                <w:szCs w:val="21"/>
                <w:vertAlign w:val="superscript"/>
              </w:rPr>
              <w:t>3</w:t>
            </w:r>
            <w:r>
              <w:rPr>
                <w:bCs/>
                <w:color w:val="auto"/>
                <w:szCs w:val="21"/>
              </w:rPr>
              <w:t>/d，</w:t>
            </w:r>
            <w:r>
              <w:rPr>
                <w:rFonts w:hint="eastAsia"/>
                <w:bCs/>
                <w:color w:val="auto"/>
                <w:szCs w:val="21"/>
                <w:lang w:eastAsia="zh-CN"/>
              </w:rPr>
              <w:t>实罐清洗</w:t>
            </w:r>
            <w:r>
              <w:rPr>
                <w:bCs/>
                <w:color w:val="auto"/>
                <w:szCs w:val="21"/>
              </w:rPr>
              <w:t>废水经厂区污水处理站处理达标后排入园区管网，通过园区污水管网进入污水处理厂。</w:t>
            </w:r>
          </w:p>
          <w:p>
            <w:pPr>
              <w:ind w:firstLine="480"/>
              <w:rPr>
                <w:color w:val="auto"/>
              </w:rPr>
            </w:pPr>
            <w:r>
              <w:rPr>
                <w:rFonts w:hint="eastAsia"/>
                <w:color w:val="auto"/>
              </w:rPr>
              <w:t>③、设备清洁</w:t>
            </w:r>
            <w:r>
              <w:rPr>
                <w:rFonts w:hint="eastAsia"/>
                <w:bCs/>
                <w:color w:val="auto"/>
                <w:szCs w:val="21"/>
              </w:rPr>
              <w:t>废水</w:t>
            </w:r>
          </w:p>
          <w:p>
            <w:pPr>
              <w:adjustRightInd w:val="0"/>
              <w:snapToGrid w:val="0"/>
              <w:ind w:firstLine="480"/>
              <w:rPr>
                <w:bCs/>
                <w:color w:val="auto"/>
                <w:szCs w:val="21"/>
              </w:rPr>
            </w:pPr>
            <w:r>
              <w:rPr>
                <w:rFonts w:hint="eastAsia"/>
                <w:color w:val="auto"/>
              </w:rPr>
              <w:t>经业主单位介绍，项目每日生产结束，需要对油炸锅、炒锅、煮锅、操作台等设备进行清洁，一般为清水冲洗、湿毛巾擦拭，用水量约为5m</w:t>
            </w:r>
            <w:r>
              <w:rPr>
                <w:rFonts w:hint="eastAsia"/>
                <w:color w:val="auto"/>
                <w:vertAlign w:val="superscript"/>
              </w:rPr>
              <w:t>3</w:t>
            </w:r>
            <w:r>
              <w:rPr>
                <w:rFonts w:hint="eastAsia"/>
                <w:color w:val="auto"/>
              </w:rPr>
              <w:t>/d，</w:t>
            </w:r>
            <w:r>
              <w:rPr>
                <w:bCs/>
                <w:color w:val="auto"/>
                <w:szCs w:val="21"/>
              </w:rPr>
              <w:t>排水量按用水量的85%计，则日排废水约</w:t>
            </w:r>
            <w:r>
              <w:rPr>
                <w:rFonts w:hint="eastAsia"/>
                <w:bCs/>
                <w:color w:val="auto"/>
                <w:szCs w:val="21"/>
              </w:rPr>
              <w:t>4</w:t>
            </w:r>
            <w:r>
              <w:rPr>
                <w:bCs/>
                <w:color w:val="auto"/>
                <w:szCs w:val="21"/>
              </w:rPr>
              <w:t>.3m</w:t>
            </w:r>
            <w:r>
              <w:rPr>
                <w:bCs/>
                <w:color w:val="auto"/>
                <w:szCs w:val="21"/>
                <w:vertAlign w:val="superscript"/>
              </w:rPr>
              <w:t>3</w:t>
            </w:r>
            <w:r>
              <w:rPr>
                <w:bCs/>
                <w:color w:val="auto"/>
                <w:szCs w:val="21"/>
              </w:rPr>
              <w:t>/d，</w:t>
            </w:r>
            <w:r>
              <w:rPr>
                <w:rFonts w:hint="eastAsia"/>
                <w:color w:val="auto"/>
              </w:rPr>
              <w:t>设备清洁</w:t>
            </w:r>
            <w:r>
              <w:rPr>
                <w:bCs/>
                <w:color w:val="auto"/>
                <w:szCs w:val="21"/>
              </w:rPr>
              <w:t>废水经厂区污水处理站处理达标后排入园区管网，通过园区污水管网进入污水处理厂。</w:t>
            </w:r>
          </w:p>
          <w:p>
            <w:pPr>
              <w:ind w:firstLine="480"/>
              <w:rPr>
                <w:color w:val="auto"/>
              </w:rPr>
            </w:pPr>
            <w:r>
              <w:rPr>
                <w:rFonts w:hint="eastAsia"/>
                <w:color w:val="auto"/>
              </w:rPr>
              <w:t>④、地面清洁</w:t>
            </w:r>
            <w:r>
              <w:rPr>
                <w:rFonts w:hint="eastAsia"/>
                <w:bCs/>
                <w:color w:val="auto"/>
                <w:szCs w:val="21"/>
              </w:rPr>
              <w:t>废水</w:t>
            </w:r>
          </w:p>
          <w:p>
            <w:pPr>
              <w:adjustRightInd w:val="0"/>
              <w:snapToGrid w:val="0"/>
              <w:ind w:firstLine="480"/>
              <w:rPr>
                <w:bCs/>
                <w:color w:val="auto"/>
                <w:szCs w:val="21"/>
              </w:rPr>
            </w:pPr>
            <w:r>
              <w:rPr>
                <w:rFonts w:hint="eastAsia"/>
                <w:color w:val="auto"/>
              </w:rPr>
              <w:t>经业主单位介绍，项目每日生产结束，需要对生产区域进行清洁，一般为清水冲洗、拖把擦拭，用水量约为10m</w:t>
            </w:r>
            <w:r>
              <w:rPr>
                <w:rFonts w:hint="eastAsia"/>
                <w:color w:val="auto"/>
                <w:vertAlign w:val="superscript"/>
              </w:rPr>
              <w:t>3</w:t>
            </w:r>
            <w:r>
              <w:rPr>
                <w:rFonts w:hint="eastAsia"/>
                <w:color w:val="auto"/>
              </w:rPr>
              <w:t>/d，</w:t>
            </w:r>
            <w:r>
              <w:rPr>
                <w:bCs/>
                <w:color w:val="auto"/>
                <w:szCs w:val="21"/>
              </w:rPr>
              <w:t>排水量按用水量的85%计，则日排废水约</w:t>
            </w:r>
            <w:r>
              <w:rPr>
                <w:rFonts w:hint="eastAsia"/>
                <w:bCs/>
                <w:color w:val="auto"/>
                <w:szCs w:val="21"/>
              </w:rPr>
              <w:t>8.5</w:t>
            </w:r>
            <w:r>
              <w:rPr>
                <w:bCs/>
                <w:color w:val="auto"/>
                <w:szCs w:val="21"/>
              </w:rPr>
              <w:t>m</w:t>
            </w:r>
            <w:r>
              <w:rPr>
                <w:bCs/>
                <w:color w:val="auto"/>
                <w:szCs w:val="21"/>
                <w:vertAlign w:val="superscript"/>
              </w:rPr>
              <w:t>3</w:t>
            </w:r>
            <w:r>
              <w:rPr>
                <w:bCs/>
                <w:color w:val="auto"/>
                <w:szCs w:val="21"/>
              </w:rPr>
              <w:t>/d，</w:t>
            </w:r>
            <w:r>
              <w:rPr>
                <w:rFonts w:hint="eastAsia"/>
                <w:color w:val="auto"/>
              </w:rPr>
              <w:t>设备清洁</w:t>
            </w:r>
            <w:r>
              <w:rPr>
                <w:bCs/>
                <w:color w:val="auto"/>
                <w:szCs w:val="21"/>
              </w:rPr>
              <w:t>废水经厂区污水处理站处理达标后排入园区管网，通过园区污水管网进入污水处理厂。</w:t>
            </w:r>
          </w:p>
          <w:p>
            <w:pPr>
              <w:ind w:firstLine="480"/>
              <w:rPr>
                <w:color w:val="auto"/>
              </w:rPr>
            </w:pPr>
            <w:r>
              <w:rPr>
                <w:rFonts w:hint="eastAsia"/>
                <w:color w:val="auto"/>
              </w:rPr>
              <w:t>⑤、</w:t>
            </w:r>
            <w:r>
              <w:rPr>
                <w:rFonts w:hint="eastAsia"/>
                <w:color w:val="auto"/>
                <w:lang w:eastAsia="zh-CN"/>
              </w:rPr>
              <w:t>预煮</w:t>
            </w:r>
            <w:r>
              <w:rPr>
                <w:rFonts w:hint="eastAsia"/>
                <w:color w:val="auto"/>
              </w:rPr>
              <w:t>废水</w:t>
            </w:r>
          </w:p>
          <w:p>
            <w:pPr>
              <w:ind w:firstLine="480"/>
              <w:rPr>
                <w:color w:val="auto"/>
              </w:rPr>
            </w:pPr>
            <w:r>
              <w:rPr>
                <w:bCs/>
                <w:color w:val="auto"/>
              </w:rPr>
              <w:t>本项目采用软化水制备设备制备</w:t>
            </w:r>
            <w:r>
              <w:rPr>
                <w:rFonts w:hint="eastAsia"/>
                <w:bCs/>
                <w:color w:val="auto"/>
                <w:lang w:eastAsia="zh-CN"/>
              </w:rPr>
              <w:t>预煮</w:t>
            </w:r>
            <w:r>
              <w:rPr>
                <w:rFonts w:hint="eastAsia"/>
                <w:bCs/>
                <w:color w:val="auto"/>
              </w:rPr>
              <w:t>用水</w:t>
            </w:r>
            <w:r>
              <w:rPr>
                <w:bCs/>
                <w:color w:val="auto"/>
              </w:rPr>
              <w:t>，</w:t>
            </w:r>
            <w:r>
              <w:rPr>
                <w:rFonts w:hint="eastAsia"/>
                <w:bCs/>
                <w:color w:val="auto"/>
              </w:rPr>
              <w:t>软水设备制水量为15m</w:t>
            </w:r>
            <w:r>
              <w:rPr>
                <w:rFonts w:hint="eastAsia"/>
                <w:bCs/>
                <w:color w:val="auto"/>
                <w:vertAlign w:val="superscript"/>
              </w:rPr>
              <w:t>3</w:t>
            </w:r>
            <w:r>
              <w:rPr>
                <w:rFonts w:hint="eastAsia"/>
                <w:bCs/>
                <w:color w:val="auto"/>
              </w:rPr>
              <w:t>/d</w:t>
            </w:r>
            <w:r>
              <w:rPr>
                <w:rFonts w:hint="eastAsia"/>
                <w:color w:val="auto"/>
              </w:rPr>
              <w:t>，用于肉类原材料的</w:t>
            </w:r>
            <w:r>
              <w:rPr>
                <w:rFonts w:hint="eastAsia"/>
                <w:color w:val="auto"/>
                <w:lang w:eastAsia="zh-CN"/>
              </w:rPr>
              <w:t>预煮</w:t>
            </w:r>
            <w:r>
              <w:rPr>
                <w:rFonts w:hint="eastAsia"/>
                <w:color w:val="auto"/>
              </w:rPr>
              <w:t>等工序，</w:t>
            </w:r>
            <w:r>
              <w:rPr>
                <w:bCs/>
                <w:color w:val="auto"/>
                <w:szCs w:val="21"/>
              </w:rPr>
              <w:t>排水量按用水量的85%计，则日排废水约</w:t>
            </w:r>
            <w:r>
              <w:rPr>
                <w:rFonts w:hint="eastAsia"/>
                <w:bCs/>
                <w:color w:val="auto"/>
                <w:szCs w:val="21"/>
              </w:rPr>
              <w:t>12.8</w:t>
            </w:r>
            <w:r>
              <w:rPr>
                <w:bCs/>
                <w:color w:val="auto"/>
                <w:szCs w:val="21"/>
              </w:rPr>
              <w:t>m</w:t>
            </w:r>
            <w:r>
              <w:rPr>
                <w:bCs/>
                <w:color w:val="auto"/>
                <w:szCs w:val="21"/>
                <w:vertAlign w:val="superscript"/>
              </w:rPr>
              <w:t>3</w:t>
            </w:r>
            <w:r>
              <w:rPr>
                <w:bCs/>
                <w:color w:val="auto"/>
                <w:szCs w:val="21"/>
              </w:rPr>
              <w:t>/d，经厂区污水处理站处理达标后排入园区管网，通过园区污水管网进入污水处理厂</w:t>
            </w:r>
            <w:r>
              <w:rPr>
                <w:rFonts w:hint="eastAsia"/>
                <w:color w:val="auto"/>
              </w:rPr>
              <w:t>。</w:t>
            </w:r>
          </w:p>
          <w:p>
            <w:pPr>
              <w:adjustRightInd w:val="0"/>
              <w:snapToGrid w:val="0"/>
              <w:ind w:firstLine="480"/>
              <w:rPr>
                <w:color w:val="auto"/>
              </w:rPr>
            </w:pPr>
            <w:r>
              <w:rPr>
                <w:rFonts w:hint="eastAsia"/>
                <w:color w:val="auto"/>
              </w:rPr>
              <w:t>⑥、燃气锅炉排放水</w:t>
            </w:r>
          </w:p>
          <w:p>
            <w:pPr>
              <w:adjustRightInd w:val="0"/>
              <w:snapToGrid w:val="0"/>
              <w:ind w:firstLine="480"/>
              <w:rPr>
                <w:color w:val="auto"/>
              </w:rPr>
            </w:pPr>
            <w:r>
              <w:rPr>
                <w:rFonts w:hint="eastAsia"/>
                <w:color w:val="auto"/>
              </w:rPr>
              <w:t>本项目使用2台6t/h的天然气锅炉，满负荷运行时间按3000h计算，蒸汽供气量约为36000t/a；产生的蒸汽通过管道输送至分</w:t>
            </w:r>
            <w:r>
              <w:rPr>
                <w:rFonts w:hint="eastAsia"/>
                <w:color w:val="auto"/>
                <w:lang w:eastAsia="zh-CN"/>
              </w:rPr>
              <w:t>加热釜</w:t>
            </w:r>
            <w:r>
              <w:rPr>
                <w:rFonts w:hint="eastAsia"/>
                <w:color w:val="auto"/>
              </w:rPr>
              <w:t>，然后用于消毒杀菌等工序，</w:t>
            </w:r>
            <w:r>
              <w:rPr>
                <w:color w:val="auto"/>
              </w:rPr>
              <w:t>蒸汽冷凝形成冷凝水。本项目蒸汽冷凝水产生量按蒸汽发生量的</w:t>
            </w:r>
            <w:r>
              <w:rPr>
                <w:rFonts w:hint="eastAsia"/>
                <w:color w:val="auto"/>
              </w:rPr>
              <w:t>80</w:t>
            </w:r>
            <w:r>
              <w:rPr>
                <w:color w:val="auto"/>
              </w:rPr>
              <w:t>%计</w:t>
            </w:r>
            <w:r>
              <w:rPr>
                <w:rFonts w:hint="eastAsia"/>
                <w:color w:val="auto"/>
              </w:rPr>
              <w:t>，</w:t>
            </w:r>
            <w:r>
              <w:rPr>
                <w:color w:val="auto"/>
              </w:rPr>
              <w:t>则蒸汽冷凝水</w:t>
            </w:r>
            <w:r>
              <w:rPr>
                <w:rFonts w:hint="eastAsia"/>
                <w:color w:val="auto"/>
              </w:rPr>
              <w:t>排放水</w:t>
            </w:r>
            <w:r>
              <w:rPr>
                <w:color w:val="auto"/>
              </w:rPr>
              <w:t>量为</w:t>
            </w:r>
            <w:r>
              <w:rPr>
                <w:rFonts w:hint="eastAsia"/>
                <w:color w:val="auto"/>
              </w:rPr>
              <w:t>96</w:t>
            </w:r>
            <w:r>
              <w:rPr>
                <w:color w:val="auto"/>
              </w:rPr>
              <w:t>m</w:t>
            </w:r>
            <w:r>
              <w:rPr>
                <w:color w:val="auto"/>
                <w:vertAlign w:val="superscript"/>
              </w:rPr>
              <w:t>3</w:t>
            </w:r>
            <w:r>
              <w:rPr>
                <w:color w:val="auto"/>
              </w:rPr>
              <w:t>/d</w:t>
            </w:r>
            <w:r>
              <w:rPr>
                <w:rFonts w:hint="eastAsia"/>
                <w:color w:val="auto"/>
              </w:rPr>
              <w:t>。</w:t>
            </w:r>
          </w:p>
          <w:p>
            <w:pPr>
              <w:adjustRightInd w:val="0"/>
              <w:snapToGrid w:val="0"/>
              <w:ind w:firstLine="480"/>
              <w:rPr>
                <w:color w:val="auto"/>
              </w:rPr>
            </w:pPr>
            <w:r>
              <w:rPr>
                <w:rFonts w:hint="eastAsia"/>
                <w:color w:val="auto"/>
              </w:rPr>
              <w:t>为保持蒸汽质量的稳定，</w:t>
            </w:r>
            <w:r>
              <w:rPr>
                <w:color w:val="auto"/>
              </w:rPr>
              <w:t>本项目</w:t>
            </w:r>
            <w:r>
              <w:rPr>
                <w:rFonts w:hint="eastAsia"/>
                <w:color w:val="auto"/>
              </w:rPr>
              <w:t>燃气锅炉</w:t>
            </w:r>
            <w:r>
              <w:rPr>
                <w:color w:val="auto"/>
              </w:rPr>
              <w:t>每天工作结束后，需将设备中的水排掉，以延长设备使用寿命。</w:t>
            </w:r>
            <w:r>
              <w:rPr>
                <w:rFonts w:hint="eastAsia"/>
                <w:color w:val="auto"/>
              </w:rPr>
              <w:t>燃气锅炉</w:t>
            </w:r>
            <w:r>
              <w:rPr>
                <w:color w:val="auto"/>
              </w:rPr>
              <w:t>每天排水量按其设备最低水位水量</w:t>
            </w:r>
            <w:r>
              <w:rPr>
                <w:rFonts w:hint="eastAsia"/>
                <w:color w:val="auto"/>
              </w:rPr>
              <w:t>100</w:t>
            </w:r>
            <w:r>
              <w:rPr>
                <w:color w:val="auto"/>
              </w:rPr>
              <w:t>L计，则</w:t>
            </w:r>
            <w:r>
              <w:rPr>
                <w:rFonts w:hint="eastAsia"/>
                <w:color w:val="auto"/>
              </w:rPr>
              <w:t>燃气排放水</w:t>
            </w:r>
            <w:r>
              <w:rPr>
                <w:color w:val="auto"/>
              </w:rPr>
              <w:t>产生量为0.</w:t>
            </w:r>
            <w:r>
              <w:rPr>
                <w:rFonts w:hint="eastAsia"/>
                <w:color w:val="auto"/>
              </w:rPr>
              <w:t>2</w:t>
            </w:r>
            <w:r>
              <w:rPr>
                <w:color w:val="auto"/>
              </w:rPr>
              <w:t>m</w:t>
            </w:r>
            <w:r>
              <w:rPr>
                <w:color w:val="auto"/>
                <w:vertAlign w:val="superscript"/>
              </w:rPr>
              <w:t>3</w:t>
            </w:r>
            <w:r>
              <w:rPr>
                <w:color w:val="auto"/>
              </w:rPr>
              <w:t>/d</w:t>
            </w:r>
            <w:r>
              <w:rPr>
                <w:rFonts w:hint="eastAsia"/>
                <w:color w:val="auto"/>
              </w:rPr>
              <w:t>。</w:t>
            </w:r>
          </w:p>
          <w:p>
            <w:pPr>
              <w:adjustRightInd w:val="0"/>
              <w:snapToGrid w:val="0"/>
              <w:ind w:firstLine="440"/>
              <w:rPr>
                <w:bCs/>
                <w:color w:val="auto"/>
                <w:spacing w:val="-10"/>
                <w:szCs w:val="21"/>
              </w:rPr>
            </w:pPr>
            <w:r>
              <w:rPr>
                <w:bCs/>
                <w:color w:val="auto"/>
                <w:spacing w:val="-10"/>
                <w:szCs w:val="21"/>
              </w:rPr>
              <w:t>根据项目水平衡分析，废水排水量约为</w:t>
            </w:r>
            <w:r>
              <w:rPr>
                <w:rFonts w:hint="eastAsia"/>
                <w:bCs/>
                <w:color w:val="auto"/>
                <w:spacing w:val="-10"/>
                <w:szCs w:val="21"/>
              </w:rPr>
              <w:t>252.3</w:t>
            </w:r>
            <w:r>
              <w:rPr>
                <w:bCs/>
                <w:color w:val="auto"/>
                <w:spacing w:val="-10"/>
                <w:szCs w:val="21"/>
              </w:rPr>
              <w:t>m</w:t>
            </w:r>
            <w:r>
              <w:rPr>
                <w:bCs/>
                <w:color w:val="auto"/>
                <w:spacing w:val="-10"/>
                <w:szCs w:val="21"/>
                <w:vertAlign w:val="superscript"/>
              </w:rPr>
              <w:t>3</w:t>
            </w:r>
            <w:r>
              <w:rPr>
                <w:bCs/>
                <w:color w:val="auto"/>
                <w:spacing w:val="-10"/>
                <w:szCs w:val="21"/>
              </w:rPr>
              <w:t>/d（</w:t>
            </w:r>
            <w:r>
              <w:rPr>
                <w:rFonts w:hint="eastAsia"/>
                <w:bCs/>
                <w:color w:val="auto"/>
                <w:spacing w:val="-10"/>
                <w:szCs w:val="21"/>
              </w:rPr>
              <w:t>75690</w:t>
            </w:r>
            <w:r>
              <w:rPr>
                <w:bCs/>
                <w:color w:val="auto"/>
                <w:spacing w:val="-10"/>
                <w:szCs w:val="21"/>
              </w:rPr>
              <w:t>m</w:t>
            </w:r>
            <w:r>
              <w:rPr>
                <w:bCs/>
                <w:color w:val="auto"/>
                <w:spacing w:val="-10"/>
                <w:szCs w:val="21"/>
                <w:vertAlign w:val="superscript"/>
              </w:rPr>
              <w:t>3</w:t>
            </w:r>
            <w:r>
              <w:rPr>
                <w:bCs/>
                <w:color w:val="auto"/>
                <w:spacing w:val="-10"/>
                <w:szCs w:val="21"/>
              </w:rPr>
              <w:t>/a），污水中各污染物平均值分别为</w:t>
            </w:r>
            <w:r>
              <w:rPr>
                <w:rFonts w:hint="eastAsia"/>
                <w:bCs/>
                <w:color w:val="auto"/>
                <w:spacing w:val="-10"/>
                <w:szCs w:val="21"/>
                <w:lang w:eastAsia="zh-CN"/>
              </w:rPr>
              <w:t>COD</w:t>
            </w:r>
            <w:r>
              <w:rPr>
                <w:bCs/>
                <w:color w:val="auto"/>
                <w:spacing w:val="-10"/>
                <w:szCs w:val="21"/>
              </w:rPr>
              <w:t>：500mg/L、TP：8mg/L、NH</w:t>
            </w:r>
            <w:r>
              <w:rPr>
                <w:bCs/>
                <w:color w:val="auto"/>
                <w:spacing w:val="-10"/>
                <w:szCs w:val="21"/>
                <w:vertAlign w:val="subscript"/>
              </w:rPr>
              <w:t>3</w:t>
            </w:r>
            <w:r>
              <w:rPr>
                <w:bCs/>
                <w:color w:val="auto"/>
                <w:spacing w:val="-10"/>
                <w:szCs w:val="21"/>
              </w:rPr>
              <w:t>-N：45mg/L。公司排放口排放污染物含量为：</w:t>
            </w:r>
            <w:r>
              <w:rPr>
                <w:rFonts w:hint="eastAsia"/>
                <w:bCs/>
                <w:color w:val="auto"/>
                <w:spacing w:val="-10"/>
                <w:szCs w:val="21"/>
                <w:lang w:eastAsia="zh-CN"/>
              </w:rPr>
              <w:t>COD</w:t>
            </w:r>
            <w:r>
              <w:rPr>
                <w:bCs/>
                <w:color w:val="auto"/>
                <w:spacing w:val="-10"/>
                <w:szCs w:val="21"/>
              </w:rPr>
              <w:t>：</w:t>
            </w:r>
            <w:r>
              <w:rPr>
                <w:rFonts w:hint="eastAsia"/>
                <w:color w:val="auto"/>
              </w:rPr>
              <w:t>3.785t</w:t>
            </w:r>
            <w:r>
              <w:rPr>
                <w:color w:val="auto"/>
              </w:rPr>
              <w:t>/a</w:t>
            </w:r>
            <w:r>
              <w:rPr>
                <w:bCs/>
                <w:color w:val="auto"/>
                <w:spacing w:val="-10"/>
                <w:szCs w:val="21"/>
              </w:rPr>
              <w:t>、TP：</w:t>
            </w:r>
            <w:r>
              <w:rPr>
                <w:rFonts w:hint="eastAsia"/>
                <w:color w:val="auto"/>
              </w:rPr>
              <w:t>0.061t</w:t>
            </w:r>
            <w:r>
              <w:rPr>
                <w:color w:val="auto"/>
              </w:rPr>
              <w:t>/a</w:t>
            </w:r>
            <w:r>
              <w:rPr>
                <w:bCs/>
                <w:color w:val="auto"/>
                <w:spacing w:val="-10"/>
                <w:szCs w:val="21"/>
              </w:rPr>
              <w:t>、NH</w:t>
            </w:r>
            <w:r>
              <w:rPr>
                <w:bCs/>
                <w:color w:val="auto"/>
                <w:spacing w:val="-10"/>
                <w:szCs w:val="21"/>
                <w:vertAlign w:val="subscript"/>
              </w:rPr>
              <w:t>3</w:t>
            </w:r>
            <w:r>
              <w:rPr>
                <w:bCs/>
                <w:color w:val="auto"/>
                <w:spacing w:val="-10"/>
                <w:szCs w:val="21"/>
              </w:rPr>
              <w:t>-N：</w:t>
            </w:r>
            <w:r>
              <w:rPr>
                <w:rFonts w:hint="eastAsia"/>
                <w:color w:val="auto"/>
              </w:rPr>
              <w:t>0.341</w:t>
            </w:r>
            <w:r>
              <w:rPr>
                <w:color w:val="auto"/>
              </w:rPr>
              <w:t>t/a</w:t>
            </w:r>
            <w:r>
              <w:rPr>
                <w:bCs/>
                <w:color w:val="auto"/>
                <w:spacing w:val="-10"/>
                <w:szCs w:val="21"/>
              </w:rPr>
              <w:t>。通过</w:t>
            </w:r>
            <w:r>
              <w:rPr>
                <w:bCs/>
                <w:color w:val="auto"/>
                <w:szCs w:val="21"/>
              </w:rPr>
              <w:t>厂区污水处理站处理达标后</w:t>
            </w:r>
            <w:r>
              <w:rPr>
                <w:rFonts w:hint="eastAsia"/>
                <w:bCs/>
                <w:color w:val="auto"/>
                <w:szCs w:val="21"/>
              </w:rPr>
              <w:t>经</w:t>
            </w:r>
            <w:r>
              <w:rPr>
                <w:bCs/>
                <w:color w:val="auto"/>
                <w:szCs w:val="21"/>
              </w:rPr>
              <w:t>园区管网</w:t>
            </w:r>
            <w:r>
              <w:rPr>
                <w:bCs/>
                <w:color w:val="auto"/>
                <w:spacing w:val="-10"/>
                <w:szCs w:val="21"/>
              </w:rPr>
              <w:t>进入污水处理厂</w:t>
            </w:r>
            <w:r>
              <w:rPr>
                <w:rFonts w:hint="eastAsia"/>
                <w:bCs/>
                <w:color w:val="auto"/>
                <w:spacing w:val="-10"/>
                <w:szCs w:val="21"/>
              </w:rPr>
              <w:t>，</w:t>
            </w:r>
            <w:r>
              <w:rPr>
                <w:bCs/>
                <w:color w:val="auto"/>
                <w:spacing w:val="-10"/>
                <w:szCs w:val="21"/>
              </w:rPr>
              <w:t>处理后达到</w:t>
            </w:r>
            <w:r>
              <w:rPr>
                <w:rFonts w:hint="eastAsia"/>
                <w:snapToGrid w:val="0"/>
                <w:color w:val="auto"/>
                <w:kern w:val="0"/>
              </w:rPr>
              <w:t>《城镇污水处理厂污染物排放标准》（GB18918-2002）一级A标</w:t>
            </w:r>
            <w:r>
              <w:rPr>
                <w:rFonts w:hint="eastAsia"/>
                <w:color w:val="auto"/>
                <w:kern w:val="0"/>
                <w:szCs w:val="21"/>
              </w:rPr>
              <w:t>出水限值要求</w:t>
            </w:r>
            <w:r>
              <w:rPr>
                <w:bCs/>
                <w:color w:val="auto"/>
                <w:spacing w:val="-10"/>
                <w:szCs w:val="21"/>
              </w:rPr>
              <w:t>，</w:t>
            </w:r>
            <w:r>
              <w:rPr>
                <w:rFonts w:hint="eastAsia"/>
                <w:bCs/>
                <w:color w:val="auto"/>
                <w:spacing w:val="-10"/>
                <w:szCs w:val="21"/>
                <w:lang w:eastAsia="zh-CN"/>
              </w:rPr>
              <w:t>COD</w:t>
            </w:r>
            <w:r>
              <w:rPr>
                <w:bCs/>
                <w:color w:val="auto"/>
                <w:spacing w:val="-10"/>
                <w:szCs w:val="21"/>
              </w:rPr>
              <w:t>：</w:t>
            </w:r>
            <w:r>
              <w:rPr>
                <w:rFonts w:hint="eastAsia"/>
                <w:bCs/>
                <w:color w:val="auto"/>
                <w:spacing w:val="-10"/>
                <w:szCs w:val="21"/>
              </w:rPr>
              <w:t>5</w:t>
            </w:r>
            <w:r>
              <w:rPr>
                <w:bCs/>
                <w:color w:val="auto"/>
                <w:spacing w:val="-10"/>
                <w:szCs w:val="21"/>
              </w:rPr>
              <w:t>0mg/L、TP：0.5mg/L、NH</w:t>
            </w:r>
            <w:r>
              <w:rPr>
                <w:bCs/>
                <w:color w:val="auto"/>
                <w:spacing w:val="-10"/>
                <w:szCs w:val="21"/>
                <w:vertAlign w:val="subscript"/>
              </w:rPr>
              <w:t>3</w:t>
            </w:r>
            <w:r>
              <w:rPr>
                <w:bCs/>
                <w:color w:val="auto"/>
                <w:spacing w:val="-10"/>
                <w:szCs w:val="21"/>
              </w:rPr>
              <w:t>-N：</w:t>
            </w:r>
            <w:r>
              <w:rPr>
                <w:rFonts w:hint="eastAsia"/>
                <w:bCs/>
                <w:color w:val="auto"/>
                <w:spacing w:val="-10"/>
                <w:szCs w:val="21"/>
              </w:rPr>
              <w:t>5</w:t>
            </w:r>
            <w:r>
              <w:rPr>
                <w:bCs/>
                <w:color w:val="auto"/>
                <w:spacing w:val="-10"/>
                <w:szCs w:val="21"/>
              </w:rPr>
              <w:t>mg/L，排放污染物含量为：</w:t>
            </w:r>
            <w:r>
              <w:rPr>
                <w:rFonts w:hint="eastAsia"/>
                <w:bCs/>
                <w:color w:val="auto"/>
                <w:spacing w:val="-10"/>
                <w:szCs w:val="21"/>
                <w:lang w:eastAsia="zh-CN"/>
              </w:rPr>
              <w:t>COD</w:t>
            </w:r>
            <w:r>
              <w:rPr>
                <w:bCs/>
                <w:color w:val="auto"/>
                <w:spacing w:val="-10"/>
                <w:szCs w:val="21"/>
              </w:rPr>
              <w:t>：</w:t>
            </w:r>
            <w:r>
              <w:rPr>
                <w:color w:val="auto"/>
              </w:rPr>
              <w:t>0.</w:t>
            </w:r>
            <w:r>
              <w:rPr>
                <w:rFonts w:hint="eastAsia"/>
                <w:color w:val="auto"/>
              </w:rPr>
              <w:t>378</w:t>
            </w:r>
            <w:r>
              <w:rPr>
                <w:color w:val="auto"/>
              </w:rPr>
              <w:t>t/a</w:t>
            </w:r>
            <w:r>
              <w:rPr>
                <w:bCs/>
                <w:color w:val="auto"/>
                <w:spacing w:val="-10"/>
                <w:szCs w:val="21"/>
              </w:rPr>
              <w:t>、TP：</w:t>
            </w:r>
            <w:r>
              <w:rPr>
                <w:color w:val="auto"/>
              </w:rPr>
              <w:t>0.0</w:t>
            </w:r>
            <w:r>
              <w:rPr>
                <w:rFonts w:hint="eastAsia"/>
                <w:color w:val="auto"/>
              </w:rPr>
              <w:t>04</w:t>
            </w:r>
            <w:r>
              <w:rPr>
                <w:color w:val="auto"/>
              </w:rPr>
              <w:t>t/a</w:t>
            </w:r>
            <w:r>
              <w:rPr>
                <w:bCs/>
                <w:color w:val="auto"/>
                <w:spacing w:val="-10"/>
                <w:szCs w:val="21"/>
              </w:rPr>
              <w:t>、NH</w:t>
            </w:r>
            <w:r>
              <w:rPr>
                <w:bCs/>
                <w:color w:val="auto"/>
                <w:spacing w:val="-10"/>
                <w:szCs w:val="21"/>
                <w:vertAlign w:val="subscript"/>
              </w:rPr>
              <w:t>3</w:t>
            </w:r>
            <w:r>
              <w:rPr>
                <w:bCs/>
                <w:color w:val="auto"/>
                <w:spacing w:val="-10"/>
                <w:szCs w:val="21"/>
              </w:rPr>
              <w:t>-N：</w:t>
            </w:r>
            <w:r>
              <w:rPr>
                <w:color w:val="auto"/>
              </w:rPr>
              <w:t>0.0</w:t>
            </w:r>
            <w:r>
              <w:rPr>
                <w:rFonts w:hint="eastAsia"/>
                <w:color w:val="auto"/>
              </w:rPr>
              <w:t>38</w:t>
            </w:r>
            <w:r>
              <w:rPr>
                <w:color w:val="auto"/>
              </w:rPr>
              <w:t>t/a</w:t>
            </w:r>
            <w:r>
              <w:rPr>
                <w:bCs/>
                <w:color w:val="auto"/>
                <w:spacing w:val="-10"/>
                <w:szCs w:val="21"/>
              </w:rPr>
              <w:t>。</w:t>
            </w:r>
          </w:p>
          <w:p>
            <w:pPr>
              <w:adjustRightInd w:val="0"/>
              <w:snapToGrid w:val="0"/>
              <w:ind w:firstLine="442"/>
              <w:rPr>
                <w:b/>
                <w:color w:val="auto"/>
                <w:spacing w:val="-10"/>
                <w:szCs w:val="21"/>
              </w:rPr>
            </w:pPr>
            <w:r>
              <w:rPr>
                <w:b/>
                <w:color w:val="auto"/>
                <w:spacing w:val="-10"/>
                <w:szCs w:val="21"/>
              </w:rPr>
              <w:t>（</w:t>
            </w:r>
            <w:r>
              <w:rPr>
                <w:rFonts w:hint="eastAsia"/>
                <w:b/>
                <w:color w:val="auto"/>
                <w:spacing w:val="-10"/>
                <w:szCs w:val="21"/>
              </w:rPr>
              <w:t>2</w:t>
            </w:r>
            <w:r>
              <w:rPr>
                <w:b/>
                <w:color w:val="auto"/>
                <w:spacing w:val="-10"/>
                <w:szCs w:val="21"/>
              </w:rPr>
              <w:t>）项目污水处理方案的可行性分析</w:t>
            </w:r>
          </w:p>
          <w:p>
            <w:pPr>
              <w:adjustRightInd w:val="0"/>
              <w:snapToGrid w:val="0"/>
              <w:ind w:firstLine="442"/>
              <w:rPr>
                <w:b/>
                <w:color w:val="auto"/>
                <w:spacing w:val="-10"/>
                <w:szCs w:val="21"/>
              </w:rPr>
            </w:pPr>
            <w:r>
              <w:rPr>
                <w:b/>
                <w:color w:val="auto"/>
                <w:spacing w:val="-10"/>
                <w:szCs w:val="21"/>
              </w:rPr>
              <w:t>生活污水</w:t>
            </w:r>
          </w:p>
          <w:p>
            <w:pPr>
              <w:adjustRightInd w:val="0"/>
              <w:snapToGrid w:val="0"/>
              <w:ind w:firstLine="442"/>
              <w:rPr>
                <w:b/>
                <w:color w:val="auto"/>
                <w:spacing w:val="-10"/>
                <w:szCs w:val="21"/>
              </w:rPr>
            </w:pPr>
            <w:r>
              <w:rPr>
                <w:b/>
                <w:color w:val="auto"/>
                <w:spacing w:val="-10"/>
                <w:szCs w:val="21"/>
              </w:rPr>
              <w:t>①、</w:t>
            </w:r>
            <w:r>
              <w:rPr>
                <w:rFonts w:hint="eastAsia"/>
                <w:b/>
                <w:color w:val="auto"/>
                <w:spacing w:val="-10"/>
                <w:szCs w:val="21"/>
              </w:rPr>
              <w:t>项目污水处理站可行性分析</w:t>
            </w:r>
          </w:p>
          <w:p>
            <w:pPr>
              <w:ind w:firstLine="480"/>
              <w:rPr>
                <w:color w:val="auto"/>
              </w:rPr>
            </w:pPr>
            <w:r>
              <w:rPr>
                <w:rFonts w:hint="eastAsia"/>
                <w:color w:val="auto"/>
              </w:rPr>
              <w:t>本次建设项目采用清污分流，雨污分流的措施，配套</w:t>
            </w:r>
            <w:r>
              <w:rPr>
                <w:rFonts w:hint="eastAsia"/>
                <w:color w:val="auto"/>
                <w:lang w:eastAsia="zh-CN"/>
              </w:rPr>
              <w:t>预处理池</w:t>
            </w:r>
            <w:r>
              <w:rPr>
                <w:rFonts w:hint="eastAsia"/>
                <w:color w:val="auto"/>
              </w:rPr>
              <w:t>及1座处理能力为300.00m</w:t>
            </w:r>
            <w:r>
              <w:rPr>
                <w:rFonts w:hint="eastAsia"/>
                <w:color w:val="auto"/>
                <w:vertAlign w:val="superscript"/>
              </w:rPr>
              <w:t>3</w:t>
            </w:r>
            <w:r>
              <w:rPr>
                <w:rFonts w:hint="eastAsia"/>
                <w:color w:val="auto"/>
              </w:rPr>
              <w:t>/d污水处理站，经污水处理站设计单位提供资料，本次项目污水处理站采取“格栅+气浮+接触氧化+沉淀+</w:t>
            </w:r>
            <w:r>
              <w:rPr>
                <w:rFonts w:hint="eastAsia"/>
                <w:color w:val="auto"/>
                <w:lang w:val="en-US" w:eastAsia="zh-CN"/>
              </w:rPr>
              <w:t>紫外线</w:t>
            </w:r>
            <w:r>
              <w:rPr>
                <w:rFonts w:hint="eastAsia"/>
                <w:color w:val="auto"/>
              </w:rPr>
              <w:t>消毒”的污水处理工艺，其中，格栅作为处理系统的前端，用于截留污水中较大的漂浮物和悬浮物，如碎皮、毛发等，隔油池用于去除动植物油脂，气浮池用于固液分离污水中密度较小的悬浮颗粒，生物接触氧化池（A/O）用于去除污水中的有机污染物，沉淀池用于固液分离污水中密度较大的悬浮颗粒</w:t>
            </w:r>
            <w:r>
              <w:rPr>
                <w:rFonts w:hint="eastAsia"/>
                <w:color w:val="auto"/>
                <w:lang w:eastAsia="zh-CN"/>
              </w:rPr>
              <w:t>，</w:t>
            </w:r>
            <w:r>
              <w:rPr>
                <w:rFonts w:hint="eastAsia"/>
                <w:color w:val="auto"/>
                <w:lang w:val="en-US" w:eastAsia="zh-CN"/>
              </w:rPr>
              <w:t>事故调节池有效容积300m</w:t>
            </w:r>
            <w:r>
              <w:rPr>
                <w:rFonts w:hint="eastAsia"/>
                <w:color w:val="auto"/>
                <w:vertAlign w:val="superscript"/>
                <w:lang w:val="en-US" w:eastAsia="zh-CN"/>
              </w:rPr>
              <w:t>3</w:t>
            </w:r>
            <w:r>
              <w:rPr>
                <w:rFonts w:hint="eastAsia"/>
                <w:color w:val="auto"/>
                <w:lang w:val="en-US" w:eastAsia="zh-CN"/>
              </w:rPr>
              <w:t>，停留时间24h</w:t>
            </w:r>
            <w:r>
              <w:rPr>
                <w:rFonts w:hint="eastAsia"/>
                <w:color w:val="auto"/>
              </w:rPr>
              <w:t>，具体工艺流程如下：</w:t>
            </w:r>
          </w:p>
          <w:p>
            <w:pPr>
              <w:adjustRightInd w:val="0"/>
              <w:snapToGrid w:val="0"/>
              <w:ind w:firstLine="0" w:firstLineChars="0"/>
              <w:rPr>
                <w:b/>
                <w:color w:val="auto"/>
                <w:spacing w:val="-10"/>
                <w:szCs w:val="21"/>
              </w:rPr>
            </w:pPr>
            <w:r>
              <w:rPr>
                <w:color w:val="auto"/>
              </w:rPr>
              <w:drawing>
                <wp:inline distT="0" distB="0" distL="114300" distR="114300">
                  <wp:extent cx="5666105" cy="2973070"/>
                  <wp:effectExtent l="0" t="0" r="3175" b="139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7"/>
                          <a:srcRect t="6022"/>
                          <a:stretch>
                            <a:fillRect/>
                          </a:stretch>
                        </pic:blipFill>
                        <pic:spPr>
                          <a:xfrm>
                            <a:off x="0" y="0"/>
                            <a:ext cx="5666105" cy="2973070"/>
                          </a:xfrm>
                          <a:prstGeom prst="rect">
                            <a:avLst/>
                          </a:prstGeom>
                          <a:noFill/>
                          <a:ln>
                            <a:noFill/>
                          </a:ln>
                        </pic:spPr>
                      </pic:pic>
                    </a:graphicData>
                  </a:graphic>
                </wp:inline>
              </w:drawing>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1951990</wp:posOffset>
                      </wp:positionH>
                      <wp:positionV relativeFrom="paragraph">
                        <wp:posOffset>889000</wp:posOffset>
                      </wp:positionV>
                      <wp:extent cx="0" cy="238125"/>
                      <wp:effectExtent l="38100" t="0" r="38100" b="5715"/>
                      <wp:wrapNone/>
                      <wp:docPr id="26" name="直接箭头连接符 26"/>
                      <wp:cNvGraphicFramePr/>
                      <a:graphic xmlns:a="http://schemas.openxmlformats.org/drawingml/2006/main">
                        <a:graphicData uri="http://schemas.microsoft.com/office/word/2010/wordprocessingShape">
                          <wps:wsp>
                            <wps:cNvCnPr/>
                            <wps:spPr>
                              <a:xfrm>
                                <a:off x="4030345" y="2498090"/>
                                <a:ext cx="0" cy="238125"/>
                              </a:xfrm>
                              <a:prstGeom prst="straightConnector1">
                                <a:avLst/>
                              </a:prstGeom>
                              <a:ln w="3175">
                                <a:solidFill>
                                  <a:schemeClr val="tx1"/>
                                </a:solidFill>
                                <a:prstDash val="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3.7pt;margin-top:70pt;height:18.75pt;width:0pt;z-index:251660288;mso-width-relative:page;mso-height-relative:page;" filled="f" stroked="t" coordsize="21600,21600" o:gfxdata="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BetHXAAAA&#10;CwEAAA8AAAAAAAAAAQAgAAAAIgAAAGRycy9kb3ducmV2LnhtbFBLAQIUABQAAAAIAIdO4kBh5B9U&#10;HgIAAAMEAAAOAAAAAAAAAAEAIAAAACYBAABkcnMvZTJvRG9jLnhtbFBLBQYAAAAABgAGAFkBAAC2&#10;BQAAAAA=&#10;">
                      <v:fill on="f" focussize="0,0"/>
                      <v:stroke weight="0.25pt" color="#000000 [3213]" joinstyle="round" dashstyle="dashDot" endarrow="block"/>
                      <v:imagedata o:title=""/>
                      <o:lock v:ext="edit" aspectratio="f"/>
                    </v:shape>
                  </w:pict>
                </mc:Fallback>
              </mc:AlternateContent>
            </w: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1694815</wp:posOffset>
                      </wp:positionH>
                      <wp:positionV relativeFrom="paragraph">
                        <wp:posOffset>955675</wp:posOffset>
                      </wp:positionV>
                      <wp:extent cx="914400" cy="914400"/>
                      <wp:effectExtent l="0" t="0" r="0" b="0"/>
                      <wp:wrapNone/>
                      <wp:docPr id="13" name="文本框 13"/>
                      <wp:cNvGraphicFramePr/>
                      <a:graphic xmlns:a="http://schemas.openxmlformats.org/drawingml/2006/main">
                        <a:graphicData uri="http://schemas.microsoft.com/office/word/2010/wordprocessingShape">
                          <wps:wsp>
                            <wps:cNvSpPr txBox="1"/>
                            <wps:spPr>
                              <a:xfrm>
                                <a:off x="3439795" y="329819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5"/>
                                      <w:szCs w:val="15"/>
                                      <w:lang w:val="en-US" w:eastAsia="zh-CN"/>
                                    </w:rPr>
                                  </w:pPr>
                                  <w:r>
                                    <w:rPr>
                                      <w:rFonts w:hint="eastAsia"/>
                                      <w:sz w:val="15"/>
                                      <w:szCs w:val="15"/>
                                      <w:lang w:val="en-US" w:eastAsia="zh-CN"/>
                                    </w:rPr>
                                    <w:t>消毒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45pt;margin-top:75.25pt;height:72pt;width:72pt;z-index:251659264;mso-width-relative:page;mso-height-relative:page;" filled="f" stroked="f" coordsize="21600,21600" o:gfxdata="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Sw4nvbAAAACwEAAA8AAAAAAAAAAQAgAAAA&#10;IgAAAGRycy9kb3ducmV2LnhtbFBLAQIUABQAAAAIAIdO4kA9clDyQQIAAHMEAAAOAAAAAAAAAAEA&#10;IAAAACoBAABkcnMvZTJvRG9jLnhtbFBLBQYAAAAABgAGAFkBAADdBQAAAAA=&#10;">
                      <v:fill on="f" focussize="0,0"/>
                      <v:stroke on="f" weight="0.5pt"/>
                      <v:imagedata o:title=""/>
                      <o:lock v:ext="edit" aspectratio="f"/>
                      <v:textbox>
                        <w:txbxContent>
                          <w:p>
                            <w:pPr>
                              <w:rPr>
                                <w:rFonts w:hint="eastAsia" w:eastAsia="宋体"/>
                                <w:sz w:val="15"/>
                                <w:szCs w:val="15"/>
                                <w:lang w:val="en-US" w:eastAsia="zh-CN"/>
                              </w:rPr>
                            </w:pPr>
                            <w:r>
                              <w:rPr>
                                <w:rFonts w:hint="eastAsia"/>
                                <w:sz w:val="15"/>
                                <w:szCs w:val="15"/>
                                <w:lang w:val="en-US" w:eastAsia="zh-CN"/>
                              </w:rPr>
                              <w:t>消毒</w:t>
                            </w:r>
                          </w:p>
                        </w:txbxContent>
                      </v:textbox>
                    </v:shape>
                  </w:pict>
                </mc:Fallback>
              </mc:AlternateContent>
            </w:r>
          </w:p>
          <w:p>
            <w:pPr>
              <w:adjustRightInd w:val="0"/>
              <w:snapToGrid w:val="0"/>
              <w:ind w:firstLine="422"/>
              <w:jc w:val="center"/>
              <w:rPr>
                <w:b/>
                <w:bCs/>
                <w:color w:val="auto"/>
                <w:sz w:val="21"/>
                <w:szCs w:val="21"/>
              </w:rPr>
            </w:pPr>
            <w:r>
              <w:rPr>
                <w:rFonts w:hint="eastAsia"/>
                <w:b/>
                <w:bCs/>
                <w:color w:val="auto"/>
                <w:sz w:val="21"/>
                <w:szCs w:val="21"/>
              </w:rPr>
              <w:t>图4-2 污水处理系统工艺流程示意图</w:t>
            </w:r>
          </w:p>
          <w:p>
            <w:pPr>
              <w:ind w:firstLine="480"/>
              <w:rPr>
                <w:color w:val="auto"/>
              </w:rPr>
            </w:pPr>
            <w:r>
              <w:rPr>
                <w:rFonts w:hint="eastAsia"/>
                <w:color w:val="auto"/>
              </w:rPr>
              <w:t>本项目的污水处理方案符合《</w:t>
            </w:r>
            <w:r>
              <w:rPr>
                <w:color w:val="auto"/>
              </w:rPr>
              <w:t>屠宰及肉类加工业污染防治可行技术指南</w:t>
            </w:r>
            <w:r>
              <w:rPr>
                <w:rFonts w:hint="eastAsia"/>
                <w:color w:val="auto"/>
              </w:rPr>
              <w:t>》（HJ1286-2023）和《排污许可证申请与核发技术规范-农副食品加工工业-屠宰及肉类加工工业》（HJ860.3-2018）中相关污染防治可行技术要求</w:t>
            </w:r>
            <w:r>
              <w:rPr>
                <w:color w:val="auto"/>
              </w:rPr>
              <w:t>，本项目的污水排放量为</w:t>
            </w:r>
            <w:r>
              <w:rPr>
                <w:rFonts w:hint="eastAsia"/>
                <w:color w:val="auto"/>
              </w:rPr>
              <w:t>252.3m</w:t>
            </w:r>
            <w:r>
              <w:rPr>
                <w:color w:val="auto"/>
                <w:vertAlign w:val="superscript"/>
              </w:rPr>
              <w:t>3</w:t>
            </w:r>
            <w:r>
              <w:rPr>
                <w:color w:val="auto"/>
              </w:rPr>
              <w:t>/d，</w:t>
            </w:r>
            <w:r>
              <w:rPr>
                <w:rFonts w:hint="eastAsia"/>
                <w:color w:val="auto"/>
              </w:rPr>
              <w:t>一体化处理设备</w:t>
            </w:r>
            <w:r>
              <w:rPr>
                <w:color w:val="auto"/>
              </w:rPr>
              <w:t>能够满足本次项目的处理需求。</w:t>
            </w:r>
          </w:p>
          <w:p>
            <w:pPr>
              <w:pStyle w:val="11"/>
              <w:jc w:val="center"/>
              <w:rPr>
                <w:b/>
                <w:bCs/>
                <w:color w:val="auto"/>
                <w:lang w:val="zh-CN"/>
              </w:rPr>
            </w:pPr>
            <w:r>
              <w:rPr>
                <w:rFonts w:hint="eastAsia"/>
                <w:b/>
                <w:bCs/>
                <w:color w:val="auto"/>
                <w:lang w:val="en-US" w:eastAsia="zh-CN"/>
              </w:rPr>
              <w:t xml:space="preserve">表4-1  </w:t>
            </w:r>
            <w:r>
              <w:rPr>
                <w:b/>
                <w:bCs/>
                <w:color w:val="auto"/>
                <w:lang w:val="zh-CN"/>
              </w:rPr>
              <w:t>项目与</w:t>
            </w:r>
            <w:r>
              <w:rPr>
                <w:rFonts w:hint="eastAsia"/>
                <w:b/>
                <w:bCs/>
                <w:color w:val="auto"/>
                <w:lang w:val="en-US" w:eastAsia="zh-CN"/>
              </w:rPr>
              <w:t>相关</w:t>
            </w:r>
            <w:r>
              <w:rPr>
                <w:rFonts w:hint="eastAsia"/>
                <w:b/>
                <w:bCs/>
                <w:color w:val="auto"/>
              </w:rPr>
              <w:t>污染防治可行技术要求</w:t>
            </w:r>
            <w:r>
              <w:rPr>
                <w:b/>
                <w:bCs/>
                <w:color w:val="auto"/>
                <w:lang w:val="zh-CN"/>
              </w:rPr>
              <w:t>的符合性分析</w:t>
            </w:r>
          </w:p>
          <w:tbl>
            <w:tblPr>
              <w:tblStyle w:val="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112"/>
              <w:gridCol w:w="3712"/>
              <w:gridCol w:w="2308"/>
              <w:gridCol w:w="7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195" w:type="pct"/>
                  <w:tcBorders>
                    <w:tl2br w:val="nil"/>
                    <w:tr2bl w:val="nil"/>
                  </w:tcBorders>
                  <w:vAlign w:val="center"/>
                </w:tcPr>
                <w:p>
                  <w:pPr>
                    <w:pStyle w:val="11"/>
                    <w:jc w:val="center"/>
                    <w:rPr>
                      <w:rFonts w:hint="default" w:eastAsia="宋体"/>
                      <w:b/>
                      <w:bCs/>
                      <w:color w:val="auto"/>
                      <w:lang w:val="en-US" w:eastAsia="zh-CN"/>
                    </w:rPr>
                  </w:pPr>
                  <w:r>
                    <w:rPr>
                      <w:rFonts w:hint="eastAsia"/>
                      <w:b/>
                      <w:bCs/>
                      <w:color w:val="auto"/>
                      <w:lang w:val="en-US" w:eastAsia="zh-CN"/>
                    </w:rPr>
                    <w:t>技术文件</w:t>
                  </w:r>
                </w:p>
              </w:tc>
              <w:tc>
                <w:tcPr>
                  <w:tcW w:w="2101" w:type="pct"/>
                  <w:tcBorders>
                    <w:tl2br w:val="nil"/>
                    <w:tr2bl w:val="nil"/>
                  </w:tcBorders>
                  <w:vAlign w:val="center"/>
                </w:tcPr>
                <w:p>
                  <w:pPr>
                    <w:pStyle w:val="11"/>
                    <w:jc w:val="center"/>
                    <w:rPr>
                      <w:b/>
                      <w:bCs/>
                      <w:color w:val="auto"/>
                    </w:rPr>
                  </w:pPr>
                  <w:r>
                    <w:rPr>
                      <w:rFonts w:hint="eastAsia"/>
                      <w:b/>
                      <w:bCs/>
                      <w:color w:val="auto"/>
                    </w:rPr>
                    <w:t>相关</w:t>
                  </w:r>
                  <w:r>
                    <w:rPr>
                      <w:b/>
                      <w:bCs/>
                      <w:color w:val="auto"/>
                    </w:rPr>
                    <w:t>内容</w:t>
                  </w:r>
                </w:p>
              </w:tc>
              <w:tc>
                <w:tcPr>
                  <w:tcW w:w="1306" w:type="pct"/>
                  <w:tcBorders>
                    <w:tl2br w:val="nil"/>
                    <w:tr2bl w:val="nil"/>
                  </w:tcBorders>
                  <w:vAlign w:val="center"/>
                </w:tcPr>
                <w:p>
                  <w:pPr>
                    <w:pStyle w:val="11"/>
                    <w:jc w:val="center"/>
                    <w:rPr>
                      <w:b/>
                      <w:bCs/>
                      <w:color w:val="auto"/>
                    </w:rPr>
                  </w:pPr>
                  <w:r>
                    <w:rPr>
                      <w:b/>
                      <w:bCs/>
                      <w:color w:val="auto"/>
                    </w:rPr>
                    <w:t>本项目情况</w:t>
                  </w:r>
                </w:p>
              </w:tc>
              <w:tc>
                <w:tcPr>
                  <w:tcW w:w="396" w:type="pct"/>
                  <w:tcBorders>
                    <w:tl2br w:val="nil"/>
                    <w:tr2bl w:val="nil"/>
                  </w:tcBorders>
                  <w:vAlign w:val="center"/>
                </w:tcPr>
                <w:p>
                  <w:pPr>
                    <w:pStyle w:val="11"/>
                    <w:jc w:val="center"/>
                    <w:rPr>
                      <w:b/>
                      <w:bCs/>
                      <w:color w:val="auto"/>
                    </w:rPr>
                  </w:pPr>
                  <w:r>
                    <w:rPr>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195" w:type="pct"/>
                  <w:tcBorders>
                    <w:tl2br w:val="nil"/>
                    <w:tr2bl w:val="nil"/>
                  </w:tcBorders>
                  <w:vAlign w:val="center"/>
                </w:tcPr>
                <w:p>
                  <w:pPr>
                    <w:pStyle w:val="11"/>
                    <w:jc w:val="center"/>
                    <w:rPr>
                      <w:color w:val="auto"/>
                    </w:rPr>
                  </w:pPr>
                  <w:r>
                    <w:rPr>
                      <w:rFonts w:hint="eastAsia"/>
                      <w:color w:val="auto"/>
                      <w:lang w:val="en-US" w:eastAsia="zh-CN"/>
                    </w:rPr>
                    <w:t>《</w:t>
                  </w:r>
                  <w:r>
                    <w:rPr>
                      <w:color w:val="auto"/>
                    </w:rPr>
                    <w:t>屠宰及肉类加工业污染防治可行技术指南</w:t>
                  </w:r>
                  <w:r>
                    <w:rPr>
                      <w:rFonts w:hint="eastAsia"/>
                      <w:color w:val="auto"/>
                      <w:lang w:val="en-US" w:eastAsia="zh-CN"/>
                    </w:rPr>
                    <w:t>》</w:t>
                  </w:r>
                  <w:r>
                    <w:rPr>
                      <w:rFonts w:hint="eastAsia"/>
                      <w:color w:val="auto"/>
                    </w:rPr>
                    <w:t>（HJ1286-2023）</w:t>
                  </w:r>
                </w:p>
              </w:tc>
              <w:tc>
                <w:tcPr>
                  <w:tcW w:w="2101" w:type="pct"/>
                  <w:tcBorders>
                    <w:tl2br w:val="nil"/>
                    <w:tr2bl w:val="nil"/>
                  </w:tcBorders>
                  <w:vAlign w:val="center"/>
                </w:tcPr>
                <w:p>
                  <w:pPr>
                    <w:pStyle w:val="11"/>
                    <w:jc w:val="both"/>
                    <w:rPr>
                      <w:rFonts w:hint="default"/>
                      <w:color w:val="auto"/>
                      <w:lang w:val="en-US" w:eastAsia="zh-CN"/>
                    </w:rPr>
                  </w:pPr>
                  <w:r>
                    <w:rPr>
                      <w:rFonts w:hint="eastAsia"/>
                      <w:color w:val="auto"/>
                      <w:lang w:val="en-US" w:eastAsia="zh-CN"/>
                    </w:rPr>
                    <w:t>肉制品及副产品加工废水污染防治可行技术</w:t>
                  </w:r>
                  <w:r>
                    <w:rPr>
                      <w:rFonts w:hint="eastAsia"/>
                      <w:color w:val="auto"/>
                      <w:vertAlign w:val="superscript"/>
                      <w:lang w:val="en-US" w:eastAsia="zh-CN"/>
                    </w:rPr>
                    <w:t>3</w:t>
                  </w:r>
                  <w:r>
                    <w:rPr>
                      <w:rFonts w:hint="eastAsia"/>
                      <w:color w:val="auto"/>
                      <w:lang w:val="en-US" w:eastAsia="zh-CN"/>
                    </w:rPr>
                    <w:t>：①预处理技术（格栅+隔油沉淀或气浮）+②好氧技术（生物接触氧化）+③深度处理技术（消毒）</w:t>
                  </w:r>
                </w:p>
              </w:tc>
              <w:tc>
                <w:tcPr>
                  <w:tcW w:w="1306" w:type="pct"/>
                  <w:tcBorders>
                    <w:tl2br w:val="nil"/>
                    <w:tr2bl w:val="nil"/>
                  </w:tcBorders>
                  <w:vAlign w:val="center"/>
                </w:tcPr>
                <w:p>
                  <w:pPr>
                    <w:pStyle w:val="11"/>
                    <w:jc w:val="both"/>
                    <w:rPr>
                      <w:color w:val="auto"/>
                    </w:rPr>
                  </w:pPr>
                  <w:r>
                    <w:rPr>
                      <w:rFonts w:hint="eastAsia"/>
                      <w:color w:val="auto"/>
                    </w:rPr>
                    <w:t>项目污水处理站采取“格栅+气浮+接触氧化+沉淀+消毒”的污水处理工艺。</w:t>
                  </w:r>
                </w:p>
              </w:tc>
              <w:tc>
                <w:tcPr>
                  <w:tcW w:w="396" w:type="pct"/>
                  <w:tcBorders>
                    <w:tl2br w:val="nil"/>
                    <w:tr2bl w:val="nil"/>
                  </w:tcBorders>
                  <w:vAlign w:val="center"/>
                </w:tcPr>
                <w:p>
                  <w:pPr>
                    <w:pStyle w:val="11"/>
                    <w:jc w:val="center"/>
                    <w:rPr>
                      <w:color w:val="auto"/>
                    </w:rPr>
                  </w:pPr>
                  <w:r>
                    <w:rPr>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195" w:type="pct"/>
                  <w:tcBorders>
                    <w:tl2br w:val="nil"/>
                    <w:tr2bl w:val="nil"/>
                  </w:tcBorders>
                  <w:vAlign w:val="center"/>
                </w:tcPr>
                <w:p>
                  <w:pPr>
                    <w:pStyle w:val="11"/>
                    <w:jc w:val="center"/>
                    <w:rPr>
                      <w:color w:val="auto"/>
                    </w:rPr>
                  </w:pPr>
                  <w:r>
                    <w:rPr>
                      <w:rFonts w:hint="eastAsia"/>
                      <w:color w:val="auto"/>
                    </w:rPr>
                    <w:t>《排污许可证申请与核发技术规范-农副食品加工工业-屠宰及肉类加工工业》（HJ860.3-2018）</w:t>
                  </w:r>
                </w:p>
              </w:tc>
              <w:tc>
                <w:tcPr>
                  <w:tcW w:w="2101" w:type="pct"/>
                  <w:tcBorders>
                    <w:tl2br w:val="nil"/>
                    <w:tr2bl w:val="nil"/>
                  </w:tcBorders>
                  <w:vAlign w:val="center"/>
                </w:tcPr>
                <w:p>
                  <w:pPr>
                    <w:pStyle w:val="11"/>
                    <w:bidi w:val="0"/>
                    <w:rPr>
                      <w:color w:val="auto"/>
                    </w:rPr>
                  </w:pPr>
                  <w:r>
                    <w:rPr>
                      <w:rFonts w:hint="default"/>
                      <w:color w:val="auto"/>
                      <w:lang w:val="en-US" w:eastAsia="zh-CN"/>
                    </w:rPr>
                    <w:t>1</w:t>
                  </w:r>
                  <w:r>
                    <w:rPr>
                      <w:rFonts w:hint="eastAsia"/>
                      <w:color w:val="auto"/>
                      <w:lang w:val="en-US" w:eastAsia="zh-CN"/>
                    </w:rPr>
                    <w:t>）预处理：粗（细）格栅；平流或旋流式沉砂、竖流或辐流式沉淀、混凝沉淀；斜板或平流式隔油池；</w:t>
                  </w:r>
                  <w:r>
                    <w:rPr>
                      <w:rFonts w:hint="eastAsia"/>
                      <w:color w:val="auto"/>
                      <w:u w:val="single"/>
                      <w:lang w:val="en-US" w:eastAsia="zh-CN"/>
                    </w:rPr>
                    <w:t>气浮</w:t>
                  </w:r>
                  <w:r>
                    <w:rPr>
                      <w:rFonts w:hint="eastAsia"/>
                      <w:color w:val="auto"/>
                      <w:lang w:val="en-US" w:eastAsia="zh-CN"/>
                    </w:rPr>
                    <w:t xml:space="preserve">；其他。 </w:t>
                  </w:r>
                </w:p>
                <w:p>
                  <w:pPr>
                    <w:pStyle w:val="11"/>
                    <w:bidi w:val="0"/>
                    <w:rPr>
                      <w:color w:val="auto"/>
                    </w:rPr>
                  </w:pPr>
                  <w:r>
                    <w:rPr>
                      <w:rFonts w:hint="default"/>
                      <w:color w:val="auto"/>
                      <w:lang w:val="en-US" w:eastAsia="zh-CN"/>
                    </w:rPr>
                    <w:t>2</w:t>
                  </w:r>
                  <w:r>
                    <w:rPr>
                      <w:rFonts w:hint="eastAsia"/>
                      <w:color w:val="auto"/>
                      <w:lang w:val="en-US" w:eastAsia="zh-CN"/>
                    </w:rPr>
                    <w:t xml:space="preserve">）生化法处理： </w:t>
                  </w:r>
                </w:p>
                <w:p>
                  <w:pPr>
                    <w:pStyle w:val="11"/>
                    <w:bidi w:val="0"/>
                    <w:rPr>
                      <w:color w:val="auto"/>
                    </w:rPr>
                  </w:pPr>
                  <w:r>
                    <w:rPr>
                      <w:rFonts w:hint="eastAsia"/>
                      <w:color w:val="auto"/>
                      <w:lang w:val="en-US" w:eastAsia="zh-CN"/>
                    </w:rPr>
                    <w:t>升流式厌氧污泥床（</w:t>
                  </w:r>
                  <w:r>
                    <w:rPr>
                      <w:rFonts w:hint="default"/>
                      <w:color w:val="auto"/>
                      <w:lang w:val="en-US" w:eastAsia="zh-CN"/>
                    </w:rPr>
                    <w:t>UASB</w:t>
                  </w:r>
                  <w:r>
                    <w:rPr>
                      <w:rFonts w:hint="eastAsia"/>
                      <w:color w:val="auto"/>
                      <w:lang w:val="en-US" w:eastAsia="zh-CN"/>
                    </w:rPr>
                    <w:t>）；</w:t>
                  </w:r>
                  <w:r>
                    <w:rPr>
                      <w:rFonts w:hint="default"/>
                      <w:color w:val="auto"/>
                      <w:lang w:val="en-US" w:eastAsia="zh-CN"/>
                    </w:rPr>
                    <w:t xml:space="preserve">IC </w:t>
                  </w:r>
                  <w:r>
                    <w:rPr>
                      <w:rFonts w:hint="eastAsia"/>
                      <w:color w:val="auto"/>
                      <w:lang w:val="en-US" w:eastAsia="zh-CN"/>
                    </w:rPr>
                    <w:t>反应器或水解酸化技术；活性污泥法、氧化沟法及其各类改型工艺；</w:t>
                  </w:r>
                  <w:r>
                    <w:rPr>
                      <w:rFonts w:hint="eastAsia"/>
                      <w:color w:val="auto"/>
                      <w:u w:val="single"/>
                      <w:lang w:val="en-US" w:eastAsia="zh-CN"/>
                    </w:rPr>
                    <w:t>生物接触氧化法</w:t>
                  </w:r>
                  <w:r>
                    <w:rPr>
                      <w:rFonts w:hint="eastAsia"/>
                      <w:color w:val="auto"/>
                      <w:lang w:val="en-US" w:eastAsia="zh-CN"/>
                    </w:rPr>
                    <w:t>；序批式活性污泥法（</w:t>
                  </w:r>
                  <w:r>
                    <w:rPr>
                      <w:rFonts w:hint="default"/>
                      <w:color w:val="auto"/>
                      <w:lang w:val="en-US" w:eastAsia="zh-CN"/>
                    </w:rPr>
                    <w:t>SBR</w:t>
                  </w:r>
                  <w:r>
                    <w:rPr>
                      <w:rFonts w:hint="eastAsia"/>
                      <w:color w:val="auto"/>
                      <w:lang w:val="en-US" w:eastAsia="zh-CN"/>
                    </w:rPr>
                    <w:t>）；</w:t>
                  </w:r>
                  <w:r>
                    <w:rPr>
                      <w:rFonts w:hint="eastAsia"/>
                      <w:color w:val="auto"/>
                      <w:u w:val="single"/>
                      <w:lang w:val="en-US" w:eastAsia="zh-CN"/>
                    </w:rPr>
                    <w:t>缺氧</w:t>
                  </w:r>
                  <w:r>
                    <w:rPr>
                      <w:rFonts w:hint="default"/>
                      <w:color w:val="auto"/>
                      <w:u w:val="single"/>
                      <w:lang w:val="en-US" w:eastAsia="zh-CN"/>
                    </w:rPr>
                    <w:t>/</w:t>
                  </w:r>
                  <w:r>
                    <w:rPr>
                      <w:rFonts w:hint="eastAsia"/>
                      <w:color w:val="auto"/>
                      <w:u w:val="single"/>
                      <w:lang w:val="en-US" w:eastAsia="zh-CN"/>
                    </w:rPr>
                    <w:t>好氧活性污泥法（</w:t>
                  </w:r>
                  <w:r>
                    <w:rPr>
                      <w:rFonts w:hint="default"/>
                      <w:color w:val="auto"/>
                      <w:u w:val="single"/>
                      <w:lang w:val="en-US" w:eastAsia="zh-CN"/>
                    </w:rPr>
                    <w:t xml:space="preserve">A/O </w:t>
                  </w:r>
                  <w:r>
                    <w:rPr>
                      <w:rFonts w:hint="eastAsia"/>
                      <w:color w:val="auto"/>
                      <w:u w:val="single"/>
                      <w:lang w:val="en-US" w:eastAsia="zh-CN"/>
                    </w:rPr>
                    <w:t>法）</w:t>
                  </w:r>
                  <w:r>
                    <w:rPr>
                      <w:rFonts w:hint="eastAsia"/>
                      <w:color w:val="auto"/>
                      <w:lang w:val="en-US" w:eastAsia="zh-CN"/>
                    </w:rPr>
                    <w:t>；厌氧</w:t>
                  </w:r>
                  <w:r>
                    <w:rPr>
                      <w:rFonts w:hint="default"/>
                      <w:color w:val="auto"/>
                      <w:lang w:val="en-US" w:eastAsia="zh-CN"/>
                    </w:rPr>
                    <w:t>-</w:t>
                  </w:r>
                  <w:r>
                    <w:rPr>
                      <w:rFonts w:hint="eastAsia"/>
                      <w:color w:val="auto"/>
                      <w:lang w:val="en-US" w:eastAsia="zh-CN"/>
                    </w:rPr>
                    <w:t>缺氧</w:t>
                  </w:r>
                  <w:r>
                    <w:rPr>
                      <w:rFonts w:hint="default"/>
                      <w:color w:val="auto"/>
                      <w:lang w:val="en-US" w:eastAsia="zh-CN"/>
                    </w:rPr>
                    <w:t>-</w:t>
                  </w:r>
                  <w:r>
                    <w:rPr>
                      <w:rFonts w:hint="eastAsia"/>
                      <w:color w:val="auto"/>
                      <w:lang w:val="en-US" w:eastAsia="zh-CN"/>
                    </w:rPr>
                    <w:t>好氧活性污泥法（</w:t>
                  </w:r>
                  <w:r>
                    <w:rPr>
                      <w:rFonts w:hint="default"/>
                      <w:color w:val="auto"/>
                      <w:lang w:val="en-US" w:eastAsia="zh-CN"/>
                    </w:rPr>
                    <w:t xml:space="preserve">A 2 /O </w:t>
                  </w:r>
                  <w:r>
                    <w:rPr>
                      <w:rFonts w:hint="eastAsia"/>
                      <w:color w:val="auto"/>
                      <w:lang w:val="en-US" w:eastAsia="zh-CN"/>
                    </w:rPr>
                    <w:t>法）；膜生物反应器（</w:t>
                  </w:r>
                  <w:r>
                    <w:rPr>
                      <w:rFonts w:hint="default"/>
                      <w:color w:val="auto"/>
                      <w:lang w:val="en-US" w:eastAsia="zh-CN"/>
                    </w:rPr>
                    <w:t>MBR</w:t>
                  </w:r>
                  <w:r>
                    <w:rPr>
                      <w:rFonts w:hint="eastAsia"/>
                      <w:color w:val="auto"/>
                      <w:lang w:val="en-US" w:eastAsia="zh-CN"/>
                    </w:rPr>
                    <w:t xml:space="preserve">）法；其他。 </w:t>
                  </w:r>
                </w:p>
                <w:p>
                  <w:pPr>
                    <w:pStyle w:val="11"/>
                    <w:bidi w:val="0"/>
                    <w:rPr>
                      <w:color w:val="auto"/>
                    </w:rPr>
                  </w:pPr>
                  <w:r>
                    <w:rPr>
                      <w:rFonts w:hint="default"/>
                      <w:color w:val="auto"/>
                      <w:lang w:val="en-US" w:eastAsia="zh-CN"/>
                    </w:rPr>
                    <w:t>3</w:t>
                  </w:r>
                  <w:r>
                    <w:rPr>
                      <w:rFonts w:hint="eastAsia"/>
                      <w:color w:val="auto"/>
                      <w:lang w:val="en-US" w:eastAsia="zh-CN"/>
                    </w:rPr>
                    <w:t xml:space="preserve">）除磷处理：化学除磷（注明混凝剂）； </w:t>
                  </w:r>
                </w:p>
                <w:p>
                  <w:pPr>
                    <w:pStyle w:val="11"/>
                    <w:bidi w:val="0"/>
                    <w:rPr>
                      <w:color w:val="auto"/>
                    </w:rPr>
                  </w:pPr>
                  <w:r>
                    <w:rPr>
                      <w:rFonts w:hint="eastAsia"/>
                      <w:color w:val="auto"/>
                      <w:u w:val="single"/>
                      <w:lang w:val="en-US" w:eastAsia="zh-CN"/>
                    </w:rPr>
                    <w:t>生物除磷</w:t>
                  </w:r>
                  <w:r>
                    <w:rPr>
                      <w:rFonts w:hint="eastAsia"/>
                      <w:color w:val="auto"/>
                      <w:lang w:val="en-US" w:eastAsia="zh-CN"/>
                    </w:rPr>
                    <w:t xml:space="preserve">；生物与化学组合除磷；其他。 </w:t>
                  </w:r>
                </w:p>
                <w:p>
                  <w:pPr>
                    <w:pStyle w:val="11"/>
                    <w:bidi w:val="0"/>
                    <w:rPr>
                      <w:rFonts w:hint="default"/>
                      <w:color w:val="auto"/>
                      <w:lang w:val="en-US" w:eastAsia="zh-CN"/>
                    </w:rPr>
                  </w:pPr>
                  <w:r>
                    <w:rPr>
                      <w:rFonts w:hint="default"/>
                      <w:color w:val="auto"/>
                      <w:lang w:val="en-US" w:eastAsia="zh-CN"/>
                    </w:rPr>
                    <w:t>4</w:t>
                  </w:r>
                  <w:r>
                    <w:rPr>
                      <w:rFonts w:hint="eastAsia"/>
                      <w:color w:val="auto"/>
                      <w:lang w:val="en-US" w:eastAsia="zh-CN"/>
                    </w:rPr>
                    <w:t>）消毒处理：加氯（二氧化氯或次氯酸钠） 消毒；臭氧消毒；</w:t>
                  </w:r>
                  <w:r>
                    <w:rPr>
                      <w:rFonts w:hint="eastAsia"/>
                      <w:color w:val="auto"/>
                      <w:u w:val="single"/>
                      <w:lang w:val="en-US" w:eastAsia="zh-CN"/>
                    </w:rPr>
                    <w:t>紫外消毒</w:t>
                  </w:r>
                  <w:r>
                    <w:rPr>
                      <w:rFonts w:hint="eastAsia"/>
                      <w:color w:val="auto"/>
                      <w:lang w:val="en-US" w:eastAsia="zh-CN"/>
                    </w:rPr>
                    <w:t xml:space="preserve">；其他。 </w:t>
                  </w:r>
                </w:p>
              </w:tc>
              <w:tc>
                <w:tcPr>
                  <w:tcW w:w="2308" w:type="dxa"/>
                  <w:tcBorders>
                    <w:tl2br w:val="nil"/>
                    <w:tr2bl w:val="nil"/>
                  </w:tcBorders>
                  <w:vAlign w:val="center"/>
                </w:tcPr>
                <w:p>
                  <w:pPr>
                    <w:pStyle w:val="11"/>
                    <w:jc w:val="both"/>
                    <w:rPr>
                      <w:rFonts w:hint="default" w:eastAsia="宋体"/>
                      <w:color w:val="auto"/>
                      <w:lang w:val="en-US" w:eastAsia="zh-CN"/>
                    </w:rPr>
                  </w:pPr>
                  <w:r>
                    <w:rPr>
                      <w:rFonts w:hint="eastAsia"/>
                      <w:color w:val="auto"/>
                    </w:rPr>
                    <w:t>项目污水处理站采取“格栅+气浮+接触氧化+沉淀+消毒”的污水处理工艺</w:t>
                  </w:r>
                  <w:r>
                    <w:rPr>
                      <w:rFonts w:hint="eastAsia"/>
                      <w:color w:val="auto"/>
                      <w:lang w:eastAsia="zh-CN"/>
                    </w:rPr>
                    <w:t>，</w:t>
                  </w:r>
                  <w:r>
                    <w:rPr>
                      <w:rFonts w:hint="eastAsia"/>
                      <w:color w:val="auto"/>
                      <w:lang w:val="en-US" w:eastAsia="zh-CN"/>
                    </w:rPr>
                    <w:t>其中，项目不涉及羽绒清洗工序。</w:t>
                  </w:r>
                </w:p>
              </w:tc>
              <w:tc>
                <w:tcPr>
                  <w:tcW w:w="700" w:type="dxa"/>
                  <w:tcBorders>
                    <w:tl2br w:val="nil"/>
                    <w:tr2bl w:val="nil"/>
                  </w:tcBorders>
                  <w:vAlign w:val="center"/>
                </w:tcPr>
                <w:p>
                  <w:pPr>
                    <w:pStyle w:val="11"/>
                    <w:jc w:val="center"/>
                    <w:rPr>
                      <w:color w:val="auto"/>
                    </w:rPr>
                  </w:pPr>
                  <w:r>
                    <w:rPr>
                      <w:color w:val="auto"/>
                    </w:rPr>
                    <w:t>符合</w:t>
                  </w:r>
                </w:p>
              </w:tc>
            </w:tr>
          </w:tbl>
          <w:p>
            <w:pPr>
              <w:adjustRightInd w:val="0"/>
              <w:snapToGrid w:val="0"/>
              <w:ind w:firstLine="442"/>
              <w:rPr>
                <w:b/>
                <w:color w:val="auto"/>
                <w:spacing w:val="-10"/>
                <w:szCs w:val="21"/>
              </w:rPr>
            </w:pPr>
            <w:r>
              <w:rPr>
                <w:b/>
                <w:color w:val="auto"/>
                <w:spacing w:val="-10"/>
                <w:szCs w:val="21"/>
              </w:rPr>
              <w:t>②、</w:t>
            </w:r>
            <w:r>
              <w:rPr>
                <w:rFonts w:hint="eastAsia"/>
                <w:b/>
                <w:color w:val="auto"/>
                <w:spacing w:val="-10"/>
                <w:szCs w:val="21"/>
              </w:rPr>
              <w:t>本项目污水</w:t>
            </w:r>
            <w:r>
              <w:rPr>
                <w:b/>
                <w:color w:val="auto"/>
                <w:spacing w:val="-10"/>
                <w:szCs w:val="21"/>
              </w:rPr>
              <w:t>进入工业污水处理厂的可行性分析</w:t>
            </w:r>
          </w:p>
          <w:p>
            <w:pPr>
              <w:ind w:firstLine="480"/>
              <w:rPr>
                <w:color w:val="auto"/>
              </w:rPr>
            </w:pPr>
            <w:r>
              <w:rPr>
                <w:color w:val="auto"/>
              </w:rPr>
              <w:t>根据调查，达州市通川区魏兴场镇污水处理厂位于达州市通川区魏兴镇厂坝村五组，占地面积约30亩，由桑德水务有限公司与优浦公司共同运营，其中桑德水务部分设计规模为0.5万吨/天，于2015年投入运营，采用工艺为“水解酸化+氧化沟”；该厂于2021年5月改造升级，优浦公司历经18天建成日处理量3000方的处理设施，采用A²O+MBBR工艺，该项目投入正式运行后，厂区总设计规模为0.8万吨/天。该厂污水主要来源于魏兴、蒲家两镇的生活污水及通川经开区工业污水，出水指标执行《城镇污水处理厂污染物排放标准》（GB18918</w:t>
            </w:r>
            <w:r>
              <w:rPr>
                <w:rFonts w:hint="eastAsia"/>
                <w:color w:val="auto"/>
              </w:rPr>
              <w:t>-</w:t>
            </w:r>
            <w:r>
              <w:rPr>
                <w:color w:val="auto"/>
              </w:rPr>
              <w:t>2002）一级A标准。</w:t>
            </w:r>
          </w:p>
          <w:p>
            <w:pPr>
              <w:ind w:firstLine="480"/>
              <w:rPr>
                <w:rFonts w:hint="eastAsia" w:eastAsia="宋体"/>
                <w:color w:val="auto"/>
                <w:lang w:eastAsia="zh-CN"/>
              </w:rPr>
            </w:pPr>
            <w:r>
              <w:rPr>
                <w:rFonts w:hint="eastAsia"/>
                <w:color w:val="auto"/>
              </w:rPr>
              <w:t>目前通川区魏兴场镇污水处理厂废水处理总量平均约</w:t>
            </w:r>
            <w:r>
              <w:rPr>
                <w:color w:val="auto"/>
              </w:rPr>
              <w:t>6000m</w:t>
            </w:r>
            <w:r>
              <w:rPr>
                <w:color w:val="auto"/>
                <w:vertAlign w:val="superscript"/>
              </w:rPr>
              <w:t>3</w:t>
            </w:r>
            <w:r>
              <w:rPr>
                <w:color w:val="auto"/>
              </w:rPr>
              <w:t>/d</w:t>
            </w:r>
            <w:r>
              <w:rPr>
                <w:rFonts w:hint="eastAsia"/>
                <w:color w:val="auto"/>
              </w:rPr>
              <w:t>，富余处理能力为</w:t>
            </w:r>
            <w:r>
              <w:rPr>
                <w:color w:val="auto"/>
              </w:rPr>
              <w:t>2000m</w:t>
            </w:r>
            <w:r>
              <w:rPr>
                <w:color w:val="auto"/>
                <w:vertAlign w:val="superscript"/>
              </w:rPr>
              <w:t>3</w:t>
            </w:r>
            <w:r>
              <w:rPr>
                <w:color w:val="auto"/>
              </w:rPr>
              <w:t>/d</w:t>
            </w:r>
            <w:r>
              <w:rPr>
                <w:rFonts w:hint="eastAsia"/>
                <w:color w:val="auto"/>
              </w:rPr>
              <w:t>，</w:t>
            </w:r>
            <w:r>
              <w:rPr>
                <w:color w:val="auto"/>
              </w:rPr>
              <w:t>本项目污水量约</w:t>
            </w:r>
            <w:r>
              <w:rPr>
                <w:rFonts w:hint="eastAsia"/>
                <w:color w:val="auto"/>
              </w:rPr>
              <w:t>252.3m</w:t>
            </w:r>
            <w:r>
              <w:rPr>
                <w:color w:val="auto"/>
                <w:vertAlign w:val="superscript"/>
              </w:rPr>
              <w:t>3</w:t>
            </w:r>
            <w:r>
              <w:rPr>
                <w:color w:val="auto"/>
              </w:rPr>
              <w:t>/d，小于园区污水处理厂的处理能力，水量不会突破污水厂的处理能力上线。项目西面道路下已有污水收集管网，标高低于项目</w:t>
            </w:r>
            <w:r>
              <w:rPr>
                <w:rFonts w:hint="eastAsia"/>
                <w:color w:val="auto"/>
                <w:lang w:eastAsia="zh-CN"/>
              </w:rPr>
              <w:t>预处理池</w:t>
            </w:r>
            <w:r>
              <w:rPr>
                <w:color w:val="auto"/>
              </w:rPr>
              <w:t>出水口标高，</w:t>
            </w:r>
            <w:r>
              <w:rPr>
                <w:rFonts w:hint="eastAsia"/>
                <w:color w:val="auto"/>
                <w:lang w:eastAsia="zh-CN"/>
              </w:rPr>
              <w:t>预处理池</w:t>
            </w:r>
            <w:r>
              <w:rPr>
                <w:color w:val="auto"/>
              </w:rPr>
              <w:t>出水口可自流排至污水管网，最终进入园区污水厂处理。因此，本项目污水排入园区污水处理厂处理是可行的，也是可靠的</w:t>
            </w:r>
            <w:r>
              <w:rPr>
                <w:rFonts w:hint="eastAsia"/>
                <w:color w:val="auto"/>
                <w:lang w:eastAsia="zh-CN"/>
              </w:rPr>
              <w:t>。</w:t>
            </w:r>
          </w:p>
          <w:p>
            <w:pPr>
              <w:adjustRightInd w:val="0"/>
              <w:snapToGrid w:val="0"/>
              <w:ind w:firstLine="442"/>
              <w:rPr>
                <w:b/>
                <w:color w:val="auto"/>
                <w:spacing w:val="-10"/>
                <w:szCs w:val="21"/>
              </w:rPr>
            </w:pPr>
            <w:r>
              <w:rPr>
                <w:rFonts w:hint="eastAsia"/>
                <w:b/>
                <w:color w:val="auto"/>
                <w:spacing w:val="-10"/>
                <w:szCs w:val="21"/>
              </w:rPr>
              <w:t>（3）监测计划</w:t>
            </w:r>
          </w:p>
          <w:p>
            <w:pPr>
              <w:adjustRightInd w:val="0"/>
              <w:snapToGrid w:val="0"/>
              <w:ind w:firstLine="440"/>
              <w:rPr>
                <w:bCs/>
                <w:color w:val="auto"/>
                <w:spacing w:val="-10"/>
                <w:szCs w:val="21"/>
              </w:rPr>
            </w:pPr>
            <w:r>
              <w:rPr>
                <w:rFonts w:hint="eastAsia"/>
                <w:bCs/>
                <w:color w:val="auto"/>
                <w:spacing w:val="-10"/>
                <w:szCs w:val="21"/>
              </w:rPr>
              <w:t>本</w:t>
            </w:r>
            <w:r>
              <w:rPr>
                <w:bCs/>
                <w:color w:val="auto"/>
                <w:spacing w:val="-10"/>
                <w:szCs w:val="21"/>
              </w:rPr>
              <w:t>项目</w:t>
            </w:r>
            <w:r>
              <w:rPr>
                <w:rFonts w:hint="eastAsia"/>
                <w:bCs/>
                <w:color w:val="auto"/>
                <w:spacing w:val="-10"/>
                <w:szCs w:val="21"/>
              </w:rPr>
              <w:t>废水</w:t>
            </w:r>
            <w:r>
              <w:rPr>
                <w:bCs/>
                <w:color w:val="auto"/>
                <w:szCs w:val="21"/>
              </w:rPr>
              <w:t>经厂区污水处理站处理达标后排入园区管网，通过园区污水管网进入</w:t>
            </w:r>
            <w:r>
              <w:rPr>
                <w:color w:val="auto"/>
              </w:rPr>
              <w:t>魏兴场镇污水处理厂</w:t>
            </w:r>
            <w:r>
              <w:rPr>
                <w:bCs/>
                <w:color w:val="auto"/>
                <w:spacing w:val="-10"/>
                <w:szCs w:val="21"/>
              </w:rPr>
              <w:t>处理。</w:t>
            </w:r>
            <w:r>
              <w:rPr>
                <w:color w:val="auto"/>
              </w:rPr>
              <w:t>参考《排污单位自行监测技术指南总则》（HJ733- 2017）相关内容，本项目运行期</w:t>
            </w:r>
            <w:r>
              <w:rPr>
                <w:rFonts w:hint="eastAsia"/>
                <w:color w:val="auto"/>
              </w:rPr>
              <w:t>废水</w:t>
            </w:r>
            <w:r>
              <w:rPr>
                <w:color w:val="auto"/>
              </w:rPr>
              <w:t>监测计划建议见表4-</w:t>
            </w:r>
            <w:r>
              <w:rPr>
                <w:rFonts w:hint="eastAsia"/>
                <w:color w:val="auto"/>
              </w:rPr>
              <w:t>1</w:t>
            </w:r>
            <w:r>
              <w:rPr>
                <w:color w:val="auto"/>
              </w:rPr>
              <w:t>。</w:t>
            </w:r>
          </w:p>
          <w:p>
            <w:pPr>
              <w:pStyle w:val="11"/>
              <w:jc w:val="center"/>
              <w:rPr>
                <w:b/>
                <w:bCs/>
                <w:color w:val="auto"/>
              </w:rPr>
            </w:pPr>
            <w:r>
              <w:rPr>
                <w:rFonts w:hint="eastAsia"/>
                <w:b/>
                <w:bCs/>
                <w:color w:val="auto"/>
              </w:rPr>
              <w:t xml:space="preserve">表4-1  </w:t>
            </w:r>
            <w:r>
              <w:rPr>
                <w:b/>
                <w:bCs/>
                <w:color w:val="auto"/>
              </w:rPr>
              <w:t>运行期环境监测计划</w:t>
            </w:r>
          </w:p>
          <w:tbl>
            <w:tblPr>
              <w:tblStyle w:val="6"/>
              <w:tblW w:w="87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714"/>
              <w:gridCol w:w="1774"/>
              <w:gridCol w:w="1237"/>
              <w:gridCol w:w="2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2" w:type="dxa"/>
                  <w:vAlign w:val="center"/>
                </w:tcPr>
                <w:p>
                  <w:pPr>
                    <w:pStyle w:val="11"/>
                    <w:jc w:val="center"/>
                    <w:rPr>
                      <w:b/>
                      <w:bCs/>
                      <w:color w:val="auto"/>
                    </w:rPr>
                  </w:pPr>
                  <w:r>
                    <w:rPr>
                      <w:b/>
                      <w:bCs/>
                      <w:color w:val="auto"/>
                    </w:rPr>
                    <w:t>监测内容</w:t>
                  </w:r>
                </w:p>
              </w:tc>
              <w:tc>
                <w:tcPr>
                  <w:tcW w:w="1714" w:type="dxa"/>
                  <w:vAlign w:val="center"/>
                </w:tcPr>
                <w:p>
                  <w:pPr>
                    <w:pStyle w:val="11"/>
                    <w:jc w:val="center"/>
                    <w:rPr>
                      <w:b/>
                      <w:bCs/>
                      <w:color w:val="auto"/>
                    </w:rPr>
                  </w:pPr>
                  <w:r>
                    <w:rPr>
                      <w:b/>
                      <w:bCs/>
                      <w:color w:val="auto"/>
                    </w:rPr>
                    <w:t>监测地点</w:t>
                  </w:r>
                </w:p>
              </w:tc>
              <w:tc>
                <w:tcPr>
                  <w:tcW w:w="1774" w:type="dxa"/>
                  <w:vAlign w:val="center"/>
                </w:tcPr>
                <w:p>
                  <w:pPr>
                    <w:pStyle w:val="11"/>
                    <w:jc w:val="center"/>
                    <w:rPr>
                      <w:b/>
                      <w:bCs/>
                      <w:color w:val="auto"/>
                    </w:rPr>
                  </w:pPr>
                  <w:r>
                    <w:rPr>
                      <w:b/>
                      <w:bCs/>
                      <w:color w:val="auto"/>
                    </w:rPr>
                    <w:t>监测项目</w:t>
                  </w:r>
                </w:p>
              </w:tc>
              <w:tc>
                <w:tcPr>
                  <w:tcW w:w="1237" w:type="dxa"/>
                  <w:vAlign w:val="center"/>
                </w:tcPr>
                <w:p>
                  <w:pPr>
                    <w:pStyle w:val="11"/>
                    <w:jc w:val="center"/>
                    <w:rPr>
                      <w:b/>
                      <w:bCs/>
                      <w:color w:val="auto"/>
                    </w:rPr>
                  </w:pPr>
                  <w:r>
                    <w:rPr>
                      <w:b/>
                      <w:bCs/>
                      <w:color w:val="auto"/>
                    </w:rPr>
                    <w:t>监测频次</w:t>
                  </w:r>
                </w:p>
              </w:tc>
              <w:tc>
                <w:tcPr>
                  <w:tcW w:w="2964" w:type="dxa"/>
                  <w:vAlign w:val="center"/>
                </w:tcPr>
                <w:p>
                  <w:pPr>
                    <w:pStyle w:val="11"/>
                    <w:jc w:val="center"/>
                    <w:rPr>
                      <w:b/>
                      <w:bCs/>
                      <w:color w:val="auto"/>
                    </w:rPr>
                  </w:pPr>
                  <w:r>
                    <w:rPr>
                      <w:b/>
                      <w:bCs/>
                      <w:color w:val="auto"/>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2" w:type="dxa"/>
                  <w:vAlign w:val="center"/>
                </w:tcPr>
                <w:p>
                  <w:pPr>
                    <w:pStyle w:val="11"/>
                    <w:jc w:val="center"/>
                    <w:rPr>
                      <w:color w:val="auto"/>
                    </w:rPr>
                  </w:pPr>
                  <w:r>
                    <w:rPr>
                      <w:rFonts w:hint="eastAsia"/>
                      <w:color w:val="auto"/>
                    </w:rPr>
                    <w:t>废水</w:t>
                  </w:r>
                </w:p>
              </w:tc>
              <w:tc>
                <w:tcPr>
                  <w:tcW w:w="1714" w:type="dxa"/>
                  <w:vAlign w:val="center"/>
                </w:tcPr>
                <w:p>
                  <w:pPr>
                    <w:pStyle w:val="11"/>
                    <w:jc w:val="center"/>
                    <w:rPr>
                      <w:color w:val="auto"/>
                    </w:rPr>
                  </w:pPr>
                  <w:r>
                    <w:rPr>
                      <w:rFonts w:hint="eastAsia"/>
                      <w:color w:val="auto"/>
                    </w:rPr>
                    <w:t>污水站排放口</w:t>
                  </w:r>
                </w:p>
              </w:tc>
              <w:tc>
                <w:tcPr>
                  <w:tcW w:w="1774" w:type="dxa"/>
                  <w:vAlign w:val="center"/>
                </w:tcPr>
                <w:p>
                  <w:pPr>
                    <w:pStyle w:val="11"/>
                    <w:jc w:val="center"/>
                    <w:rPr>
                      <w:color w:val="auto"/>
                    </w:rPr>
                  </w:pPr>
                  <w:r>
                    <w:rPr>
                      <w:rFonts w:hint="eastAsia"/>
                      <w:color w:val="auto"/>
                      <w:lang w:eastAsia="zh-CN"/>
                    </w:rPr>
                    <w:t>COD</w:t>
                  </w:r>
                  <w:r>
                    <w:rPr>
                      <w:rFonts w:hint="eastAsia"/>
                      <w:color w:val="auto"/>
                    </w:rPr>
                    <w:t>、</w:t>
                  </w:r>
                  <w:r>
                    <w:rPr>
                      <w:color w:val="auto"/>
                    </w:rPr>
                    <w:t>BOD</w:t>
                  </w:r>
                  <w:r>
                    <w:rPr>
                      <w:color w:val="auto"/>
                      <w:vertAlign w:val="subscript"/>
                    </w:rPr>
                    <w:t>5</w:t>
                  </w:r>
                  <w:r>
                    <w:rPr>
                      <w:rFonts w:hint="eastAsia"/>
                      <w:color w:val="auto"/>
                    </w:rPr>
                    <w:t>、</w:t>
                  </w:r>
                </w:p>
                <w:p>
                  <w:pPr>
                    <w:pStyle w:val="11"/>
                    <w:jc w:val="center"/>
                    <w:rPr>
                      <w:color w:val="auto"/>
                    </w:rPr>
                  </w:pPr>
                  <w:r>
                    <w:rPr>
                      <w:color w:val="auto"/>
                    </w:rPr>
                    <w:t>氨氮</w:t>
                  </w:r>
                  <w:r>
                    <w:rPr>
                      <w:rFonts w:hint="eastAsia"/>
                      <w:color w:val="auto"/>
                    </w:rPr>
                    <w:t>、</w:t>
                  </w:r>
                  <w:r>
                    <w:rPr>
                      <w:color w:val="auto"/>
                    </w:rPr>
                    <w:t>SS</w:t>
                  </w:r>
                  <w:r>
                    <w:rPr>
                      <w:rFonts w:hint="eastAsia"/>
                      <w:color w:val="auto"/>
                    </w:rPr>
                    <w:t>、</w:t>
                  </w:r>
                  <w:r>
                    <w:rPr>
                      <w:color w:val="auto"/>
                    </w:rPr>
                    <w:t>动植物油</w:t>
                  </w:r>
                  <w:r>
                    <w:rPr>
                      <w:rFonts w:hint="eastAsia"/>
                      <w:color w:val="auto"/>
                    </w:rPr>
                    <w:t>、总磷</w:t>
                  </w:r>
                </w:p>
              </w:tc>
              <w:tc>
                <w:tcPr>
                  <w:tcW w:w="1237" w:type="dxa"/>
                  <w:vAlign w:val="center"/>
                </w:tcPr>
                <w:p>
                  <w:pPr>
                    <w:pStyle w:val="11"/>
                    <w:jc w:val="center"/>
                    <w:rPr>
                      <w:color w:val="auto"/>
                    </w:rPr>
                  </w:pPr>
                  <w:r>
                    <w:rPr>
                      <w:color w:val="auto"/>
                    </w:rPr>
                    <w:t>1次/</w:t>
                  </w:r>
                  <w:r>
                    <w:rPr>
                      <w:rFonts w:hint="eastAsia"/>
                      <w:color w:val="auto"/>
                    </w:rPr>
                    <w:t>季度</w:t>
                  </w:r>
                </w:p>
              </w:tc>
              <w:tc>
                <w:tcPr>
                  <w:tcW w:w="2964" w:type="dxa"/>
                  <w:vAlign w:val="center"/>
                </w:tcPr>
                <w:p>
                  <w:pPr>
                    <w:pStyle w:val="11"/>
                    <w:jc w:val="center"/>
                    <w:rPr>
                      <w:color w:val="auto"/>
                    </w:rPr>
                  </w:pPr>
                  <w:r>
                    <w:rPr>
                      <w:color w:val="auto"/>
                    </w:rPr>
                    <w:t>《肉类加工工业水污染物排放标准》表</w:t>
                  </w:r>
                  <w:r>
                    <w:rPr>
                      <w:rFonts w:hint="eastAsia"/>
                      <w:color w:val="auto"/>
                    </w:rPr>
                    <w:t>3</w:t>
                  </w:r>
                  <w:r>
                    <w:rPr>
                      <w:color w:val="auto"/>
                    </w:rPr>
                    <w:t>中的</w:t>
                  </w:r>
                  <w:r>
                    <w:rPr>
                      <w:rFonts w:hint="eastAsia"/>
                      <w:color w:val="auto"/>
                    </w:rPr>
                    <w:t>三</w:t>
                  </w:r>
                  <w:r>
                    <w:rPr>
                      <w:color w:val="auto"/>
                    </w:rPr>
                    <w:t>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1" w:type="dxa"/>
                  <w:gridSpan w:val="5"/>
                  <w:vAlign w:val="center"/>
                </w:tcPr>
                <w:p>
                  <w:pPr>
                    <w:pStyle w:val="11"/>
                    <w:rPr>
                      <w:color w:val="auto"/>
                    </w:rPr>
                  </w:pPr>
                  <w:r>
                    <w:rPr>
                      <w:color w:val="auto"/>
                    </w:rPr>
                    <w:tab/>
                  </w:r>
                  <w:r>
                    <w:rPr>
                      <w:color w:val="auto"/>
                    </w:rPr>
                    <w:t>注：</w:t>
                  </w:r>
                  <w:r>
                    <w:rPr>
                      <w:rFonts w:hint="eastAsia"/>
                      <w:color w:val="auto"/>
                    </w:rPr>
                    <w:t>①</w:t>
                  </w:r>
                  <w:r>
                    <w:rPr>
                      <w:color w:val="auto"/>
                    </w:rPr>
                    <w:t>由业主委托第三方监测机构进行监测</w:t>
                  </w:r>
                  <w:r>
                    <w:rPr>
                      <w:rFonts w:hint="eastAsia"/>
                      <w:color w:val="auto"/>
                    </w:rPr>
                    <w:t>；</w:t>
                  </w:r>
                </w:p>
              </w:tc>
            </w:tr>
          </w:tbl>
          <w:p>
            <w:pPr>
              <w:adjustRightInd w:val="0"/>
              <w:snapToGrid w:val="0"/>
              <w:ind w:firstLine="442"/>
              <w:rPr>
                <w:b/>
                <w:color w:val="auto"/>
                <w:spacing w:val="-10"/>
                <w:szCs w:val="21"/>
              </w:rPr>
            </w:pPr>
            <w:r>
              <w:rPr>
                <w:b/>
                <w:color w:val="auto"/>
                <w:spacing w:val="-10"/>
                <w:szCs w:val="21"/>
              </w:rPr>
              <w:t>2、大气污染物排放及治理</w:t>
            </w:r>
          </w:p>
          <w:p>
            <w:pPr>
              <w:adjustRightInd w:val="0"/>
              <w:snapToGrid w:val="0"/>
              <w:ind w:firstLine="442"/>
              <w:rPr>
                <w:b/>
                <w:color w:val="auto"/>
                <w:spacing w:val="-10"/>
                <w:szCs w:val="21"/>
              </w:rPr>
            </w:pPr>
            <w:r>
              <w:rPr>
                <w:rFonts w:hint="eastAsia"/>
                <w:b/>
                <w:color w:val="auto"/>
                <w:spacing w:val="-10"/>
                <w:szCs w:val="21"/>
              </w:rPr>
              <w:t>（1）废气的产排污环节</w:t>
            </w:r>
          </w:p>
          <w:p>
            <w:pPr>
              <w:adjustRightInd w:val="0"/>
              <w:snapToGrid w:val="0"/>
              <w:ind w:firstLine="442"/>
              <w:rPr>
                <w:b/>
                <w:color w:val="auto"/>
                <w:spacing w:val="-10"/>
                <w:szCs w:val="21"/>
              </w:rPr>
            </w:pPr>
            <w:r>
              <w:rPr>
                <w:rFonts w:hint="eastAsia"/>
                <w:b/>
                <w:color w:val="auto"/>
                <w:spacing w:val="-10"/>
                <w:szCs w:val="21"/>
              </w:rPr>
              <w:t>天然气燃烧废气</w:t>
            </w:r>
            <w:r>
              <w:rPr>
                <w:b/>
                <w:color w:val="auto"/>
                <w:spacing w:val="-10"/>
                <w:szCs w:val="21"/>
              </w:rPr>
              <w:t>（G</w:t>
            </w:r>
            <w:r>
              <w:rPr>
                <w:rFonts w:hint="eastAsia"/>
                <w:b/>
                <w:color w:val="auto"/>
                <w:spacing w:val="-10"/>
                <w:szCs w:val="21"/>
                <w:vertAlign w:val="subscript"/>
              </w:rPr>
              <w:t>1</w:t>
            </w:r>
            <w:r>
              <w:rPr>
                <w:b/>
                <w:color w:val="auto"/>
                <w:spacing w:val="-10"/>
                <w:szCs w:val="21"/>
              </w:rPr>
              <w:t>）</w:t>
            </w:r>
          </w:p>
          <w:p>
            <w:pPr>
              <w:ind w:firstLine="480"/>
              <w:rPr>
                <w:color w:val="auto"/>
              </w:rPr>
            </w:pPr>
            <w:r>
              <w:rPr>
                <w:rFonts w:hint="eastAsia"/>
                <w:color w:val="auto"/>
                <w:lang w:val="zh-TW" w:eastAsia="zh-TW"/>
              </w:rPr>
              <w:t>本项目</w:t>
            </w:r>
            <w:r>
              <w:rPr>
                <w:rFonts w:hint="eastAsia"/>
                <w:color w:val="auto"/>
              </w:rPr>
              <w:t>有2台6</w:t>
            </w:r>
            <w:r>
              <w:rPr>
                <w:color w:val="auto"/>
              </w:rPr>
              <w:t>t/h</w:t>
            </w:r>
            <w:r>
              <w:rPr>
                <w:rFonts w:hint="eastAsia"/>
                <w:color w:val="auto"/>
                <w:lang w:val="zh-TW" w:eastAsia="zh-TW"/>
              </w:rPr>
              <w:t>的燃气锅炉，使用清洁能源天然气</w:t>
            </w:r>
            <w:r>
              <w:rPr>
                <w:rFonts w:hint="eastAsia"/>
                <w:color w:val="auto"/>
                <w:lang w:val="zh-TW"/>
              </w:rPr>
              <w:t>，</w:t>
            </w:r>
            <w:r>
              <w:rPr>
                <w:rFonts w:hint="eastAsia"/>
                <w:color w:val="auto"/>
              </w:rPr>
              <w:t>年运行时间按3000h计算（每天运行约10小时，300天）</w:t>
            </w:r>
            <w:r>
              <w:rPr>
                <w:rFonts w:hint="eastAsia"/>
                <w:color w:val="auto"/>
                <w:lang w:val="zh-TW" w:eastAsia="zh-TW"/>
              </w:rPr>
              <w:t>，全年天然气总耗量</w:t>
            </w:r>
            <w:r>
              <w:rPr>
                <w:rFonts w:hint="eastAsia"/>
                <w:color w:val="auto"/>
              </w:rPr>
              <w:t>约250</w:t>
            </w:r>
            <w:r>
              <w:rPr>
                <w:rFonts w:hint="eastAsia"/>
                <w:color w:val="auto"/>
                <w:lang w:val="zh-TW" w:eastAsia="zh-TW"/>
              </w:rPr>
              <w:t>万</w:t>
            </w:r>
            <w:r>
              <w:rPr>
                <w:color w:val="auto"/>
              </w:rPr>
              <w:t>m</w:t>
            </w:r>
            <w:r>
              <w:rPr>
                <w:color w:val="auto"/>
                <w:vertAlign w:val="superscript"/>
              </w:rPr>
              <w:t>3</w:t>
            </w:r>
            <w:r>
              <w:rPr>
                <w:color w:val="auto"/>
              </w:rPr>
              <w:t>。参照《</w:t>
            </w:r>
            <w:r>
              <w:rPr>
                <w:rFonts w:hint="eastAsia"/>
                <w:color w:val="auto"/>
              </w:rPr>
              <w:t>排放源统计调查产排污核算方法和系数手册</w:t>
            </w:r>
            <w:r>
              <w:rPr>
                <w:color w:val="auto"/>
              </w:rPr>
              <w:t>》</w:t>
            </w:r>
            <w:r>
              <w:rPr>
                <w:rFonts w:hint="eastAsia"/>
                <w:color w:val="auto"/>
              </w:rPr>
              <w:t>（4430-工业锅炉（热力供应）行业系数手册）相关数据</w:t>
            </w:r>
            <w:r>
              <w:rPr>
                <w:color w:val="auto"/>
              </w:rPr>
              <w:t>，</w:t>
            </w:r>
            <w:r>
              <w:rPr>
                <w:rFonts w:hint="eastAsia"/>
                <w:color w:val="auto"/>
                <w:lang w:val="zh-TW" w:eastAsia="zh-TW"/>
              </w:rPr>
              <w:t xml:space="preserve">锅炉天然气烟气产生量为 </w:t>
            </w:r>
            <w:r>
              <w:rPr>
                <w:rFonts w:hint="eastAsia"/>
                <w:color w:val="auto"/>
              </w:rPr>
              <w:t>107753</w:t>
            </w:r>
            <w:r>
              <w:rPr>
                <w:color w:val="auto"/>
              </w:rPr>
              <w:t xml:space="preserve"> m</w:t>
            </w:r>
            <w:r>
              <w:rPr>
                <w:color w:val="auto"/>
                <w:vertAlign w:val="superscript"/>
              </w:rPr>
              <w:t>3</w:t>
            </w:r>
            <w:r>
              <w:rPr>
                <w:color w:val="auto"/>
              </w:rPr>
              <w:t>/</w:t>
            </w:r>
            <w:r>
              <w:rPr>
                <w:rFonts w:hint="eastAsia"/>
                <w:color w:val="auto"/>
                <w:lang w:val="zh-TW" w:eastAsia="zh-TW"/>
              </w:rPr>
              <w:t>万</w:t>
            </w:r>
            <w:r>
              <w:rPr>
                <w:color w:val="auto"/>
              </w:rPr>
              <w:t>m</w:t>
            </w:r>
            <w:r>
              <w:rPr>
                <w:color w:val="auto"/>
                <w:vertAlign w:val="superscript"/>
              </w:rPr>
              <w:t>3</w:t>
            </w:r>
            <w:r>
              <w:rPr>
                <w:rFonts w:hint="eastAsia"/>
                <w:color w:val="auto"/>
                <w:lang w:val="zh-TW" w:eastAsia="zh-TW"/>
              </w:rPr>
              <w:t>，产生的污染物</w:t>
            </w:r>
            <w:r>
              <w:rPr>
                <w:rFonts w:hint="eastAsia"/>
                <w:color w:val="auto"/>
              </w:rPr>
              <w:t>NO</w:t>
            </w:r>
            <w:r>
              <w:rPr>
                <w:rFonts w:hint="eastAsia"/>
                <w:color w:val="auto"/>
                <w:vertAlign w:val="subscript"/>
              </w:rPr>
              <w:t>x</w:t>
            </w:r>
            <w:r>
              <w:rPr>
                <w:rFonts w:hint="eastAsia"/>
                <w:color w:val="auto"/>
              </w:rPr>
              <w:t>6.97</w:t>
            </w:r>
            <w:r>
              <w:rPr>
                <w:color w:val="auto"/>
              </w:rPr>
              <w:t>kg/</w:t>
            </w:r>
            <w:r>
              <w:rPr>
                <w:rFonts w:hint="eastAsia"/>
                <w:color w:val="auto"/>
                <w:lang w:val="zh-TW" w:eastAsia="zh-TW"/>
              </w:rPr>
              <w:t>万</w:t>
            </w:r>
            <w:r>
              <w:rPr>
                <w:color w:val="auto"/>
              </w:rPr>
              <w:t>m</w:t>
            </w:r>
            <w:r>
              <w:rPr>
                <w:color w:val="auto"/>
                <w:vertAlign w:val="superscript"/>
              </w:rPr>
              <w:t>3</w:t>
            </w:r>
            <w:r>
              <w:rPr>
                <w:rFonts w:hint="eastAsia"/>
                <w:color w:val="auto"/>
              </w:rPr>
              <w:t>，产生的污染物</w:t>
            </w:r>
            <w:r>
              <w:rPr>
                <w:color w:val="auto"/>
              </w:rPr>
              <w:t>S</w:t>
            </w:r>
            <w:r>
              <w:rPr>
                <w:rFonts w:hint="eastAsia"/>
                <w:color w:val="auto"/>
              </w:rPr>
              <w:t>O</w:t>
            </w:r>
            <w:r>
              <w:rPr>
                <w:color w:val="auto"/>
                <w:vertAlign w:val="subscript"/>
              </w:rPr>
              <w:t>2</w:t>
            </w:r>
            <w:r>
              <w:rPr>
                <w:rFonts w:hint="eastAsia"/>
                <w:color w:val="auto"/>
                <w:vertAlign w:val="subscript"/>
              </w:rPr>
              <w:t xml:space="preserve"> </w:t>
            </w:r>
            <w:r>
              <w:rPr>
                <w:rFonts w:hint="eastAsia"/>
                <w:color w:val="auto"/>
              </w:rPr>
              <w:t>1.2</w:t>
            </w:r>
            <w:r>
              <w:rPr>
                <w:color w:val="auto"/>
              </w:rPr>
              <w:t>kg/</w:t>
            </w:r>
            <w:r>
              <w:rPr>
                <w:rFonts w:hint="eastAsia"/>
                <w:color w:val="auto"/>
              </w:rPr>
              <w:t>万</w:t>
            </w:r>
            <w:r>
              <w:rPr>
                <w:color w:val="auto"/>
              </w:rPr>
              <w:t>m</w:t>
            </w:r>
            <w:r>
              <w:rPr>
                <w:color w:val="auto"/>
                <w:vertAlign w:val="superscript"/>
              </w:rPr>
              <w:t>3</w:t>
            </w:r>
            <w:r>
              <w:rPr>
                <w:rFonts w:hint="eastAsia"/>
                <w:color w:val="auto"/>
                <w:lang w:val="zh-TW" w:eastAsia="zh-TW"/>
              </w:rPr>
              <w:t>。</w:t>
            </w:r>
          </w:p>
          <w:p>
            <w:pPr>
              <w:ind w:firstLine="480"/>
              <w:rPr>
                <w:color w:val="auto"/>
                <w:lang w:val="zh-TW" w:eastAsia="zh-TW"/>
              </w:rPr>
            </w:pPr>
            <w:r>
              <w:rPr>
                <w:rFonts w:hint="eastAsia"/>
                <w:color w:val="auto"/>
                <w:lang w:val="zh-TW" w:eastAsia="zh-TW"/>
              </w:rPr>
              <w:t>根据以上产污系数可知，</w:t>
            </w:r>
          </w:p>
          <w:p>
            <w:pPr>
              <w:ind w:firstLine="480"/>
              <w:rPr>
                <w:color w:val="auto"/>
                <w:lang w:eastAsia="zh-TW"/>
              </w:rPr>
            </w:pPr>
            <w:r>
              <w:rPr>
                <w:rFonts w:hint="eastAsia"/>
                <w:color w:val="auto"/>
                <w:lang w:val="zh-TW" w:eastAsia="zh-TW"/>
              </w:rPr>
              <w:t xml:space="preserve">烟气产生量为： </w:t>
            </w:r>
            <w:r>
              <w:rPr>
                <w:color w:val="auto"/>
                <w:lang w:val="zh-TW" w:eastAsia="zh-TW"/>
              </w:rPr>
              <w:t>107753m</w:t>
            </w:r>
            <w:r>
              <w:rPr>
                <w:color w:val="auto"/>
                <w:vertAlign w:val="superscript"/>
                <w:lang w:val="zh-TW" w:eastAsia="zh-TW"/>
              </w:rPr>
              <w:t>3</w:t>
            </w:r>
            <w:r>
              <w:rPr>
                <w:color w:val="auto"/>
                <w:lang w:val="zh-TW" w:eastAsia="zh-TW"/>
              </w:rPr>
              <w:t>/万m</w:t>
            </w:r>
            <w:r>
              <w:rPr>
                <w:color w:val="auto"/>
                <w:vertAlign w:val="superscript"/>
                <w:lang w:val="zh-TW" w:eastAsia="zh-TW"/>
              </w:rPr>
              <w:t>3</w:t>
            </w:r>
            <w:r>
              <w:rPr>
                <w:color w:val="auto"/>
                <w:lang w:eastAsia="zh-TW"/>
              </w:rPr>
              <w:t>×</w:t>
            </w:r>
            <w:r>
              <w:rPr>
                <w:rFonts w:hint="eastAsia"/>
                <w:color w:val="auto"/>
                <w:lang w:eastAsia="zh-TW"/>
              </w:rPr>
              <w:t>250万</w:t>
            </w:r>
            <w:r>
              <w:rPr>
                <w:color w:val="auto"/>
                <w:lang w:eastAsia="zh-TW"/>
              </w:rPr>
              <w:t>m</w:t>
            </w:r>
            <w:r>
              <w:rPr>
                <w:color w:val="auto"/>
                <w:vertAlign w:val="superscript"/>
                <w:lang w:eastAsia="zh-TW"/>
              </w:rPr>
              <w:t>3</w:t>
            </w:r>
            <w:r>
              <w:rPr>
                <w:color w:val="auto"/>
                <w:lang w:eastAsia="zh-TW"/>
              </w:rPr>
              <w:t>=</w:t>
            </w:r>
            <w:r>
              <w:rPr>
                <w:rFonts w:hint="eastAsia"/>
                <w:color w:val="auto"/>
                <w:lang w:eastAsia="zh-TW"/>
              </w:rPr>
              <w:t>2693.83</w:t>
            </w:r>
            <w:r>
              <w:rPr>
                <w:rFonts w:hint="eastAsia"/>
                <w:color w:val="auto"/>
                <w:lang w:val="zh-TW" w:eastAsia="zh-TW"/>
              </w:rPr>
              <w:t>万</w:t>
            </w:r>
            <w:r>
              <w:rPr>
                <w:color w:val="auto"/>
                <w:lang w:eastAsia="zh-TW"/>
              </w:rPr>
              <w:t>m</w:t>
            </w:r>
            <w:r>
              <w:rPr>
                <w:color w:val="auto"/>
                <w:vertAlign w:val="superscript"/>
                <w:lang w:eastAsia="zh-TW"/>
              </w:rPr>
              <w:t>3</w:t>
            </w:r>
            <w:r>
              <w:rPr>
                <w:color w:val="auto"/>
                <w:lang w:eastAsia="zh-TW"/>
              </w:rPr>
              <w:t>/a</w:t>
            </w:r>
          </w:p>
          <w:p>
            <w:pPr>
              <w:ind w:firstLine="480"/>
              <w:rPr>
                <w:color w:val="auto"/>
                <w:lang w:eastAsia="zh-TW"/>
              </w:rPr>
            </w:pPr>
            <w:r>
              <w:rPr>
                <w:color w:val="auto"/>
                <w:lang w:eastAsia="zh-TW"/>
              </w:rPr>
              <w:t>NO</w:t>
            </w:r>
            <w:r>
              <w:rPr>
                <w:color w:val="auto"/>
                <w:vertAlign w:val="subscript"/>
                <w:lang w:eastAsia="zh-TW"/>
              </w:rPr>
              <w:t>x</w:t>
            </w:r>
            <w:r>
              <w:rPr>
                <w:rFonts w:hint="eastAsia"/>
                <w:color w:val="auto"/>
                <w:lang w:val="zh-TW" w:eastAsia="zh-TW"/>
              </w:rPr>
              <w:t>产生量为：</w:t>
            </w:r>
            <w:r>
              <w:rPr>
                <w:rFonts w:hint="eastAsia"/>
                <w:color w:val="auto"/>
                <w:lang w:eastAsia="zh-TW"/>
              </w:rPr>
              <w:t>6.97</w:t>
            </w:r>
            <w:r>
              <w:rPr>
                <w:color w:val="auto"/>
                <w:lang w:eastAsia="zh-TW"/>
              </w:rPr>
              <w:t>kg/</w:t>
            </w:r>
            <w:r>
              <w:rPr>
                <w:rFonts w:hint="eastAsia"/>
                <w:color w:val="auto"/>
                <w:lang w:val="zh-TW" w:eastAsia="zh-TW"/>
              </w:rPr>
              <w:t>万</w:t>
            </w:r>
            <w:r>
              <w:rPr>
                <w:color w:val="auto"/>
                <w:lang w:eastAsia="zh-TW"/>
              </w:rPr>
              <w:t>m</w:t>
            </w:r>
            <w:r>
              <w:rPr>
                <w:color w:val="auto"/>
                <w:vertAlign w:val="superscript"/>
                <w:lang w:eastAsia="zh-TW"/>
              </w:rPr>
              <w:t>3</w:t>
            </w:r>
            <w:r>
              <w:rPr>
                <w:color w:val="auto"/>
                <w:lang w:eastAsia="zh-TW"/>
              </w:rPr>
              <w:t>×</w:t>
            </w:r>
            <w:r>
              <w:rPr>
                <w:rFonts w:hint="eastAsia"/>
                <w:color w:val="auto"/>
                <w:lang w:eastAsia="zh-TW"/>
              </w:rPr>
              <w:t>250万</w:t>
            </w:r>
            <w:r>
              <w:rPr>
                <w:color w:val="auto"/>
                <w:lang w:eastAsia="zh-TW"/>
              </w:rPr>
              <w:t>m</w:t>
            </w:r>
            <w:r>
              <w:rPr>
                <w:rFonts w:hint="eastAsia"/>
                <w:color w:val="auto"/>
                <w:vertAlign w:val="superscript"/>
                <w:lang w:eastAsia="zh-TW"/>
              </w:rPr>
              <w:t>3</w:t>
            </w:r>
            <w:r>
              <w:rPr>
                <w:rFonts w:hint="eastAsia"/>
                <w:color w:val="auto"/>
                <w:lang w:val="zh-TW" w:eastAsia="zh-TW"/>
              </w:rPr>
              <w:t>=</w:t>
            </w:r>
            <w:r>
              <w:rPr>
                <w:rFonts w:hint="eastAsia"/>
                <w:color w:val="auto"/>
                <w:lang w:eastAsia="zh-TW"/>
              </w:rPr>
              <w:t>1.74</w:t>
            </w:r>
            <w:r>
              <w:rPr>
                <w:color w:val="auto"/>
                <w:lang w:eastAsia="zh-TW"/>
              </w:rPr>
              <w:t>t/a</w:t>
            </w:r>
          </w:p>
          <w:p>
            <w:pPr>
              <w:ind w:firstLine="480"/>
              <w:rPr>
                <w:color w:val="auto"/>
              </w:rPr>
            </w:pPr>
            <w:r>
              <w:rPr>
                <w:color w:val="auto"/>
              </w:rPr>
              <w:t>S</w:t>
            </w:r>
            <w:r>
              <w:rPr>
                <w:rFonts w:hint="eastAsia"/>
                <w:color w:val="auto"/>
              </w:rPr>
              <w:t>O</w:t>
            </w:r>
            <w:r>
              <w:rPr>
                <w:color w:val="auto"/>
                <w:vertAlign w:val="subscript"/>
              </w:rPr>
              <w:t>2</w:t>
            </w:r>
            <w:r>
              <w:rPr>
                <w:rFonts w:hint="eastAsia"/>
                <w:color w:val="auto"/>
                <w:lang w:val="zh-TW" w:eastAsia="zh-TW"/>
              </w:rPr>
              <w:t>产生量为</w:t>
            </w:r>
            <w:r>
              <w:rPr>
                <w:rFonts w:hint="eastAsia"/>
                <w:color w:val="auto"/>
                <w:lang w:val="zh-TW"/>
              </w:rPr>
              <w:t>：</w:t>
            </w:r>
            <w:r>
              <w:rPr>
                <w:rFonts w:hint="eastAsia"/>
                <w:color w:val="auto"/>
              </w:rPr>
              <w:t>1.2</w:t>
            </w:r>
            <w:r>
              <w:rPr>
                <w:color w:val="auto"/>
              </w:rPr>
              <w:t>kg/</w:t>
            </w:r>
            <w:r>
              <w:rPr>
                <w:rFonts w:hint="eastAsia"/>
                <w:color w:val="auto"/>
                <w:lang w:val="zh-TW" w:eastAsia="zh-TW"/>
              </w:rPr>
              <w:t>万</w:t>
            </w:r>
            <w:r>
              <w:rPr>
                <w:color w:val="auto"/>
              </w:rPr>
              <w:t>m</w:t>
            </w:r>
            <w:r>
              <w:rPr>
                <w:color w:val="auto"/>
                <w:vertAlign w:val="superscript"/>
              </w:rPr>
              <w:t>3</w:t>
            </w:r>
            <w:r>
              <w:rPr>
                <w:color w:val="auto"/>
              </w:rPr>
              <w:t>×</w:t>
            </w:r>
            <w:r>
              <w:rPr>
                <w:rFonts w:hint="eastAsia"/>
                <w:color w:val="auto"/>
              </w:rPr>
              <w:t>250万</w:t>
            </w:r>
            <w:r>
              <w:rPr>
                <w:color w:val="auto"/>
              </w:rPr>
              <w:t>m</w:t>
            </w:r>
            <w:r>
              <w:rPr>
                <w:rFonts w:hint="eastAsia"/>
                <w:color w:val="auto"/>
                <w:vertAlign w:val="superscript"/>
              </w:rPr>
              <w:t>3</w:t>
            </w:r>
            <w:r>
              <w:rPr>
                <w:rFonts w:hint="eastAsia"/>
                <w:color w:val="auto"/>
                <w:lang w:val="zh-TW" w:eastAsia="zh-TW"/>
              </w:rPr>
              <w:t>=</w:t>
            </w:r>
            <w:r>
              <w:rPr>
                <w:color w:val="auto"/>
              </w:rPr>
              <w:t>0.</w:t>
            </w:r>
            <w:r>
              <w:rPr>
                <w:rFonts w:hint="eastAsia"/>
                <w:color w:val="auto"/>
              </w:rPr>
              <w:t>30</w:t>
            </w:r>
            <w:r>
              <w:rPr>
                <w:color w:val="auto"/>
              </w:rPr>
              <w:t>t/a</w:t>
            </w:r>
          </w:p>
          <w:p>
            <w:pPr>
              <w:ind w:firstLine="480"/>
              <w:rPr>
                <w:color w:val="auto"/>
              </w:rPr>
            </w:pPr>
            <w:r>
              <w:rPr>
                <w:color w:val="auto"/>
              </w:rPr>
              <w:t>NO</w:t>
            </w:r>
            <w:r>
              <w:rPr>
                <w:color w:val="auto"/>
                <w:vertAlign w:val="subscript"/>
              </w:rPr>
              <w:t>x</w:t>
            </w:r>
            <w:r>
              <w:rPr>
                <w:rFonts w:hint="eastAsia"/>
                <w:color w:val="auto"/>
                <w:lang w:val="zh-TW" w:eastAsia="zh-TW"/>
              </w:rPr>
              <w:t>排放浓度及排放速率分别为</w:t>
            </w:r>
            <w:r>
              <w:rPr>
                <w:rFonts w:hint="eastAsia"/>
                <w:color w:val="auto"/>
                <w:lang w:val="zh-TW"/>
              </w:rPr>
              <w:t>：</w:t>
            </w:r>
            <w:r>
              <w:rPr>
                <w:rFonts w:hint="eastAsia"/>
                <w:color w:val="auto"/>
              </w:rPr>
              <w:t>1.74</w:t>
            </w:r>
            <w:r>
              <w:rPr>
                <w:color w:val="auto"/>
              </w:rPr>
              <w:t>t</w:t>
            </w:r>
            <w:r>
              <w:rPr>
                <w:rFonts w:hint="eastAsia"/>
                <w:color w:val="auto"/>
              </w:rPr>
              <w:t xml:space="preserve"> / 2693.83</w:t>
            </w:r>
            <w:r>
              <w:rPr>
                <w:rFonts w:hint="eastAsia"/>
                <w:color w:val="auto"/>
                <w:lang w:val="zh-TW" w:eastAsia="zh-TW"/>
              </w:rPr>
              <w:t>万</w:t>
            </w:r>
            <w:r>
              <w:rPr>
                <w:color w:val="auto"/>
              </w:rPr>
              <w:t>m</w:t>
            </w:r>
            <w:r>
              <w:rPr>
                <w:color w:val="auto"/>
                <w:vertAlign w:val="superscript"/>
              </w:rPr>
              <w:t>3</w:t>
            </w:r>
            <w:r>
              <w:rPr>
                <w:color w:val="auto"/>
              </w:rPr>
              <w:t>=64.</w:t>
            </w:r>
            <w:r>
              <w:rPr>
                <w:rFonts w:hint="eastAsia"/>
                <w:color w:val="auto"/>
              </w:rPr>
              <w:t>59</w:t>
            </w:r>
            <w:r>
              <w:rPr>
                <w:color w:val="auto"/>
              </w:rPr>
              <w:t>mg/m</w:t>
            </w:r>
            <w:r>
              <w:rPr>
                <w:color w:val="auto"/>
                <w:vertAlign w:val="superscript"/>
              </w:rPr>
              <w:t>3</w:t>
            </w:r>
            <w:r>
              <w:rPr>
                <w:color w:val="auto"/>
              </w:rPr>
              <w:t>、</w:t>
            </w:r>
            <w:r>
              <w:rPr>
                <w:rFonts w:hint="eastAsia"/>
                <w:color w:val="auto"/>
              </w:rPr>
              <w:t>1.74</w:t>
            </w:r>
            <w:r>
              <w:rPr>
                <w:color w:val="auto"/>
              </w:rPr>
              <w:t>t</w:t>
            </w:r>
            <w:r>
              <w:rPr>
                <w:rFonts w:hint="eastAsia"/>
                <w:color w:val="auto"/>
              </w:rPr>
              <w:t xml:space="preserve"> / 3000h=0.58</w:t>
            </w:r>
            <w:r>
              <w:rPr>
                <w:color w:val="auto"/>
              </w:rPr>
              <w:t>kg/h</w:t>
            </w:r>
          </w:p>
          <w:p>
            <w:pPr>
              <w:ind w:firstLine="480"/>
              <w:rPr>
                <w:color w:val="auto"/>
              </w:rPr>
            </w:pPr>
            <w:r>
              <w:rPr>
                <w:color w:val="auto"/>
              </w:rPr>
              <w:t>SO</w:t>
            </w:r>
            <w:r>
              <w:rPr>
                <w:color w:val="auto"/>
                <w:vertAlign w:val="subscript"/>
              </w:rPr>
              <w:t>2</w:t>
            </w:r>
            <w:r>
              <w:rPr>
                <w:rFonts w:hint="eastAsia"/>
                <w:color w:val="auto"/>
                <w:lang w:val="zh-TW" w:eastAsia="zh-TW"/>
              </w:rPr>
              <w:t>排放浓度及排放速率分别为</w:t>
            </w:r>
            <w:r>
              <w:rPr>
                <w:rFonts w:hint="eastAsia"/>
                <w:color w:val="auto"/>
                <w:lang w:val="zh-TW"/>
              </w:rPr>
              <w:t>：</w:t>
            </w:r>
            <w:r>
              <w:rPr>
                <w:rFonts w:hint="eastAsia"/>
                <w:color w:val="auto"/>
              </w:rPr>
              <w:t>0.30</w:t>
            </w:r>
            <w:r>
              <w:rPr>
                <w:color w:val="auto"/>
              </w:rPr>
              <w:t>t</w:t>
            </w:r>
            <w:r>
              <w:rPr>
                <w:rFonts w:hint="eastAsia"/>
                <w:color w:val="auto"/>
              </w:rPr>
              <w:t xml:space="preserve"> / 2693.83</w:t>
            </w:r>
            <w:r>
              <w:rPr>
                <w:rFonts w:hint="eastAsia"/>
                <w:color w:val="auto"/>
                <w:lang w:val="zh-TW" w:eastAsia="zh-TW"/>
              </w:rPr>
              <w:t>万</w:t>
            </w:r>
            <w:r>
              <w:rPr>
                <w:color w:val="auto"/>
              </w:rPr>
              <w:t>m</w:t>
            </w:r>
            <w:r>
              <w:rPr>
                <w:color w:val="auto"/>
                <w:vertAlign w:val="superscript"/>
              </w:rPr>
              <w:t>3</w:t>
            </w:r>
            <w:r>
              <w:rPr>
                <w:color w:val="auto"/>
              </w:rPr>
              <w:t>=</w:t>
            </w:r>
            <w:r>
              <w:rPr>
                <w:rFonts w:hint="eastAsia"/>
                <w:color w:val="auto"/>
              </w:rPr>
              <w:t>11.14</w:t>
            </w:r>
            <w:r>
              <w:rPr>
                <w:color w:val="auto"/>
              </w:rPr>
              <w:t>mg/m</w:t>
            </w:r>
            <w:r>
              <w:rPr>
                <w:color w:val="auto"/>
                <w:vertAlign w:val="superscript"/>
              </w:rPr>
              <w:t>3</w:t>
            </w:r>
            <w:r>
              <w:rPr>
                <w:color w:val="auto"/>
              </w:rPr>
              <w:t>、</w:t>
            </w:r>
            <w:r>
              <w:rPr>
                <w:rFonts w:hint="eastAsia"/>
                <w:color w:val="auto"/>
              </w:rPr>
              <w:t>0.30</w:t>
            </w:r>
            <w:r>
              <w:rPr>
                <w:color w:val="auto"/>
              </w:rPr>
              <w:t>t</w:t>
            </w:r>
            <w:r>
              <w:rPr>
                <w:rFonts w:hint="eastAsia"/>
                <w:color w:val="auto"/>
              </w:rPr>
              <w:t xml:space="preserve"> / 3000h=0.10</w:t>
            </w:r>
            <w:r>
              <w:rPr>
                <w:color w:val="auto"/>
              </w:rPr>
              <w:t>kg/h</w:t>
            </w:r>
          </w:p>
          <w:p>
            <w:pPr>
              <w:ind w:firstLine="480"/>
              <w:rPr>
                <w:color w:val="auto"/>
              </w:rPr>
            </w:pPr>
            <w:r>
              <w:rPr>
                <w:rFonts w:hint="eastAsia"/>
                <w:color w:val="auto"/>
                <w:lang w:val="zh-TW" w:eastAsia="zh-TW"/>
              </w:rPr>
              <w:t>项目废气</w:t>
            </w:r>
            <w:r>
              <w:rPr>
                <w:rFonts w:hint="eastAsia"/>
                <w:color w:val="auto"/>
              </w:rPr>
              <w:t>经低氮燃烧</w:t>
            </w:r>
            <w:r>
              <w:rPr>
                <w:rFonts w:hint="eastAsia"/>
                <w:color w:val="auto"/>
                <w:lang w:val="zh-TW" w:eastAsia="zh-TW"/>
              </w:rPr>
              <w:t>后</w:t>
            </w:r>
            <w:r>
              <w:rPr>
                <w:rFonts w:hint="eastAsia"/>
                <w:color w:val="auto"/>
                <w:lang w:val="zh-TW"/>
              </w:rPr>
              <w:t>，</w:t>
            </w:r>
            <w:r>
              <w:rPr>
                <w:rFonts w:hint="eastAsia"/>
                <w:color w:val="auto"/>
                <w:lang w:val="zh-TW" w:eastAsia="zh-TW"/>
              </w:rPr>
              <w:t>经直径为</w:t>
            </w:r>
            <w:r>
              <w:rPr>
                <w:color w:val="auto"/>
              </w:rPr>
              <w:t>0.</w:t>
            </w:r>
            <w:r>
              <w:rPr>
                <w:rFonts w:hint="eastAsia"/>
                <w:color w:val="auto"/>
              </w:rPr>
              <w:t>3</w:t>
            </w:r>
            <w:r>
              <w:rPr>
                <w:color w:val="auto"/>
              </w:rPr>
              <w:t>m</w:t>
            </w:r>
            <w:r>
              <w:rPr>
                <w:rFonts w:hint="eastAsia"/>
                <w:color w:val="auto"/>
              </w:rPr>
              <w:t>，</w:t>
            </w:r>
            <w:r>
              <w:rPr>
                <w:rFonts w:hint="eastAsia"/>
                <w:color w:val="auto"/>
                <w:lang w:val="zh-TW" w:eastAsia="zh-TW"/>
              </w:rPr>
              <w:t>高度为</w:t>
            </w:r>
            <w:r>
              <w:rPr>
                <w:rFonts w:hint="eastAsia"/>
                <w:color w:val="auto"/>
              </w:rPr>
              <w:t>12.0</w:t>
            </w:r>
            <w:r>
              <w:rPr>
                <w:color w:val="auto"/>
              </w:rPr>
              <w:t>m</w:t>
            </w:r>
            <w:r>
              <w:rPr>
                <w:rFonts w:hint="eastAsia"/>
                <w:color w:val="auto"/>
                <w:lang w:val="zh-TW" w:eastAsia="zh-TW"/>
              </w:rPr>
              <w:t>的烟囱排放</w:t>
            </w:r>
            <w:r>
              <w:rPr>
                <w:rFonts w:hint="eastAsia"/>
                <w:color w:val="auto"/>
                <w:lang w:val="zh-TW" w:eastAsia="zh-CN"/>
              </w:rPr>
              <w:t>（</w:t>
            </w:r>
            <w:r>
              <w:rPr>
                <w:rFonts w:hint="eastAsia"/>
                <w:color w:val="auto"/>
                <w:lang w:val="en-US" w:eastAsia="zh-CN"/>
              </w:rPr>
              <w:t>2台锅炉共用1个排气筒</w:t>
            </w:r>
            <w:r>
              <w:rPr>
                <w:rFonts w:hint="eastAsia"/>
                <w:color w:val="auto"/>
                <w:lang w:val="zh-TW" w:eastAsia="zh-CN"/>
              </w:rPr>
              <w:t>）</w:t>
            </w:r>
            <w:r>
              <w:rPr>
                <w:rFonts w:hint="eastAsia"/>
                <w:color w:val="auto"/>
                <w:lang w:val="zh-TW" w:eastAsia="zh-TW"/>
              </w:rPr>
              <w:t>。</w:t>
            </w:r>
            <w:r>
              <w:rPr>
                <w:color w:val="auto"/>
              </w:rPr>
              <w:t>NO</w:t>
            </w:r>
            <w:r>
              <w:rPr>
                <w:color w:val="auto"/>
                <w:vertAlign w:val="subscript"/>
              </w:rPr>
              <w:t>x</w:t>
            </w:r>
            <w:r>
              <w:rPr>
                <w:rFonts w:hint="eastAsia"/>
                <w:color w:val="auto"/>
                <w:lang w:val="zh-TW" w:eastAsia="zh-TW"/>
              </w:rPr>
              <w:t>排放浓度及排放速率分别为</w:t>
            </w:r>
            <w:r>
              <w:rPr>
                <w:rFonts w:hint="eastAsia"/>
                <w:color w:val="auto"/>
              </w:rPr>
              <w:t>64.97</w:t>
            </w:r>
            <w:r>
              <w:rPr>
                <w:color w:val="auto"/>
              </w:rPr>
              <w:t>mg/m</w:t>
            </w:r>
            <w:r>
              <w:rPr>
                <w:color w:val="auto"/>
                <w:vertAlign w:val="superscript"/>
              </w:rPr>
              <w:t>3</w:t>
            </w:r>
            <w:r>
              <w:rPr>
                <w:color w:val="auto"/>
              </w:rPr>
              <w:t>、</w:t>
            </w:r>
            <w:r>
              <w:rPr>
                <w:rFonts w:hint="eastAsia"/>
                <w:color w:val="auto"/>
              </w:rPr>
              <w:t>0.58</w:t>
            </w:r>
            <w:r>
              <w:rPr>
                <w:color w:val="auto"/>
              </w:rPr>
              <w:t>kg/h，SO</w:t>
            </w:r>
            <w:r>
              <w:rPr>
                <w:color w:val="auto"/>
                <w:vertAlign w:val="subscript"/>
              </w:rPr>
              <w:t>2</w:t>
            </w:r>
            <w:r>
              <w:rPr>
                <w:rFonts w:hint="eastAsia"/>
                <w:color w:val="auto"/>
                <w:lang w:val="zh-TW" w:eastAsia="zh-TW"/>
              </w:rPr>
              <w:t>排放浓度及排放速率分别为</w:t>
            </w:r>
            <w:r>
              <w:rPr>
                <w:rFonts w:hint="eastAsia"/>
                <w:color w:val="auto"/>
              </w:rPr>
              <w:t>11.14</w:t>
            </w:r>
            <w:r>
              <w:rPr>
                <w:color w:val="auto"/>
              </w:rPr>
              <w:t>mg/m</w:t>
            </w:r>
            <w:r>
              <w:rPr>
                <w:color w:val="auto"/>
                <w:vertAlign w:val="superscript"/>
              </w:rPr>
              <w:t>3</w:t>
            </w:r>
            <w:r>
              <w:rPr>
                <w:color w:val="auto"/>
              </w:rPr>
              <w:t>、</w:t>
            </w:r>
            <w:r>
              <w:rPr>
                <w:rFonts w:hint="eastAsia"/>
                <w:color w:val="auto"/>
              </w:rPr>
              <w:t>0.10</w:t>
            </w:r>
            <w:r>
              <w:rPr>
                <w:color w:val="auto"/>
              </w:rPr>
              <w:t>kg/h</w:t>
            </w:r>
            <w:r>
              <w:rPr>
                <w:rFonts w:hint="eastAsia"/>
                <w:color w:val="auto"/>
              </w:rPr>
              <w:t>，</w:t>
            </w:r>
            <w:r>
              <w:rPr>
                <w:rFonts w:hint="eastAsia"/>
                <w:color w:val="auto"/>
                <w:lang w:val="zh-TW" w:eastAsia="zh-TW"/>
              </w:rPr>
              <w:t>污染物排放浓度可以达到《锅炉大气污染物排放标准》</w:t>
            </w:r>
            <w:r>
              <w:rPr>
                <w:color w:val="auto"/>
              </w:rPr>
              <w:t>（GB13271-2014)</w:t>
            </w:r>
            <w:r>
              <w:rPr>
                <w:rFonts w:hint="eastAsia"/>
                <w:color w:val="auto"/>
                <w:lang w:val="zh-TW" w:eastAsia="zh-TW"/>
              </w:rPr>
              <w:t>中表2</w:t>
            </w:r>
            <w:r>
              <w:rPr>
                <w:rFonts w:hint="eastAsia"/>
                <w:color w:val="auto"/>
              </w:rPr>
              <w:t>新建</w:t>
            </w:r>
            <w:r>
              <w:rPr>
                <w:rFonts w:hint="eastAsia"/>
                <w:color w:val="auto"/>
                <w:lang w:val="zh-TW" w:eastAsia="zh-TW"/>
              </w:rPr>
              <w:t>燃气锅炉污染物排放标准限值</w:t>
            </w:r>
            <w:r>
              <w:rPr>
                <w:color w:val="auto"/>
              </w:rPr>
              <w:t>（NO</w:t>
            </w:r>
            <w:r>
              <w:rPr>
                <w:color w:val="auto"/>
                <w:vertAlign w:val="subscript"/>
              </w:rPr>
              <w:t>x</w:t>
            </w:r>
            <w:r>
              <w:rPr>
                <w:rFonts w:hint="eastAsia"/>
                <w:color w:val="auto"/>
              </w:rPr>
              <w:t>：</w:t>
            </w:r>
            <w:r>
              <w:rPr>
                <w:color w:val="auto"/>
              </w:rPr>
              <w:t>200mg/m</w:t>
            </w:r>
            <w:r>
              <w:rPr>
                <w:color w:val="auto"/>
                <w:vertAlign w:val="superscript"/>
              </w:rPr>
              <w:t>3</w:t>
            </w:r>
            <w:r>
              <w:rPr>
                <w:color w:val="auto"/>
              </w:rPr>
              <w:t>、SO</w:t>
            </w:r>
            <w:r>
              <w:rPr>
                <w:color w:val="auto"/>
                <w:vertAlign w:val="subscript"/>
              </w:rPr>
              <w:t>2</w:t>
            </w:r>
            <w:r>
              <w:rPr>
                <w:rFonts w:hint="eastAsia"/>
                <w:color w:val="auto"/>
              </w:rPr>
              <w:t>：</w:t>
            </w:r>
            <w:r>
              <w:rPr>
                <w:color w:val="auto"/>
              </w:rPr>
              <w:t>50mg/m</w:t>
            </w:r>
            <w:r>
              <w:rPr>
                <w:color w:val="auto"/>
                <w:vertAlign w:val="superscript"/>
              </w:rPr>
              <w:t>3</w:t>
            </w:r>
            <w:r>
              <w:rPr>
                <w:color w:val="auto"/>
              </w:rPr>
              <w:t>)。</w:t>
            </w:r>
          </w:p>
          <w:p>
            <w:pPr>
              <w:ind w:left="480" w:leftChars="200" w:firstLine="0" w:firstLineChars="0"/>
              <w:rPr>
                <w:b/>
                <w:bCs/>
                <w:color w:val="auto"/>
              </w:rPr>
            </w:pPr>
            <w:r>
              <w:rPr>
                <w:rFonts w:hint="eastAsia"/>
                <w:b/>
                <w:bCs/>
                <w:color w:val="auto"/>
              </w:rPr>
              <w:t>油烟废气（</w:t>
            </w:r>
            <w:r>
              <w:rPr>
                <w:b/>
                <w:color w:val="auto"/>
                <w:spacing w:val="-10"/>
                <w:szCs w:val="21"/>
              </w:rPr>
              <w:t>G</w:t>
            </w:r>
            <w:r>
              <w:rPr>
                <w:rFonts w:hint="eastAsia"/>
                <w:b/>
                <w:color w:val="auto"/>
                <w:spacing w:val="-10"/>
                <w:szCs w:val="21"/>
                <w:vertAlign w:val="subscript"/>
              </w:rPr>
              <w:t>2</w:t>
            </w:r>
            <w:r>
              <w:rPr>
                <w:rFonts w:hint="eastAsia"/>
                <w:b/>
                <w:bCs/>
                <w:color w:val="auto"/>
              </w:rPr>
              <w:t>）</w:t>
            </w:r>
          </w:p>
          <w:p>
            <w:pPr>
              <w:ind w:firstLine="480"/>
              <w:rPr>
                <w:color w:val="auto"/>
              </w:rPr>
            </w:pPr>
            <w:r>
              <w:rPr>
                <w:rFonts w:hint="eastAsia"/>
                <w:color w:val="auto"/>
              </w:rPr>
              <w:t>本项目主要是红烧肉（1号生产车间）、小酥肉（1号生产车间）</w:t>
            </w:r>
            <w:r>
              <w:rPr>
                <w:rFonts w:hint="eastAsia"/>
                <w:color w:val="auto"/>
                <w:lang w:eastAsia="zh-CN"/>
              </w:rPr>
              <w:t>、</w:t>
            </w:r>
            <w:r>
              <w:rPr>
                <w:rFonts w:hint="eastAsia"/>
                <w:color w:val="auto"/>
                <w:lang w:val="en-US" w:eastAsia="zh-CN"/>
              </w:rPr>
              <w:t>牛肉干（4号生产车间）、灯影牛肉（2号生产车间）</w:t>
            </w:r>
            <w:r>
              <w:rPr>
                <w:rFonts w:hint="eastAsia"/>
                <w:color w:val="auto"/>
              </w:rPr>
              <w:t>生产过程</w:t>
            </w:r>
            <w:r>
              <w:rPr>
                <w:rFonts w:hint="eastAsia"/>
                <w:color w:val="auto"/>
                <w:lang w:val="en-US" w:eastAsia="zh-CN"/>
              </w:rPr>
              <w:t>产生的</w:t>
            </w:r>
            <w:r>
              <w:rPr>
                <w:rFonts w:hint="eastAsia"/>
                <w:color w:val="auto"/>
              </w:rPr>
              <w:t>油烟废气，经业主单位介绍，</w:t>
            </w:r>
            <w:r>
              <w:rPr>
                <w:color w:val="auto"/>
                <w:kern w:val="0"/>
              </w:rPr>
              <w:t>一般油烟挥发量占总耗油量的</w:t>
            </w:r>
            <w:r>
              <w:rPr>
                <w:rFonts w:hint="eastAsia"/>
                <w:color w:val="auto"/>
                <w:kern w:val="0"/>
              </w:rPr>
              <w:t>0.1</w:t>
            </w:r>
            <w:r>
              <w:rPr>
                <w:rFonts w:eastAsia="TimesNewRomanPSMT"/>
                <w:color w:val="auto"/>
                <w:kern w:val="0"/>
              </w:rPr>
              <w:t>%</w:t>
            </w:r>
            <w:r>
              <w:rPr>
                <w:rFonts w:hint="eastAsia"/>
                <w:color w:val="auto"/>
                <w:kern w:val="0"/>
              </w:rPr>
              <w:t>进行计算</w:t>
            </w:r>
            <w:r>
              <w:rPr>
                <w:color w:val="auto"/>
                <w:kern w:val="0"/>
              </w:rPr>
              <w:t>，则油烟产生量约为</w:t>
            </w:r>
            <w:r>
              <w:rPr>
                <w:rFonts w:hint="eastAsia"/>
                <w:color w:val="auto"/>
                <w:kern w:val="0"/>
              </w:rPr>
              <w:t>3.33kg</w:t>
            </w:r>
            <w:r>
              <w:rPr>
                <w:rFonts w:eastAsia="TimesNewRomanPSMT"/>
                <w:color w:val="auto"/>
                <w:kern w:val="0"/>
              </w:rPr>
              <w:t>/d</w:t>
            </w:r>
            <w:r>
              <w:rPr>
                <w:rFonts w:hint="eastAsia"/>
                <w:color w:val="auto"/>
                <w:kern w:val="0"/>
              </w:rPr>
              <w:t>，</w:t>
            </w:r>
            <w:r>
              <w:rPr>
                <w:rFonts w:hint="eastAsia"/>
                <w:color w:val="auto"/>
              </w:rPr>
              <w:t>为保证车间的空气环境，建设单位拟在</w:t>
            </w:r>
            <w:r>
              <w:rPr>
                <w:rFonts w:hint="eastAsia"/>
                <w:color w:val="auto"/>
                <w:lang w:val="en-US" w:eastAsia="zh-CN"/>
              </w:rPr>
              <w:t>生产线</w:t>
            </w:r>
            <w:r>
              <w:rPr>
                <w:rFonts w:hint="eastAsia"/>
                <w:color w:val="auto"/>
              </w:rPr>
              <w:t>上方分别设置油烟集气罩，抽排风量按20000m</w:t>
            </w:r>
            <w:r>
              <w:rPr>
                <w:rFonts w:hint="eastAsia"/>
                <w:color w:val="auto"/>
                <w:vertAlign w:val="superscript"/>
              </w:rPr>
              <w:t>3</w:t>
            </w:r>
            <w:r>
              <w:rPr>
                <w:rFonts w:hint="eastAsia"/>
                <w:color w:val="auto"/>
              </w:rPr>
              <w:t>/h计算，</w:t>
            </w:r>
            <w:r>
              <w:rPr>
                <w:rFonts w:hint="eastAsia"/>
                <w:color w:val="auto"/>
                <w:lang w:val="en-US" w:eastAsia="zh-CN"/>
              </w:rPr>
              <w:t>共</w:t>
            </w:r>
            <w:r>
              <w:rPr>
                <w:rFonts w:hint="eastAsia"/>
                <w:color w:val="auto"/>
              </w:rPr>
              <w:t>设置</w:t>
            </w:r>
            <w:r>
              <w:rPr>
                <w:rFonts w:hint="eastAsia"/>
                <w:color w:val="auto"/>
                <w:lang w:val="en-US" w:eastAsia="zh-CN"/>
              </w:rPr>
              <w:t>4</w:t>
            </w:r>
            <w:r>
              <w:rPr>
                <w:rFonts w:hint="eastAsia"/>
                <w:color w:val="auto"/>
              </w:rPr>
              <w:t>套“高效静电除油净化装置”分别收集红烧肉、小酥肉生产过程油炸工序产生的油烟废气，</w:t>
            </w:r>
            <w:r>
              <w:rPr>
                <w:color w:val="auto"/>
              </w:rPr>
              <w:t>处理后通过不低于</w:t>
            </w:r>
            <w:r>
              <w:rPr>
                <w:rFonts w:hint="eastAsia"/>
                <w:color w:val="auto"/>
              </w:rPr>
              <w:t>18m排气筒</w:t>
            </w:r>
            <w:r>
              <w:rPr>
                <w:color w:val="auto"/>
              </w:rPr>
              <w:t>排放</w:t>
            </w:r>
            <w:r>
              <w:rPr>
                <w:rFonts w:hint="eastAsia"/>
                <w:color w:val="auto"/>
              </w:rPr>
              <w:t>。</w:t>
            </w:r>
          </w:p>
          <w:p>
            <w:pPr>
              <w:ind w:firstLine="480"/>
              <w:rPr>
                <w:bCs/>
                <w:color w:val="auto"/>
              </w:rPr>
            </w:pPr>
            <w:r>
              <w:rPr>
                <w:color w:val="auto"/>
                <w:kern w:val="0"/>
              </w:rPr>
              <w:t>油烟平均去除率按</w:t>
            </w:r>
            <w:r>
              <w:rPr>
                <w:rFonts w:hint="eastAsia"/>
                <w:color w:val="auto"/>
                <w:kern w:val="0"/>
              </w:rPr>
              <w:t>95</w:t>
            </w:r>
            <w:r>
              <w:rPr>
                <w:rFonts w:eastAsia="TimesNewRomanPSMT"/>
                <w:color w:val="auto"/>
                <w:kern w:val="0"/>
              </w:rPr>
              <w:t>%</w:t>
            </w:r>
            <w:r>
              <w:rPr>
                <w:color w:val="auto"/>
                <w:kern w:val="0"/>
              </w:rPr>
              <w:t>计，风量设置为</w:t>
            </w:r>
            <w:r>
              <w:rPr>
                <w:rFonts w:hint="eastAsia"/>
                <w:color w:val="auto"/>
                <w:kern w:val="0"/>
              </w:rPr>
              <w:t>20</w:t>
            </w:r>
            <w:r>
              <w:rPr>
                <w:color w:val="auto"/>
                <w:kern w:val="0"/>
              </w:rPr>
              <w:t>000m</w:t>
            </w:r>
            <w:r>
              <w:rPr>
                <w:color w:val="auto"/>
                <w:kern w:val="0"/>
                <w:vertAlign w:val="superscript"/>
              </w:rPr>
              <w:t>3</w:t>
            </w:r>
            <w:r>
              <w:rPr>
                <w:color w:val="auto"/>
                <w:kern w:val="0"/>
              </w:rPr>
              <w:t>/h，油烟经油烟净化装置处理后经</w:t>
            </w:r>
            <w:r>
              <w:rPr>
                <w:rFonts w:hint="eastAsia"/>
                <w:color w:val="auto"/>
              </w:rPr>
              <w:t>18m排气筒</w:t>
            </w:r>
            <w:r>
              <w:rPr>
                <w:color w:val="auto"/>
                <w:kern w:val="0"/>
              </w:rPr>
              <w:t>排放</w:t>
            </w:r>
            <w:r>
              <w:rPr>
                <w:rFonts w:hint="eastAsia"/>
                <w:color w:val="auto"/>
                <w:kern w:val="0"/>
              </w:rPr>
              <w:t>，</w:t>
            </w:r>
            <w:r>
              <w:rPr>
                <w:color w:val="auto"/>
              </w:rPr>
              <w:t>工作时间按</w:t>
            </w:r>
            <w:r>
              <w:rPr>
                <w:rFonts w:hint="eastAsia"/>
                <w:color w:val="auto"/>
              </w:rPr>
              <w:t>10</w:t>
            </w:r>
            <w:r>
              <w:rPr>
                <w:color w:val="auto"/>
              </w:rPr>
              <w:t>h/d计算，则经过油烟净化器处理后排放量为</w:t>
            </w:r>
            <w:r>
              <w:rPr>
                <w:rFonts w:hint="eastAsia"/>
                <w:color w:val="auto"/>
              </w:rPr>
              <w:t>0.16</w:t>
            </w:r>
            <w:r>
              <w:rPr>
                <w:rFonts w:hint="eastAsia"/>
                <w:color w:val="auto"/>
                <w:kern w:val="0"/>
              </w:rPr>
              <w:t>kg</w:t>
            </w:r>
            <w:r>
              <w:rPr>
                <w:rFonts w:eastAsia="TimesNewRomanPSMT"/>
                <w:color w:val="auto"/>
                <w:kern w:val="0"/>
              </w:rPr>
              <w:t>/d</w:t>
            </w:r>
            <w:r>
              <w:rPr>
                <w:color w:val="auto"/>
              </w:rPr>
              <w:t>，排放浓度为0.</w:t>
            </w:r>
            <w:r>
              <w:rPr>
                <w:rFonts w:hint="eastAsia"/>
                <w:color w:val="auto"/>
              </w:rPr>
              <w:t>80</w:t>
            </w:r>
            <w:r>
              <w:rPr>
                <w:rFonts w:eastAsia="TimesNewRomanPSMT"/>
                <w:color w:val="auto"/>
              </w:rPr>
              <w:t>mg/m</w:t>
            </w:r>
            <w:r>
              <w:rPr>
                <w:rFonts w:eastAsia="TimesNewRomanPSMT"/>
                <w:color w:val="auto"/>
                <w:vertAlign w:val="superscript"/>
              </w:rPr>
              <w:t>3</w:t>
            </w:r>
            <w:r>
              <w:rPr>
                <w:color w:val="auto"/>
              </w:rPr>
              <w:t>，油烟排放浓度满足《饮食业油烟排放标准（试行）》（</w:t>
            </w:r>
            <w:r>
              <w:rPr>
                <w:rFonts w:eastAsia="TimesNewRomanPSMT"/>
                <w:color w:val="auto"/>
              </w:rPr>
              <w:t>GB18483</w:t>
            </w:r>
            <w:r>
              <w:rPr>
                <w:color w:val="auto"/>
              </w:rPr>
              <w:t>-</w:t>
            </w:r>
            <w:r>
              <w:rPr>
                <w:rFonts w:eastAsia="TimesNewRomanPSMT"/>
                <w:color w:val="auto"/>
              </w:rPr>
              <w:t>2001</w:t>
            </w:r>
            <w:r>
              <w:rPr>
                <w:color w:val="auto"/>
              </w:rPr>
              <w:t>）中油烟的最高允许排放浓度标准（</w:t>
            </w:r>
            <w:r>
              <w:rPr>
                <w:rFonts w:eastAsia="TimesNewRomanPSMT"/>
                <w:color w:val="auto"/>
              </w:rPr>
              <w:t>2.0mg/m</w:t>
            </w:r>
            <w:r>
              <w:rPr>
                <w:rFonts w:eastAsia="TimesNewRomanPSMT"/>
                <w:color w:val="auto"/>
                <w:vertAlign w:val="superscript"/>
              </w:rPr>
              <w:t>3</w:t>
            </w:r>
            <w:r>
              <w:rPr>
                <w:color w:val="auto"/>
              </w:rPr>
              <w:t>）。</w:t>
            </w:r>
          </w:p>
          <w:p>
            <w:pPr>
              <w:ind w:firstLine="480"/>
              <w:rPr>
                <w:color w:val="auto"/>
              </w:rPr>
            </w:pPr>
            <w:r>
              <w:rPr>
                <w:rFonts w:hint="eastAsia"/>
                <w:color w:val="auto"/>
              </w:rPr>
              <w:t>高效静电除油净化装置工作原理：内部装有独特的油类碰吸单元，油烟经过净化器，在高压等离子电场的作用下，对流经净化器的油烟进行电离分解，形成微小荷电的油粒以及烟、尘、水粒子，在经过异极性的平板集尘器时被吸收，最后沉积到净化器的底部储油箱内并经导管排出。同时，由于电晕放电产生的臭氧，具有杀菌除异味作用，这样使油烟得到充分净化，该类型油烟净化器设备说明可知油烟去除率达到95</w:t>
            </w:r>
            <w:r>
              <w:rPr>
                <w:color w:val="auto"/>
              </w:rPr>
              <w:t>%</w:t>
            </w:r>
            <w:r>
              <w:rPr>
                <w:rFonts w:hint="eastAsia"/>
                <w:color w:val="auto"/>
              </w:rPr>
              <w:t>以上，洁净的空气经出风口排出，达标排放。</w:t>
            </w:r>
          </w:p>
          <w:p>
            <w:pPr>
              <w:ind w:firstLine="482"/>
              <w:rPr>
                <w:b/>
                <w:bCs/>
                <w:color w:val="auto"/>
              </w:rPr>
            </w:pPr>
            <w:r>
              <w:rPr>
                <w:rFonts w:hint="eastAsia"/>
                <w:b/>
                <w:bCs/>
                <w:color w:val="auto"/>
              </w:rPr>
              <w:t>污水处理站恶臭气体（G</w:t>
            </w:r>
            <w:r>
              <w:rPr>
                <w:rFonts w:hint="eastAsia"/>
                <w:b/>
                <w:bCs/>
                <w:color w:val="auto"/>
                <w:vertAlign w:val="subscript"/>
              </w:rPr>
              <w:t>3</w:t>
            </w:r>
            <w:r>
              <w:rPr>
                <w:rFonts w:hint="eastAsia"/>
                <w:b/>
                <w:bCs/>
                <w:color w:val="auto"/>
              </w:rPr>
              <w:t>）</w:t>
            </w:r>
          </w:p>
          <w:p>
            <w:pPr>
              <w:ind w:firstLine="480"/>
              <w:rPr>
                <w:color w:val="auto"/>
              </w:rPr>
            </w:pPr>
            <w:r>
              <w:rPr>
                <w:rFonts w:hint="eastAsia"/>
                <w:color w:val="auto"/>
              </w:rPr>
              <w:t>拟建</w:t>
            </w:r>
            <w:r>
              <w:rPr>
                <w:color w:val="auto"/>
              </w:rPr>
              <w:t>项目污水处理站运行期间，调节池</w:t>
            </w:r>
            <w:r>
              <w:rPr>
                <w:rFonts w:hint="eastAsia"/>
                <w:color w:val="auto"/>
              </w:rPr>
              <w:t>、沉淀池、</w:t>
            </w:r>
            <w:r>
              <w:rPr>
                <w:color w:val="auto"/>
              </w:rPr>
              <w:t>A</w:t>
            </w:r>
            <w:r>
              <w:rPr>
                <w:rFonts w:hint="eastAsia"/>
                <w:color w:val="auto"/>
              </w:rPr>
              <w:t>/</w:t>
            </w:r>
            <w:r>
              <w:rPr>
                <w:color w:val="auto"/>
              </w:rPr>
              <w:t>O</w:t>
            </w:r>
            <w:r>
              <w:rPr>
                <w:rFonts w:hint="eastAsia"/>
                <w:color w:val="auto"/>
              </w:rPr>
              <w:t>工序、</w:t>
            </w:r>
            <w:r>
              <w:rPr>
                <w:color w:val="auto"/>
              </w:rPr>
              <w:t>污泥浓缩池等会产生恶臭，恶臭气体主要污染物是硫化氢和氨。根据污水处理设施的设计</w:t>
            </w:r>
            <w:r>
              <w:rPr>
                <w:rFonts w:hint="eastAsia"/>
                <w:color w:val="auto"/>
              </w:rPr>
              <w:t>处理能力</w:t>
            </w:r>
            <w:r>
              <w:rPr>
                <w:color w:val="auto"/>
              </w:rPr>
              <w:t>，通常情况下的废气排放：H</w:t>
            </w:r>
            <w:r>
              <w:rPr>
                <w:color w:val="auto"/>
                <w:vertAlign w:val="subscript"/>
              </w:rPr>
              <w:t>2</w:t>
            </w:r>
            <w:r>
              <w:rPr>
                <w:color w:val="auto"/>
              </w:rPr>
              <w:t>S</w:t>
            </w:r>
            <w:r>
              <w:rPr>
                <w:rFonts w:hint="eastAsia"/>
                <w:color w:val="auto"/>
              </w:rPr>
              <w:t>约</w:t>
            </w:r>
            <w:r>
              <w:rPr>
                <w:color w:val="auto"/>
              </w:rPr>
              <w:t>为0.0074kg/h，0.059t/a；NH</w:t>
            </w:r>
            <w:r>
              <w:rPr>
                <w:color w:val="auto"/>
                <w:vertAlign w:val="subscript"/>
              </w:rPr>
              <w:t>3</w:t>
            </w:r>
            <w:r>
              <w:rPr>
                <w:color w:val="auto"/>
              </w:rPr>
              <w:t>产生量为0.0693kg/h，0.549t/a</w:t>
            </w:r>
            <w:r>
              <w:rPr>
                <w:rFonts w:hint="eastAsia"/>
                <w:color w:val="auto"/>
              </w:rPr>
              <w:t>；</w:t>
            </w:r>
            <w:r>
              <w:rPr>
                <w:color w:val="auto"/>
              </w:rPr>
              <w:t>详细情况见下表：</w:t>
            </w:r>
          </w:p>
          <w:p>
            <w:pPr>
              <w:pStyle w:val="11"/>
              <w:jc w:val="center"/>
              <w:rPr>
                <w:b/>
                <w:bCs/>
                <w:color w:val="auto"/>
              </w:rPr>
            </w:pPr>
            <w:r>
              <w:rPr>
                <w:b/>
                <w:bCs/>
                <w:color w:val="auto"/>
              </w:rPr>
              <w:t>表4-</w:t>
            </w:r>
            <w:r>
              <w:rPr>
                <w:rFonts w:hint="eastAsia"/>
                <w:b/>
                <w:bCs/>
                <w:color w:val="auto"/>
              </w:rPr>
              <w:t>2</w:t>
            </w:r>
            <w:r>
              <w:rPr>
                <w:b/>
                <w:bCs/>
                <w:color w:val="auto"/>
              </w:rPr>
              <w:t xml:space="preserve"> </w:t>
            </w:r>
            <w:r>
              <w:rPr>
                <w:rFonts w:hint="eastAsia"/>
                <w:b/>
                <w:bCs/>
                <w:color w:val="auto"/>
              </w:rPr>
              <w:t xml:space="preserve"> </w:t>
            </w:r>
            <w:r>
              <w:rPr>
                <w:b/>
                <w:bCs/>
                <w:color w:val="auto"/>
              </w:rPr>
              <w:t>项目污水处理站恶臭气体产生工序及主要污染物</w:t>
            </w:r>
          </w:p>
          <w:tbl>
            <w:tblPr>
              <w:tblStyle w:val="6"/>
              <w:tblW w:w="4998"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78"/>
              <w:gridCol w:w="1706"/>
              <w:gridCol w:w="1582"/>
              <w:gridCol w:w="1687"/>
              <w:gridCol w:w="167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2" w:type="pct"/>
                  <w:tcBorders>
                    <w:tl2br w:val="nil"/>
                    <w:tr2bl w:val="nil"/>
                  </w:tcBorders>
                  <w:vAlign w:val="center"/>
                </w:tcPr>
                <w:p>
                  <w:pPr>
                    <w:pStyle w:val="11"/>
                    <w:jc w:val="center"/>
                    <w:rPr>
                      <w:b/>
                      <w:bCs/>
                      <w:color w:val="auto"/>
                    </w:rPr>
                  </w:pPr>
                  <w:r>
                    <w:rPr>
                      <w:b/>
                      <w:bCs/>
                      <w:color w:val="auto"/>
                    </w:rPr>
                    <w:t>序号</w:t>
                  </w:r>
                </w:p>
              </w:tc>
              <w:tc>
                <w:tcPr>
                  <w:tcW w:w="836" w:type="pct"/>
                  <w:tcBorders>
                    <w:tl2br w:val="nil"/>
                    <w:tr2bl w:val="nil"/>
                  </w:tcBorders>
                  <w:vAlign w:val="center"/>
                </w:tcPr>
                <w:p>
                  <w:pPr>
                    <w:pStyle w:val="11"/>
                    <w:jc w:val="center"/>
                    <w:rPr>
                      <w:b/>
                      <w:bCs/>
                      <w:color w:val="auto"/>
                    </w:rPr>
                  </w:pPr>
                  <w:r>
                    <w:rPr>
                      <w:b/>
                      <w:bCs/>
                      <w:color w:val="auto"/>
                    </w:rPr>
                    <w:t>工段名称</w:t>
                  </w:r>
                </w:p>
              </w:tc>
              <w:tc>
                <w:tcPr>
                  <w:tcW w:w="965" w:type="pct"/>
                  <w:tcBorders>
                    <w:tl2br w:val="nil"/>
                    <w:tr2bl w:val="nil"/>
                  </w:tcBorders>
                  <w:vAlign w:val="center"/>
                </w:tcPr>
                <w:p>
                  <w:pPr>
                    <w:pStyle w:val="11"/>
                    <w:jc w:val="center"/>
                    <w:rPr>
                      <w:b/>
                      <w:bCs/>
                      <w:color w:val="auto"/>
                    </w:rPr>
                  </w:pPr>
                  <w:r>
                    <w:rPr>
                      <w:b/>
                      <w:bCs/>
                      <w:color w:val="auto"/>
                    </w:rPr>
                    <w:t>工序名称</w:t>
                  </w:r>
                </w:p>
              </w:tc>
              <w:tc>
                <w:tcPr>
                  <w:tcW w:w="895" w:type="pct"/>
                  <w:tcBorders>
                    <w:tl2br w:val="nil"/>
                    <w:tr2bl w:val="nil"/>
                  </w:tcBorders>
                  <w:vAlign w:val="center"/>
                </w:tcPr>
                <w:p>
                  <w:pPr>
                    <w:pStyle w:val="11"/>
                    <w:jc w:val="center"/>
                    <w:rPr>
                      <w:b/>
                      <w:bCs/>
                      <w:color w:val="auto"/>
                    </w:rPr>
                  </w:pPr>
                  <w:r>
                    <w:rPr>
                      <w:b/>
                      <w:bCs/>
                      <w:color w:val="auto"/>
                    </w:rPr>
                    <w:t>主要污染物</w:t>
                  </w:r>
                </w:p>
              </w:tc>
              <w:tc>
                <w:tcPr>
                  <w:tcW w:w="954" w:type="pct"/>
                  <w:tcBorders>
                    <w:tl2br w:val="nil"/>
                    <w:tr2bl w:val="nil"/>
                  </w:tcBorders>
                  <w:vAlign w:val="center"/>
                </w:tcPr>
                <w:p>
                  <w:pPr>
                    <w:pStyle w:val="11"/>
                    <w:jc w:val="center"/>
                    <w:rPr>
                      <w:b/>
                      <w:bCs/>
                      <w:color w:val="auto"/>
                    </w:rPr>
                  </w:pPr>
                  <w:r>
                    <w:rPr>
                      <w:b/>
                      <w:bCs/>
                      <w:color w:val="auto"/>
                    </w:rPr>
                    <w:t>排放量</w:t>
                  </w:r>
                </w:p>
              </w:tc>
              <w:tc>
                <w:tcPr>
                  <w:tcW w:w="945" w:type="pct"/>
                  <w:tcBorders>
                    <w:tl2br w:val="nil"/>
                    <w:tr2bl w:val="nil"/>
                  </w:tcBorders>
                  <w:vAlign w:val="center"/>
                </w:tcPr>
                <w:p>
                  <w:pPr>
                    <w:pStyle w:val="11"/>
                    <w:jc w:val="center"/>
                    <w:rPr>
                      <w:b/>
                      <w:bCs/>
                      <w:color w:val="auto"/>
                    </w:rPr>
                  </w:pPr>
                  <w:r>
                    <w:rPr>
                      <w:b/>
                      <w:bCs/>
                      <w:color w:val="auto"/>
                    </w:rPr>
                    <w:t>排放速率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2" w:type="pct"/>
                  <w:vMerge w:val="restart"/>
                  <w:tcBorders>
                    <w:tl2br w:val="nil"/>
                    <w:tr2bl w:val="nil"/>
                  </w:tcBorders>
                  <w:noWrap/>
                  <w:vAlign w:val="center"/>
                </w:tcPr>
                <w:p>
                  <w:pPr>
                    <w:pStyle w:val="11"/>
                    <w:jc w:val="center"/>
                    <w:rPr>
                      <w:color w:val="auto"/>
                    </w:rPr>
                  </w:pPr>
                  <w:r>
                    <w:rPr>
                      <w:color w:val="auto"/>
                    </w:rPr>
                    <w:t>1</w:t>
                  </w:r>
                </w:p>
              </w:tc>
              <w:tc>
                <w:tcPr>
                  <w:tcW w:w="836" w:type="pct"/>
                  <w:vMerge w:val="restart"/>
                  <w:tcBorders>
                    <w:tl2br w:val="nil"/>
                    <w:tr2bl w:val="nil"/>
                  </w:tcBorders>
                  <w:noWrap/>
                  <w:vAlign w:val="center"/>
                </w:tcPr>
                <w:p>
                  <w:pPr>
                    <w:pStyle w:val="11"/>
                    <w:jc w:val="center"/>
                    <w:rPr>
                      <w:color w:val="auto"/>
                    </w:rPr>
                  </w:pPr>
                  <w:r>
                    <w:rPr>
                      <w:color w:val="auto"/>
                    </w:rPr>
                    <w:t>废水处理</w:t>
                  </w:r>
                </w:p>
              </w:tc>
              <w:tc>
                <w:tcPr>
                  <w:tcW w:w="965" w:type="pct"/>
                  <w:vMerge w:val="restart"/>
                  <w:tcBorders>
                    <w:tl2br w:val="nil"/>
                    <w:tr2bl w:val="nil"/>
                  </w:tcBorders>
                  <w:noWrap/>
                  <w:vAlign w:val="center"/>
                </w:tcPr>
                <w:p>
                  <w:pPr>
                    <w:pStyle w:val="11"/>
                    <w:jc w:val="center"/>
                    <w:rPr>
                      <w:color w:val="auto"/>
                    </w:rPr>
                  </w:pPr>
                  <w:r>
                    <w:rPr>
                      <w:color w:val="auto"/>
                    </w:rPr>
                    <w:t>污水处理站</w:t>
                  </w:r>
                </w:p>
              </w:tc>
              <w:tc>
                <w:tcPr>
                  <w:tcW w:w="895" w:type="pct"/>
                  <w:tcBorders>
                    <w:tl2br w:val="nil"/>
                    <w:tr2bl w:val="nil"/>
                  </w:tcBorders>
                  <w:noWrap/>
                  <w:vAlign w:val="center"/>
                </w:tcPr>
                <w:p>
                  <w:pPr>
                    <w:pStyle w:val="11"/>
                    <w:jc w:val="center"/>
                    <w:rPr>
                      <w:color w:val="auto"/>
                    </w:rPr>
                  </w:pPr>
                  <w:r>
                    <w:rPr>
                      <w:color w:val="auto"/>
                    </w:rPr>
                    <w:t>NH</w:t>
                  </w:r>
                  <w:r>
                    <w:rPr>
                      <w:color w:val="auto"/>
                      <w:vertAlign w:val="subscript"/>
                    </w:rPr>
                    <w:t>3</w:t>
                  </w:r>
                </w:p>
              </w:tc>
              <w:tc>
                <w:tcPr>
                  <w:tcW w:w="954" w:type="pct"/>
                  <w:tcBorders>
                    <w:tl2br w:val="nil"/>
                    <w:tr2bl w:val="nil"/>
                  </w:tcBorders>
                  <w:noWrap/>
                  <w:vAlign w:val="center"/>
                </w:tcPr>
                <w:p>
                  <w:pPr>
                    <w:pStyle w:val="11"/>
                    <w:jc w:val="center"/>
                    <w:rPr>
                      <w:color w:val="auto"/>
                    </w:rPr>
                  </w:pPr>
                  <w:r>
                    <w:rPr>
                      <w:color w:val="auto"/>
                    </w:rPr>
                    <w:t>0.549t/a</w:t>
                  </w:r>
                </w:p>
              </w:tc>
              <w:tc>
                <w:tcPr>
                  <w:tcW w:w="945" w:type="pct"/>
                  <w:tcBorders>
                    <w:tl2br w:val="nil"/>
                    <w:tr2bl w:val="nil"/>
                  </w:tcBorders>
                  <w:noWrap/>
                  <w:vAlign w:val="center"/>
                </w:tcPr>
                <w:p>
                  <w:pPr>
                    <w:pStyle w:val="11"/>
                    <w:jc w:val="center"/>
                    <w:rPr>
                      <w:color w:val="auto"/>
                    </w:rPr>
                  </w:pPr>
                  <w:r>
                    <w:rPr>
                      <w:color w:val="auto"/>
                    </w:rPr>
                    <w:t>0.0693kg/h</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2" w:type="pct"/>
                  <w:vMerge w:val="continue"/>
                  <w:tcBorders>
                    <w:tl2br w:val="nil"/>
                    <w:tr2bl w:val="nil"/>
                  </w:tcBorders>
                  <w:noWrap/>
                  <w:vAlign w:val="center"/>
                </w:tcPr>
                <w:p>
                  <w:pPr>
                    <w:pStyle w:val="11"/>
                    <w:jc w:val="center"/>
                    <w:rPr>
                      <w:color w:val="auto"/>
                    </w:rPr>
                  </w:pPr>
                </w:p>
              </w:tc>
              <w:tc>
                <w:tcPr>
                  <w:tcW w:w="836" w:type="pct"/>
                  <w:vMerge w:val="continue"/>
                  <w:tcBorders>
                    <w:tl2br w:val="nil"/>
                    <w:tr2bl w:val="nil"/>
                  </w:tcBorders>
                  <w:vAlign w:val="center"/>
                </w:tcPr>
                <w:p>
                  <w:pPr>
                    <w:pStyle w:val="11"/>
                    <w:jc w:val="center"/>
                    <w:rPr>
                      <w:color w:val="auto"/>
                    </w:rPr>
                  </w:pPr>
                </w:p>
              </w:tc>
              <w:tc>
                <w:tcPr>
                  <w:tcW w:w="965" w:type="pct"/>
                  <w:vMerge w:val="continue"/>
                  <w:tcBorders>
                    <w:tl2br w:val="nil"/>
                    <w:tr2bl w:val="nil"/>
                  </w:tcBorders>
                  <w:noWrap/>
                  <w:vAlign w:val="center"/>
                </w:tcPr>
                <w:p>
                  <w:pPr>
                    <w:pStyle w:val="11"/>
                    <w:jc w:val="center"/>
                    <w:rPr>
                      <w:color w:val="auto"/>
                    </w:rPr>
                  </w:pPr>
                </w:p>
              </w:tc>
              <w:tc>
                <w:tcPr>
                  <w:tcW w:w="895" w:type="pct"/>
                  <w:tcBorders>
                    <w:tl2br w:val="nil"/>
                    <w:tr2bl w:val="nil"/>
                  </w:tcBorders>
                  <w:noWrap/>
                  <w:vAlign w:val="center"/>
                </w:tcPr>
                <w:p>
                  <w:pPr>
                    <w:pStyle w:val="11"/>
                    <w:jc w:val="center"/>
                    <w:rPr>
                      <w:color w:val="auto"/>
                    </w:rPr>
                  </w:pPr>
                  <w:r>
                    <w:rPr>
                      <w:color w:val="auto"/>
                    </w:rPr>
                    <w:t>H</w:t>
                  </w:r>
                  <w:r>
                    <w:rPr>
                      <w:color w:val="auto"/>
                      <w:vertAlign w:val="subscript"/>
                    </w:rPr>
                    <w:t>2</w:t>
                  </w:r>
                  <w:r>
                    <w:rPr>
                      <w:color w:val="auto"/>
                    </w:rPr>
                    <w:t>S</w:t>
                  </w:r>
                </w:p>
              </w:tc>
              <w:tc>
                <w:tcPr>
                  <w:tcW w:w="954" w:type="pct"/>
                  <w:tcBorders>
                    <w:tl2br w:val="nil"/>
                    <w:tr2bl w:val="nil"/>
                  </w:tcBorders>
                  <w:noWrap/>
                  <w:vAlign w:val="center"/>
                </w:tcPr>
                <w:p>
                  <w:pPr>
                    <w:pStyle w:val="11"/>
                    <w:jc w:val="center"/>
                    <w:rPr>
                      <w:color w:val="auto"/>
                    </w:rPr>
                  </w:pPr>
                  <w:r>
                    <w:rPr>
                      <w:color w:val="auto"/>
                    </w:rPr>
                    <w:t>0.059t/a</w:t>
                  </w:r>
                </w:p>
              </w:tc>
              <w:tc>
                <w:tcPr>
                  <w:tcW w:w="945" w:type="pct"/>
                  <w:tcBorders>
                    <w:tl2br w:val="nil"/>
                    <w:tr2bl w:val="nil"/>
                  </w:tcBorders>
                  <w:noWrap/>
                  <w:vAlign w:val="center"/>
                </w:tcPr>
                <w:p>
                  <w:pPr>
                    <w:pStyle w:val="11"/>
                    <w:jc w:val="center"/>
                    <w:rPr>
                      <w:color w:val="auto"/>
                    </w:rPr>
                  </w:pPr>
                  <w:r>
                    <w:rPr>
                      <w:color w:val="auto"/>
                    </w:rPr>
                    <w:t>0.0074kg/h</w:t>
                  </w:r>
                </w:p>
              </w:tc>
            </w:tr>
          </w:tbl>
          <w:p>
            <w:pPr>
              <w:ind w:firstLine="480"/>
              <w:rPr>
                <w:color w:val="auto"/>
              </w:rPr>
            </w:pPr>
            <w:r>
              <w:rPr>
                <w:color w:val="auto"/>
              </w:rPr>
              <w:t>项目污水处理站采用地埋式，定期清理栅渣</w:t>
            </w:r>
            <w:r>
              <w:rPr>
                <w:rFonts w:hint="eastAsia"/>
                <w:color w:val="auto"/>
              </w:rPr>
              <w:t>、</w:t>
            </w:r>
            <w:r>
              <w:rPr>
                <w:color w:val="auto"/>
              </w:rPr>
              <w:t>接触氧化池</w:t>
            </w:r>
            <w:r>
              <w:rPr>
                <w:rFonts w:hint="eastAsia"/>
                <w:color w:val="auto"/>
              </w:rPr>
              <w:t>、</w:t>
            </w:r>
            <w:r>
              <w:rPr>
                <w:color w:val="auto"/>
              </w:rPr>
              <w:t>污泥池等污泥，污水处理构筑物采用全封闭式，池</w:t>
            </w:r>
            <w:r>
              <w:rPr>
                <w:rFonts w:hint="eastAsia"/>
                <w:color w:val="auto"/>
              </w:rPr>
              <w:t>体</w:t>
            </w:r>
            <w:r>
              <w:rPr>
                <w:color w:val="auto"/>
              </w:rPr>
              <w:t>上部</w:t>
            </w:r>
            <w:r>
              <w:rPr>
                <w:rFonts w:hint="eastAsia"/>
                <w:color w:val="auto"/>
              </w:rPr>
              <w:t>设置</w:t>
            </w:r>
            <w:r>
              <w:rPr>
                <w:color w:val="auto"/>
              </w:rPr>
              <w:t>恶臭气体</w:t>
            </w:r>
            <w:r>
              <w:rPr>
                <w:rFonts w:hint="eastAsia"/>
                <w:color w:val="auto"/>
              </w:rPr>
              <w:t>导排孔，</w:t>
            </w:r>
            <w:r>
              <w:rPr>
                <w:color w:val="auto"/>
              </w:rPr>
              <w:t>恶臭气体</w:t>
            </w:r>
            <w:r>
              <w:rPr>
                <w:rFonts w:hint="eastAsia"/>
                <w:color w:val="auto"/>
              </w:rPr>
              <w:t>经</w:t>
            </w:r>
            <w:r>
              <w:rPr>
                <w:color w:val="auto"/>
              </w:rPr>
              <w:t>专用管道引入地表</w:t>
            </w:r>
            <w:r>
              <w:rPr>
                <w:rFonts w:hint="eastAsia"/>
                <w:color w:val="auto"/>
              </w:rPr>
              <w:t>绿化带</w:t>
            </w:r>
            <w:r>
              <w:rPr>
                <w:color w:val="auto"/>
              </w:rPr>
              <w:t>排放</w:t>
            </w:r>
            <w:r>
              <w:rPr>
                <w:rFonts w:hint="eastAsia"/>
                <w:color w:val="auto"/>
              </w:rPr>
              <w:t>；</w:t>
            </w:r>
            <w:r>
              <w:rPr>
                <w:color w:val="auto"/>
              </w:rPr>
              <w:t>污水处理站周围种植</w:t>
            </w:r>
            <w:r>
              <w:rPr>
                <w:rFonts w:hint="eastAsia"/>
                <w:color w:val="auto"/>
              </w:rPr>
              <w:t>低矮灌丛</w:t>
            </w:r>
            <w:r>
              <w:rPr>
                <w:color w:val="auto"/>
              </w:rPr>
              <w:t>吸收恶臭气体，加强对污水处理站的管理等措施，从而控制异味对周边环境以及厂区的影响。</w:t>
            </w:r>
          </w:p>
          <w:p>
            <w:pPr>
              <w:ind w:firstLine="482"/>
              <w:rPr>
                <w:b/>
                <w:bCs/>
                <w:color w:val="auto"/>
                <w:szCs w:val="20"/>
              </w:rPr>
            </w:pPr>
            <w:r>
              <w:rPr>
                <w:rFonts w:hint="eastAsia"/>
                <w:b/>
                <w:bCs/>
                <w:color w:val="auto"/>
                <w:szCs w:val="20"/>
              </w:rPr>
              <w:t>卫生防护距离</w:t>
            </w:r>
          </w:p>
          <w:p>
            <w:pPr>
              <w:ind w:firstLine="480"/>
              <w:rPr>
                <w:color w:val="auto"/>
                <w:szCs w:val="20"/>
              </w:rPr>
            </w:pPr>
            <w:r>
              <w:rPr>
                <w:rFonts w:hint="eastAsia"/>
                <w:color w:val="auto"/>
                <w:szCs w:val="20"/>
              </w:rPr>
              <w:t>参考《大气有害物质无组织排放卫生防护距离推导技术导则》（GB39499-2020）等相关内容，本项目</w:t>
            </w:r>
            <w:r>
              <w:rPr>
                <w:color w:val="auto"/>
                <w:szCs w:val="20"/>
              </w:rPr>
              <w:t>以无组织排放源所在的污水处理设施边界为中心，计算本项目无组织排放源的卫生防护距离。</w:t>
            </w:r>
          </w:p>
          <w:p>
            <w:pPr>
              <w:ind w:left="480" w:leftChars="200" w:firstLine="0" w:firstLineChars="0"/>
              <w:rPr>
                <w:color w:val="auto"/>
                <w:szCs w:val="20"/>
              </w:rPr>
            </w:pPr>
            <w:r>
              <w:rPr>
                <w:rFonts w:hint="eastAsia"/>
                <w:color w:val="auto"/>
                <w:szCs w:val="20"/>
              </w:rPr>
              <w:t>①</w:t>
            </w:r>
            <w:r>
              <w:rPr>
                <w:color w:val="auto"/>
                <w:szCs w:val="20"/>
              </w:rPr>
              <w:t>计算公式</w:t>
            </w:r>
          </w:p>
          <w:p>
            <w:pPr>
              <w:ind w:firstLine="480"/>
              <w:rPr>
                <w:color w:val="auto"/>
                <w:szCs w:val="20"/>
              </w:rPr>
            </w:pPr>
            <w:r>
              <w:rPr>
                <w:color w:val="auto"/>
                <w:szCs w:val="20"/>
              </w:rPr>
              <w:t>工业企业卫生防护距离可按下式计算：</w:t>
            </w:r>
          </w:p>
          <w:p>
            <w:pPr>
              <w:ind w:firstLine="480"/>
              <w:jc w:val="center"/>
              <w:rPr>
                <w:color w:val="auto"/>
                <w:szCs w:val="20"/>
              </w:rPr>
            </w:pPr>
            <w:r>
              <w:rPr>
                <w:color w:val="auto"/>
                <w:szCs w:val="20"/>
              </w:rPr>
              <w:object>
                <v:shape id="_x0000_i1032" o:spt="75" type="#_x0000_t75" style="height:36pt;width:144pt;" o:ole="t" filled="f" coordsize="21600,21600">
                  <v:path/>
                  <v:fill on="f" focussize="0,0"/>
                  <v:stroke/>
                  <v:imagedata r:id="rId39" o:title=""/>
                  <o:lock v:ext="edit" aspectratio="t"/>
                  <w10:wrap type="none"/>
                  <w10:anchorlock/>
                </v:shape>
                <o:OLEObject Type="Embed" ProgID="Equation.3" ShapeID="_x0000_i1032" DrawAspect="Content" ObjectID="_1468075732" r:id="rId38">
                  <o:LockedField>false</o:LockedField>
                </o:OLEObject>
              </w:object>
            </w:r>
          </w:p>
          <w:p>
            <w:pPr>
              <w:ind w:firstLine="480"/>
              <w:rPr>
                <w:color w:val="auto"/>
                <w:szCs w:val="20"/>
              </w:rPr>
            </w:pPr>
            <w:r>
              <w:rPr>
                <w:color w:val="auto"/>
                <w:szCs w:val="20"/>
              </w:rPr>
              <w:t>式中：C</w:t>
            </w:r>
            <w:r>
              <w:rPr>
                <w:color w:val="auto"/>
                <w:szCs w:val="20"/>
                <w:vertAlign w:val="subscript"/>
              </w:rPr>
              <w:t>m</w:t>
            </w:r>
            <w:r>
              <w:rPr>
                <w:color w:val="auto"/>
                <w:szCs w:val="20"/>
              </w:rPr>
              <w:t>——</w:t>
            </w:r>
            <w:r>
              <w:rPr>
                <w:rFonts w:hint="eastAsia"/>
                <w:color w:val="auto"/>
                <w:szCs w:val="20"/>
              </w:rPr>
              <w:t>环境空气</w:t>
            </w:r>
            <w:r>
              <w:rPr>
                <w:color w:val="auto"/>
                <w:szCs w:val="20"/>
              </w:rPr>
              <w:t>标准浓度限值（mg/m</w:t>
            </w:r>
            <w:r>
              <w:rPr>
                <w:color w:val="auto"/>
                <w:szCs w:val="20"/>
                <w:vertAlign w:val="superscript"/>
              </w:rPr>
              <w:t>3</w:t>
            </w:r>
            <w:r>
              <w:rPr>
                <w:color w:val="auto"/>
                <w:szCs w:val="20"/>
              </w:rPr>
              <w:t>）；</w:t>
            </w:r>
          </w:p>
          <w:p>
            <w:pPr>
              <w:ind w:firstLine="480"/>
              <w:rPr>
                <w:color w:val="auto"/>
                <w:szCs w:val="20"/>
              </w:rPr>
            </w:pPr>
            <w:r>
              <w:rPr>
                <w:color w:val="auto"/>
                <w:szCs w:val="20"/>
              </w:rPr>
              <w:t xml:space="preserve">      Q</w:t>
            </w:r>
            <w:r>
              <w:rPr>
                <w:color w:val="auto"/>
                <w:szCs w:val="20"/>
                <w:vertAlign w:val="subscript"/>
              </w:rPr>
              <w:t>c</w:t>
            </w:r>
            <w:r>
              <w:rPr>
                <w:color w:val="auto"/>
                <w:szCs w:val="20"/>
              </w:rPr>
              <w:t>——</w:t>
            </w:r>
            <w:r>
              <w:rPr>
                <w:rFonts w:hint="eastAsia"/>
                <w:color w:val="auto"/>
                <w:szCs w:val="20"/>
              </w:rPr>
              <w:t>大气</w:t>
            </w:r>
            <w:r>
              <w:rPr>
                <w:color w:val="auto"/>
                <w:szCs w:val="20"/>
              </w:rPr>
              <w:t>有害</w:t>
            </w:r>
            <w:r>
              <w:rPr>
                <w:rFonts w:hint="eastAsia"/>
                <w:color w:val="auto"/>
                <w:szCs w:val="20"/>
              </w:rPr>
              <w:t>物质</w:t>
            </w:r>
            <w:r>
              <w:rPr>
                <w:color w:val="auto"/>
                <w:szCs w:val="20"/>
              </w:rPr>
              <w:t>无组织排放量（kg/h）；</w:t>
            </w:r>
          </w:p>
          <w:p>
            <w:pPr>
              <w:ind w:firstLine="1200" w:firstLineChars="500"/>
              <w:rPr>
                <w:color w:val="auto"/>
                <w:szCs w:val="20"/>
              </w:rPr>
            </w:pPr>
            <w:r>
              <w:rPr>
                <w:color w:val="auto"/>
                <w:szCs w:val="20"/>
              </w:rPr>
              <w:t>r——</w:t>
            </w:r>
            <w:r>
              <w:rPr>
                <w:rFonts w:hint="eastAsia"/>
                <w:color w:val="auto"/>
                <w:szCs w:val="20"/>
              </w:rPr>
              <w:t>大气</w:t>
            </w:r>
            <w:r>
              <w:rPr>
                <w:color w:val="auto"/>
                <w:szCs w:val="20"/>
              </w:rPr>
              <w:t>有害</w:t>
            </w:r>
            <w:r>
              <w:rPr>
                <w:rFonts w:hint="eastAsia"/>
                <w:color w:val="auto"/>
                <w:szCs w:val="20"/>
              </w:rPr>
              <w:t>物质</w:t>
            </w:r>
            <w:r>
              <w:rPr>
                <w:color w:val="auto"/>
                <w:szCs w:val="20"/>
              </w:rPr>
              <w:t>无组织排放源所在生产单元的等效半径（m）；</w:t>
            </w:r>
          </w:p>
          <w:p>
            <w:pPr>
              <w:ind w:firstLine="1200" w:firstLineChars="500"/>
              <w:rPr>
                <w:color w:val="auto"/>
                <w:szCs w:val="20"/>
              </w:rPr>
            </w:pPr>
            <w:r>
              <w:rPr>
                <w:color w:val="auto"/>
                <w:szCs w:val="20"/>
              </w:rPr>
              <w:t>L——</w:t>
            </w:r>
            <w:r>
              <w:rPr>
                <w:rFonts w:hint="eastAsia"/>
                <w:color w:val="auto"/>
                <w:szCs w:val="20"/>
              </w:rPr>
              <w:t>大气</w:t>
            </w:r>
            <w:r>
              <w:rPr>
                <w:color w:val="auto"/>
                <w:szCs w:val="20"/>
              </w:rPr>
              <w:t>有害</w:t>
            </w:r>
            <w:r>
              <w:rPr>
                <w:rFonts w:hint="eastAsia"/>
                <w:color w:val="auto"/>
                <w:szCs w:val="20"/>
              </w:rPr>
              <w:t>物质</w:t>
            </w:r>
            <w:r>
              <w:rPr>
                <w:color w:val="auto"/>
                <w:szCs w:val="20"/>
              </w:rPr>
              <w:t>卫生防护距离（m）；</w:t>
            </w:r>
          </w:p>
          <w:p>
            <w:pPr>
              <w:ind w:firstLine="1200" w:firstLineChars="500"/>
              <w:rPr>
                <w:color w:val="auto"/>
                <w:szCs w:val="20"/>
              </w:rPr>
            </w:pPr>
            <w:r>
              <w:rPr>
                <w:color w:val="auto"/>
                <w:szCs w:val="20"/>
              </w:rPr>
              <w:t>A、B、C、D——卫生防护距离计算系数；</w:t>
            </w:r>
          </w:p>
          <w:p>
            <w:pPr>
              <w:ind w:left="480" w:firstLine="0" w:firstLineChars="0"/>
              <w:rPr>
                <w:color w:val="auto"/>
                <w:szCs w:val="20"/>
              </w:rPr>
            </w:pPr>
            <w:r>
              <w:rPr>
                <w:rFonts w:hint="eastAsia"/>
                <w:color w:val="auto"/>
              </w:rPr>
              <w:t>②</w:t>
            </w:r>
            <w:r>
              <w:rPr>
                <w:color w:val="auto"/>
              </w:rPr>
              <w:t>参数选取</w:t>
            </w:r>
            <w:r>
              <w:rPr>
                <w:color w:val="auto"/>
                <w:szCs w:val="20"/>
              </w:rPr>
              <w:t>计算结果</w:t>
            </w:r>
          </w:p>
          <w:p>
            <w:pPr>
              <w:ind w:firstLine="480"/>
              <w:rPr>
                <w:color w:val="auto"/>
                <w:szCs w:val="20"/>
              </w:rPr>
            </w:pPr>
            <w:r>
              <w:rPr>
                <w:color w:val="auto"/>
                <w:szCs w:val="20"/>
              </w:rPr>
              <w:t>根据上述计算公式，采用计算卫生防护距离，结果详见表</w:t>
            </w:r>
            <w:r>
              <w:rPr>
                <w:rFonts w:hint="eastAsia"/>
                <w:color w:val="auto"/>
                <w:szCs w:val="20"/>
              </w:rPr>
              <w:t>4</w:t>
            </w:r>
            <w:r>
              <w:rPr>
                <w:color w:val="auto"/>
                <w:szCs w:val="20"/>
              </w:rPr>
              <w:t>-</w:t>
            </w:r>
            <w:r>
              <w:rPr>
                <w:rFonts w:hint="eastAsia"/>
                <w:color w:val="auto"/>
                <w:szCs w:val="20"/>
              </w:rPr>
              <w:t>3</w:t>
            </w:r>
            <w:r>
              <w:rPr>
                <w:color w:val="auto"/>
                <w:szCs w:val="20"/>
              </w:rPr>
              <w:t>。</w:t>
            </w:r>
          </w:p>
          <w:p>
            <w:pPr>
              <w:pStyle w:val="11"/>
              <w:jc w:val="center"/>
              <w:rPr>
                <w:color w:val="auto"/>
              </w:rPr>
            </w:pPr>
            <w:r>
              <w:rPr>
                <w:b/>
                <w:bCs/>
                <w:color w:val="auto"/>
              </w:rPr>
              <w:t>表</w:t>
            </w:r>
            <w:r>
              <w:rPr>
                <w:rFonts w:hint="eastAsia"/>
                <w:b/>
                <w:bCs/>
                <w:color w:val="auto"/>
              </w:rPr>
              <w:t xml:space="preserve">4-3   </w:t>
            </w:r>
            <w:r>
              <w:rPr>
                <w:b/>
                <w:bCs/>
                <w:color w:val="auto"/>
              </w:rPr>
              <w:t>卫生防护距离计算结果一览表</w:t>
            </w:r>
          </w:p>
          <w:tbl>
            <w:tblPr>
              <w:tblStyle w:val="7"/>
              <w:tblW w:w="8744"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953"/>
              <w:gridCol w:w="1424"/>
              <w:gridCol w:w="1595"/>
              <w:gridCol w:w="1325"/>
              <w:gridCol w:w="21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77" w:type="dxa"/>
                  <w:gridSpan w:val="2"/>
                  <w:tcBorders>
                    <w:tl2br w:val="nil"/>
                    <w:tr2bl w:val="nil"/>
                  </w:tcBorders>
                  <w:vAlign w:val="center"/>
                </w:tcPr>
                <w:p>
                  <w:pPr>
                    <w:pStyle w:val="11"/>
                    <w:jc w:val="center"/>
                    <w:rPr>
                      <w:color w:val="auto"/>
                    </w:rPr>
                  </w:pPr>
                  <w:r>
                    <w:rPr>
                      <w:color w:val="auto"/>
                    </w:rPr>
                    <w:t>符号</w:t>
                  </w:r>
                </w:p>
              </w:tc>
              <w:tc>
                <w:tcPr>
                  <w:tcW w:w="1424" w:type="dxa"/>
                  <w:tcBorders>
                    <w:tl2br w:val="nil"/>
                    <w:tr2bl w:val="nil"/>
                  </w:tcBorders>
                  <w:vAlign w:val="center"/>
                </w:tcPr>
                <w:p>
                  <w:pPr>
                    <w:pStyle w:val="11"/>
                    <w:jc w:val="center"/>
                    <w:rPr>
                      <w:color w:val="auto"/>
                    </w:rPr>
                  </w:pPr>
                  <w:r>
                    <w:rPr>
                      <w:color w:val="auto"/>
                    </w:rPr>
                    <w:t>A</w:t>
                  </w:r>
                </w:p>
              </w:tc>
              <w:tc>
                <w:tcPr>
                  <w:tcW w:w="1595" w:type="dxa"/>
                  <w:tcBorders>
                    <w:tl2br w:val="nil"/>
                    <w:tr2bl w:val="nil"/>
                  </w:tcBorders>
                  <w:vAlign w:val="center"/>
                </w:tcPr>
                <w:p>
                  <w:pPr>
                    <w:pStyle w:val="11"/>
                    <w:jc w:val="center"/>
                    <w:rPr>
                      <w:color w:val="auto"/>
                    </w:rPr>
                  </w:pPr>
                  <w:r>
                    <w:rPr>
                      <w:color w:val="auto"/>
                    </w:rPr>
                    <w:t>B</w:t>
                  </w:r>
                </w:p>
              </w:tc>
              <w:tc>
                <w:tcPr>
                  <w:tcW w:w="1325" w:type="dxa"/>
                  <w:tcBorders>
                    <w:tl2br w:val="nil"/>
                    <w:tr2bl w:val="nil"/>
                  </w:tcBorders>
                  <w:vAlign w:val="center"/>
                </w:tcPr>
                <w:p>
                  <w:pPr>
                    <w:pStyle w:val="11"/>
                    <w:jc w:val="center"/>
                    <w:rPr>
                      <w:color w:val="auto"/>
                    </w:rPr>
                  </w:pPr>
                  <w:r>
                    <w:rPr>
                      <w:color w:val="auto"/>
                    </w:rPr>
                    <w:t>C</w:t>
                  </w:r>
                </w:p>
              </w:tc>
              <w:tc>
                <w:tcPr>
                  <w:tcW w:w="2123" w:type="dxa"/>
                  <w:tcBorders>
                    <w:tl2br w:val="nil"/>
                    <w:tr2bl w:val="nil"/>
                  </w:tcBorders>
                  <w:vAlign w:val="center"/>
                </w:tcPr>
                <w:p>
                  <w:pPr>
                    <w:pStyle w:val="11"/>
                    <w:jc w:val="center"/>
                    <w:rPr>
                      <w:color w:val="auto"/>
                    </w:rPr>
                  </w:pPr>
                  <w:r>
                    <w:rPr>
                      <w:color w:val="auto"/>
                    </w:rPr>
                    <w:t>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77" w:type="dxa"/>
                  <w:gridSpan w:val="2"/>
                  <w:tcBorders>
                    <w:tl2br w:val="nil"/>
                    <w:tr2bl w:val="nil"/>
                  </w:tcBorders>
                  <w:vAlign w:val="center"/>
                </w:tcPr>
                <w:p>
                  <w:pPr>
                    <w:pStyle w:val="11"/>
                    <w:jc w:val="center"/>
                    <w:rPr>
                      <w:color w:val="auto"/>
                    </w:rPr>
                  </w:pPr>
                  <w:r>
                    <w:rPr>
                      <w:color w:val="auto"/>
                    </w:rPr>
                    <w:t>参数取值</w:t>
                  </w:r>
                </w:p>
              </w:tc>
              <w:tc>
                <w:tcPr>
                  <w:tcW w:w="1424" w:type="dxa"/>
                  <w:tcBorders>
                    <w:tl2br w:val="nil"/>
                    <w:tr2bl w:val="nil"/>
                  </w:tcBorders>
                  <w:vAlign w:val="center"/>
                </w:tcPr>
                <w:p>
                  <w:pPr>
                    <w:pStyle w:val="11"/>
                    <w:jc w:val="center"/>
                    <w:rPr>
                      <w:color w:val="auto"/>
                    </w:rPr>
                  </w:pPr>
                  <w:r>
                    <w:rPr>
                      <w:color w:val="auto"/>
                    </w:rPr>
                    <w:t>400</w:t>
                  </w:r>
                </w:p>
              </w:tc>
              <w:tc>
                <w:tcPr>
                  <w:tcW w:w="1595" w:type="dxa"/>
                  <w:tcBorders>
                    <w:tl2br w:val="nil"/>
                    <w:tr2bl w:val="nil"/>
                  </w:tcBorders>
                  <w:vAlign w:val="center"/>
                </w:tcPr>
                <w:p>
                  <w:pPr>
                    <w:pStyle w:val="11"/>
                    <w:jc w:val="center"/>
                    <w:rPr>
                      <w:color w:val="auto"/>
                    </w:rPr>
                  </w:pPr>
                  <w:r>
                    <w:rPr>
                      <w:color w:val="auto"/>
                    </w:rPr>
                    <w:t>0.01</w:t>
                  </w:r>
                </w:p>
              </w:tc>
              <w:tc>
                <w:tcPr>
                  <w:tcW w:w="1325" w:type="dxa"/>
                  <w:tcBorders>
                    <w:tl2br w:val="nil"/>
                    <w:tr2bl w:val="nil"/>
                  </w:tcBorders>
                  <w:vAlign w:val="center"/>
                </w:tcPr>
                <w:p>
                  <w:pPr>
                    <w:pStyle w:val="11"/>
                    <w:jc w:val="center"/>
                    <w:rPr>
                      <w:color w:val="auto"/>
                    </w:rPr>
                  </w:pPr>
                  <w:r>
                    <w:rPr>
                      <w:color w:val="auto"/>
                    </w:rPr>
                    <w:t>1.85</w:t>
                  </w:r>
                </w:p>
              </w:tc>
              <w:tc>
                <w:tcPr>
                  <w:tcW w:w="2123" w:type="dxa"/>
                  <w:tcBorders>
                    <w:tl2br w:val="nil"/>
                    <w:tr2bl w:val="nil"/>
                  </w:tcBorders>
                  <w:vAlign w:val="center"/>
                </w:tcPr>
                <w:p>
                  <w:pPr>
                    <w:pStyle w:val="11"/>
                    <w:jc w:val="center"/>
                    <w:rPr>
                      <w:color w:val="auto"/>
                    </w:rPr>
                  </w:pPr>
                  <w:r>
                    <w:rPr>
                      <w:color w:val="auto"/>
                    </w:rPr>
                    <w:t>0.78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77" w:type="dxa"/>
                  <w:gridSpan w:val="2"/>
                  <w:tcBorders>
                    <w:tl2br w:val="nil"/>
                    <w:tr2bl w:val="nil"/>
                  </w:tcBorders>
                  <w:vAlign w:val="center"/>
                </w:tcPr>
                <w:p>
                  <w:pPr>
                    <w:pStyle w:val="11"/>
                    <w:jc w:val="center"/>
                    <w:rPr>
                      <w:color w:val="auto"/>
                    </w:rPr>
                  </w:pPr>
                  <w:r>
                    <w:rPr>
                      <w:color w:val="auto"/>
                    </w:rPr>
                    <w:t>符号</w:t>
                  </w:r>
                </w:p>
              </w:tc>
              <w:tc>
                <w:tcPr>
                  <w:tcW w:w="1424" w:type="dxa"/>
                  <w:tcBorders>
                    <w:tl2br w:val="nil"/>
                    <w:tr2bl w:val="nil"/>
                  </w:tcBorders>
                  <w:vAlign w:val="center"/>
                </w:tcPr>
                <w:p>
                  <w:pPr>
                    <w:pStyle w:val="11"/>
                    <w:jc w:val="center"/>
                    <w:rPr>
                      <w:color w:val="auto"/>
                    </w:rPr>
                  </w:pPr>
                  <w:r>
                    <w:rPr>
                      <w:color w:val="auto"/>
                    </w:rPr>
                    <w:t>Q</w:t>
                  </w:r>
                  <w:r>
                    <w:rPr>
                      <w:color w:val="auto"/>
                      <w:vertAlign w:val="subscript"/>
                    </w:rPr>
                    <w:t>C</w:t>
                  </w:r>
                </w:p>
              </w:tc>
              <w:tc>
                <w:tcPr>
                  <w:tcW w:w="1595" w:type="dxa"/>
                  <w:tcBorders>
                    <w:tl2br w:val="nil"/>
                    <w:tr2bl w:val="nil"/>
                  </w:tcBorders>
                  <w:vAlign w:val="center"/>
                </w:tcPr>
                <w:p>
                  <w:pPr>
                    <w:pStyle w:val="11"/>
                    <w:jc w:val="center"/>
                    <w:rPr>
                      <w:color w:val="auto"/>
                    </w:rPr>
                  </w:pPr>
                  <w:r>
                    <w:rPr>
                      <w:color w:val="auto"/>
                    </w:rPr>
                    <w:t>C</w:t>
                  </w:r>
                  <w:r>
                    <w:rPr>
                      <w:color w:val="auto"/>
                      <w:vertAlign w:val="subscript"/>
                    </w:rPr>
                    <w:t>0</w:t>
                  </w:r>
                </w:p>
              </w:tc>
              <w:tc>
                <w:tcPr>
                  <w:tcW w:w="1325" w:type="dxa"/>
                  <w:tcBorders>
                    <w:tl2br w:val="nil"/>
                    <w:tr2bl w:val="nil"/>
                  </w:tcBorders>
                  <w:vAlign w:val="center"/>
                </w:tcPr>
                <w:p>
                  <w:pPr>
                    <w:pStyle w:val="11"/>
                    <w:jc w:val="center"/>
                    <w:rPr>
                      <w:color w:val="auto"/>
                    </w:rPr>
                  </w:pPr>
                  <w:r>
                    <w:rPr>
                      <w:color w:val="auto"/>
                    </w:rPr>
                    <w:t>S</w:t>
                  </w:r>
                </w:p>
              </w:tc>
              <w:tc>
                <w:tcPr>
                  <w:tcW w:w="2123" w:type="dxa"/>
                  <w:tcBorders>
                    <w:tl2br w:val="nil"/>
                    <w:tr2bl w:val="nil"/>
                  </w:tcBorders>
                  <w:vAlign w:val="center"/>
                </w:tcPr>
                <w:p>
                  <w:pPr>
                    <w:pStyle w:val="11"/>
                    <w:jc w:val="center"/>
                    <w:rPr>
                      <w:color w:val="auto"/>
                    </w:rPr>
                  </w:pPr>
                  <w:r>
                    <w:rPr>
                      <w:color w:val="auto"/>
                    </w:rPr>
                    <w:t>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4" w:type="dxa"/>
                  <w:vMerge w:val="restart"/>
                  <w:tcBorders>
                    <w:tl2br w:val="nil"/>
                    <w:tr2bl w:val="nil"/>
                  </w:tcBorders>
                  <w:vAlign w:val="center"/>
                </w:tcPr>
                <w:p>
                  <w:pPr>
                    <w:pStyle w:val="11"/>
                    <w:jc w:val="center"/>
                    <w:rPr>
                      <w:color w:val="auto"/>
                    </w:rPr>
                  </w:pPr>
                  <w:r>
                    <w:rPr>
                      <w:color w:val="auto"/>
                    </w:rPr>
                    <w:t>无组织</w:t>
                  </w:r>
                </w:p>
                <w:p>
                  <w:pPr>
                    <w:pStyle w:val="11"/>
                    <w:jc w:val="center"/>
                    <w:rPr>
                      <w:b/>
                      <w:bCs/>
                      <w:color w:val="auto"/>
                    </w:rPr>
                  </w:pPr>
                  <w:r>
                    <w:rPr>
                      <w:color w:val="auto"/>
                    </w:rPr>
                    <w:t>排放因子</w:t>
                  </w:r>
                </w:p>
              </w:tc>
              <w:tc>
                <w:tcPr>
                  <w:tcW w:w="953" w:type="dxa"/>
                  <w:tcBorders>
                    <w:tl2br w:val="nil"/>
                    <w:tr2bl w:val="nil"/>
                  </w:tcBorders>
                  <w:vAlign w:val="center"/>
                </w:tcPr>
                <w:p>
                  <w:pPr>
                    <w:pStyle w:val="11"/>
                    <w:jc w:val="center"/>
                    <w:rPr>
                      <w:color w:val="auto"/>
                    </w:rPr>
                  </w:pPr>
                  <w:r>
                    <w:rPr>
                      <w:color w:val="auto"/>
                    </w:rPr>
                    <w:t>NH</w:t>
                  </w:r>
                  <w:r>
                    <w:rPr>
                      <w:color w:val="auto"/>
                      <w:vertAlign w:val="subscript"/>
                    </w:rPr>
                    <w:t>3</w:t>
                  </w:r>
                </w:p>
              </w:tc>
              <w:tc>
                <w:tcPr>
                  <w:tcW w:w="1424" w:type="dxa"/>
                  <w:tcBorders>
                    <w:tl2br w:val="nil"/>
                    <w:tr2bl w:val="nil"/>
                  </w:tcBorders>
                  <w:vAlign w:val="center"/>
                </w:tcPr>
                <w:p>
                  <w:pPr>
                    <w:pStyle w:val="11"/>
                    <w:jc w:val="center"/>
                    <w:rPr>
                      <w:color w:val="auto"/>
                    </w:rPr>
                  </w:pPr>
                  <w:r>
                    <w:rPr>
                      <w:color w:val="auto"/>
                    </w:rPr>
                    <w:t>0.06</w:t>
                  </w:r>
                  <w:r>
                    <w:rPr>
                      <w:rFonts w:hint="eastAsia"/>
                      <w:color w:val="auto"/>
                    </w:rPr>
                    <w:t>9</w:t>
                  </w:r>
                  <w:r>
                    <w:rPr>
                      <w:color w:val="auto"/>
                    </w:rPr>
                    <w:t>kg/h</w:t>
                  </w:r>
                </w:p>
              </w:tc>
              <w:tc>
                <w:tcPr>
                  <w:tcW w:w="1595" w:type="dxa"/>
                  <w:tcBorders>
                    <w:tl2br w:val="nil"/>
                    <w:tr2bl w:val="nil"/>
                  </w:tcBorders>
                  <w:vAlign w:val="center"/>
                </w:tcPr>
                <w:p>
                  <w:pPr>
                    <w:pStyle w:val="11"/>
                    <w:jc w:val="center"/>
                    <w:rPr>
                      <w:color w:val="auto"/>
                    </w:rPr>
                  </w:pPr>
                  <w:r>
                    <w:rPr>
                      <w:rFonts w:hint="eastAsia"/>
                      <w:color w:val="auto"/>
                    </w:rPr>
                    <w:t>1.0mg/m</w:t>
                  </w:r>
                  <w:r>
                    <w:rPr>
                      <w:rFonts w:hint="eastAsia"/>
                      <w:color w:val="auto"/>
                      <w:vertAlign w:val="superscript"/>
                    </w:rPr>
                    <w:t>3</w:t>
                  </w:r>
                </w:p>
              </w:tc>
              <w:tc>
                <w:tcPr>
                  <w:tcW w:w="1325" w:type="dxa"/>
                  <w:vMerge w:val="restart"/>
                  <w:tcBorders>
                    <w:tl2br w:val="nil"/>
                    <w:tr2bl w:val="nil"/>
                  </w:tcBorders>
                  <w:vAlign w:val="center"/>
                </w:tcPr>
                <w:p>
                  <w:pPr>
                    <w:pStyle w:val="11"/>
                    <w:jc w:val="center"/>
                    <w:rPr>
                      <w:color w:val="auto"/>
                    </w:rPr>
                  </w:pPr>
                  <w:r>
                    <w:rPr>
                      <w:rFonts w:hint="eastAsia"/>
                      <w:color w:val="auto"/>
                    </w:rPr>
                    <w:t>30</w:t>
                  </w:r>
                  <w:r>
                    <w:rPr>
                      <w:color w:val="auto"/>
                    </w:rPr>
                    <w:t>m×20m</w:t>
                  </w:r>
                  <w:r>
                    <w:rPr>
                      <w:rFonts w:hint="eastAsia"/>
                      <w:color w:val="auto"/>
                    </w:rPr>
                    <w:t>（约600m</w:t>
                  </w:r>
                  <w:r>
                    <w:rPr>
                      <w:rFonts w:hint="eastAsia"/>
                      <w:color w:val="auto"/>
                      <w:vertAlign w:val="superscript"/>
                    </w:rPr>
                    <w:t>2</w:t>
                  </w:r>
                  <w:r>
                    <w:rPr>
                      <w:rFonts w:hint="eastAsia"/>
                      <w:color w:val="auto"/>
                    </w:rPr>
                    <w:t>）</w:t>
                  </w:r>
                </w:p>
              </w:tc>
              <w:tc>
                <w:tcPr>
                  <w:tcW w:w="2123" w:type="dxa"/>
                  <w:vMerge w:val="restart"/>
                  <w:tcBorders>
                    <w:tl2br w:val="nil"/>
                    <w:tr2bl w:val="nil"/>
                  </w:tcBorders>
                  <w:vAlign w:val="center"/>
                </w:tcPr>
                <w:p>
                  <w:pPr>
                    <w:pStyle w:val="11"/>
                    <w:jc w:val="center"/>
                    <w:rPr>
                      <w:color w:val="auto"/>
                    </w:rPr>
                  </w:pPr>
                  <w:r>
                    <w:rPr>
                      <w:rFonts w:hint="eastAsia"/>
                      <w:color w:val="auto"/>
                    </w:rPr>
                    <w:t>13.82m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4" w:type="dxa"/>
                  <w:vMerge w:val="continue"/>
                  <w:tcBorders>
                    <w:tl2br w:val="nil"/>
                    <w:tr2bl w:val="nil"/>
                  </w:tcBorders>
                  <w:vAlign w:val="center"/>
                </w:tcPr>
                <w:p>
                  <w:pPr>
                    <w:ind w:firstLine="422"/>
                    <w:jc w:val="center"/>
                    <w:rPr>
                      <w:b/>
                      <w:bCs/>
                      <w:color w:val="auto"/>
                      <w:sz w:val="21"/>
                      <w:szCs w:val="21"/>
                    </w:rPr>
                  </w:pPr>
                </w:p>
              </w:tc>
              <w:tc>
                <w:tcPr>
                  <w:tcW w:w="953" w:type="dxa"/>
                  <w:tcBorders>
                    <w:tl2br w:val="nil"/>
                    <w:tr2bl w:val="nil"/>
                  </w:tcBorders>
                  <w:vAlign w:val="center"/>
                </w:tcPr>
                <w:p>
                  <w:pPr>
                    <w:pStyle w:val="11"/>
                    <w:jc w:val="center"/>
                    <w:rPr>
                      <w:color w:val="auto"/>
                    </w:rPr>
                  </w:pPr>
                  <w:r>
                    <w:rPr>
                      <w:color w:val="auto"/>
                    </w:rPr>
                    <w:t>H</w:t>
                  </w:r>
                  <w:r>
                    <w:rPr>
                      <w:color w:val="auto"/>
                      <w:vertAlign w:val="subscript"/>
                    </w:rPr>
                    <w:t>2</w:t>
                  </w:r>
                  <w:r>
                    <w:rPr>
                      <w:color w:val="auto"/>
                    </w:rPr>
                    <w:t>S</w:t>
                  </w:r>
                </w:p>
              </w:tc>
              <w:tc>
                <w:tcPr>
                  <w:tcW w:w="1424" w:type="dxa"/>
                  <w:tcBorders>
                    <w:tl2br w:val="nil"/>
                    <w:tr2bl w:val="nil"/>
                  </w:tcBorders>
                  <w:vAlign w:val="center"/>
                </w:tcPr>
                <w:p>
                  <w:pPr>
                    <w:pStyle w:val="11"/>
                    <w:jc w:val="center"/>
                    <w:rPr>
                      <w:color w:val="auto"/>
                    </w:rPr>
                  </w:pPr>
                  <w:r>
                    <w:rPr>
                      <w:color w:val="auto"/>
                    </w:rPr>
                    <w:t>0.007kg/h</w:t>
                  </w:r>
                </w:p>
              </w:tc>
              <w:tc>
                <w:tcPr>
                  <w:tcW w:w="1595" w:type="dxa"/>
                  <w:tcBorders>
                    <w:tl2br w:val="nil"/>
                    <w:tr2bl w:val="nil"/>
                  </w:tcBorders>
                  <w:vAlign w:val="center"/>
                </w:tcPr>
                <w:p>
                  <w:pPr>
                    <w:pStyle w:val="11"/>
                    <w:jc w:val="center"/>
                    <w:rPr>
                      <w:color w:val="auto"/>
                    </w:rPr>
                  </w:pPr>
                  <w:r>
                    <w:rPr>
                      <w:rFonts w:hint="eastAsia"/>
                      <w:color w:val="auto"/>
                    </w:rPr>
                    <w:t>0.03mg/m</w:t>
                  </w:r>
                  <w:r>
                    <w:rPr>
                      <w:rFonts w:hint="eastAsia"/>
                      <w:color w:val="auto"/>
                      <w:vertAlign w:val="superscript"/>
                    </w:rPr>
                    <w:t>3</w:t>
                  </w:r>
                </w:p>
              </w:tc>
              <w:tc>
                <w:tcPr>
                  <w:tcW w:w="1325" w:type="dxa"/>
                  <w:vMerge w:val="continue"/>
                  <w:tcBorders>
                    <w:tl2br w:val="nil"/>
                    <w:tr2bl w:val="nil"/>
                  </w:tcBorders>
                  <w:vAlign w:val="center"/>
                </w:tcPr>
                <w:p>
                  <w:pPr>
                    <w:ind w:firstLine="422"/>
                    <w:jc w:val="center"/>
                    <w:rPr>
                      <w:b/>
                      <w:bCs/>
                      <w:color w:val="auto"/>
                      <w:sz w:val="21"/>
                      <w:szCs w:val="21"/>
                    </w:rPr>
                  </w:pPr>
                </w:p>
              </w:tc>
              <w:tc>
                <w:tcPr>
                  <w:tcW w:w="2123" w:type="dxa"/>
                  <w:vMerge w:val="continue"/>
                  <w:tcBorders>
                    <w:tl2br w:val="nil"/>
                    <w:tr2bl w:val="nil"/>
                  </w:tcBorders>
                  <w:vAlign w:val="center"/>
                </w:tcPr>
                <w:p>
                  <w:pPr>
                    <w:ind w:firstLine="422"/>
                    <w:jc w:val="center"/>
                    <w:rPr>
                      <w:b/>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4" w:type="dxa"/>
                  <w:gridSpan w:val="6"/>
                  <w:tcBorders>
                    <w:tl2br w:val="nil"/>
                    <w:tr2bl w:val="nil"/>
                  </w:tcBorders>
                  <w:vAlign w:val="center"/>
                </w:tcPr>
                <w:p>
                  <w:pPr>
                    <w:spacing w:line="240" w:lineRule="auto"/>
                    <w:ind w:firstLine="420"/>
                    <w:jc w:val="center"/>
                    <w:rPr>
                      <w:color w:val="auto"/>
                      <w:sz w:val="21"/>
                      <w:szCs w:val="21"/>
                    </w:rPr>
                  </w:pPr>
                  <w:r>
                    <w:rPr>
                      <w:rFonts w:hint="eastAsia"/>
                      <w:color w:val="auto"/>
                      <w:sz w:val="21"/>
                      <w:szCs w:val="21"/>
                    </w:rPr>
                    <w:t>参考《大气有害物质无组织排放卫生防护距离推导技术导则》（GB39499-2020）等相关内容，NH</w:t>
                  </w:r>
                  <w:r>
                    <w:rPr>
                      <w:rFonts w:hint="eastAsia"/>
                      <w:color w:val="auto"/>
                      <w:sz w:val="21"/>
                      <w:szCs w:val="21"/>
                      <w:vertAlign w:val="subscript"/>
                    </w:rPr>
                    <w:t>3</w:t>
                  </w:r>
                  <w:r>
                    <w:rPr>
                      <w:rFonts w:hint="eastAsia"/>
                      <w:color w:val="auto"/>
                      <w:sz w:val="21"/>
                      <w:szCs w:val="21"/>
                    </w:rPr>
                    <w:t>、H</w:t>
                  </w:r>
                  <w:r>
                    <w:rPr>
                      <w:rFonts w:hint="eastAsia"/>
                      <w:color w:val="auto"/>
                      <w:sz w:val="21"/>
                      <w:szCs w:val="21"/>
                      <w:vertAlign w:val="subscript"/>
                    </w:rPr>
                    <w:t>2</w:t>
                  </w:r>
                  <w:r>
                    <w:rPr>
                      <w:rFonts w:hint="eastAsia"/>
                      <w:color w:val="auto"/>
                      <w:sz w:val="21"/>
                      <w:szCs w:val="21"/>
                    </w:rPr>
                    <w:t>S的标准限值C</w:t>
                  </w:r>
                  <w:r>
                    <w:rPr>
                      <w:rFonts w:hint="eastAsia"/>
                      <w:color w:val="auto"/>
                      <w:sz w:val="21"/>
                      <w:szCs w:val="21"/>
                      <w:vertAlign w:val="subscript"/>
                    </w:rPr>
                    <w:t>m</w:t>
                  </w:r>
                  <w:r>
                    <w:rPr>
                      <w:rFonts w:hint="eastAsia"/>
                      <w:color w:val="auto"/>
                      <w:sz w:val="21"/>
                      <w:szCs w:val="21"/>
                    </w:rPr>
                    <w:t>取《恶臭污染物排放标准》中规定的臭气浓度一级标准值；</w:t>
                  </w:r>
                </w:p>
              </w:tc>
            </w:tr>
          </w:tbl>
          <w:p>
            <w:pPr>
              <w:ind w:firstLine="480"/>
              <w:rPr>
                <w:color w:val="auto"/>
              </w:rPr>
            </w:pPr>
            <w:r>
              <w:rPr>
                <w:rFonts w:hint="eastAsia"/>
                <w:color w:val="auto"/>
              </w:rPr>
              <w:t>③</w:t>
            </w:r>
            <w:r>
              <w:rPr>
                <w:color w:val="auto"/>
              </w:rPr>
              <w:t>计算结果</w:t>
            </w:r>
          </w:p>
          <w:p>
            <w:pPr>
              <w:pStyle w:val="11"/>
              <w:jc w:val="center"/>
              <w:rPr>
                <w:b/>
                <w:bCs/>
                <w:color w:val="auto"/>
              </w:rPr>
            </w:pPr>
            <w:r>
              <w:rPr>
                <w:b/>
                <w:bCs/>
                <w:color w:val="auto"/>
              </w:rPr>
              <w:t>表</w:t>
            </w:r>
            <w:r>
              <w:rPr>
                <w:rFonts w:hint="eastAsia"/>
                <w:b/>
                <w:bCs/>
                <w:color w:val="auto"/>
              </w:rPr>
              <w:t>4-4</w:t>
            </w:r>
            <w:r>
              <w:rPr>
                <w:b/>
                <w:bCs/>
                <w:color w:val="auto"/>
              </w:rPr>
              <w:tab/>
            </w:r>
            <w:r>
              <w:rPr>
                <w:b/>
                <w:bCs/>
                <w:color w:val="auto"/>
              </w:rPr>
              <w:t>卫生防护距离计算结果表</w:t>
            </w:r>
          </w:p>
          <w:tbl>
            <w:tblPr>
              <w:tblStyle w:val="7"/>
              <w:tblW w:w="86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2539"/>
              <w:gridCol w:w="2284"/>
              <w:gridCol w:w="969"/>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l2br w:val="nil"/>
                    <w:tr2bl w:val="nil"/>
                  </w:tcBorders>
                  <w:vAlign w:val="center"/>
                </w:tcPr>
                <w:p>
                  <w:pPr>
                    <w:pStyle w:val="11"/>
                    <w:jc w:val="center"/>
                    <w:rPr>
                      <w:b/>
                      <w:bCs/>
                      <w:color w:val="auto"/>
                    </w:rPr>
                  </w:pPr>
                  <w:r>
                    <w:rPr>
                      <w:b/>
                      <w:bCs/>
                      <w:color w:val="auto"/>
                    </w:rPr>
                    <w:t>污染物名称</w:t>
                  </w:r>
                </w:p>
              </w:tc>
              <w:tc>
                <w:tcPr>
                  <w:tcW w:w="2539" w:type="dxa"/>
                  <w:tcBorders>
                    <w:tl2br w:val="nil"/>
                    <w:tr2bl w:val="nil"/>
                  </w:tcBorders>
                  <w:vAlign w:val="center"/>
                </w:tcPr>
                <w:p>
                  <w:pPr>
                    <w:pStyle w:val="11"/>
                    <w:jc w:val="center"/>
                    <w:rPr>
                      <w:b/>
                      <w:bCs/>
                      <w:color w:val="auto"/>
                    </w:rPr>
                  </w:pPr>
                  <w:r>
                    <w:rPr>
                      <w:rFonts w:hint="eastAsia"/>
                      <w:b/>
                      <w:bCs/>
                      <w:color w:val="auto"/>
                    </w:rPr>
                    <w:t>等标排放量（Q</w:t>
                  </w:r>
                  <w:r>
                    <w:rPr>
                      <w:rFonts w:hint="eastAsia"/>
                      <w:b/>
                      <w:bCs/>
                      <w:color w:val="auto"/>
                      <w:vertAlign w:val="subscript"/>
                    </w:rPr>
                    <w:t>C</w:t>
                  </w:r>
                  <w:r>
                    <w:rPr>
                      <w:rFonts w:hint="eastAsia"/>
                      <w:b/>
                      <w:bCs/>
                      <w:color w:val="auto"/>
                    </w:rPr>
                    <w:t>/C</w:t>
                  </w:r>
                  <w:r>
                    <w:rPr>
                      <w:rFonts w:hint="eastAsia"/>
                      <w:b/>
                      <w:bCs/>
                      <w:color w:val="auto"/>
                      <w:vertAlign w:val="subscript"/>
                    </w:rPr>
                    <w:t>m</w:t>
                  </w:r>
                  <w:r>
                    <w:rPr>
                      <w:rFonts w:hint="eastAsia"/>
                      <w:b/>
                      <w:bCs/>
                      <w:color w:val="auto"/>
                    </w:rPr>
                    <w:t>）</w:t>
                  </w:r>
                </w:p>
              </w:tc>
              <w:tc>
                <w:tcPr>
                  <w:tcW w:w="2284" w:type="dxa"/>
                  <w:tcBorders>
                    <w:tl2br w:val="nil"/>
                    <w:tr2bl w:val="nil"/>
                  </w:tcBorders>
                  <w:vAlign w:val="center"/>
                </w:tcPr>
                <w:p>
                  <w:pPr>
                    <w:pStyle w:val="11"/>
                    <w:jc w:val="center"/>
                    <w:rPr>
                      <w:b/>
                      <w:bCs/>
                      <w:color w:val="auto"/>
                    </w:rPr>
                  </w:pPr>
                  <w:r>
                    <w:rPr>
                      <w:b/>
                      <w:bCs/>
                      <w:color w:val="auto"/>
                    </w:rPr>
                    <w:t>卫生防护距离计算值</w:t>
                  </w:r>
                </w:p>
              </w:tc>
              <w:tc>
                <w:tcPr>
                  <w:tcW w:w="2306" w:type="dxa"/>
                  <w:gridSpan w:val="2"/>
                  <w:tcBorders>
                    <w:tl2br w:val="nil"/>
                    <w:tr2bl w:val="nil"/>
                  </w:tcBorders>
                  <w:vAlign w:val="center"/>
                </w:tcPr>
                <w:p>
                  <w:pPr>
                    <w:pStyle w:val="11"/>
                    <w:jc w:val="center"/>
                    <w:rPr>
                      <w:b/>
                      <w:bCs/>
                      <w:color w:val="auto"/>
                    </w:rPr>
                  </w:pPr>
                  <w:r>
                    <w:rPr>
                      <w:b/>
                      <w:bCs/>
                      <w:color w:val="auto"/>
                    </w:rPr>
                    <w:t>提级后卫生防护距离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l2br w:val="nil"/>
                    <w:tr2bl w:val="nil"/>
                  </w:tcBorders>
                  <w:vAlign w:val="center"/>
                </w:tcPr>
                <w:p>
                  <w:pPr>
                    <w:pStyle w:val="11"/>
                    <w:jc w:val="center"/>
                    <w:rPr>
                      <w:color w:val="auto"/>
                    </w:rPr>
                  </w:pPr>
                  <w:r>
                    <w:rPr>
                      <w:color w:val="auto"/>
                    </w:rPr>
                    <w:t>H</w:t>
                  </w:r>
                  <w:r>
                    <w:rPr>
                      <w:color w:val="auto"/>
                      <w:vertAlign w:val="subscript"/>
                    </w:rPr>
                    <w:t>2</w:t>
                  </w:r>
                  <w:r>
                    <w:rPr>
                      <w:color w:val="auto"/>
                    </w:rPr>
                    <w:t>S</w:t>
                  </w:r>
                </w:p>
              </w:tc>
              <w:tc>
                <w:tcPr>
                  <w:tcW w:w="2539" w:type="dxa"/>
                  <w:tcBorders>
                    <w:tl2br w:val="nil"/>
                    <w:tr2bl w:val="nil"/>
                  </w:tcBorders>
                  <w:vAlign w:val="center"/>
                </w:tcPr>
                <w:p>
                  <w:pPr>
                    <w:pStyle w:val="11"/>
                    <w:jc w:val="center"/>
                    <w:rPr>
                      <w:color w:val="auto"/>
                    </w:rPr>
                  </w:pPr>
                  <w:r>
                    <w:rPr>
                      <w:rFonts w:hint="eastAsia"/>
                      <w:color w:val="auto"/>
                    </w:rPr>
                    <w:t>0.069</w:t>
                  </w:r>
                </w:p>
              </w:tc>
              <w:tc>
                <w:tcPr>
                  <w:tcW w:w="2284" w:type="dxa"/>
                  <w:tcBorders>
                    <w:tl2br w:val="nil"/>
                    <w:tr2bl w:val="nil"/>
                  </w:tcBorders>
                  <w:vAlign w:val="center"/>
                </w:tcPr>
                <w:p>
                  <w:pPr>
                    <w:pStyle w:val="11"/>
                    <w:jc w:val="center"/>
                    <w:rPr>
                      <w:color w:val="auto"/>
                    </w:rPr>
                  </w:pPr>
                  <w:r>
                    <w:rPr>
                      <w:rFonts w:hint="eastAsia"/>
                      <w:color w:val="auto"/>
                    </w:rPr>
                    <w:t>5.88</w:t>
                  </w:r>
                </w:p>
              </w:tc>
              <w:tc>
                <w:tcPr>
                  <w:tcW w:w="969" w:type="dxa"/>
                  <w:tcBorders>
                    <w:tl2br w:val="nil"/>
                    <w:tr2bl w:val="nil"/>
                  </w:tcBorders>
                  <w:vAlign w:val="center"/>
                </w:tcPr>
                <w:p>
                  <w:pPr>
                    <w:pStyle w:val="11"/>
                    <w:jc w:val="center"/>
                    <w:rPr>
                      <w:color w:val="auto"/>
                    </w:rPr>
                  </w:pPr>
                  <w:r>
                    <w:rPr>
                      <w:color w:val="auto"/>
                    </w:rPr>
                    <w:t>50</w:t>
                  </w:r>
                  <w:r>
                    <w:rPr>
                      <w:b/>
                      <w:bCs/>
                      <w:color w:val="auto"/>
                    </w:rPr>
                    <w:t>m</w:t>
                  </w:r>
                </w:p>
              </w:tc>
              <w:tc>
                <w:tcPr>
                  <w:tcW w:w="1337" w:type="dxa"/>
                  <w:vMerge w:val="restart"/>
                  <w:tcBorders>
                    <w:tl2br w:val="nil"/>
                    <w:tr2bl w:val="nil"/>
                  </w:tcBorders>
                  <w:vAlign w:val="center"/>
                </w:tcPr>
                <w:p>
                  <w:pPr>
                    <w:pStyle w:val="11"/>
                    <w:jc w:val="center"/>
                    <w:rPr>
                      <w:rFonts w:hint="eastAsia" w:eastAsia="宋体"/>
                      <w:color w:val="auto"/>
                      <w:lang w:eastAsia="zh-CN"/>
                    </w:rPr>
                  </w:pPr>
                  <w:r>
                    <w:rPr>
                      <w:rFonts w:hint="eastAsia"/>
                      <w:color w:val="auto"/>
                      <w:lang w:val="en-US" w:eastAsia="zh-CN"/>
                    </w:rPr>
                    <w:t>50</w:t>
                  </w:r>
                  <w:r>
                    <w:rPr>
                      <w:rFonts w:hint="eastAsia"/>
                      <w:color w:val="auto"/>
                      <w:lang w:eastAsia="zh-CN"/>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l2br w:val="nil"/>
                    <w:tr2bl w:val="nil"/>
                  </w:tcBorders>
                  <w:vAlign w:val="center"/>
                </w:tcPr>
                <w:p>
                  <w:pPr>
                    <w:pStyle w:val="11"/>
                    <w:jc w:val="center"/>
                    <w:rPr>
                      <w:color w:val="auto"/>
                    </w:rPr>
                  </w:pPr>
                  <w:r>
                    <w:rPr>
                      <w:color w:val="auto"/>
                    </w:rPr>
                    <w:t>NH</w:t>
                  </w:r>
                  <w:r>
                    <w:rPr>
                      <w:color w:val="auto"/>
                      <w:vertAlign w:val="subscript"/>
                    </w:rPr>
                    <w:t>3</w:t>
                  </w:r>
                </w:p>
              </w:tc>
              <w:tc>
                <w:tcPr>
                  <w:tcW w:w="2539" w:type="dxa"/>
                  <w:tcBorders>
                    <w:tl2br w:val="nil"/>
                    <w:tr2bl w:val="nil"/>
                  </w:tcBorders>
                  <w:vAlign w:val="center"/>
                </w:tcPr>
                <w:p>
                  <w:pPr>
                    <w:pStyle w:val="11"/>
                    <w:jc w:val="center"/>
                    <w:rPr>
                      <w:color w:val="auto"/>
                    </w:rPr>
                  </w:pPr>
                  <w:r>
                    <w:rPr>
                      <w:rFonts w:hint="eastAsia"/>
                      <w:color w:val="auto"/>
                    </w:rPr>
                    <w:t>0.233</w:t>
                  </w:r>
                </w:p>
              </w:tc>
              <w:tc>
                <w:tcPr>
                  <w:tcW w:w="2284" w:type="dxa"/>
                  <w:tcBorders>
                    <w:tl2br w:val="nil"/>
                    <w:tr2bl w:val="nil"/>
                  </w:tcBorders>
                  <w:vAlign w:val="center"/>
                </w:tcPr>
                <w:p>
                  <w:pPr>
                    <w:pStyle w:val="11"/>
                    <w:jc w:val="center"/>
                    <w:rPr>
                      <w:color w:val="auto"/>
                    </w:rPr>
                  </w:pPr>
                  <w:r>
                    <w:rPr>
                      <w:rFonts w:hint="eastAsia"/>
                      <w:color w:val="auto"/>
                    </w:rPr>
                    <w:t>26.59</w:t>
                  </w:r>
                </w:p>
              </w:tc>
              <w:tc>
                <w:tcPr>
                  <w:tcW w:w="969" w:type="dxa"/>
                  <w:tcBorders>
                    <w:tl2br w:val="nil"/>
                    <w:tr2bl w:val="nil"/>
                  </w:tcBorders>
                  <w:vAlign w:val="center"/>
                </w:tcPr>
                <w:p>
                  <w:pPr>
                    <w:pStyle w:val="11"/>
                    <w:jc w:val="center"/>
                    <w:rPr>
                      <w:color w:val="auto"/>
                    </w:rPr>
                  </w:pPr>
                  <w:r>
                    <w:rPr>
                      <w:color w:val="auto"/>
                    </w:rPr>
                    <w:t>50m</w:t>
                  </w:r>
                </w:p>
              </w:tc>
              <w:tc>
                <w:tcPr>
                  <w:tcW w:w="1337" w:type="dxa"/>
                  <w:vMerge w:val="continue"/>
                  <w:tcBorders>
                    <w:tl2br w:val="nil"/>
                    <w:tr2bl w:val="nil"/>
                  </w:tcBorders>
                  <w:vAlign w:val="center"/>
                </w:tcPr>
                <w:p>
                  <w:pPr>
                    <w:pStyle w:val="11"/>
                    <w:jc w:val="center"/>
                    <w:rPr>
                      <w:color w:val="auto"/>
                    </w:rPr>
                  </w:pPr>
                </w:p>
              </w:tc>
            </w:tr>
          </w:tbl>
          <w:p>
            <w:pPr>
              <w:ind w:firstLine="480"/>
              <w:rPr>
                <w:color w:val="auto"/>
                <w:szCs w:val="20"/>
              </w:rPr>
            </w:pPr>
            <w:r>
              <w:rPr>
                <w:color w:val="auto"/>
                <w:szCs w:val="20"/>
              </w:rPr>
              <w:t>从上表</w:t>
            </w:r>
            <w:r>
              <w:rPr>
                <w:rFonts w:hint="eastAsia"/>
                <w:color w:val="auto"/>
                <w:szCs w:val="20"/>
              </w:rPr>
              <w:t>4</w:t>
            </w:r>
            <w:r>
              <w:rPr>
                <w:color w:val="auto"/>
                <w:szCs w:val="20"/>
              </w:rPr>
              <w:t>-</w:t>
            </w:r>
            <w:r>
              <w:rPr>
                <w:rFonts w:hint="eastAsia"/>
                <w:color w:val="auto"/>
                <w:szCs w:val="20"/>
              </w:rPr>
              <w:t>4</w:t>
            </w:r>
            <w:r>
              <w:rPr>
                <w:color w:val="auto"/>
                <w:szCs w:val="20"/>
              </w:rPr>
              <w:t>可看出，本项目无组织排放源的卫生防护距离均不足50m，根据</w:t>
            </w:r>
            <w:r>
              <w:rPr>
                <w:rFonts w:hint="eastAsia"/>
                <w:color w:val="auto"/>
                <w:szCs w:val="20"/>
              </w:rPr>
              <w:t>《大气有害物质无组织排放卫生防护距离推导技术导则》（GB39499-2020）</w:t>
            </w:r>
            <w:r>
              <w:rPr>
                <w:color w:val="auto"/>
                <w:szCs w:val="20"/>
              </w:rPr>
              <w:t>中的规定：</w:t>
            </w:r>
            <w:r>
              <w:rPr>
                <w:rFonts w:hint="eastAsia"/>
                <w:color w:val="auto"/>
                <w:szCs w:val="20"/>
              </w:rPr>
              <w:t>相差大于1</w:t>
            </w:r>
            <w:r>
              <w:rPr>
                <w:color w:val="auto"/>
                <w:szCs w:val="20"/>
              </w:rPr>
              <w:t>0</w:t>
            </w:r>
            <w:r>
              <w:rPr>
                <w:rFonts w:hint="eastAsia"/>
                <w:color w:val="auto"/>
                <w:szCs w:val="20"/>
              </w:rPr>
              <w:t>%的话就只选择等标排放量大的物质来计算卫生防护距离</w:t>
            </w:r>
            <w:r>
              <w:rPr>
                <w:rFonts w:hint="eastAsia"/>
                <w:color w:val="auto"/>
                <w:szCs w:val="20"/>
                <w:lang w:eastAsia="zh-CN"/>
              </w:rPr>
              <w:t>，</w:t>
            </w:r>
            <w:r>
              <w:rPr>
                <w:color w:val="auto"/>
                <w:szCs w:val="20"/>
              </w:rPr>
              <w:t>因此，以污水处理设施边界为起点的</w:t>
            </w:r>
            <w:r>
              <w:rPr>
                <w:rFonts w:hint="eastAsia"/>
                <w:color w:val="auto"/>
                <w:szCs w:val="20"/>
                <w:lang w:val="en-US" w:eastAsia="zh-CN"/>
              </w:rPr>
              <w:t>5</w:t>
            </w:r>
            <w:r>
              <w:rPr>
                <w:rFonts w:hint="eastAsia"/>
                <w:color w:val="auto"/>
                <w:szCs w:val="20"/>
              </w:rPr>
              <w:t>0</w:t>
            </w:r>
            <w:r>
              <w:rPr>
                <w:color w:val="auto"/>
                <w:szCs w:val="20"/>
              </w:rPr>
              <w:t>m包络线范围为本项目卫生防护距离。</w:t>
            </w:r>
          </w:p>
          <w:p>
            <w:pPr>
              <w:ind w:left="480" w:leftChars="200" w:firstLine="0" w:firstLineChars="0"/>
              <w:rPr>
                <w:b/>
                <w:bCs/>
                <w:color w:val="auto"/>
              </w:rPr>
            </w:pPr>
            <w:r>
              <w:rPr>
                <w:b/>
                <w:bCs/>
                <w:color w:val="auto"/>
              </w:rPr>
              <w:t>食堂油烟</w:t>
            </w:r>
            <w:r>
              <w:rPr>
                <w:rFonts w:hint="eastAsia"/>
                <w:b/>
                <w:bCs/>
                <w:color w:val="auto"/>
              </w:rPr>
              <w:t>（G</w:t>
            </w:r>
            <w:r>
              <w:rPr>
                <w:rFonts w:hint="eastAsia"/>
                <w:b/>
                <w:bCs/>
                <w:color w:val="auto"/>
                <w:vertAlign w:val="subscript"/>
              </w:rPr>
              <w:t>4</w:t>
            </w:r>
            <w:r>
              <w:rPr>
                <w:rFonts w:hint="eastAsia"/>
                <w:b/>
                <w:bCs/>
                <w:color w:val="auto"/>
              </w:rPr>
              <w:t>）</w:t>
            </w:r>
          </w:p>
          <w:p>
            <w:pPr>
              <w:autoSpaceDE w:val="0"/>
              <w:autoSpaceDN w:val="0"/>
              <w:adjustRightInd w:val="0"/>
              <w:snapToGrid w:val="0"/>
              <w:ind w:firstLine="480"/>
              <w:jc w:val="left"/>
              <w:rPr>
                <w:rFonts w:eastAsiaTheme="minorEastAsia"/>
                <w:color w:val="auto"/>
                <w:kern w:val="0"/>
              </w:rPr>
            </w:pPr>
            <w:r>
              <w:rPr>
                <w:rFonts w:eastAsiaTheme="minorEastAsia"/>
                <w:color w:val="auto"/>
                <w:kern w:val="0"/>
              </w:rPr>
              <w:t>本项目设有食堂，烹饪过程中容易产生油烟</w:t>
            </w:r>
            <w:r>
              <w:rPr>
                <w:rFonts w:hint="eastAsia" w:eastAsiaTheme="minorEastAsia"/>
                <w:color w:val="auto"/>
                <w:kern w:val="0"/>
              </w:rPr>
              <w:t>，</w:t>
            </w:r>
            <w:r>
              <w:rPr>
                <w:bCs/>
                <w:color w:val="auto"/>
                <w:szCs w:val="21"/>
              </w:rPr>
              <w:t>本项目劳动定员</w:t>
            </w:r>
            <w:r>
              <w:rPr>
                <w:rFonts w:hint="eastAsia"/>
                <w:bCs/>
                <w:color w:val="auto"/>
                <w:szCs w:val="21"/>
              </w:rPr>
              <w:t>160</w:t>
            </w:r>
            <w:r>
              <w:rPr>
                <w:bCs/>
                <w:color w:val="auto"/>
                <w:szCs w:val="21"/>
              </w:rPr>
              <w:t>人</w:t>
            </w:r>
            <w:r>
              <w:rPr>
                <w:rFonts w:hint="eastAsia"/>
                <w:bCs/>
                <w:color w:val="auto"/>
                <w:szCs w:val="21"/>
              </w:rPr>
              <w:t>，</w:t>
            </w:r>
            <w:r>
              <w:rPr>
                <w:bCs/>
                <w:color w:val="auto"/>
              </w:rPr>
              <w:t>其中</w:t>
            </w:r>
            <w:r>
              <w:rPr>
                <w:color w:val="auto"/>
              </w:rPr>
              <w:t>在厂食宿</w:t>
            </w:r>
            <w:r>
              <w:rPr>
                <w:rFonts w:hint="eastAsia"/>
                <w:color w:val="auto"/>
              </w:rPr>
              <w:t>80</w:t>
            </w:r>
            <w:r>
              <w:rPr>
                <w:color w:val="auto"/>
              </w:rPr>
              <w:t>人</w:t>
            </w:r>
            <w:r>
              <w:rPr>
                <w:bCs/>
                <w:color w:val="auto"/>
                <w:szCs w:val="21"/>
              </w:rPr>
              <w:t>，</w:t>
            </w:r>
            <w:r>
              <w:rPr>
                <w:rFonts w:eastAsiaTheme="minorEastAsia"/>
                <w:color w:val="auto"/>
                <w:kern w:val="0"/>
              </w:rPr>
              <w:t>项目</w:t>
            </w:r>
            <w:r>
              <w:rPr>
                <w:rFonts w:hint="eastAsia" w:eastAsiaTheme="minorEastAsia"/>
                <w:color w:val="auto"/>
                <w:kern w:val="0"/>
              </w:rPr>
              <w:t>就餐人次按240人次计算</w:t>
            </w:r>
            <w:r>
              <w:rPr>
                <w:rFonts w:eastAsiaTheme="minorEastAsia"/>
                <w:color w:val="auto"/>
                <w:kern w:val="0"/>
              </w:rPr>
              <w:t>，食用油用量平均按0.0</w:t>
            </w:r>
            <w:r>
              <w:rPr>
                <w:rFonts w:hint="eastAsia" w:eastAsiaTheme="minorEastAsia"/>
                <w:color w:val="auto"/>
                <w:kern w:val="0"/>
              </w:rPr>
              <w:t>3</w:t>
            </w:r>
            <w:r>
              <w:rPr>
                <w:rFonts w:eastAsiaTheme="minorEastAsia"/>
                <w:color w:val="auto"/>
                <w:kern w:val="0"/>
              </w:rPr>
              <w:t>kg/人</w:t>
            </w:r>
            <w:r>
              <w:rPr>
                <w:rFonts w:hint="eastAsia" w:eastAsiaTheme="minorEastAsia"/>
                <w:color w:val="auto"/>
                <w:kern w:val="0"/>
              </w:rPr>
              <w:t>次</w:t>
            </w:r>
            <w:r>
              <w:rPr>
                <w:rFonts w:eastAsiaTheme="minorEastAsia"/>
                <w:color w:val="auto"/>
                <w:kern w:val="0"/>
              </w:rPr>
              <w:t>·天计，</w:t>
            </w:r>
            <w:r>
              <w:rPr>
                <w:color w:val="auto"/>
                <w:kern w:val="0"/>
              </w:rPr>
              <w:t>油烟挥发量占总耗油量的</w:t>
            </w:r>
            <w:r>
              <w:rPr>
                <w:rFonts w:hint="eastAsia"/>
                <w:color w:val="auto"/>
                <w:kern w:val="0"/>
              </w:rPr>
              <w:t>0.1</w:t>
            </w:r>
            <w:r>
              <w:rPr>
                <w:rFonts w:eastAsia="TimesNewRomanPSMT"/>
                <w:color w:val="auto"/>
                <w:kern w:val="0"/>
              </w:rPr>
              <w:t>%</w:t>
            </w:r>
            <w:r>
              <w:rPr>
                <w:rFonts w:hint="eastAsia"/>
                <w:color w:val="auto"/>
                <w:kern w:val="0"/>
              </w:rPr>
              <w:t>进行计算</w:t>
            </w:r>
            <w:r>
              <w:rPr>
                <w:color w:val="auto"/>
                <w:kern w:val="0"/>
              </w:rPr>
              <w:t>，</w:t>
            </w:r>
            <w:r>
              <w:rPr>
                <w:rFonts w:eastAsiaTheme="minorEastAsia"/>
                <w:color w:val="auto"/>
                <w:kern w:val="0"/>
              </w:rPr>
              <w:t>经计算，日产生油烟量为</w:t>
            </w:r>
            <w:r>
              <w:rPr>
                <w:rFonts w:hint="eastAsia" w:eastAsiaTheme="minorEastAsia"/>
                <w:color w:val="auto"/>
                <w:kern w:val="0"/>
              </w:rPr>
              <w:t>7.2g</w:t>
            </w:r>
            <w:r>
              <w:rPr>
                <w:rFonts w:eastAsiaTheme="minorEastAsia"/>
                <w:color w:val="auto"/>
                <w:kern w:val="0"/>
              </w:rPr>
              <w:t>/d，烹饪时间按</w:t>
            </w:r>
            <w:r>
              <w:rPr>
                <w:rFonts w:hint="eastAsia" w:eastAsiaTheme="minorEastAsia"/>
                <w:color w:val="auto"/>
                <w:kern w:val="0"/>
              </w:rPr>
              <w:t>6</w:t>
            </w:r>
            <w:r>
              <w:rPr>
                <w:rFonts w:eastAsiaTheme="minorEastAsia"/>
                <w:color w:val="auto"/>
                <w:kern w:val="0"/>
              </w:rPr>
              <w:t>h计，风机风量为</w:t>
            </w:r>
            <w:r>
              <w:rPr>
                <w:rFonts w:hint="eastAsia" w:eastAsiaTheme="minorEastAsia"/>
                <w:color w:val="auto"/>
                <w:kern w:val="0"/>
              </w:rPr>
              <w:t>5</w:t>
            </w:r>
            <w:r>
              <w:rPr>
                <w:rFonts w:eastAsiaTheme="minorEastAsia"/>
                <w:color w:val="auto"/>
                <w:kern w:val="0"/>
              </w:rPr>
              <w:t>000m³/h，则产生浓度为</w:t>
            </w:r>
            <w:r>
              <w:rPr>
                <w:rFonts w:hint="eastAsia" w:eastAsiaTheme="minorEastAsia"/>
                <w:color w:val="auto"/>
                <w:kern w:val="0"/>
              </w:rPr>
              <w:t>0.24</w:t>
            </w:r>
            <w:r>
              <w:rPr>
                <w:rFonts w:eastAsiaTheme="minorEastAsia"/>
                <w:color w:val="auto"/>
                <w:kern w:val="0"/>
              </w:rPr>
              <w:t>mg/m</w:t>
            </w:r>
            <w:r>
              <w:rPr>
                <w:rFonts w:eastAsiaTheme="minorEastAsia"/>
                <w:color w:val="auto"/>
                <w:kern w:val="0"/>
                <w:vertAlign w:val="superscript"/>
              </w:rPr>
              <w:t>3</w:t>
            </w:r>
            <w:r>
              <w:rPr>
                <w:rFonts w:eastAsiaTheme="minorEastAsia"/>
                <w:color w:val="auto"/>
                <w:kern w:val="0"/>
              </w:rPr>
              <w:t>。</w:t>
            </w:r>
          </w:p>
          <w:p>
            <w:pPr>
              <w:adjustRightInd w:val="0"/>
              <w:snapToGrid w:val="0"/>
              <w:ind w:firstLine="480"/>
              <w:rPr>
                <w:b/>
                <w:bCs/>
                <w:color w:val="auto"/>
              </w:rPr>
            </w:pPr>
            <w:r>
              <w:rPr>
                <w:rFonts w:eastAsiaTheme="minorEastAsia"/>
                <w:color w:val="auto"/>
                <w:kern w:val="0"/>
              </w:rPr>
              <w:t>环保要求安装油烟净化率不小于</w:t>
            </w:r>
            <w:r>
              <w:rPr>
                <w:rFonts w:hint="eastAsia" w:eastAsiaTheme="minorEastAsia"/>
                <w:color w:val="auto"/>
                <w:kern w:val="0"/>
              </w:rPr>
              <w:t>60</w:t>
            </w:r>
            <w:r>
              <w:rPr>
                <w:rFonts w:eastAsiaTheme="minorEastAsia"/>
                <w:color w:val="auto"/>
                <w:kern w:val="0"/>
              </w:rPr>
              <w:t>%的</w:t>
            </w:r>
            <w:r>
              <w:rPr>
                <w:rFonts w:hint="eastAsia" w:eastAsiaTheme="minorEastAsia"/>
                <w:color w:val="auto"/>
                <w:kern w:val="0"/>
              </w:rPr>
              <w:t>抽油烟机</w:t>
            </w:r>
            <w:r>
              <w:rPr>
                <w:rFonts w:eastAsiaTheme="minorEastAsia"/>
                <w:color w:val="auto"/>
                <w:kern w:val="0"/>
              </w:rPr>
              <w:t>，则经处理后食堂油烟排放浓度为</w:t>
            </w:r>
            <w:r>
              <w:rPr>
                <w:rFonts w:hint="eastAsia" w:eastAsiaTheme="minorEastAsia"/>
                <w:color w:val="auto"/>
                <w:kern w:val="0"/>
              </w:rPr>
              <w:t>0.10</w:t>
            </w:r>
            <w:r>
              <w:rPr>
                <w:rFonts w:eastAsiaTheme="minorEastAsia"/>
                <w:color w:val="auto"/>
                <w:kern w:val="0"/>
              </w:rPr>
              <w:t>mg/m³。油烟废气能达到《饮食业油烟排放标准》（GB18483-2001）中规定的饮食业单位油烟的最高允许排放浓度，对大气环境影响较小。</w:t>
            </w:r>
          </w:p>
          <w:p>
            <w:pPr>
              <w:ind w:left="480" w:leftChars="200" w:firstLine="0" w:firstLineChars="0"/>
              <w:rPr>
                <w:b/>
                <w:bCs/>
                <w:color w:val="auto"/>
              </w:rPr>
            </w:pPr>
            <w:r>
              <w:rPr>
                <w:rFonts w:hint="eastAsia"/>
                <w:b/>
                <w:bCs/>
                <w:color w:val="auto"/>
              </w:rPr>
              <w:t>（2）</w:t>
            </w:r>
            <w:r>
              <w:rPr>
                <w:b/>
                <w:bCs/>
                <w:color w:val="auto"/>
              </w:rPr>
              <w:t>废气治理措施可行性</w:t>
            </w:r>
          </w:p>
          <w:p>
            <w:pPr>
              <w:ind w:firstLine="480"/>
              <w:rPr>
                <w:color w:val="auto"/>
              </w:rPr>
            </w:pPr>
            <w:r>
              <w:rPr>
                <w:rFonts w:hint="eastAsia"/>
                <w:color w:val="auto"/>
                <w:lang w:val="en-US" w:eastAsia="zh-CN"/>
              </w:rPr>
              <w:t>本项目</w:t>
            </w:r>
            <w:r>
              <w:rPr>
                <w:color w:val="auto"/>
              </w:rPr>
              <w:t>参考《排污许可证申请及核发技术规范农副食品加工业</w:t>
            </w:r>
            <w:r>
              <w:rPr>
                <w:rFonts w:hint="eastAsia"/>
                <w:color w:val="auto"/>
              </w:rPr>
              <w:t>－</w:t>
            </w:r>
            <w:r>
              <w:rPr>
                <w:color w:val="auto"/>
              </w:rPr>
              <w:t>屠宰及肉类加工业》（HJ860.3</w:t>
            </w:r>
            <w:r>
              <w:rPr>
                <w:rFonts w:hint="eastAsia"/>
                <w:color w:val="auto"/>
                <w:lang w:val="en-US" w:eastAsia="zh-CN"/>
              </w:rPr>
              <w:t>-</w:t>
            </w:r>
            <w:r>
              <w:rPr>
                <w:color w:val="auto"/>
              </w:rPr>
              <w:t>2018）中推荐的可行污染防治设施及工艺分析拟建项目</w:t>
            </w:r>
            <w:r>
              <w:rPr>
                <w:rFonts w:hint="eastAsia"/>
                <w:color w:val="auto"/>
              </w:rPr>
              <w:t>废气</w:t>
            </w:r>
            <w:r>
              <w:rPr>
                <w:color w:val="auto"/>
              </w:rPr>
              <w:t>治理措施可行性。</w:t>
            </w:r>
          </w:p>
          <w:p>
            <w:pPr>
              <w:ind w:firstLine="0" w:firstLineChars="0"/>
              <w:rPr>
                <w:b/>
                <w:bCs/>
                <w:color w:val="auto"/>
              </w:rPr>
            </w:pPr>
            <w:r>
              <w:rPr>
                <w:rFonts w:hint="eastAsia"/>
                <w:b/>
                <w:bCs/>
                <w:color w:val="auto"/>
              </w:rPr>
              <w:t xml:space="preserve">    油烟废气</w:t>
            </w:r>
          </w:p>
          <w:p>
            <w:pPr>
              <w:ind w:firstLine="480"/>
              <w:rPr>
                <w:color w:val="auto"/>
              </w:rPr>
            </w:pPr>
            <w:r>
              <w:rPr>
                <w:rFonts w:hint="eastAsia"/>
                <w:color w:val="auto"/>
              </w:rPr>
              <w:t>本项目主要是红烧肉（1号生产车间）、小酥肉（1号生产车间）</w:t>
            </w:r>
            <w:r>
              <w:rPr>
                <w:rFonts w:hint="eastAsia"/>
                <w:color w:val="auto"/>
                <w:lang w:eastAsia="zh-CN"/>
              </w:rPr>
              <w:t>、</w:t>
            </w:r>
            <w:r>
              <w:rPr>
                <w:rFonts w:hint="eastAsia"/>
                <w:color w:val="auto"/>
                <w:lang w:val="en-US" w:eastAsia="zh-CN"/>
              </w:rPr>
              <w:t>牛肉干（4号生产车间）、灯影牛肉（2号生产车间）</w:t>
            </w:r>
            <w:r>
              <w:rPr>
                <w:rFonts w:hint="eastAsia"/>
                <w:color w:val="auto"/>
              </w:rPr>
              <w:t>生产过程</w:t>
            </w:r>
            <w:r>
              <w:rPr>
                <w:rFonts w:hint="eastAsia"/>
                <w:color w:val="auto"/>
                <w:lang w:val="en-US" w:eastAsia="zh-CN"/>
              </w:rPr>
              <w:t>产生的</w:t>
            </w:r>
            <w:r>
              <w:rPr>
                <w:rFonts w:hint="eastAsia"/>
                <w:color w:val="auto"/>
              </w:rPr>
              <w:t>油烟废气，</w:t>
            </w:r>
            <w:r>
              <w:rPr>
                <w:color w:val="auto"/>
              </w:rPr>
              <w:t>根据行业《排污许可证申请及核发技术规范 农副食品加工业</w:t>
            </w:r>
            <w:r>
              <w:rPr>
                <w:rFonts w:hint="eastAsia"/>
                <w:color w:val="auto"/>
              </w:rPr>
              <w:t>－</w:t>
            </w:r>
            <w:r>
              <w:rPr>
                <w:color w:val="auto"/>
              </w:rPr>
              <w:t>屠宰及肉类加工业》（HJ860.3</w:t>
            </w:r>
            <w:r>
              <w:rPr>
                <w:rFonts w:hint="eastAsia"/>
                <w:color w:val="auto"/>
              </w:rPr>
              <w:t>-</w:t>
            </w:r>
            <w:r>
              <w:rPr>
                <w:color w:val="auto"/>
              </w:rPr>
              <w:t>2018）表3中关于屠宰及肉类油炸废气处理规范可知，一般</w:t>
            </w:r>
            <w:r>
              <w:rPr>
                <w:rFonts w:hint="eastAsia"/>
                <w:color w:val="auto"/>
                <w:lang w:val="en-US" w:eastAsia="zh-CN"/>
              </w:rPr>
              <w:t>油烟</w:t>
            </w:r>
            <w:r>
              <w:rPr>
                <w:color w:val="auto"/>
              </w:rPr>
              <w:t>废气采用油烟净化设施净化后有组织排放。</w:t>
            </w:r>
            <w:r>
              <w:rPr>
                <w:rFonts w:hint="eastAsia"/>
                <w:color w:val="auto"/>
              </w:rPr>
              <w:t>拟建</w:t>
            </w:r>
            <w:r>
              <w:rPr>
                <w:color w:val="auto"/>
              </w:rPr>
              <w:t>项目</w:t>
            </w:r>
            <w:r>
              <w:rPr>
                <w:rFonts w:hint="eastAsia"/>
                <w:color w:val="auto"/>
              </w:rPr>
              <w:t>对油炸油烟废气</w:t>
            </w:r>
            <w:r>
              <w:rPr>
                <w:color w:val="auto"/>
              </w:rPr>
              <w:t>采取</w:t>
            </w:r>
            <w:r>
              <w:rPr>
                <w:rFonts w:hint="eastAsia"/>
                <w:color w:val="auto"/>
              </w:rPr>
              <w:t>“集气罩+高效静电除油净化装置+18m高排气筒”的</w:t>
            </w:r>
            <w:r>
              <w:rPr>
                <w:color w:val="auto"/>
              </w:rPr>
              <w:t>方式进行处理，属于可行的污染防治设施。</w:t>
            </w:r>
          </w:p>
          <w:p>
            <w:pPr>
              <w:ind w:firstLine="0" w:firstLineChars="0"/>
              <w:rPr>
                <w:b/>
                <w:bCs/>
                <w:color w:val="auto"/>
              </w:rPr>
            </w:pPr>
            <w:r>
              <w:rPr>
                <w:rFonts w:hint="eastAsia"/>
                <w:b/>
                <w:bCs/>
                <w:color w:val="auto"/>
              </w:rPr>
              <w:t xml:space="preserve">    </w:t>
            </w:r>
            <w:r>
              <w:rPr>
                <w:b/>
                <w:bCs/>
                <w:color w:val="auto"/>
              </w:rPr>
              <w:t>天然气锅炉燃烧废气</w:t>
            </w:r>
          </w:p>
          <w:p>
            <w:pPr>
              <w:ind w:firstLine="480"/>
              <w:rPr>
                <w:color w:val="auto"/>
              </w:rPr>
            </w:pPr>
            <w:r>
              <w:rPr>
                <w:color w:val="auto"/>
              </w:rPr>
              <w:t>根据《排污许可证申请与核发技术规范 锅炉》（HJ953-2018）</w:t>
            </w:r>
            <w:r>
              <w:rPr>
                <w:rFonts w:hint="eastAsia"/>
                <w:color w:val="auto"/>
              </w:rPr>
              <w:t>“</w:t>
            </w:r>
            <w:r>
              <w:rPr>
                <w:color w:val="auto"/>
              </w:rPr>
              <w:t>表F.3燃气锅炉的废气产排污系数</w:t>
            </w:r>
            <w:r>
              <w:rPr>
                <w:rFonts w:hint="eastAsia"/>
                <w:color w:val="auto"/>
              </w:rPr>
              <w:t>”</w:t>
            </w:r>
            <w:r>
              <w:rPr>
                <w:color w:val="auto"/>
              </w:rPr>
              <w:t>可知，使用燃气作为燃料的蒸汽/热水发生单元产生的废气末端治理的可行技术为低氮燃烧，因此</w:t>
            </w:r>
            <w:r>
              <w:rPr>
                <w:rFonts w:hint="eastAsia"/>
                <w:color w:val="auto"/>
              </w:rPr>
              <w:t>拟建</w:t>
            </w:r>
            <w:r>
              <w:rPr>
                <w:color w:val="auto"/>
              </w:rPr>
              <w:t>项目采用的燃烧废气采取低氮燃烧后直接通过排气筒排放为可行技术。</w:t>
            </w:r>
          </w:p>
          <w:p>
            <w:pPr>
              <w:ind w:left="480" w:leftChars="200" w:firstLine="0" w:firstLineChars="0"/>
              <w:rPr>
                <w:b/>
                <w:bCs/>
                <w:color w:val="auto"/>
              </w:rPr>
            </w:pPr>
            <w:r>
              <w:rPr>
                <w:b/>
                <w:bCs/>
                <w:color w:val="auto"/>
              </w:rPr>
              <w:t>污水处理站恶臭气体</w:t>
            </w:r>
          </w:p>
          <w:p>
            <w:pPr>
              <w:ind w:firstLine="480"/>
              <w:rPr>
                <w:color w:val="auto"/>
              </w:rPr>
            </w:pPr>
            <w:r>
              <w:rPr>
                <w:color w:val="auto"/>
              </w:rPr>
              <w:t>污水处理站恶臭一般浓度低，波动不大</w:t>
            </w:r>
            <w:r>
              <w:rPr>
                <w:rFonts w:hint="eastAsia"/>
                <w:color w:val="auto"/>
              </w:rPr>
              <w:t>；</w:t>
            </w:r>
            <w:r>
              <w:rPr>
                <w:color w:val="auto"/>
              </w:rPr>
              <w:t>根据《排污许可证申请及核发技术规范 农副食品加工业</w:t>
            </w:r>
            <w:r>
              <w:rPr>
                <w:rFonts w:hint="eastAsia"/>
                <w:color w:val="auto"/>
              </w:rPr>
              <w:t>－</w:t>
            </w:r>
            <w:r>
              <w:rPr>
                <w:color w:val="auto"/>
              </w:rPr>
              <w:t>屠宰及肉类加工业》（HJ860.3</w:t>
            </w:r>
            <w:r>
              <w:rPr>
                <w:rFonts w:hint="eastAsia"/>
                <w:color w:val="auto"/>
              </w:rPr>
              <w:t>-</w:t>
            </w:r>
            <w:r>
              <w:rPr>
                <w:color w:val="auto"/>
              </w:rPr>
              <w:t>2018）表3中关于屠宰及肉类</w:t>
            </w:r>
            <w:r>
              <w:rPr>
                <w:rFonts w:hint="eastAsia"/>
                <w:color w:val="auto"/>
              </w:rPr>
              <w:t>加工工业企业厂内综合污水处理站污水处理臭气</w:t>
            </w:r>
            <w:r>
              <w:rPr>
                <w:color w:val="auto"/>
              </w:rPr>
              <w:t>处理规范可知</w:t>
            </w:r>
            <w:r>
              <w:rPr>
                <w:rFonts w:hint="eastAsia"/>
                <w:color w:val="auto"/>
              </w:rPr>
              <w:t>，对污水处理臭气</w:t>
            </w:r>
            <w:r>
              <w:rPr>
                <w:color w:val="auto"/>
              </w:rPr>
              <w:t>采用</w:t>
            </w:r>
            <w:r>
              <w:rPr>
                <w:rFonts w:hint="eastAsia"/>
                <w:color w:val="auto"/>
              </w:rPr>
              <w:t>产生恶臭的区域加盖加罩等</w:t>
            </w:r>
            <w:r>
              <w:rPr>
                <w:color w:val="auto"/>
              </w:rPr>
              <w:t>方法处理</w:t>
            </w:r>
            <w:r>
              <w:rPr>
                <w:rFonts w:hint="eastAsia"/>
                <w:color w:val="auto"/>
              </w:rPr>
              <w:t>；拟建</w:t>
            </w:r>
            <w:r>
              <w:rPr>
                <w:color w:val="auto"/>
              </w:rPr>
              <w:t>项目将污水处理主体设施置于地下，污水处理构筑物采用</w:t>
            </w:r>
            <w:r>
              <w:rPr>
                <w:rFonts w:hint="eastAsia"/>
                <w:color w:val="auto"/>
              </w:rPr>
              <w:t>加盖</w:t>
            </w:r>
            <w:r>
              <w:rPr>
                <w:color w:val="auto"/>
              </w:rPr>
              <w:t>全封闭式，同时种植树木吸臭，产生的恶臭经处理后无组织排放，废气处理技术可行。</w:t>
            </w:r>
          </w:p>
          <w:p>
            <w:pPr>
              <w:ind w:left="480" w:leftChars="200" w:firstLine="0" w:firstLineChars="0"/>
              <w:rPr>
                <w:b/>
                <w:bCs/>
                <w:color w:val="auto"/>
              </w:rPr>
            </w:pPr>
            <w:r>
              <w:rPr>
                <w:rFonts w:hint="eastAsia"/>
                <w:b/>
                <w:bCs/>
                <w:color w:val="auto"/>
              </w:rPr>
              <w:t>食堂油烟</w:t>
            </w:r>
          </w:p>
          <w:p>
            <w:pPr>
              <w:ind w:firstLine="480"/>
              <w:rPr>
                <w:color w:val="auto"/>
              </w:rPr>
            </w:pPr>
            <w:r>
              <w:rPr>
                <w:color w:val="auto"/>
              </w:rPr>
              <w:t>根据行业《饮食业油烟排放标准》（试行）（GB18483-2001）中关于油烟废气处理规范可知，一般食堂油烟废气采用油烟净化设施净化后沿屋顶高空排放。</w:t>
            </w:r>
            <w:r>
              <w:rPr>
                <w:rFonts w:hint="eastAsia"/>
                <w:color w:val="auto"/>
              </w:rPr>
              <w:t>拟建</w:t>
            </w:r>
            <w:r>
              <w:rPr>
                <w:color w:val="auto"/>
              </w:rPr>
              <w:t>项目</w:t>
            </w:r>
            <w:r>
              <w:rPr>
                <w:rFonts w:hint="eastAsia"/>
                <w:color w:val="auto"/>
              </w:rPr>
              <w:t>对</w:t>
            </w:r>
            <w:r>
              <w:rPr>
                <w:color w:val="auto"/>
              </w:rPr>
              <w:t>食堂油烟采取抽油烟机收集后油烟净化器处理的方式处理，采用的油烟处理技术为可行技术。</w:t>
            </w:r>
          </w:p>
          <w:p>
            <w:pPr>
              <w:ind w:firstLine="480"/>
              <w:rPr>
                <w:color w:val="auto"/>
              </w:rPr>
            </w:pPr>
            <w:r>
              <w:rPr>
                <w:rFonts w:hint="eastAsia"/>
                <w:color w:val="auto"/>
              </w:rPr>
              <w:t>（3）监测计划</w:t>
            </w:r>
          </w:p>
          <w:p>
            <w:pPr>
              <w:ind w:firstLine="480"/>
              <w:rPr>
                <w:color w:val="auto"/>
              </w:rPr>
            </w:pPr>
            <w:r>
              <w:rPr>
                <w:color w:val="auto"/>
              </w:rPr>
              <w:t>参考《排污单位自行监测技术指南总则》（HJ733- 2017）相关内容，本项目运行期</w:t>
            </w:r>
            <w:r>
              <w:rPr>
                <w:rFonts w:hint="eastAsia"/>
                <w:color w:val="auto"/>
              </w:rPr>
              <w:t>废气</w:t>
            </w:r>
            <w:r>
              <w:rPr>
                <w:color w:val="auto"/>
              </w:rPr>
              <w:t>监测计划建议见表4-</w:t>
            </w:r>
            <w:r>
              <w:rPr>
                <w:rFonts w:hint="eastAsia"/>
                <w:color w:val="auto"/>
              </w:rPr>
              <w:t>5</w:t>
            </w:r>
            <w:r>
              <w:rPr>
                <w:color w:val="auto"/>
              </w:rPr>
              <w:t>。</w:t>
            </w:r>
          </w:p>
          <w:p>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rPr>
              <w:t xml:space="preserve">5 </w:t>
            </w:r>
            <w:r>
              <w:rPr>
                <w:b/>
                <w:bCs/>
                <w:color w:val="auto"/>
                <w:sz w:val="21"/>
                <w:szCs w:val="21"/>
              </w:rPr>
              <w:t>废气监测计划表</w:t>
            </w:r>
          </w:p>
          <w:tbl>
            <w:tblPr>
              <w:tblStyle w:val="7"/>
              <w:tblW w:w="894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04"/>
              <w:gridCol w:w="2571"/>
              <w:gridCol w:w="3195"/>
              <w:gridCol w:w="14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类别</w:t>
                  </w:r>
                </w:p>
              </w:tc>
              <w:tc>
                <w:tcPr>
                  <w:tcW w:w="3475" w:type="dxa"/>
                  <w:gridSpan w:val="2"/>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监测点位</w:t>
                  </w:r>
                </w:p>
              </w:tc>
              <w:tc>
                <w:tcPr>
                  <w:tcW w:w="3195"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监测项目</w:t>
                  </w:r>
                </w:p>
              </w:tc>
              <w:tc>
                <w:tcPr>
                  <w:tcW w:w="140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废气</w:t>
                  </w:r>
                </w:p>
              </w:tc>
              <w:tc>
                <w:tcPr>
                  <w:tcW w:w="904"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有组织</w:t>
                  </w:r>
                </w:p>
              </w:tc>
              <w:tc>
                <w:tcPr>
                  <w:tcW w:w="2571"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油烟废气</w:t>
                  </w:r>
                  <w:r>
                    <w:rPr>
                      <w:color w:val="auto"/>
                      <w:sz w:val="21"/>
                      <w:szCs w:val="21"/>
                    </w:rPr>
                    <w:t>排气筒</w:t>
                  </w:r>
                </w:p>
              </w:tc>
              <w:tc>
                <w:tcPr>
                  <w:tcW w:w="31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油烟</w:t>
                  </w:r>
                </w:p>
              </w:tc>
              <w:tc>
                <w:tcPr>
                  <w:tcW w:w="140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1次/年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75" w:type="dxa"/>
                  <w:vMerge w:val="continue"/>
                  <w:tcBorders>
                    <w:tl2br w:val="nil"/>
                    <w:tr2bl w:val="nil"/>
                  </w:tcBorders>
                  <w:vAlign w:val="center"/>
                </w:tcPr>
                <w:p>
                  <w:pPr>
                    <w:spacing w:line="240" w:lineRule="auto"/>
                    <w:ind w:firstLine="0" w:firstLineChars="0"/>
                    <w:jc w:val="center"/>
                    <w:rPr>
                      <w:color w:val="auto"/>
                      <w:sz w:val="21"/>
                      <w:szCs w:val="21"/>
                    </w:rPr>
                  </w:pPr>
                </w:p>
              </w:tc>
              <w:tc>
                <w:tcPr>
                  <w:tcW w:w="904" w:type="dxa"/>
                  <w:vMerge w:val="continue"/>
                  <w:tcBorders>
                    <w:tl2br w:val="nil"/>
                    <w:tr2bl w:val="nil"/>
                  </w:tcBorders>
                  <w:vAlign w:val="center"/>
                </w:tcPr>
                <w:p>
                  <w:pPr>
                    <w:spacing w:line="240" w:lineRule="auto"/>
                    <w:ind w:firstLine="0" w:firstLineChars="0"/>
                    <w:jc w:val="center"/>
                    <w:rPr>
                      <w:color w:val="auto"/>
                      <w:sz w:val="21"/>
                      <w:szCs w:val="21"/>
                    </w:rPr>
                  </w:pPr>
                </w:p>
              </w:tc>
              <w:tc>
                <w:tcPr>
                  <w:tcW w:w="2571"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锅炉</w:t>
                  </w:r>
                  <w:r>
                    <w:rPr>
                      <w:color w:val="auto"/>
                      <w:sz w:val="21"/>
                      <w:szCs w:val="21"/>
                    </w:rPr>
                    <w:t>排气筒</w:t>
                  </w:r>
                </w:p>
              </w:tc>
              <w:tc>
                <w:tcPr>
                  <w:tcW w:w="31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颗粒物、SO</w:t>
                  </w:r>
                  <w:r>
                    <w:rPr>
                      <w:rFonts w:hint="eastAsia"/>
                      <w:color w:val="auto"/>
                      <w:sz w:val="21"/>
                      <w:szCs w:val="21"/>
                      <w:vertAlign w:val="subscript"/>
                    </w:rPr>
                    <w:t>2</w:t>
                  </w:r>
                  <w:r>
                    <w:rPr>
                      <w:rFonts w:hint="eastAsia"/>
                      <w:color w:val="auto"/>
                      <w:sz w:val="21"/>
                      <w:szCs w:val="21"/>
                    </w:rPr>
                    <w:t>、NO</w:t>
                  </w:r>
                  <w:r>
                    <w:rPr>
                      <w:rFonts w:hint="eastAsia"/>
                      <w:color w:val="auto"/>
                      <w:sz w:val="21"/>
                      <w:szCs w:val="21"/>
                      <w:vertAlign w:val="subscript"/>
                    </w:rPr>
                    <w:t>X</w:t>
                  </w:r>
                </w:p>
              </w:tc>
              <w:tc>
                <w:tcPr>
                  <w:tcW w:w="140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1次/年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5" w:type="dxa"/>
                  <w:vMerge w:val="continue"/>
                  <w:tcBorders>
                    <w:tl2br w:val="nil"/>
                    <w:tr2bl w:val="nil"/>
                  </w:tcBorders>
                  <w:vAlign w:val="center"/>
                </w:tcPr>
                <w:p>
                  <w:pPr>
                    <w:spacing w:line="240" w:lineRule="auto"/>
                    <w:ind w:firstLine="0" w:firstLineChars="0"/>
                    <w:jc w:val="center"/>
                    <w:rPr>
                      <w:color w:val="auto"/>
                      <w:sz w:val="21"/>
                      <w:szCs w:val="21"/>
                    </w:rPr>
                  </w:pPr>
                </w:p>
              </w:tc>
              <w:tc>
                <w:tcPr>
                  <w:tcW w:w="3475" w:type="dxa"/>
                  <w:gridSpan w:val="2"/>
                  <w:tcBorders>
                    <w:tl2br w:val="nil"/>
                    <w:tr2bl w:val="nil"/>
                  </w:tcBorders>
                  <w:vAlign w:val="center"/>
                </w:tcPr>
                <w:p>
                  <w:pPr>
                    <w:spacing w:line="240" w:lineRule="auto"/>
                    <w:ind w:firstLine="0" w:firstLineChars="0"/>
                    <w:jc w:val="center"/>
                    <w:rPr>
                      <w:color w:val="auto"/>
                      <w:sz w:val="21"/>
                      <w:szCs w:val="21"/>
                    </w:rPr>
                  </w:pPr>
                  <w:r>
                    <w:rPr>
                      <w:color w:val="auto"/>
                      <w:sz w:val="21"/>
                      <w:szCs w:val="21"/>
                    </w:rPr>
                    <w:t>无组织：</w:t>
                  </w:r>
                  <w:r>
                    <w:rPr>
                      <w:rFonts w:hint="eastAsia"/>
                      <w:color w:val="auto"/>
                      <w:sz w:val="21"/>
                      <w:szCs w:val="21"/>
                    </w:rPr>
                    <w:t>项目所在地下风向</w:t>
                  </w:r>
                </w:p>
              </w:tc>
              <w:tc>
                <w:tcPr>
                  <w:tcW w:w="31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、H</w:t>
                  </w:r>
                  <w:r>
                    <w:rPr>
                      <w:rFonts w:hint="eastAsia"/>
                      <w:color w:val="auto"/>
                      <w:sz w:val="21"/>
                      <w:szCs w:val="21"/>
                      <w:vertAlign w:val="subscript"/>
                    </w:rPr>
                    <w:t>2</w:t>
                  </w:r>
                  <w:r>
                    <w:rPr>
                      <w:rFonts w:hint="eastAsia"/>
                      <w:color w:val="auto"/>
                      <w:sz w:val="21"/>
                      <w:szCs w:val="21"/>
                    </w:rPr>
                    <w:t>S、SO</w:t>
                  </w:r>
                  <w:r>
                    <w:rPr>
                      <w:rFonts w:hint="eastAsia"/>
                      <w:color w:val="auto"/>
                      <w:sz w:val="21"/>
                      <w:szCs w:val="21"/>
                      <w:vertAlign w:val="subscript"/>
                    </w:rPr>
                    <w:t>2</w:t>
                  </w:r>
                  <w:r>
                    <w:rPr>
                      <w:rFonts w:hint="eastAsia"/>
                      <w:color w:val="auto"/>
                      <w:sz w:val="21"/>
                      <w:szCs w:val="21"/>
                    </w:rPr>
                    <w:t>、NO</w:t>
                  </w:r>
                  <w:r>
                    <w:rPr>
                      <w:rFonts w:hint="eastAsia"/>
                      <w:color w:val="auto"/>
                      <w:sz w:val="21"/>
                      <w:szCs w:val="21"/>
                      <w:vertAlign w:val="subscript"/>
                    </w:rPr>
                    <w:t>X</w:t>
                  </w:r>
                  <w:r>
                    <w:rPr>
                      <w:rFonts w:hint="eastAsia"/>
                      <w:color w:val="auto"/>
                      <w:sz w:val="21"/>
                      <w:szCs w:val="21"/>
                    </w:rPr>
                    <w:t>、颗粒物</w:t>
                  </w:r>
                </w:p>
              </w:tc>
              <w:tc>
                <w:tcPr>
                  <w:tcW w:w="140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1次/年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47" w:type="dxa"/>
                  <w:gridSpan w:val="5"/>
                  <w:tcBorders>
                    <w:tl2br w:val="nil"/>
                    <w:tr2bl w:val="nil"/>
                  </w:tcBorders>
                  <w:vAlign w:val="center"/>
                </w:tcPr>
                <w:p>
                  <w:pPr>
                    <w:spacing w:line="240" w:lineRule="auto"/>
                    <w:ind w:firstLine="0" w:firstLineChars="0"/>
                    <w:rPr>
                      <w:color w:val="auto"/>
                      <w:sz w:val="21"/>
                      <w:szCs w:val="21"/>
                    </w:rPr>
                  </w:pPr>
                  <w:r>
                    <w:rPr>
                      <w:color w:val="auto"/>
                      <w:sz w:val="21"/>
                      <w:szCs w:val="21"/>
                    </w:rPr>
                    <w:t>注：参照（HJ860.3—2018）《排污许可证申请及核发技术规范 农副食品加工业</w:t>
                  </w:r>
                  <w:r>
                    <w:rPr>
                      <w:rFonts w:hint="eastAsia"/>
                      <w:color w:val="auto"/>
                      <w:sz w:val="21"/>
                      <w:szCs w:val="21"/>
                    </w:rPr>
                    <w:t>－</w:t>
                  </w:r>
                  <w:r>
                    <w:rPr>
                      <w:color w:val="auto"/>
                      <w:sz w:val="21"/>
                      <w:szCs w:val="21"/>
                    </w:rPr>
                    <w:t>屠宰及肉类加工业》</w:t>
                  </w:r>
                  <w:r>
                    <w:rPr>
                      <w:rFonts w:hint="eastAsia"/>
                      <w:color w:val="auto"/>
                      <w:sz w:val="21"/>
                      <w:szCs w:val="21"/>
                    </w:rPr>
                    <w:t>中相关要求</w:t>
                  </w:r>
                  <w:r>
                    <w:rPr>
                      <w:color w:val="auto"/>
                      <w:sz w:val="21"/>
                      <w:szCs w:val="21"/>
                    </w:rPr>
                    <w:t>执行；</w:t>
                  </w:r>
                </w:p>
              </w:tc>
            </w:tr>
          </w:tbl>
          <w:p>
            <w:pPr>
              <w:adjustRightInd w:val="0"/>
              <w:snapToGrid w:val="0"/>
              <w:ind w:firstLine="442"/>
              <w:rPr>
                <w:b/>
                <w:color w:val="auto"/>
                <w:spacing w:val="-10"/>
                <w:szCs w:val="21"/>
              </w:rPr>
            </w:pPr>
            <w:r>
              <w:rPr>
                <w:b/>
                <w:color w:val="auto"/>
                <w:spacing w:val="-10"/>
                <w:szCs w:val="21"/>
              </w:rPr>
              <w:t>3、噪声产生及治理</w:t>
            </w:r>
          </w:p>
          <w:p>
            <w:pPr>
              <w:ind w:firstLine="480"/>
              <w:rPr>
                <w:color w:val="auto"/>
              </w:rPr>
            </w:pPr>
            <w:r>
              <w:rPr>
                <w:rFonts w:hint="eastAsia"/>
                <w:color w:val="auto"/>
              </w:rPr>
              <w:t>本项目生产设备较多，</w:t>
            </w:r>
            <w:r>
              <w:rPr>
                <w:color w:val="auto"/>
              </w:rPr>
              <w:t>项目运行生产后，主要噪声源为各机械设备运行时产生的噪声</w:t>
            </w:r>
            <w:r>
              <w:rPr>
                <w:rFonts w:hint="eastAsia"/>
                <w:color w:val="auto"/>
              </w:rPr>
              <w:t>，项目主要产噪</w:t>
            </w:r>
            <w:r>
              <w:rPr>
                <w:color w:val="auto"/>
              </w:rPr>
              <w:t>设备声级见表4-</w:t>
            </w:r>
            <w:r>
              <w:rPr>
                <w:rFonts w:hint="eastAsia"/>
                <w:color w:val="auto"/>
              </w:rPr>
              <w:t>6</w:t>
            </w:r>
            <w:r>
              <w:rPr>
                <w:color w:val="auto"/>
              </w:rPr>
              <w:t>。</w:t>
            </w:r>
          </w:p>
          <w:p>
            <w:pPr>
              <w:pStyle w:val="11"/>
              <w:jc w:val="center"/>
              <w:rPr>
                <w:b/>
                <w:bCs/>
                <w:color w:val="auto"/>
              </w:rPr>
            </w:pPr>
            <w:r>
              <w:rPr>
                <w:b/>
                <w:bCs/>
                <w:color w:val="auto"/>
              </w:rPr>
              <w:t>表4-</w:t>
            </w:r>
            <w:r>
              <w:rPr>
                <w:rFonts w:hint="eastAsia"/>
                <w:b/>
                <w:bCs/>
                <w:color w:val="auto"/>
              </w:rPr>
              <w:t>6</w:t>
            </w:r>
            <w:r>
              <w:rPr>
                <w:b/>
                <w:bCs/>
                <w:color w:val="auto"/>
              </w:rPr>
              <w:t xml:space="preserve">  </w:t>
            </w:r>
            <w:r>
              <w:rPr>
                <w:rFonts w:hint="eastAsia"/>
                <w:b/>
                <w:bCs/>
                <w:color w:val="auto"/>
              </w:rPr>
              <w:t xml:space="preserve"> </w:t>
            </w:r>
            <w:r>
              <w:rPr>
                <w:b/>
                <w:bCs/>
                <w:color w:val="auto"/>
              </w:rPr>
              <w:t>项目</w:t>
            </w:r>
            <w:r>
              <w:rPr>
                <w:rFonts w:hint="eastAsia"/>
                <w:b/>
                <w:bCs/>
                <w:color w:val="auto"/>
              </w:rPr>
              <w:t>室内</w:t>
            </w:r>
            <w:r>
              <w:rPr>
                <w:b/>
                <w:bCs/>
                <w:color w:val="auto"/>
              </w:rPr>
              <w:t>主要噪声设备  单位：dB(A)</w:t>
            </w:r>
          </w:p>
          <w:tbl>
            <w:tblPr>
              <w:tblStyle w:val="6"/>
              <w:tblW w:w="89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806"/>
              <w:gridCol w:w="994"/>
              <w:gridCol w:w="3774"/>
              <w:gridCol w:w="1044"/>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0" w:type="dxa"/>
                  <w:vAlign w:val="center"/>
                </w:tcPr>
                <w:p>
                  <w:pPr>
                    <w:pStyle w:val="11"/>
                    <w:jc w:val="center"/>
                    <w:rPr>
                      <w:b/>
                      <w:bCs/>
                      <w:color w:val="auto"/>
                    </w:rPr>
                  </w:pPr>
                  <w:r>
                    <w:rPr>
                      <w:b/>
                      <w:bCs/>
                      <w:color w:val="auto"/>
                    </w:rPr>
                    <w:t>噪声源</w:t>
                  </w:r>
                </w:p>
              </w:tc>
              <w:tc>
                <w:tcPr>
                  <w:tcW w:w="806" w:type="dxa"/>
                  <w:vAlign w:val="center"/>
                </w:tcPr>
                <w:p>
                  <w:pPr>
                    <w:pStyle w:val="11"/>
                    <w:jc w:val="center"/>
                    <w:rPr>
                      <w:b/>
                      <w:bCs/>
                      <w:color w:val="auto"/>
                    </w:rPr>
                  </w:pPr>
                  <w:r>
                    <w:rPr>
                      <w:b/>
                      <w:bCs/>
                      <w:color w:val="auto"/>
                    </w:rPr>
                    <w:t>数量(台)</w:t>
                  </w:r>
                </w:p>
              </w:tc>
              <w:tc>
                <w:tcPr>
                  <w:tcW w:w="994" w:type="dxa"/>
                  <w:vAlign w:val="center"/>
                </w:tcPr>
                <w:p>
                  <w:pPr>
                    <w:pStyle w:val="11"/>
                    <w:jc w:val="center"/>
                    <w:rPr>
                      <w:b/>
                      <w:bCs/>
                      <w:color w:val="auto"/>
                    </w:rPr>
                  </w:pPr>
                  <w:r>
                    <w:rPr>
                      <w:b/>
                      <w:bCs/>
                      <w:color w:val="auto"/>
                    </w:rPr>
                    <w:t>治理前声级</w:t>
                  </w:r>
                </w:p>
              </w:tc>
              <w:tc>
                <w:tcPr>
                  <w:tcW w:w="3774" w:type="dxa"/>
                  <w:vAlign w:val="center"/>
                </w:tcPr>
                <w:p>
                  <w:pPr>
                    <w:pStyle w:val="11"/>
                    <w:jc w:val="center"/>
                    <w:rPr>
                      <w:b/>
                      <w:bCs/>
                      <w:color w:val="auto"/>
                    </w:rPr>
                  </w:pPr>
                  <w:r>
                    <w:rPr>
                      <w:b/>
                      <w:bCs/>
                      <w:color w:val="auto"/>
                    </w:rPr>
                    <w:t>噪声防治措施</w:t>
                  </w:r>
                </w:p>
              </w:tc>
              <w:tc>
                <w:tcPr>
                  <w:tcW w:w="1044" w:type="dxa"/>
                  <w:vAlign w:val="center"/>
                </w:tcPr>
                <w:p>
                  <w:pPr>
                    <w:pStyle w:val="11"/>
                    <w:jc w:val="center"/>
                    <w:rPr>
                      <w:b/>
                      <w:bCs/>
                      <w:color w:val="auto"/>
                    </w:rPr>
                  </w:pPr>
                  <w:r>
                    <w:rPr>
                      <w:b/>
                      <w:bCs/>
                      <w:color w:val="auto"/>
                    </w:rPr>
                    <w:t>治理</w:t>
                  </w:r>
                </w:p>
                <w:p>
                  <w:pPr>
                    <w:pStyle w:val="11"/>
                    <w:jc w:val="center"/>
                    <w:rPr>
                      <w:b/>
                      <w:bCs/>
                      <w:color w:val="auto"/>
                    </w:rPr>
                  </w:pPr>
                  <w:r>
                    <w:rPr>
                      <w:b/>
                      <w:bCs/>
                      <w:color w:val="auto"/>
                    </w:rPr>
                    <w:t>后声级</w:t>
                  </w:r>
                </w:p>
              </w:tc>
              <w:tc>
                <w:tcPr>
                  <w:tcW w:w="1241" w:type="dxa"/>
                  <w:vAlign w:val="center"/>
                </w:tcPr>
                <w:p>
                  <w:pPr>
                    <w:pStyle w:val="11"/>
                    <w:jc w:val="center"/>
                    <w:rPr>
                      <w:b/>
                      <w:bCs/>
                      <w:color w:val="auto"/>
                    </w:rPr>
                  </w:pPr>
                  <w:r>
                    <w:rPr>
                      <w:b/>
                      <w:bCs/>
                      <w:color w:val="auto"/>
                    </w:rPr>
                    <w:t>持续</w:t>
                  </w:r>
                </w:p>
                <w:p>
                  <w:pPr>
                    <w:pStyle w:val="11"/>
                    <w:jc w:val="center"/>
                    <w:rPr>
                      <w:b/>
                      <w:bCs/>
                      <w:color w:val="auto"/>
                    </w:rPr>
                  </w:pPr>
                  <w:r>
                    <w:rPr>
                      <w:b/>
                      <w:bCs/>
                      <w:color w:val="auto"/>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0" w:type="dxa"/>
                  <w:vAlign w:val="center"/>
                </w:tcPr>
                <w:p>
                  <w:pPr>
                    <w:pStyle w:val="11"/>
                    <w:jc w:val="center"/>
                    <w:rPr>
                      <w:color w:val="auto"/>
                    </w:rPr>
                  </w:pPr>
                  <w:r>
                    <w:rPr>
                      <w:rFonts w:hint="eastAsia"/>
                      <w:color w:val="auto"/>
                    </w:rPr>
                    <w:t>制冷机组（冻库）</w:t>
                  </w:r>
                </w:p>
              </w:tc>
              <w:tc>
                <w:tcPr>
                  <w:tcW w:w="806" w:type="dxa"/>
                  <w:vAlign w:val="center"/>
                </w:tcPr>
                <w:p>
                  <w:pPr>
                    <w:pStyle w:val="11"/>
                    <w:jc w:val="center"/>
                    <w:rPr>
                      <w:color w:val="auto"/>
                    </w:rPr>
                  </w:pPr>
                  <w:r>
                    <w:rPr>
                      <w:rFonts w:hint="eastAsia"/>
                      <w:color w:val="auto"/>
                    </w:rPr>
                    <w:t>3</w:t>
                  </w:r>
                </w:p>
              </w:tc>
              <w:tc>
                <w:tcPr>
                  <w:tcW w:w="994" w:type="dxa"/>
                  <w:vAlign w:val="center"/>
                </w:tcPr>
                <w:p>
                  <w:pPr>
                    <w:pStyle w:val="11"/>
                    <w:jc w:val="center"/>
                    <w:rPr>
                      <w:color w:val="auto"/>
                    </w:rPr>
                  </w:pPr>
                  <w:r>
                    <w:rPr>
                      <w:color w:val="auto"/>
                    </w:rPr>
                    <w:t>85</w:t>
                  </w:r>
                </w:p>
              </w:tc>
              <w:tc>
                <w:tcPr>
                  <w:tcW w:w="3774" w:type="dxa"/>
                  <w:vAlign w:val="center"/>
                </w:tcPr>
                <w:p>
                  <w:pPr>
                    <w:pStyle w:val="11"/>
                    <w:jc w:val="center"/>
                    <w:rPr>
                      <w:color w:val="auto"/>
                    </w:rPr>
                  </w:pPr>
                  <w:r>
                    <w:rPr>
                      <w:color w:val="auto"/>
                    </w:rPr>
                    <w:t>生产车间封闭，合理布局，</w:t>
                  </w:r>
                  <w:r>
                    <w:rPr>
                      <w:rFonts w:hint="eastAsia"/>
                      <w:color w:val="auto"/>
                    </w:rPr>
                    <w:t>选用低噪声设备，</w:t>
                  </w:r>
                  <w:r>
                    <w:rPr>
                      <w:color w:val="auto"/>
                    </w:rPr>
                    <w:t>设置减震装置，基座加固，距离衰减</w:t>
                  </w:r>
                </w:p>
              </w:tc>
              <w:tc>
                <w:tcPr>
                  <w:tcW w:w="1044" w:type="dxa"/>
                  <w:vAlign w:val="center"/>
                </w:tcPr>
                <w:p>
                  <w:pPr>
                    <w:pStyle w:val="11"/>
                    <w:jc w:val="center"/>
                    <w:rPr>
                      <w:color w:val="auto"/>
                    </w:rPr>
                  </w:pPr>
                  <w:r>
                    <w:rPr>
                      <w:color w:val="auto"/>
                    </w:rPr>
                    <w:t>70</w:t>
                  </w:r>
                </w:p>
              </w:tc>
              <w:tc>
                <w:tcPr>
                  <w:tcW w:w="1241" w:type="dxa"/>
                  <w:vAlign w:val="center"/>
                </w:tcPr>
                <w:p>
                  <w:pPr>
                    <w:pStyle w:val="11"/>
                    <w:jc w:val="center"/>
                    <w:rPr>
                      <w:color w:val="auto"/>
                    </w:rPr>
                  </w:pPr>
                  <w:r>
                    <w:rPr>
                      <w:rFonts w:hint="eastAsia"/>
                      <w:color w:val="auto"/>
                    </w:rPr>
                    <w:t>24</w:t>
                  </w:r>
                  <w:r>
                    <w:rPr>
                      <w:color w:val="auto"/>
                    </w:rPr>
                    <w:t>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0" w:type="dxa"/>
                  <w:vAlign w:val="center"/>
                </w:tcPr>
                <w:p>
                  <w:pPr>
                    <w:pStyle w:val="11"/>
                    <w:jc w:val="center"/>
                    <w:rPr>
                      <w:color w:val="auto"/>
                    </w:rPr>
                  </w:pPr>
                  <w:r>
                    <w:rPr>
                      <w:rFonts w:hint="eastAsia"/>
                      <w:color w:val="auto"/>
                    </w:rPr>
                    <w:t>冷风机（冷库、解冻间）</w:t>
                  </w:r>
                </w:p>
              </w:tc>
              <w:tc>
                <w:tcPr>
                  <w:tcW w:w="806" w:type="dxa"/>
                  <w:vAlign w:val="center"/>
                </w:tcPr>
                <w:p>
                  <w:pPr>
                    <w:pStyle w:val="11"/>
                    <w:jc w:val="center"/>
                    <w:rPr>
                      <w:color w:val="auto"/>
                    </w:rPr>
                  </w:pPr>
                  <w:r>
                    <w:rPr>
                      <w:rFonts w:hint="eastAsia"/>
                      <w:color w:val="auto"/>
                    </w:rPr>
                    <w:t>8</w:t>
                  </w:r>
                </w:p>
              </w:tc>
              <w:tc>
                <w:tcPr>
                  <w:tcW w:w="994" w:type="dxa"/>
                  <w:vAlign w:val="center"/>
                </w:tcPr>
                <w:p>
                  <w:pPr>
                    <w:pStyle w:val="11"/>
                    <w:jc w:val="center"/>
                    <w:rPr>
                      <w:color w:val="auto"/>
                    </w:rPr>
                  </w:pPr>
                  <w:r>
                    <w:rPr>
                      <w:color w:val="auto"/>
                    </w:rPr>
                    <w:t>85</w:t>
                  </w:r>
                </w:p>
              </w:tc>
              <w:tc>
                <w:tcPr>
                  <w:tcW w:w="3774" w:type="dxa"/>
                  <w:vAlign w:val="center"/>
                </w:tcPr>
                <w:p>
                  <w:pPr>
                    <w:pStyle w:val="11"/>
                    <w:jc w:val="center"/>
                    <w:rPr>
                      <w:color w:val="auto"/>
                    </w:rPr>
                  </w:pPr>
                  <w:r>
                    <w:rPr>
                      <w:color w:val="auto"/>
                    </w:rPr>
                    <w:t>生产车间封闭，合理布局，</w:t>
                  </w:r>
                  <w:r>
                    <w:rPr>
                      <w:rFonts w:hint="eastAsia"/>
                      <w:color w:val="auto"/>
                    </w:rPr>
                    <w:t>选用低噪声设备，</w:t>
                  </w:r>
                  <w:r>
                    <w:rPr>
                      <w:color w:val="auto"/>
                    </w:rPr>
                    <w:t>设置减震装置，基座加固，距离衰减</w:t>
                  </w:r>
                </w:p>
              </w:tc>
              <w:tc>
                <w:tcPr>
                  <w:tcW w:w="1044" w:type="dxa"/>
                  <w:vAlign w:val="center"/>
                </w:tcPr>
                <w:p>
                  <w:pPr>
                    <w:pStyle w:val="11"/>
                    <w:jc w:val="center"/>
                    <w:rPr>
                      <w:color w:val="auto"/>
                    </w:rPr>
                  </w:pPr>
                  <w:r>
                    <w:rPr>
                      <w:color w:val="auto"/>
                    </w:rPr>
                    <w:t>70</w:t>
                  </w:r>
                </w:p>
              </w:tc>
              <w:tc>
                <w:tcPr>
                  <w:tcW w:w="1241" w:type="dxa"/>
                  <w:vAlign w:val="center"/>
                </w:tcPr>
                <w:p>
                  <w:pPr>
                    <w:pStyle w:val="11"/>
                    <w:jc w:val="center"/>
                    <w:rPr>
                      <w:color w:val="auto"/>
                    </w:rPr>
                  </w:pPr>
                  <w:r>
                    <w:rPr>
                      <w:rFonts w:hint="eastAsia"/>
                      <w:color w:val="auto"/>
                    </w:rPr>
                    <w:t>10</w:t>
                  </w:r>
                  <w:r>
                    <w:rPr>
                      <w:color w:val="auto"/>
                    </w:rPr>
                    <w:t>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0" w:type="dxa"/>
                  <w:vAlign w:val="center"/>
                </w:tcPr>
                <w:p>
                  <w:pPr>
                    <w:pStyle w:val="11"/>
                    <w:jc w:val="center"/>
                    <w:rPr>
                      <w:color w:val="auto"/>
                    </w:rPr>
                  </w:pPr>
                  <w:r>
                    <w:rPr>
                      <w:rFonts w:hint="eastAsia"/>
                      <w:color w:val="auto"/>
                    </w:rPr>
                    <w:t>切割机</w:t>
                  </w:r>
                </w:p>
              </w:tc>
              <w:tc>
                <w:tcPr>
                  <w:tcW w:w="806" w:type="dxa"/>
                  <w:vAlign w:val="center"/>
                </w:tcPr>
                <w:p>
                  <w:pPr>
                    <w:pStyle w:val="11"/>
                    <w:jc w:val="center"/>
                    <w:rPr>
                      <w:color w:val="auto"/>
                    </w:rPr>
                  </w:pPr>
                  <w:r>
                    <w:rPr>
                      <w:rFonts w:hint="eastAsia"/>
                      <w:color w:val="auto"/>
                    </w:rPr>
                    <w:t>16</w:t>
                  </w:r>
                </w:p>
              </w:tc>
              <w:tc>
                <w:tcPr>
                  <w:tcW w:w="994" w:type="dxa"/>
                  <w:vAlign w:val="center"/>
                </w:tcPr>
                <w:p>
                  <w:pPr>
                    <w:pStyle w:val="11"/>
                    <w:jc w:val="center"/>
                    <w:rPr>
                      <w:color w:val="auto"/>
                    </w:rPr>
                  </w:pPr>
                  <w:r>
                    <w:rPr>
                      <w:color w:val="auto"/>
                    </w:rPr>
                    <w:t>85</w:t>
                  </w:r>
                </w:p>
              </w:tc>
              <w:tc>
                <w:tcPr>
                  <w:tcW w:w="3774" w:type="dxa"/>
                  <w:vAlign w:val="center"/>
                </w:tcPr>
                <w:p>
                  <w:pPr>
                    <w:pStyle w:val="11"/>
                    <w:jc w:val="center"/>
                    <w:rPr>
                      <w:color w:val="auto"/>
                    </w:rPr>
                  </w:pPr>
                  <w:r>
                    <w:rPr>
                      <w:color w:val="auto"/>
                    </w:rPr>
                    <w:t>生产车间封闭，合理布局，选用低噪声设备，设置减震装置，基座加固，距离衰减</w:t>
                  </w:r>
                </w:p>
              </w:tc>
              <w:tc>
                <w:tcPr>
                  <w:tcW w:w="1044" w:type="dxa"/>
                  <w:vAlign w:val="center"/>
                </w:tcPr>
                <w:p>
                  <w:pPr>
                    <w:pStyle w:val="11"/>
                    <w:jc w:val="center"/>
                    <w:rPr>
                      <w:color w:val="auto"/>
                    </w:rPr>
                  </w:pPr>
                  <w:r>
                    <w:rPr>
                      <w:rFonts w:hint="eastAsia"/>
                      <w:color w:val="auto"/>
                    </w:rPr>
                    <w:t>70</w:t>
                  </w:r>
                </w:p>
              </w:tc>
              <w:tc>
                <w:tcPr>
                  <w:tcW w:w="1241" w:type="dxa"/>
                  <w:vAlign w:val="center"/>
                </w:tcPr>
                <w:p>
                  <w:pPr>
                    <w:pStyle w:val="11"/>
                    <w:jc w:val="center"/>
                    <w:rPr>
                      <w:color w:val="auto"/>
                    </w:rPr>
                  </w:pPr>
                  <w:r>
                    <w:rPr>
                      <w:rFonts w:hint="eastAsia"/>
                      <w:color w:val="auto"/>
                    </w:rPr>
                    <w:t>6</w:t>
                  </w:r>
                  <w:r>
                    <w:rPr>
                      <w:color w:val="auto"/>
                    </w:rPr>
                    <w:t>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0" w:type="dxa"/>
                  <w:vAlign w:val="center"/>
                </w:tcPr>
                <w:p>
                  <w:pPr>
                    <w:pStyle w:val="11"/>
                    <w:jc w:val="center"/>
                    <w:rPr>
                      <w:color w:val="auto"/>
                    </w:rPr>
                  </w:pPr>
                  <w:r>
                    <w:rPr>
                      <w:rFonts w:hint="eastAsia"/>
                      <w:color w:val="auto"/>
                    </w:rPr>
                    <w:t>搅拌机</w:t>
                  </w:r>
                </w:p>
              </w:tc>
              <w:tc>
                <w:tcPr>
                  <w:tcW w:w="806" w:type="dxa"/>
                  <w:vAlign w:val="center"/>
                </w:tcPr>
                <w:p>
                  <w:pPr>
                    <w:pStyle w:val="11"/>
                    <w:jc w:val="center"/>
                    <w:rPr>
                      <w:color w:val="auto"/>
                    </w:rPr>
                  </w:pPr>
                  <w:r>
                    <w:rPr>
                      <w:rFonts w:hint="eastAsia"/>
                      <w:color w:val="auto"/>
                    </w:rPr>
                    <w:t>12</w:t>
                  </w:r>
                </w:p>
              </w:tc>
              <w:tc>
                <w:tcPr>
                  <w:tcW w:w="994" w:type="dxa"/>
                  <w:vAlign w:val="center"/>
                </w:tcPr>
                <w:p>
                  <w:pPr>
                    <w:pStyle w:val="11"/>
                    <w:jc w:val="center"/>
                    <w:rPr>
                      <w:color w:val="auto"/>
                    </w:rPr>
                  </w:pPr>
                  <w:r>
                    <w:rPr>
                      <w:color w:val="auto"/>
                    </w:rPr>
                    <w:t>80</w:t>
                  </w:r>
                </w:p>
              </w:tc>
              <w:tc>
                <w:tcPr>
                  <w:tcW w:w="3774" w:type="dxa"/>
                  <w:vAlign w:val="center"/>
                </w:tcPr>
                <w:p>
                  <w:pPr>
                    <w:pStyle w:val="11"/>
                    <w:jc w:val="center"/>
                    <w:rPr>
                      <w:color w:val="auto"/>
                    </w:rPr>
                  </w:pPr>
                  <w:r>
                    <w:rPr>
                      <w:color w:val="auto"/>
                    </w:rPr>
                    <w:t>生产车间封闭，合理布局，设置减震装置，基座加固，距离衰减</w:t>
                  </w:r>
                </w:p>
              </w:tc>
              <w:tc>
                <w:tcPr>
                  <w:tcW w:w="1044" w:type="dxa"/>
                  <w:vAlign w:val="center"/>
                </w:tcPr>
                <w:p>
                  <w:pPr>
                    <w:pStyle w:val="11"/>
                    <w:jc w:val="center"/>
                    <w:rPr>
                      <w:color w:val="auto"/>
                    </w:rPr>
                  </w:pPr>
                  <w:r>
                    <w:rPr>
                      <w:rFonts w:hint="eastAsia"/>
                      <w:color w:val="auto"/>
                    </w:rPr>
                    <w:t>65</w:t>
                  </w:r>
                </w:p>
              </w:tc>
              <w:tc>
                <w:tcPr>
                  <w:tcW w:w="1241" w:type="dxa"/>
                  <w:vAlign w:val="center"/>
                </w:tcPr>
                <w:p>
                  <w:pPr>
                    <w:pStyle w:val="11"/>
                    <w:jc w:val="center"/>
                    <w:rPr>
                      <w:color w:val="auto"/>
                    </w:rPr>
                  </w:pPr>
                  <w:r>
                    <w:rPr>
                      <w:rFonts w:hint="eastAsia"/>
                      <w:color w:val="auto"/>
                    </w:rPr>
                    <w:t>6</w:t>
                  </w:r>
                  <w:r>
                    <w:rPr>
                      <w:color w:val="auto"/>
                    </w:rPr>
                    <w:t>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0" w:type="dxa"/>
                  <w:vAlign w:val="center"/>
                </w:tcPr>
                <w:p>
                  <w:pPr>
                    <w:pStyle w:val="11"/>
                    <w:jc w:val="center"/>
                    <w:rPr>
                      <w:color w:val="auto"/>
                    </w:rPr>
                  </w:pPr>
                  <w:r>
                    <w:rPr>
                      <w:rFonts w:hint="eastAsia"/>
                      <w:color w:val="auto"/>
                    </w:rPr>
                    <w:t>烘干机</w:t>
                  </w:r>
                </w:p>
              </w:tc>
              <w:tc>
                <w:tcPr>
                  <w:tcW w:w="806" w:type="dxa"/>
                  <w:vAlign w:val="center"/>
                </w:tcPr>
                <w:p>
                  <w:pPr>
                    <w:pStyle w:val="11"/>
                    <w:jc w:val="center"/>
                    <w:rPr>
                      <w:color w:val="auto"/>
                    </w:rPr>
                  </w:pPr>
                  <w:r>
                    <w:rPr>
                      <w:rFonts w:hint="eastAsia"/>
                      <w:color w:val="auto"/>
                    </w:rPr>
                    <w:t>7</w:t>
                  </w:r>
                </w:p>
              </w:tc>
              <w:tc>
                <w:tcPr>
                  <w:tcW w:w="994" w:type="dxa"/>
                  <w:vAlign w:val="center"/>
                </w:tcPr>
                <w:p>
                  <w:pPr>
                    <w:pStyle w:val="11"/>
                    <w:jc w:val="center"/>
                    <w:rPr>
                      <w:color w:val="auto"/>
                    </w:rPr>
                  </w:pPr>
                  <w:r>
                    <w:rPr>
                      <w:color w:val="auto"/>
                    </w:rPr>
                    <w:t>80</w:t>
                  </w:r>
                </w:p>
              </w:tc>
              <w:tc>
                <w:tcPr>
                  <w:tcW w:w="3774" w:type="dxa"/>
                  <w:vAlign w:val="center"/>
                </w:tcPr>
                <w:p>
                  <w:pPr>
                    <w:pStyle w:val="11"/>
                    <w:jc w:val="center"/>
                    <w:rPr>
                      <w:color w:val="auto"/>
                    </w:rPr>
                  </w:pPr>
                  <w:r>
                    <w:rPr>
                      <w:color w:val="auto"/>
                    </w:rPr>
                    <w:t>生产车间封闭，合理布局，设置减震装置，基座加固，距离衰减</w:t>
                  </w:r>
                </w:p>
              </w:tc>
              <w:tc>
                <w:tcPr>
                  <w:tcW w:w="1044" w:type="dxa"/>
                  <w:vAlign w:val="center"/>
                </w:tcPr>
                <w:p>
                  <w:pPr>
                    <w:pStyle w:val="11"/>
                    <w:jc w:val="center"/>
                    <w:rPr>
                      <w:color w:val="auto"/>
                    </w:rPr>
                  </w:pPr>
                  <w:r>
                    <w:rPr>
                      <w:color w:val="auto"/>
                    </w:rPr>
                    <w:t>65</w:t>
                  </w:r>
                </w:p>
              </w:tc>
              <w:tc>
                <w:tcPr>
                  <w:tcW w:w="1241" w:type="dxa"/>
                  <w:vAlign w:val="center"/>
                </w:tcPr>
                <w:p>
                  <w:pPr>
                    <w:pStyle w:val="11"/>
                    <w:jc w:val="center"/>
                    <w:rPr>
                      <w:color w:val="auto"/>
                    </w:rPr>
                  </w:pPr>
                  <w:r>
                    <w:rPr>
                      <w:rFonts w:hint="eastAsia"/>
                      <w:color w:val="auto"/>
                    </w:rPr>
                    <w:t>6</w:t>
                  </w:r>
                  <w:r>
                    <w:rPr>
                      <w:color w:val="auto"/>
                    </w:rPr>
                    <w:t>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0" w:type="dxa"/>
                  <w:vAlign w:val="center"/>
                </w:tcPr>
                <w:p>
                  <w:pPr>
                    <w:pStyle w:val="11"/>
                    <w:jc w:val="center"/>
                    <w:rPr>
                      <w:color w:val="auto"/>
                    </w:rPr>
                  </w:pPr>
                  <w:r>
                    <w:rPr>
                      <w:rFonts w:hint="eastAsia"/>
                      <w:color w:val="auto"/>
                    </w:rPr>
                    <w:t>全自动包装机</w:t>
                  </w:r>
                </w:p>
              </w:tc>
              <w:tc>
                <w:tcPr>
                  <w:tcW w:w="806" w:type="dxa"/>
                  <w:vAlign w:val="center"/>
                </w:tcPr>
                <w:p>
                  <w:pPr>
                    <w:pStyle w:val="11"/>
                    <w:jc w:val="center"/>
                    <w:rPr>
                      <w:color w:val="auto"/>
                    </w:rPr>
                  </w:pPr>
                  <w:r>
                    <w:rPr>
                      <w:rFonts w:hint="eastAsia"/>
                      <w:color w:val="auto"/>
                    </w:rPr>
                    <w:t>4</w:t>
                  </w:r>
                </w:p>
              </w:tc>
              <w:tc>
                <w:tcPr>
                  <w:tcW w:w="994" w:type="dxa"/>
                  <w:vAlign w:val="center"/>
                </w:tcPr>
                <w:p>
                  <w:pPr>
                    <w:pStyle w:val="11"/>
                    <w:jc w:val="center"/>
                    <w:rPr>
                      <w:color w:val="auto"/>
                    </w:rPr>
                  </w:pPr>
                  <w:r>
                    <w:rPr>
                      <w:rFonts w:hint="eastAsia"/>
                      <w:color w:val="auto"/>
                    </w:rPr>
                    <w:t>80</w:t>
                  </w:r>
                </w:p>
              </w:tc>
              <w:tc>
                <w:tcPr>
                  <w:tcW w:w="3774" w:type="dxa"/>
                  <w:vAlign w:val="center"/>
                </w:tcPr>
                <w:p>
                  <w:pPr>
                    <w:pStyle w:val="11"/>
                    <w:jc w:val="center"/>
                    <w:rPr>
                      <w:color w:val="auto"/>
                    </w:rPr>
                  </w:pPr>
                  <w:r>
                    <w:rPr>
                      <w:color w:val="auto"/>
                    </w:rPr>
                    <w:t>生产车间封闭，合理布局，设置减震装置，基座加固，距离衰减</w:t>
                  </w:r>
                </w:p>
              </w:tc>
              <w:tc>
                <w:tcPr>
                  <w:tcW w:w="1044" w:type="dxa"/>
                  <w:vAlign w:val="center"/>
                </w:tcPr>
                <w:p>
                  <w:pPr>
                    <w:pStyle w:val="11"/>
                    <w:jc w:val="center"/>
                    <w:rPr>
                      <w:color w:val="auto"/>
                    </w:rPr>
                  </w:pPr>
                  <w:r>
                    <w:rPr>
                      <w:rFonts w:hint="eastAsia"/>
                      <w:color w:val="auto"/>
                    </w:rPr>
                    <w:t>65</w:t>
                  </w:r>
                </w:p>
              </w:tc>
              <w:tc>
                <w:tcPr>
                  <w:tcW w:w="1241" w:type="dxa"/>
                  <w:vAlign w:val="center"/>
                </w:tcPr>
                <w:p>
                  <w:pPr>
                    <w:pStyle w:val="11"/>
                    <w:jc w:val="center"/>
                    <w:rPr>
                      <w:color w:val="auto"/>
                    </w:rPr>
                  </w:pPr>
                  <w:r>
                    <w:rPr>
                      <w:rFonts w:hint="eastAsia"/>
                      <w:color w:val="auto"/>
                    </w:rPr>
                    <w:t>6</w:t>
                  </w:r>
                  <w:r>
                    <w:rPr>
                      <w:color w:val="auto"/>
                    </w:rPr>
                    <w:t>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0" w:type="dxa"/>
                  <w:vAlign w:val="center"/>
                </w:tcPr>
                <w:p>
                  <w:pPr>
                    <w:pStyle w:val="11"/>
                    <w:jc w:val="center"/>
                    <w:rPr>
                      <w:color w:val="auto"/>
                    </w:rPr>
                  </w:pPr>
                  <w:r>
                    <w:rPr>
                      <w:color w:val="auto"/>
                    </w:rPr>
                    <w:t>风机</w:t>
                  </w:r>
                </w:p>
              </w:tc>
              <w:tc>
                <w:tcPr>
                  <w:tcW w:w="806" w:type="dxa"/>
                  <w:vAlign w:val="center"/>
                </w:tcPr>
                <w:p>
                  <w:pPr>
                    <w:pStyle w:val="11"/>
                    <w:jc w:val="center"/>
                    <w:rPr>
                      <w:rFonts w:hint="eastAsia" w:eastAsia="宋体"/>
                      <w:color w:val="auto"/>
                      <w:lang w:eastAsia="zh-CN"/>
                    </w:rPr>
                  </w:pPr>
                  <w:r>
                    <w:rPr>
                      <w:rFonts w:hint="eastAsia"/>
                      <w:color w:val="auto"/>
                      <w:lang w:val="en-US" w:eastAsia="zh-CN"/>
                    </w:rPr>
                    <w:t>5</w:t>
                  </w:r>
                </w:p>
              </w:tc>
              <w:tc>
                <w:tcPr>
                  <w:tcW w:w="994" w:type="dxa"/>
                  <w:vAlign w:val="center"/>
                </w:tcPr>
                <w:p>
                  <w:pPr>
                    <w:pStyle w:val="11"/>
                    <w:jc w:val="center"/>
                    <w:rPr>
                      <w:color w:val="auto"/>
                    </w:rPr>
                  </w:pPr>
                  <w:r>
                    <w:rPr>
                      <w:color w:val="auto"/>
                    </w:rPr>
                    <w:t>85</w:t>
                  </w:r>
                </w:p>
              </w:tc>
              <w:tc>
                <w:tcPr>
                  <w:tcW w:w="3774" w:type="dxa"/>
                  <w:vAlign w:val="center"/>
                </w:tcPr>
                <w:p>
                  <w:pPr>
                    <w:pStyle w:val="11"/>
                    <w:jc w:val="center"/>
                    <w:rPr>
                      <w:color w:val="auto"/>
                    </w:rPr>
                  </w:pPr>
                  <w:r>
                    <w:rPr>
                      <w:color w:val="auto"/>
                    </w:rPr>
                    <w:t>选用低噪声设备，基础减震，柔性连接，定期维护，生产车间封闭，合理布局，距离衰减</w:t>
                  </w:r>
                </w:p>
              </w:tc>
              <w:tc>
                <w:tcPr>
                  <w:tcW w:w="1044" w:type="dxa"/>
                  <w:vAlign w:val="center"/>
                </w:tcPr>
                <w:p>
                  <w:pPr>
                    <w:pStyle w:val="11"/>
                    <w:jc w:val="center"/>
                    <w:rPr>
                      <w:color w:val="auto"/>
                    </w:rPr>
                  </w:pPr>
                  <w:r>
                    <w:rPr>
                      <w:color w:val="auto"/>
                    </w:rPr>
                    <w:t>70</w:t>
                  </w:r>
                </w:p>
              </w:tc>
              <w:tc>
                <w:tcPr>
                  <w:tcW w:w="1241" w:type="dxa"/>
                  <w:vAlign w:val="center"/>
                </w:tcPr>
                <w:p>
                  <w:pPr>
                    <w:pStyle w:val="11"/>
                    <w:jc w:val="center"/>
                    <w:rPr>
                      <w:color w:val="auto"/>
                    </w:rPr>
                  </w:pPr>
                  <w:r>
                    <w:rPr>
                      <w:color w:val="auto"/>
                    </w:rPr>
                    <w:t>8h/d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0" w:type="dxa"/>
                  <w:vAlign w:val="center"/>
                </w:tcPr>
                <w:p>
                  <w:pPr>
                    <w:pStyle w:val="11"/>
                    <w:jc w:val="center"/>
                    <w:rPr>
                      <w:color w:val="auto"/>
                    </w:rPr>
                  </w:pPr>
                  <w:r>
                    <w:rPr>
                      <w:rFonts w:hint="eastAsia"/>
                      <w:color w:val="auto"/>
                    </w:rPr>
                    <w:t>空压机</w:t>
                  </w:r>
                </w:p>
              </w:tc>
              <w:tc>
                <w:tcPr>
                  <w:tcW w:w="806" w:type="dxa"/>
                  <w:vAlign w:val="center"/>
                </w:tcPr>
                <w:p>
                  <w:pPr>
                    <w:pStyle w:val="11"/>
                    <w:jc w:val="center"/>
                    <w:rPr>
                      <w:color w:val="auto"/>
                    </w:rPr>
                  </w:pPr>
                  <w:r>
                    <w:rPr>
                      <w:rFonts w:hint="eastAsia"/>
                      <w:color w:val="auto"/>
                    </w:rPr>
                    <w:t>1</w:t>
                  </w:r>
                </w:p>
              </w:tc>
              <w:tc>
                <w:tcPr>
                  <w:tcW w:w="994" w:type="dxa"/>
                  <w:vAlign w:val="center"/>
                </w:tcPr>
                <w:p>
                  <w:pPr>
                    <w:pStyle w:val="11"/>
                    <w:jc w:val="center"/>
                    <w:rPr>
                      <w:color w:val="auto"/>
                    </w:rPr>
                  </w:pPr>
                  <w:r>
                    <w:rPr>
                      <w:color w:val="auto"/>
                    </w:rPr>
                    <w:t>85</w:t>
                  </w:r>
                </w:p>
              </w:tc>
              <w:tc>
                <w:tcPr>
                  <w:tcW w:w="3774" w:type="dxa"/>
                  <w:vAlign w:val="center"/>
                </w:tcPr>
                <w:p>
                  <w:pPr>
                    <w:pStyle w:val="11"/>
                    <w:jc w:val="center"/>
                    <w:rPr>
                      <w:color w:val="auto"/>
                    </w:rPr>
                  </w:pPr>
                  <w:r>
                    <w:rPr>
                      <w:color w:val="auto"/>
                    </w:rPr>
                    <w:t>选用低噪声设备，基础减震，柔性连接，定期维护，生产车间封闭，合理布局，距离衰减</w:t>
                  </w:r>
                </w:p>
              </w:tc>
              <w:tc>
                <w:tcPr>
                  <w:tcW w:w="1044" w:type="dxa"/>
                  <w:vAlign w:val="center"/>
                </w:tcPr>
                <w:p>
                  <w:pPr>
                    <w:pStyle w:val="11"/>
                    <w:jc w:val="center"/>
                    <w:rPr>
                      <w:color w:val="auto"/>
                    </w:rPr>
                  </w:pPr>
                  <w:r>
                    <w:rPr>
                      <w:color w:val="auto"/>
                    </w:rPr>
                    <w:t>70</w:t>
                  </w:r>
                </w:p>
              </w:tc>
              <w:tc>
                <w:tcPr>
                  <w:tcW w:w="1241" w:type="dxa"/>
                  <w:vAlign w:val="center"/>
                </w:tcPr>
                <w:p>
                  <w:pPr>
                    <w:pStyle w:val="11"/>
                    <w:jc w:val="center"/>
                    <w:rPr>
                      <w:color w:val="auto"/>
                    </w:rPr>
                  </w:pPr>
                  <w:r>
                    <w:rPr>
                      <w:rFonts w:hint="eastAsia"/>
                      <w:color w:val="auto"/>
                    </w:rPr>
                    <w:t>10</w:t>
                  </w:r>
                  <w:r>
                    <w:rPr>
                      <w:color w:val="auto"/>
                    </w:rPr>
                    <w:t>h/d</w:t>
                  </w:r>
                </w:p>
              </w:tc>
            </w:tr>
          </w:tbl>
          <w:p>
            <w:pPr>
              <w:spacing w:line="240" w:lineRule="auto"/>
              <w:ind w:firstLine="480"/>
              <w:rPr>
                <w:color w:val="auto"/>
              </w:rPr>
            </w:pPr>
          </w:p>
          <w:p>
            <w:pPr>
              <w:ind w:firstLine="480"/>
              <w:rPr>
                <w:color w:val="auto"/>
              </w:rPr>
            </w:pPr>
            <w:r>
              <w:rPr>
                <w:color w:val="auto"/>
              </w:rPr>
              <w:t>本项目主要采取如下综合降噪措施：</w:t>
            </w:r>
          </w:p>
          <w:p>
            <w:pPr>
              <w:ind w:firstLine="480"/>
              <w:rPr>
                <w:color w:val="auto"/>
              </w:rPr>
            </w:pPr>
            <w:r>
              <w:rPr>
                <w:color w:val="auto"/>
              </w:rPr>
              <w:t>1）项目各设备选用低噪声</w:t>
            </w:r>
            <w:r>
              <w:rPr>
                <w:rFonts w:hint="eastAsia"/>
                <w:color w:val="auto"/>
              </w:rPr>
              <w:t>、</w:t>
            </w:r>
            <w:r>
              <w:rPr>
                <w:color w:val="auto"/>
              </w:rPr>
              <w:t>震动小</w:t>
            </w:r>
            <w:r>
              <w:rPr>
                <w:rFonts w:hint="eastAsia"/>
                <w:color w:val="auto"/>
              </w:rPr>
              <w:t>、</w:t>
            </w:r>
            <w:r>
              <w:rPr>
                <w:color w:val="auto"/>
              </w:rPr>
              <w:t>符合国家环保要求的设备；</w:t>
            </w:r>
          </w:p>
          <w:p>
            <w:pPr>
              <w:ind w:firstLine="480"/>
              <w:rPr>
                <w:color w:val="auto"/>
              </w:rPr>
            </w:pPr>
            <w:r>
              <w:rPr>
                <w:color w:val="auto"/>
              </w:rPr>
              <w:t>2）合理布置，主要噪声源均布置于建筑物内，利用建筑墙体隔音作用；</w:t>
            </w:r>
          </w:p>
          <w:p>
            <w:pPr>
              <w:ind w:firstLine="480"/>
              <w:rPr>
                <w:color w:val="auto"/>
              </w:rPr>
            </w:pPr>
            <w:r>
              <w:rPr>
                <w:color w:val="auto"/>
              </w:rPr>
              <w:t>3）设备安装减震器减震；</w:t>
            </w:r>
          </w:p>
          <w:p>
            <w:pPr>
              <w:ind w:firstLine="480"/>
              <w:rPr>
                <w:color w:val="auto"/>
              </w:rPr>
            </w:pPr>
            <w:r>
              <w:rPr>
                <w:color w:val="auto"/>
              </w:rPr>
              <w:t>4）加强生产过程中的设备的维护及操作管理；</w:t>
            </w:r>
          </w:p>
          <w:p>
            <w:pPr>
              <w:ind w:firstLine="480"/>
              <w:rPr>
                <w:color w:val="auto"/>
              </w:rPr>
            </w:pPr>
            <w:r>
              <w:rPr>
                <w:color w:val="auto"/>
              </w:rPr>
              <w:t>5）建立设备定期维护、保养的管理制度，以防止设备故障形成的非正常生产噪声；加强职工环保意识教育，提倡文明生产，防止人为噪声。</w:t>
            </w:r>
          </w:p>
          <w:p>
            <w:pPr>
              <w:ind w:firstLine="480"/>
              <w:rPr>
                <w:color w:val="auto"/>
              </w:rPr>
            </w:pPr>
            <w:r>
              <w:rPr>
                <w:color w:val="auto"/>
              </w:rPr>
              <w:t>在严格采取上述隔声降噪措施后，项目设备噪声可削减噪声15dB(A)，经衰减其厂界噪声确保达到《工业企业厂界环境噪声排放标准》（GB12348-2008）中3类标准（昼间65dB（A），夜间55dB（A））的要求，从而实现达标排放。</w:t>
            </w:r>
          </w:p>
          <w:p>
            <w:pPr>
              <w:ind w:firstLine="482"/>
              <w:rPr>
                <w:b/>
                <w:bCs/>
                <w:color w:val="auto"/>
              </w:rPr>
            </w:pPr>
            <w:r>
              <w:rPr>
                <w:rFonts w:hint="eastAsia"/>
                <w:b/>
                <w:bCs/>
                <w:color w:val="auto"/>
              </w:rPr>
              <w:t>（3）</w:t>
            </w:r>
            <w:r>
              <w:rPr>
                <w:b/>
                <w:bCs/>
                <w:color w:val="auto"/>
              </w:rPr>
              <w:t>监测要求</w:t>
            </w:r>
          </w:p>
          <w:p>
            <w:pPr>
              <w:ind w:firstLine="480"/>
              <w:rPr>
                <w:b/>
                <w:bCs/>
                <w:color w:val="auto"/>
                <w:sz w:val="21"/>
                <w:szCs w:val="21"/>
              </w:rPr>
            </w:pPr>
            <w:r>
              <w:rPr>
                <w:color w:val="auto"/>
              </w:rPr>
              <w:t>参考《排污单位自行监测技术指南总则》（HJ733- 2017）相关内容，本项目运行期</w:t>
            </w:r>
            <w:r>
              <w:rPr>
                <w:rFonts w:hint="eastAsia"/>
                <w:color w:val="auto"/>
              </w:rPr>
              <w:t>噪声</w:t>
            </w:r>
            <w:r>
              <w:rPr>
                <w:color w:val="auto"/>
              </w:rPr>
              <w:t>监测计划要求如下表</w:t>
            </w:r>
            <w:r>
              <w:rPr>
                <w:rFonts w:hint="eastAsia"/>
                <w:color w:val="auto"/>
              </w:rPr>
              <w:t>4-7</w:t>
            </w:r>
            <w:r>
              <w:rPr>
                <w:color w:val="auto"/>
              </w:rPr>
              <w:t>所示。</w:t>
            </w:r>
          </w:p>
          <w:p>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rPr>
              <w:t xml:space="preserve">7 </w:t>
            </w:r>
            <w:r>
              <w:rPr>
                <w:b/>
                <w:bCs/>
                <w:color w:val="auto"/>
                <w:sz w:val="21"/>
                <w:szCs w:val="21"/>
              </w:rPr>
              <w:t>噪声监测计划表</w:t>
            </w:r>
          </w:p>
          <w:tbl>
            <w:tblPr>
              <w:tblStyle w:val="7"/>
              <w:tblW w:w="86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2062"/>
              <w:gridCol w:w="2666"/>
              <w:gridCol w:w="20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类别</w:t>
                  </w:r>
                </w:p>
              </w:tc>
              <w:tc>
                <w:tcPr>
                  <w:tcW w:w="206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监测点位</w:t>
                  </w:r>
                </w:p>
              </w:tc>
              <w:tc>
                <w:tcPr>
                  <w:tcW w:w="2666"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监测项目</w:t>
                  </w:r>
                </w:p>
              </w:tc>
              <w:tc>
                <w:tcPr>
                  <w:tcW w:w="2060"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噪声</w:t>
                  </w:r>
                </w:p>
              </w:tc>
              <w:tc>
                <w:tcPr>
                  <w:tcW w:w="206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厂界外1m</w:t>
                  </w:r>
                </w:p>
              </w:tc>
              <w:tc>
                <w:tcPr>
                  <w:tcW w:w="266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昼间等效连续A声级</w:t>
                  </w:r>
                </w:p>
              </w:tc>
              <w:tc>
                <w:tcPr>
                  <w:tcW w:w="2060"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color w:val="auto"/>
                      <w:sz w:val="21"/>
                      <w:szCs w:val="21"/>
                    </w:rPr>
                    <w:t>1次/</w:t>
                  </w:r>
                  <w:r>
                    <w:rPr>
                      <w:rFonts w:hint="eastAsia"/>
                      <w:color w:val="auto"/>
                      <w:sz w:val="21"/>
                      <w:szCs w:val="21"/>
                      <w:lang w:val="en-US" w:eastAsia="zh-CN"/>
                    </w:rPr>
                    <w:t>季度</w:t>
                  </w:r>
                </w:p>
              </w:tc>
            </w:tr>
          </w:tbl>
          <w:p>
            <w:pPr>
              <w:adjustRightInd w:val="0"/>
              <w:snapToGrid w:val="0"/>
              <w:ind w:firstLine="442"/>
              <w:rPr>
                <w:b/>
                <w:color w:val="auto"/>
                <w:spacing w:val="-10"/>
                <w:szCs w:val="21"/>
              </w:rPr>
            </w:pPr>
            <w:r>
              <w:rPr>
                <w:b/>
                <w:color w:val="auto"/>
                <w:spacing w:val="-10"/>
                <w:szCs w:val="21"/>
              </w:rPr>
              <w:t>4、固体废弃物产生及治理</w:t>
            </w:r>
          </w:p>
          <w:p>
            <w:pPr>
              <w:ind w:firstLine="480"/>
              <w:rPr>
                <w:color w:val="auto"/>
              </w:rPr>
            </w:pPr>
            <w:r>
              <w:rPr>
                <w:color w:val="auto"/>
              </w:rPr>
              <w:t>项目产生的固废主要为不合格产品、边角料、生活垃圾等。</w:t>
            </w:r>
          </w:p>
          <w:p>
            <w:pPr>
              <w:ind w:firstLine="480"/>
              <w:rPr>
                <w:color w:val="auto"/>
              </w:rPr>
            </w:pPr>
            <w:r>
              <w:rPr>
                <w:color w:val="auto"/>
              </w:rPr>
              <w:t>（1）办公生活垃圾</w:t>
            </w:r>
          </w:p>
          <w:p>
            <w:pPr>
              <w:ind w:firstLine="480"/>
              <w:rPr>
                <w:color w:val="auto"/>
              </w:rPr>
            </w:pPr>
            <w:r>
              <w:rPr>
                <w:color w:val="auto"/>
              </w:rPr>
              <w:t>本项目劳动定员人数为</w:t>
            </w:r>
            <w:r>
              <w:rPr>
                <w:rFonts w:hint="eastAsia"/>
                <w:color w:val="auto"/>
              </w:rPr>
              <w:t>160</w:t>
            </w:r>
            <w:r>
              <w:rPr>
                <w:color w:val="auto"/>
              </w:rPr>
              <w:t>人，生活垃圾产生量按照0.5kg/人.d计算，则生活垃圾产生量约为</w:t>
            </w:r>
            <w:r>
              <w:rPr>
                <w:rFonts w:hint="eastAsia"/>
                <w:color w:val="auto"/>
              </w:rPr>
              <w:t>80</w:t>
            </w:r>
            <w:r>
              <w:rPr>
                <w:color w:val="auto"/>
              </w:rPr>
              <w:t>.0kg/d，经垃圾收集点收集后由环卫部门清运。</w:t>
            </w:r>
          </w:p>
          <w:p>
            <w:pPr>
              <w:ind w:firstLine="480"/>
              <w:rPr>
                <w:color w:val="auto"/>
              </w:rPr>
            </w:pPr>
            <w:r>
              <w:rPr>
                <w:color w:val="auto"/>
              </w:rPr>
              <w:t>（2）</w:t>
            </w:r>
            <w:r>
              <w:rPr>
                <w:rFonts w:hint="eastAsia"/>
                <w:color w:val="auto"/>
              </w:rPr>
              <w:t>不可利用的边角料</w:t>
            </w:r>
          </w:p>
          <w:p>
            <w:pPr>
              <w:ind w:firstLine="480"/>
              <w:rPr>
                <w:color w:val="auto"/>
              </w:rPr>
            </w:pPr>
            <w:r>
              <w:rPr>
                <w:rFonts w:hint="eastAsia"/>
                <w:color w:val="auto"/>
              </w:rPr>
              <w:t>本项目肉类原材料在修整、切割过程中，会产生一定量不可利用的边角料（如</w:t>
            </w:r>
            <w:r>
              <w:rPr>
                <w:rFonts w:hint="eastAsia"/>
                <w:color w:val="auto"/>
                <w:lang w:eastAsia="zh-CN"/>
              </w:rPr>
              <w:t>毛发</w:t>
            </w:r>
            <w:r>
              <w:rPr>
                <w:color w:val="auto"/>
              </w:rPr>
              <w:t>、骨渣、伤肉、淋巴及其它杂质</w:t>
            </w:r>
            <w:r>
              <w:rPr>
                <w:rFonts w:hint="eastAsia"/>
                <w:color w:val="auto"/>
              </w:rPr>
              <w:t>），产生量按原材料的1%进行计算，原材料的使用量约为40000t/a，则不可利用的边角料产生量约为400t/a，</w:t>
            </w:r>
            <w:r>
              <w:rPr>
                <w:color w:val="auto"/>
              </w:rPr>
              <w:t>该部分不再回用于生产，交由</w:t>
            </w:r>
            <w:r>
              <w:rPr>
                <w:rFonts w:hint="eastAsia"/>
                <w:color w:val="auto"/>
              </w:rPr>
              <w:t>专门的</w:t>
            </w:r>
            <w:r>
              <w:rPr>
                <w:rFonts w:hint="eastAsia"/>
                <w:color w:val="auto"/>
                <w:lang w:val="en-US" w:eastAsia="zh-CN"/>
              </w:rPr>
              <w:t>油脂</w:t>
            </w:r>
            <w:r>
              <w:rPr>
                <w:rFonts w:hint="eastAsia"/>
                <w:color w:val="auto"/>
              </w:rPr>
              <w:t>回收公司</w:t>
            </w:r>
            <w:r>
              <w:rPr>
                <w:color w:val="auto"/>
              </w:rPr>
              <w:t>进行</w:t>
            </w:r>
            <w:r>
              <w:rPr>
                <w:rFonts w:hint="eastAsia"/>
                <w:color w:val="auto"/>
              </w:rPr>
              <w:t>回收</w:t>
            </w:r>
            <w:r>
              <w:rPr>
                <w:color w:val="auto"/>
              </w:rPr>
              <w:t>处理。</w:t>
            </w:r>
          </w:p>
          <w:p>
            <w:pPr>
              <w:ind w:firstLine="480"/>
              <w:rPr>
                <w:color w:val="auto"/>
              </w:rPr>
            </w:pPr>
            <w:r>
              <w:rPr>
                <w:rFonts w:hint="eastAsia"/>
                <w:color w:val="auto"/>
              </w:rPr>
              <w:t>（3）不合格产品</w:t>
            </w:r>
          </w:p>
          <w:p>
            <w:pPr>
              <w:ind w:firstLine="480"/>
              <w:rPr>
                <w:color w:val="auto"/>
              </w:rPr>
            </w:pPr>
            <w:r>
              <w:rPr>
                <w:rFonts w:hint="eastAsia"/>
                <w:color w:val="auto"/>
              </w:rPr>
              <w:t>本项目各类产品，在包装入库工序，会进行相应的检测工序，会产生一定量的不合格产品（如破损罐头、胀气包装等），产生量按产品的0.5%进行计算，各类产品的产能约为20000t/a，则不可利用的不合格产品产生量约为100t/a，</w:t>
            </w:r>
            <w:r>
              <w:rPr>
                <w:color w:val="auto"/>
              </w:rPr>
              <w:t>该部分不再回用于生产，交由</w:t>
            </w:r>
            <w:r>
              <w:rPr>
                <w:rFonts w:hint="eastAsia"/>
                <w:color w:val="auto"/>
              </w:rPr>
              <w:t>专门的</w:t>
            </w:r>
            <w:r>
              <w:rPr>
                <w:rFonts w:hint="eastAsia"/>
                <w:color w:val="auto"/>
                <w:lang w:val="en-US" w:eastAsia="zh-CN"/>
              </w:rPr>
              <w:t>油脂</w:t>
            </w:r>
            <w:r>
              <w:rPr>
                <w:rFonts w:hint="eastAsia"/>
                <w:color w:val="auto"/>
              </w:rPr>
              <w:t>回收公司</w:t>
            </w:r>
            <w:r>
              <w:rPr>
                <w:color w:val="auto"/>
              </w:rPr>
              <w:t>进行</w:t>
            </w:r>
            <w:r>
              <w:rPr>
                <w:rFonts w:hint="eastAsia"/>
                <w:color w:val="auto"/>
              </w:rPr>
              <w:t>回收</w:t>
            </w:r>
            <w:r>
              <w:rPr>
                <w:color w:val="auto"/>
              </w:rPr>
              <w:t>处理。</w:t>
            </w:r>
          </w:p>
          <w:p>
            <w:pPr>
              <w:ind w:firstLine="480"/>
              <w:rPr>
                <w:color w:val="auto"/>
              </w:rPr>
            </w:pPr>
            <w:r>
              <w:rPr>
                <w:rFonts w:hint="eastAsia"/>
                <w:color w:val="auto"/>
              </w:rPr>
              <w:t>（4）废弃包装材料</w:t>
            </w:r>
          </w:p>
          <w:p>
            <w:pPr>
              <w:ind w:firstLine="480"/>
              <w:rPr>
                <w:color w:val="auto"/>
              </w:rPr>
            </w:pPr>
            <w:r>
              <w:rPr>
                <w:rFonts w:hint="eastAsia"/>
                <w:color w:val="auto"/>
              </w:rPr>
              <w:t>经业主单位介绍，项目各类原材料、成品包装产生的废包装材料约为150</w:t>
            </w:r>
            <w:r>
              <w:rPr>
                <w:color w:val="auto"/>
              </w:rPr>
              <w:t>t/a</w:t>
            </w:r>
            <w:r>
              <w:rPr>
                <w:rFonts w:hint="eastAsia"/>
                <w:color w:val="auto"/>
              </w:rPr>
              <w:t>。废包装材料主要为塑料编织袋、纸质包装，具有一定的回收价值，集中收集后外卖废品回收站。</w:t>
            </w:r>
          </w:p>
          <w:p>
            <w:pPr>
              <w:ind w:firstLine="480"/>
              <w:rPr>
                <w:color w:val="auto"/>
              </w:rPr>
            </w:pPr>
            <w:r>
              <w:rPr>
                <w:rFonts w:hint="eastAsia"/>
                <w:color w:val="auto"/>
              </w:rPr>
              <w:t>（5）废弃食用油</w:t>
            </w:r>
          </w:p>
          <w:p>
            <w:pPr>
              <w:adjustRightInd w:val="0"/>
              <w:snapToGrid w:val="0"/>
              <w:ind w:firstLine="480"/>
              <w:jc w:val="left"/>
              <w:rPr>
                <w:color w:val="auto"/>
              </w:rPr>
            </w:pPr>
            <w:r>
              <w:rPr>
                <w:rFonts w:hint="eastAsia"/>
                <w:color w:val="auto"/>
              </w:rPr>
              <w:t>经业主单位介绍，本项目生产过程中的食用油一般循环使用2~3次即可使用完毕，产生的废弃食用油主要来自于油烟净化装置收集的废油，产生量约为0.95t/a，</w:t>
            </w:r>
            <w:r>
              <w:rPr>
                <w:color w:val="auto"/>
              </w:rPr>
              <w:t>该部分不再回用于生产，交由</w:t>
            </w:r>
            <w:r>
              <w:rPr>
                <w:rFonts w:hint="eastAsia"/>
                <w:color w:val="auto"/>
              </w:rPr>
              <w:t>专门的</w:t>
            </w:r>
            <w:r>
              <w:rPr>
                <w:rFonts w:hint="eastAsia"/>
                <w:color w:val="auto"/>
                <w:lang w:val="en-US" w:eastAsia="zh-CN"/>
              </w:rPr>
              <w:t>油脂</w:t>
            </w:r>
            <w:r>
              <w:rPr>
                <w:rFonts w:hint="eastAsia"/>
                <w:color w:val="auto"/>
              </w:rPr>
              <w:t>回收公司</w:t>
            </w:r>
            <w:r>
              <w:rPr>
                <w:color w:val="auto"/>
              </w:rPr>
              <w:t>进行</w:t>
            </w:r>
            <w:r>
              <w:rPr>
                <w:rFonts w:hint="eastAsia"/>
                <w:color w:val="auto"/>
              </w:rPr>
              <w:t>回收</w:t>
            </w:r>
            <w:r>
              <w:rPr>
                <w:color w:val="auto"/>
              </w:rPr>
              <w:t>处理。</w:t>
            </w:r>
          </w:p>
          <w:p>
            <w:pPr>
              <w:adjustRightInd w:val="0"/>
              <w:snapToGrid w:val="0"/>
              <w:ind w:firstLine="480"/>
              <w:jc w:val="left"/>
              <w:rPr>
                <w:color w:val="auto"/>
              </w:rPr>
            </w:pPr>
            <w:r>
              <w:rPr>
                <w:rFonts w:hint="eastAsia"/>
                <w:color w:val="auto"/>
              </w:rPr>
              <w:t>（6）污水处理站污泥、浮渣</w:t>
            </w:r>
          </w:p>
          <w:p>
            <w:pPr>
              <w:adjustRightInd w:val="0"/>
              <w:snapToGrid w:val="0"/>
              <w:ind w:firstLine="480"/>
              <w:jc w:val="left"/>
              <w:rPr>
                <w:color w:val="auto"/>
              </w:rPr>
            </w:pPr>
            <w:r>
              <w:rPr>
                <w:rFonts w:hint="eastAsia"/>
                <w:color w:val="auto"/>
              </w:rPr>
              <w:t>经业主单位介绍，本项目的污水处理站需要定期清理产生的污泥、浮渣，其中，污泥、浮渣经脱水干化后的产生量按300t/a计算，交由环卫部门统一清运处理。</w:t>
            </w:r>
          </w:p>
          <w:p>
            <w:pPr>
              <w:adjustRightInd w:val="0"/>
              <w:snapToGrid w:val="0"/>
              <w:ind w:firstLine="480"/>
              <w:jc w:val="left"/>
              <w:rPr>
                <w:color w:val="auto"/>
              </w:rPr>
            </w:pPr>
            <w:r>
              <w:rPr>
                <w:color w:val="auto"/>
              </w:rPr>
              <w:t>（</w:t>
            </w:r>
            <w:r>
              <w:rPr>
                <w:rFonts w:hint="eastAsia"/>
                <w:color w:val="auto"/>
              </w:rPr>
              <w:t>7</w:t>
            </w:r>
            <w:r>
              <w:rPr>
                <w:color w:val="auto"/>
              </w:rPr>
              <w:t>）废机油</w:t>
            </w:r>
          </w:p>
          <w:p>
            <w:pPr>
              <w:adjustRightInd w:val="0"/>
              <w:snapToGrid w:val="0"/>
              <w:ind w:firstLine="480"/>
              <w:jc w:val="left"/>
              <w:rPr>
                <w:color w:val="auto"/>
              </w:rPr>
            </w:pPr>
            <w:r>
              <w:rPr>
                <w:color w:val="auto"/>
              </w:rPr>
              <w:t>项目设备进行维修养护时更换下来的废机油，危险废物类别为HW08，危险废物代码为900-217-48，</w:t>
            </w:r>
            <w:r>
              <w:rPr>
                <w:b/>
                <w:bCs/>
                <w:color w:val="auto"/>
                <w:u w:val="single"/>
              </w:rPr>
              <w:t>在设备下方设置防渗托盘收集废机油</w:t>
            </w:r>
            <w:r>
              <w:rPr>
                <w:color w:val="auto"/>
              </w:rPr>
              <w:t>，根据业主提供的资料，产生量为0.</w:t>
            </w:r>
            <w:r>
              <w:rPr>
                <w:rFonts w:hint="eastAsia"/>
                <w:color w:val="auto"/>
              </w:rPr>
              <w:t>1</w:t>
            </w:r>
            <w:r>
              <w:rPr>
                <w:color w:val="auto"/>
              </w:rPr>
              <w:t>t/a，经收集后暂存于</w:t>
            </w:r>
            <w:r>
              <w:rPr>
                <w:rFonts w:hint="eastAsia"/>
                <w:color w:val="auto"/>
              </w:rPr>
              <w:t>危废暂存间</w:t>
            </w:r>
            <w:r>
              <w:rPr>
                <w:color w:val="auto"/>
              </w:rPr>
              <w:t>，交由有资质单位进行合理处理处置。</w:t>
            </w:r>
          </w:p>
          <w:p>
            <w:pPr>
              <w:adjustRightInd w:val="0"/>
              <w:snapToGrid w:val="0"/>
              <w:ind w:firstLine="480"/>
              <w:jc w:val="left"/>
              <w:rPr>
                <w:color w:val="auto"/>
              </w:rPr>
            </w:pPr>
            <w:r>
              <w:rPr>
                <w:color w:val="auto"/>
              </w:rPr>
              <w:t>（</w:t>
            </w:r>
            <w:r>
              <w:rPr>
                <w:rFonts w:hint="eastAsia"/>
                <w:color w:val="auto"/>
              </w:rPr>
              <w:t>8</w:t>
            </w:r>
            <w:r>
              <w:rPr>
                <w:color w:val="auto"/>
              </w:rPr>
              <w:t>）废液压油</w:t>
            </w:r>
          </w:p>
          <w:p>
            <w:pPr>
              <w:adjustRightInd w:val="0"/>
              <w:snapToGrid w:val="0"/>
              <w:ind w:firstLine="480"/>
              <w:jc w:val="left"/>
              <w:rPr>
                <w:color w:val="auto"/>
              </w:rPr>
            </w:pPr>
            <w:r>
              <w:rPr>
                <w:color w:val="auto"/>
              </w:rPr>
              <w:t>项目设备进行维修养护时更换下来的废液压油</w:t>
            </w:r>
            <w:r>
              <w:rPr>
                <w:rFonts w:hint="eastAsia"/>
                <w:color w:val="auto"/>
              </w:rPr>
              <w:t>，危险废物类别为HW08，危险废物代码为900-217-48</w:t>
            </w:r>
            <w:r>
              <w:rPr>
                <w:color w:val="auto"/>
              </w:rPr>
              <w:t>，</w:t>
            </w:r>
            <w:r>
              <w:rPr>
                <w:b/>
                <w:bCs/>
                <w:color w:val="auto"/>
                <w:u w:val="single"/>
              </w:rPr>
              <w:t>在设备下方设置防渗托盘收集废液压油</w:t>
            </w:r>
            <w:r>
              <w:rPr>
                <w:color w:val="auto"/>
              </w:rPr>
              <w:t>，根据业主提供的资料，产生量为0.0</w:t>
            </w:r>
            <w:r>
              <w:rPr>
                <w:rFonts w:hint="eastAsia"/>
                <w:color w:val="auto"/>
              </w:rPr>
              <w:t>5</w:t>
            </w:r>
            <w:r>
              <w:rPr>
                <w:color w:val="auto"/>
              </w:rPr>
              <w:t>t/a，经收集后暂存于</w:t>
            </w:r>
            <w:r>
              <w:rPr>
                <w:rFonts w:hint="eastAsia"/>
                <w:color w:val="auto"/>
              </w:rPr>
              <w:t>危废暂存间</w:t>
            </w:r>
            <w:r>
              <w:rPr>
                <w:color w:val="auto"/>
              </w:rPr>
              <w:t>，交由有资质单位进行合理处理处置。</w:t>
            </w:r>
          </w:p>
          <w:p>
            <w:pPr>
              <w:adjustRightInd w:val="0"/>
              <w:snapToGrid w:val="0"/>
              <w:ind w:firstLine="480"/>
              <w:jc w:val="left"/>
              <w:rPr>
                <w:color w:val="auto"/>
              </w:rPr>
            </w:pPr>
            <w:r>
              <w:rPr>
                <w:color w:val="auto"/>
              </w:rPr>
              <w:t>（</w:t>
            </w:r>
            <w:r>
              <w:rPr>
                <w:rFonts w:hint="eastAsia"/>
                <w:color w:val="auto"/>
              </w:rPr>
              <w:t>9</w:t>
            </w:r>
            <w:r>
              <w:rPr>
                <w:color w:val="auto"/>
              </w:rPr>
              <w:t>）废机油、液压油桶</w:t>
            </w:r>
          </w:p>
          <w:p>
            <w:pPr>
              <w:adjustRightInd w:val="0"/>
              <w:snapToGrid w:val="0"/>
              <w:ind w:firstLine="480"/>
              <w:jc w:val="left"/>
              <w:rPr>
                <w:color w:val="auto"/>
              </w:rPr>
            </w:pPr>
            <w:r>
              <w:rPr>
                <w:color w:val="auto"/>
              </w:rPr>
              <w:t>项目设备进行维修养护时更换下来的废油桶</w:t>
            </w:r>
            <w:r>
              <w:rPr>
                <w:rFonts w:hint="eastAsia"/>
                <w:color w:val="auto"/>
              </w:rPr>
              <w:t>，危险废物类别为HW49，危险废物代码为990-041-49，</w:t>
            </w:r>
            <w:r>
              <w:rPr>
                <w:color w:val="auto"/>
              </w:rPr>
              <w:t>根据业主提供的资料，产生量为0.0</w:t>
            </w:r>
            <w:r>
              <w:rPr>
                <w:rFonts w:hint="eastAsia"/>
                <w:color w:val="auto"/>
              </w:rPr>
              <w:t>5</w:t>
            </w:r>
            <w:r>
              <w:rPr>
                <w:color w:val="auto"/>
              </w:rPr>
              <w:t>t/a，经收集后暂存于</w:t>
            </w:r>
            <w:r>
              <w:rPr>
                <w:rFonts w:hint="eastAsia"/>
                <w:color w:val="auto"/>
              </w:rPr>
              <w:t>危废暂存间</w:t>
            </w:r>
            <w:r>
              <w:rPr>
                <w:color w:val="auto"/>
              </w:rPr>
              <w:t>，交由有资质单位进行合理处理处置。</w:t>
            </w:r>
          </w:p>
          <w:p>
            <w:pPr>
              <w:pStyle w:val="11"/>
              <w:jc w:val="center"/>
              <w:rPr>
                <w:b/>
                <w:bCs/>
                <w:color w:val="auto"/>
              </w:rPr>
            </w:pPr>
            <w:r>
              <w:rPr>
                <w:b/>
                <w:bCs/>
                <w:color w:val="auto"/>
              </w:rPr>
              <w:t>表4-</w:t>
            </w:r>
            <w:r>
              <w:rPr>
                <w:rFonts w:hint="eastAsia"/>
                <w:b/>
                <w:bCs/>
                <w:color w:val="auto"/>
              </w:rPr>
              <w:t>8</w:t>
            </w:r>
            <w:r>
              <w:rPr>
                <w:b/>
                <w:bCs/>
                <w:color w:val="auto"/>
              </w:rPr>
              <w:t xml:space="preserve">  项目固体废物产生及处置情况一览表</w:t>
            </w:r>
          </w:p>
          <w:tbl>
            <w:tblPr>
              <w:tblStyle w:val="6"/>
              <w:tblW w:w="86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1308"/>
              <w:gridCol w:w="1687"/>
              <w:gridCol w:w="33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b/>
                      <w:bCs/>
                      <w:color w:val="auto"/>
                    </w:rPr>
                  </w:pPr>
                  <w:r>
                    <w:rPr>
                      <w:b/>
                      <w:bCs/>
                      <w:color w:val="auto"/>
                    </w:rPr>
                    <w:t>固体废物名称</w:t>
                  </w:r>
                </w:p>
              </w:tc>
              <w:tc>
                <w:tcPr>
                  <w:tcW w:w="1308" w:type="dxa"/>
                  <w:vAlign w:val="center"/>
                </w:tcPr>
                <w:p>
                  <w:pPr>
                    <w:pStyle w:val="11"/>
                    <w:jc w:val="center"/>
                    <w:rPr>
                      <w:b/>
                      <w:bCs/>
                      <w:color w:val="auto"/>
                    </w:rPr>
                  </w:pPr>
                  <w:r>
                    <w:rPr>
                      <w:b/>
                      <w:bCs/>
                      <w:color w:val="auto"/>
                    </w:rPr>
                    <w:t>产生量</w:t>
                  </w:r>
                </w:p>
              </w:tc>
              <w:tc>
                <w:tcPr>
                  <w:tcW w:w="1687" w:type="dxa"/>
                  <w:vAlign w:val="center"/>
                </w:tcPr>
                <w:p>
                  <w:pPr>
                    <w:pStyle w:val="11"/>
                    <w:jc w:val="center"/>
                    <w:rPr>
                      <w:b/>
                      <w:bCs/>
                      <w:color w:val="auto"/>
                    </w:rPr>
                  </w:pPr>
                  <w:r>
                    <w:rPr>
                      <w:b/>
                      <w:bCs/>
                      <w:color w:val="auto"/>
                    </w:rPr>
                    <w:t>废物性质</w:t>
                  </w:r>
                </w:p>
              </w:tc>
              <w:tc>
                <w:tcPr>
                  <w:tcW w:w="3393" w:type="dxa"/>
                  <w:vAlign w:val="center"/>
                </w:tcPr>
                <w:p>
                  <w:pPr>
                    <w:pStyle w:val="11"/>
                    <w:jc w:val="center"/>
                    <w:rPr>
                      <w:b/>
                      <w:bCs/>
                      <w:color w:val="auto"/>
                    </w:rPr>
                  </w:pPr>
                  <w:r>
                    <w:rPr>
                      <w:b/>
                      <w:bCs/>
                      <w:color w:val="auto"/>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color w:val="auto"/>
                    </w:rPr>
                  </w:pPr>
                  <w:r>
                    <w:rPr>
                      <w:color w:val="auto"/>
                    </w:rPr>
                    <w:t>生活垃圾</w:t>
                  </w:r>
                </w:p>
              </w:tc>
              <w:tc>
                <w:tcPr>
                  <w:tcW w:w="1308" w:type="dxa"/>
                  <w:vAlign w:val="center"/>
                </w:tcPr>
                <w:p>
                  <w:pPr>
                    <w:pStyle w:val="11"/>
                    <w:jc w:val="center"/>
                    <w:rPr>
                      <w:color w:val="auto"/>
                    </w:rPr>
                  </w:pPr>
                  <w:r>
                    <w:rPr>
                      <w:rFonts w:hint="eastAsia"/>
                      <w:color w:val="auto"/>
                    </w:rPr>
                    <w:t>24.0</w:t>
                  </w:r>
                  <w:r>
                    <w:rPr>
                      <w:color w:val="auto"/>
                    </w:rPr>
                    <w:t>t/a</w:t>
                  </w:r>
                </w:p>
              </w:tc>
              <w:tc>
                <w:tcPr>
                  <w:tcW w:w="1687" w:type="dxa"/>
                  <w:vAlign w:val="center"/>
                </w:tcPr>
                <w:p>
                  <w:pPr>
                    <w:pStyle w:val="11"/>
                    <w:jc w:val="center"/>
                    <w:rPr>
                      <w:color w:val="auto"/>
                    </w:rPr>
                  </w:pPr>
                  <w:r>
                    <w:rPr>
                      <w:color w:val="auto"/>
                    </w:rPr>
                    <w:t>生活垃圾</w:t>
                  </w:r>
                </w:p>
              </w:tc>
              <w:tc>
                <w:tcPr>
                  <w:tcW w:w="3393" w:type="dxa"/>
                  <w:vAlign w:val="center"/>
                </w:tcPr>
                <w:p>
                  <w:pPr>
                    <w:pStyle w:val="11"/>
                    <w:jc w:val="center"/>
                    <w:rPr>
                      <w:color w:val="auto"/>
                    </w:rPr>
                  </w:pPr>
                  <w:r>
                    <w:rPr>
                      <w:color w:val="auto"/>
                    </w:rPr>
                    <w:t>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color w:val="auto"/>
                    </w:rPr>
                  </w:pPr>
                  <w:r>
                    <w:rPr>
                      <w:rFonts w:hint="eastAsia"/>
                      <w:color w:val="auto"/>
                    </w:rPr>
                    <w:t>不可利用的边角料</w:t>
                  </w:r>
                </w:p>
              </w:tc>
              <w:tc>
                <w:tcPr>
                  <w:tcW w:w="1308" w:type="dxa"/>
                  <w:vAlign w:val="center"/>
                </w:tcPr>
                <w:p>
                  <w:pPr>
                    <w:pStyle w:val="11"/>
                    <w:jc w:val="center"/>
                    <w:rPr>
                      <w:color w:val="auto"/>
                    </w:rPr>
                  </w:pPr>
                  <w:r>
                    <w:rPr>
                      <w:rFonts w:hint="eastAsia"/>
                      <w:color w:val="auto"/>
                    </w:rPr>
                    <w:t>400t/a</w:t>
                  </w:r>
                </w:p>
              </w:tc>
              <w:tc>
                <w:tcPr>
                  <w:tcW w:w="1687" w:type="dxa"/>
                  <w:vAlign w:val="center"/>
                </w:tcPr>
                <w:p>
                  <w:pPr>
                    <w:pStyle w:val="11"/>
                    <w:jc w:val="center"/>
                    <w:rPr>
                      <w:color w:val="auto"/>
                    </w:rPr>
                  </w:pPr>
                  <w:r>
                    <w:rPr>
                      <w:color w:val="auto"/>
                    </w:rPr>
                    <w:t>一般工业固废</w:t>
                  </w:r>
                </w:p>
              </w:tc>
              <w:tc>
                <w:tcPr>
                  <w:tcW w:w="3393" w:type="dxa"/>
                  <w:vMerge w:val="restart"/>
                  <w:vAlign w:val="center"/>
                </w:tcPr>
                <w:p>
                  <w:pPr>
                    <w:pStyle w:val="11"/>
                    <w:jc w:val="both"/>
                    <w:rPr>
                      <w:color w:val="auto"/>
                    </w:rPr>
                  </w:pPr>
                  <w:r>
                    <w:rPr>
                      <w:color w:val="auto"/>
                    </w:rPr>
                    <w:t>交由</w:t>
                  </w:r>
                  <w:r>
                    <w:rPr>
                      <w:rFonts w:hint="eastAsia"/>
                      <w:color w:val="auto"/>
                    </w:rPr>
                    <w:t>专门的</w:t>
                  </w:r>
                  <w:r>
                    <w:rPr>
                      <w:rFonts w:hint="eastAsia"/>
                      <w:color w:val="auto"/>
                      <w:lang w:val="en-US" w:eastAsia="zh-CN"/>
                    </w:rPr>
                    <w:t>油脂</w:t>
                  </w:r>
                  <w:r>
                    <w:rPr>
                      <w:rFonts w:hint="eastAsia"/>
                      <w:color w:val="auto"/>
                    </w:rPr>
                    <w:t>回收公司</w:t>
                  </w:r>
                  <w:r>
                    <w:rPr>
                      <w:color w:val="auto"/>
                    </w:rPr>
                    <w:t>进行</w:t>
                  </w:r>
                  <w:r>
                    <w:rPr>
                      <w:rFonts w:hint="eastAsia"/>
                      <w:color w:val="auto"/>
                    </w:rPr>
                    <w:t>回收</w:t>
                  </w:r>
                  <w:r>
                    <w:rPr>
                      <w:color w:val="auto"/>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color w:val="auto"/>
                    </w:rPr>
                  </w:pPr>
                  <w:r>
                    <w:rPr>
                      <w:rFonts w:hint="eastAsia"/>
                      <w:color w:val="auto"/>
                    </w:rPr>
                    <w:t>不合格产品</w:t>
                  </w:r>
                </w:p>
              </w:tc>
              <w:tc>
                <w:tcPr>
                  <w:tcW w:w="1308" w:type="dxa"/>
                  <w:vAlign w:val="center"/>
                </w:tcPr>
                <w:p>
                  <w:pPr>
                    <w:pStyle w:val="11"/>
                    <w:jc w:val="center"/>
                    <w:rPr>
                      <w:color w:val="auto"/>
                    </w:rPr>
                  </w:pPr>
                  <w:r>
                    <w:rPr>
                      <w:rFonts w:hint="eastAsia"/>
                      <w:color w:val="auto"/>
                    </w:rPr>
                    <w:t>100</w:t>
                  </w:r>
                  <w:r>
                    <w:rPr>
                      <w:color w:val="auto"/>
                    </w:rPr>
                    <w:t>t/a</w:t>
                  </w:r>
                </w:p>
              </w:tc>
              <w:tc>
                <w:tcPr>
                  <w:tcW w:w="1687" w:type="dxa"/>
                  <w:vAlign w:val="center"/>
                </w:tcPr>
                <w:p>
                  <w:pPr>
                    <w:pStyle w:val="11"/>
                    <w:jc w:val="center"/>
                    <w:rPr>
                      <w:color w:val="auto"/>
                    </w:rPr>
                  </w:pPr>
                  <w:r>
                    <w:rPr>
                      <w:color w:val="auto"/>
                    </w:rPr>
                    <w:t>一般工业固废</w:t>
                  </w:r>
                </w:p>
              </w:tc>
              <w:tc>
                <w:tcPr>
                  <w:tcW w:w="3393" w:type="dxa"/>
                  <w:vMerge w:val="continue"/>
                  <w:vAlign w:val="center"/>
                </w:tcPr>
                <w:p>
                  <w:pPr>
                    <w:pStyle w:val="11"/>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color w:val="auto"/>
                    </w:rPr>
                  </w:pPr>
                  <w:r>
                    <w:rPr>
                      <w:rFonts w:hint="eastAsia"/>
                      <w:color w:val="auto"/>
                    </w:rPr>
                    <w:t>废弃食用油</w:t>
                  </w:r>
                </w:p>
              </w:tc>
              <w:tc>
                <w:tcPr>
                  <w:tcW w:w="1308" w:type="dxa"/>
                  <w:vAlign w:val="center"/>
                </w:tcPr>
                <w:p>
                  <w:pPr>
                    <w:pStyle w:val="11"/>
                    <w:jc w:val="center"/>
                    <w:rPr>
                      <w:color w:val="auto"/>
                    </w:rPr>
                  </w:pPr>
                  <w:r>
                    <w:rPr>
                      <w:color w:val="auto"/>
                    </w:rPr>
                    <w:t>0.</w:t>
                  </w:r>
                  <w:r>
                    <w:rPr>
                      <w:rFonts w:hint="eastAsia"/>
                      <w:color w:val="auto"/>
                    </w:rPr>
                    <w:t>95</w:t>
                  </w:r>
                  <w:r>
                    <w:rPr>
                      <w:color w:val="auto"/>
                    </w:rPr>
                    <w:t>t/a</w:t>
                  </w:r>
                </w:p>
              </w:tc>
              <w:tc>
                <w:tcPr>
                  <w:tcW w:w="1687" w:type="dxa"/>
                  <w:vAlign w:val="center"/>
                </w:tcPr>
                <w:p>
                  <w:pPr>
                    <w:pStyle w:val="11"/>
                    <w:jc w:val="center"/>
                    <w:rPr>
                      <w:color w:val="auto"/>
                    </w:rPr>
                  </w:pPr>
                  <w:r>
                    <w:rPr>
                      <w:color w:val="auto"/>
                    </w:rPr>
                    <w:t>一般工业固废</w:t>
                  </w:r>
                </w:p>
              </w:tc>
              <w:tc>
                <w:tcPr>
                  <w:tcW w:w="3393" w:type="dxa"/>
                  <w:vMerge w:val="continue"/>
                  <w:vAlign w:val="center"/>
                </w:tcPr>
                <w:p>
                  <w:pPr>
                    <w:pStyle w:val="11"/>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color w:val="auto"/>
                    </w:rPr>
                  </w:pPr>
                  <w:r>
                    <w:rPr>
                      <w:rFonts w:hint="eastAsia"/>
                      <w:color w:val="auto"/>
                    </w:rPr>
                    <w:t>废弃包装材料</w:t>
                  </w:r>
                </w:p>
              </w:tc>
              <w:tc>
                <w:tcPr>
                  <w:tcW w:w="1308" w:type="dxa"/>
                  <w:vAlign w:val="center"/>
                </w:tcPr>
                <w:p>
                  <w:pPr>
                    <w:pStyle w:val="11"/>
                    <w:jc w:val="center"/>
                    <w:rPr>
                      <w:color w:val="auto"/>
                    </w:rPr>
                  </w:pPr>
                  <w:r>
                    <w:rPr>
                      <w:rFonts w:hint="eastAsia"/>
                      <w:color w:val="auto"/>
                    </w:rPr>
                    <w:t>150</w:t>
                  </w:r>
                  <w:r>
                    <w:rPr>
                      <w:color w:val="auto"/>
                    </w:rPr>
                    <w:t>t/a</w:t>
                  </w:r>
                </w:p>
              </w:tc>
              <w:tc>
                <w:tcPr>
                  <w:tcW w:w="1687" w:type="dxa"/>
                  <w:vAlign w:val="center"/>
                </w:tcPr>
                <w:p>
                  <w:pPr>
                    <w:pStyle w:val="11"/>
                    <w:jc w:val="center"/>
                    <w:rPr>
                      <w:color w:val="auto"/>
                    </w:rPr>
                  </w:pPr>
                  <w:r>
                    <w:rPr>
                      <w:color w:val="auto"/>
                    </w:rPr>
                    <w:t>一般工业固废</w:t>
                  </w:r>
                </w:p>
              </w:tc>
              <w:tc>
                <w:tcPr>
                  <w:tcW w:w="3393" w:type="dxa"/>
                  <w:vAlign w:val="center"/>
                </w:tcPr>
                <w:p>
                  <w:pPr>
                    <w:pStyle w:val="11"/>
                    <w:jc w:val="center"/>
                    <w:rPr>
                      <w:color w:val="auto"/>
                    </w:rPr>
                  </w:pPr>
                  <w:r>
                    <w:rPr>
                      <w:color w:val="auto"/>
                    </w:rPr>
                    <w:t>交由废旧物回收公司进行处理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color w:val="auto"/>
                    </w:rPr>
                  </w:pPr>
                  <w:r>
                    <w:rPr>
                      <w:color w:val="auto"/>
                    </w:rPr>
                    <w:t>废机油</w:t>
                  </w:r>
                </w:p>
              </w:tc>
              <w:tc>
                <w:tcPr>
                  <w:tcW w:w="1308" w:type="dxa"/>
                  <w:vAlign w:val="center"/>
                </w:tcPr>
                <w:p>
                  <w:pPr>
                    <w:pStyle w:val="11"/>
                    <w:jc w:val="center"/>
                    <w:rPr>
                      <w:color w:val="auto"/>
                    </w:rPr>
                  </w:pPr>
                  <w:r>
                    <w:rPr>
                      <w:color w:val="auto"/>
                    </w:rPr>
                    <w:t>0.10t/a</w:t>
                  </w:r>
                </w:p>
              </w:tc>
              <w:tc>
                <w:tcPr>
                  <w:tcW w:w="1687" w:type="dxa"/>
                  <w:vAlign w:val="center"/>
                </w:tcPr>
                <w:p>
                  <w:pPr>
                    <w:pStyle w:val="11"/>
                    <w:jc w:val="center"/>
                    <w:rPr>
                      <w:color w:val="auto"/>
                    </w:rPr>
                  </w:pPr>
                  <w:r>
                    <w:rPr>
                      <w:color w:val="auto"/>
                    </w:rPr>
                    <w:t>危险废物</w:t>
                  </w:r>
                </w:p>
              </w:tc>
              <w:tc>
                <w:tcPr>
                  <w:tcW w:w="3393" w:type="dxa"/>
                  <w:vMerge w:val="restart"/>
                  <w:vAlign w:val="center"/>
                </w:tcPr>
                <w:p>
                  <w:pPr>
                    <w:pStyle w:val="11"/>
                    <w:jc w:val="center"/>
                    <w:rPr>
                      <w:color w:val="auto"/>
                    </w:rPr>
                  </w:pPr>
                  <w:r>
                    <w:rPr>
                      <w:color w:val="auto"/>
                    </w:rPr>
                    <w:t>交由危废单位处理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color w:val="auto"/>
                    </w:rPr>
                  </w:pPr>
                  <w:r>
                    <w:rPr>
                      <w:color w:val="auto"/>
                    </w:rPr>
                    <w:t>废液压油</w:t>
                  </w:r>
                </w:p>
              </w:tc>
              <w:tc>
                <w:tcPr>
                  <w:tcW w:w="1308" w:type="dxa"/>
                  <w:vAlign w:val="center"/>
                </w:tcPr>
                <w:p>
                  <w:pPr>
                    <w:pStyle w:val="11"/>
                    <w:jc w:val="center"/>
                    <w:rPr>
                      <w:color w:val="auto"/>
                    </w:rPr>
                  </w:pPr>
                  <w:r>
                    <w:rPr>
                      <w:color w:val="auto"/>
                    </w:rPr>
                    <w:t>0.05t/a</w:t>
                  </w:r>
                </w:p>
              </w:tc>
              <w:tc>
                <w:tcPr>
                  <w:tcW w:w="1687" w:type="dxa"/>
                  <w:vAlign w:val="center"/>
                </w:tcPr>
                <w:p>
                  <w:pPr>
                    <w:pStyle w:val="11"/>
                    <w:jc w:val="center"/>
                    <w:rPr>
                      <w:color w:val="auto"/>
                    </w:rPr>
                  </w:pPr>
                  <w:r>
                    <w:rPr>
                      <w:color w:val="auto"/>
                    </w:rPr>
                    <w:t>危险废物</w:t>
                  </w:r>
                </w:p>
              </w:tc>
              <w:tc>
                <w:tcPr>
                  <w:tcW w:w="3393" w:type="dxa"/>
                  <w:vMerge w:val="continue"/>
                  <w:vAlign w:val="center"/>
                </w:tcPr>
                <w:p>
                  <w:pPr>
                    <w:pStyle w:val="11"/>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4" w:hRule="atLeast"/>
                <w:jc w:val="center"/>
              </w:trPr>
              <w:tc>
                <w:tcPr>
                  <w:tcW w:w="2281" w:type="dxa"/>
                  <w:vAlign w:val="center"/>
                </w:tcPr>
                <w:p>
                  <w:pPr>
                    <w:pStyle w:val="11"/>
                    <w:jc w:val="center"/>
                    <w:rPr>
                      <w:color w:val="auto"/>
                    </w:rPr>
                  </w:pPr>
                  <w:r>
                    <w:rPr>
                      <w:color w:val="auto"/>
                    </w:rPr>
                    <w:t>废机油、液压油桶</w:t>
                  </w:r>
                </w:p>
              </w:tc>
              <w:tc>
                <w:tcPr>
                  <w:tcW w:w="1308" w:type="dxa"/>
                  <w:vAlign w:val="center"/>
                </w:tcPr>
                <w:p>
                  <w:pPr>
                    <w:pStyle w:val="11"/>
                    <w:jc w:val="center"/>
                    <w:rPr>
                      <w:color w:val="auto"/>
                    </w:rPr>
                  </w:pPr>
                  <w:r>
                    <w:rPr>
                      <w:color w:val="auto"/>
                    </w:rPr>
                    <w:t>0.05t/a</w:t>
                  </w:r>
                </w:p>
              </w:tc>
              <w:tc>
                <w:tcPr>
                  <w:tcW w:w="1687" w:type="dxa"/>
                  <w:vAlign w:val="center"/>
                </w:tcPr>
                <w:p>
                  <w:pPr>
                    <w:pStyle w:val="11"/>
                    <w:jc w:val="center"/>
                    <w:rPr>
                      <w:color w:val="auto"/>
                    </w:rPr>
                  </w:pPr>
                  <w:r>
                    <w:rPr>
                      <w:color w:val="auto"/>
                    </w:rPr>
                    <w:t>危险废物</w:t>
                  </w:r>
                </w:p>
              </w:tc>
              <w:tc>
                <w:tcPr>
                  <w:tcW w:w="3393" w:type="dxa"/>
                  <w:vMerge w:val="continue"/>
                  <w:vAlign w:val="center"/>
                </w:tcPr>
                <w:p>
                  <w:pPr>
                    <w:pStyle w:val="11"/>
                    <w:jc w:val="center"/>
                    <w:rPr>
                      <w:color w:val="auto"/>
                    </w:rPr>
                  </w:pPr>
                </w:p>
              </w:tc>
            </w:tr>
          </w:tbl>
          <w:p>
            <w:pPr>
              <w:adjustRightInd w:val="0"/>
              <w:snapToGrid w:val="0"/>
              <w:ind w:firstLine="480"/>
              <w:rPr>
                <w:color w:val="auto"/>
              </w:rPr>
            </w:pPr>
            <w:r>
              <w:rPr>
                <w:color w:val="auto"/>
              </w:rPr>
              <w:t>本项目应设置一般工业固体废物暂存区和危险废物贮存区，其中一般固废储存区面积约</w:t>
            </w:r>
            <w:r>
              <w:rPr>
                <w:rFonts w:hint="eastAsia"/>
                <w:color w:val="auto"/>
              </w:rPr>
              <w:t>20</w:t>
            </w:r>
            <w:r>
              <w:rPr>
                <w:color w:val="auto"/>
              </w:rPr>
              <w:t>0m</w:t>
            </w:r>
            <w:r>
              <w:rPr>
                <w:color w:val="auto"/>
                <w:vertAlign w:val="superscript"/>
              </w:rPr>
              <w:t>2</w:t>
            </w:r>
            <w:r>
              <w:rPr>
                <w:color w:val="auto"/>
              </w:rPr>
              <w:t>，</w:t>
            </w:r>
            <w:r>
              <w:rPr>
                <w:rFonts w:hint="eastAsia"/>
                <w:color w:val="auto"/>
              </w:rPr>
              <w:t>危废暂存间</w:t>
            </w:r>
            <w:r>
              <w:rPr>
                <w:color w:val="auto"/>
              </w:rPr>
              <w:t>面积约为</w:t>
            </w:r>
            <w:r>
              <w:rPr>
                <w:rFonts w:hint="eastAsia"/>
                <w:color w:val="auto"/>
              </w:rPr>
              <w:t>20</w:t>
            </w:r>
            <w:r>
              <w:rPr>
                <w:color w:val="auto"/>
              </w:rPr>
              <w:t>m</w:t>
            </w:r>
            <w:r>
              <w:rPr>
                <w:color w:val="auto"/>
                <w:vertAlign w:val="superscript"/>
              </w:rPr>
              <w:t>2</w:t>
            </w:r>
            <w:r>
              <w:rPr>
                <w:color w:val="auto"/>
              </w:rPr>
              <w:t>。各种固体废物分类存放，一般工业固体废物分类存放，不露天堆放，</w:t>
            </w:r>
            <w:r>
              <w:rPr>
                <w:b/>
                <w:bCs/>
                <w:color w:val="auto"/>
                <w:u w:val="single"/>
              </w:rPr>
              <w:t>场地基础进行防渗处理</w:t>
            </w:r>
            <w:r>
              <w:rPr>
                <w:color w:val="auto"/>
              </w:rPr>
              <w:t>。危险废物贮存区采用独立密闭区。危险废物分类存放，准确清楚登记危险物质的数量，危险废物贮存场所设置警示标志和标识牌、贮存容器粘贴标识标签，由专业技术人员负责这些物质的回收、储存、运输和销售的跟踪和管理工作，所有这些流程操作应符合有关管理和技术规定。相关场所应该有禁止无关人员入内的告示，相关的存放容器、场地的设计应该满足《危险废物贮存污染控制标准》（</w:t>
            </w:r>
            <w:r>
              <w:rPr>
                <w:rFonts w:hint="eastAsia"/>
                <w:color w:val="auto"/>
              </w:rPr>
              <w:t>GB18597-2023</w:t>
            </w:r>
            <w:r>
              <w:rPr>
                <w:color w:val="auto"/>
              </w:rPr>
              <w:t>）的相关要求。</w:t>
            </w:r>
          </w:p>
          <w:p>
            <w:pPr>
              <w:adjustRightInd w:val="0"/>
              <w:snapToGrid w:val="0"/>
              <w:ind w:firstLine="480"/>
              <w:rPr>
                <w:color w:val="auto"/>
              </w:rPr>
            </w:pPr>
            <w:r>
              <w:rPr>
                <w:color w:val="auto"/>
              </w:rPr>
              <w:t>项目危险废物产生情况统计见表4-</w:t>
            </w:r>
            <w:r>
              <w:rPr>
                <w:rFonts w:hint="eastAsia"/>
                <w:color w:val="auto"/>
              </w:rPr>
              <w:t>9</w:t>
            </w:r>
            <w:r>
              <w:rPr>
                <w:color w:val="auto"/>
              </w:rPr>
              <w:t>。</w:t>
            </w:r>
          </w:p>
          <w:p>
            <w:pPr>
              <w:pStyle w:val="11"/>
              <w:jc w:val="center"/>
              <w:rPr>
                <w:b/>
                <w:bCs/>
                <w:color w:val="auto"/>
              </w:rPr>
            </w:pPr>
            <w:r>
              <w:rPr>
                <w:b/>
                <w:bCs/>
                <w:color w:val="auto"/>
              </w:rPr>
              <w:t>表4-</w:t>
            </w:r>
            <w:r>
              <w:rPr>
                <w:rFonts w:hint="eastAsia"/>
                <w:b/>
                <w:bCs/>
                <w:color w:val="auto"/>
              </w:rPr>
              <w:t>9</w:t>
            </w:r>
            <w:r>
              <w:rPr>
                <w:b/>
                <w:bCs/>
                <w:color w:val="auto"/>
              </w:rPr>
              <w:t xml:space="preserve">    危险废弃物储存形式与储存量</w:t>
            </w:r>
          </w:p>
          <w:tbl>
            <w:tblPr>
              <w:tblStyle w:val="6"/>
              <w:tblW w:w="897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13"/>
              <w:gridCol w:w="825"/>
              <w:gridCol w:w="723"/>
              <w:gridCol w:w="721"/>
              <w:gridCol w:w="1136"/>
              <w:gridCol w:w="600"/>
              <w:gridCol w:w="720"/>
              <w:gridCol w:w="823"/>
              <w:gridCol w:w="675"/>
              <w:gridCol w:w="700"/>
              <w:gridCol w:w="7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1313" w:type="dxa"/>
                  <w:vAlign w:val="center"/>
                </w:tcPr>
                <w:p>
                  <w:pPr>
                    <w:pStyle w:val="11"/>
                    <w:jc w:val="center"/>
                    <w:rPr>
                      <w:b/>
                      <w:bCs/>
                      <w:color w:val="auto"/>
                    </w:rPr>
                  </w:pPr>
                  <w:r>
                    <w:rPr>
                      <w:b/>
                      <w:bCs/>
                      <w:color w:val="auto"/>
                    </w:rPr>
                    <w:t>危险废物名称</w:t>
                  </w:r>
                </w:p>
              </w:tc>
              <w:tc>
                <w:tcPr>
                  <w:tcW w:w="825" w:type="dxa"/>
                  <w:vAlign w:val="center"/>
                </w:tcPr>
                <w:p>
                  <w:pPr>
                    <w:pStyle w:val="11"/>
                    <w:jc w:val="center"/>
                    <w:rPr>
                      <w:b/>
                      <w:bCs/>
                      <w:color w:val="auto"/>
                    </w:rPr>
                  </w:pPr>
                  <w:r>
                    <w:rPr>
                      <w:b/>
                      <w:bCs/>
                      <w:color w:val="auto"/>
                    </w:rPr>
                    <w:t>危险废物</w:t>
                  </w:r>
                </w:p>
                <w:p>
                  <w:pPr>
                    <w:pStyle w:val="11"/>
                    <w:jc w:val="center"/>
                    <w:rPr>
                      <w:b/>
                      <w:bCs/>
                      <w:color w:val="auto"/>
                    </w:rPr>
                  </w:pPr>
                  <w:r>
                    <w:rPr>
                      <w:b/>
                      <w:bCs/>
                      <w:color w:val="auto"/>
                    </w:rPr>
                    <w:t>类别</w:t>
                  </w:r>
                </w:p>
              </w:tc>
              <w:tc>
                <w:tcPr>
                  <w:tcW w:w="723" w:type="dxa"/>
                  <w:vAlign w:val="center"/>
                </w:tcPr>
                <w:p>
                  <w:pPr>
                    <w:pStyle w:val="11"/>
                    <w:jc w:val="center"/>
                    <w:rPr>
                      <w:b/>
                      <w:bCs/>
                      <w:color w:val="auto"/>
                    </w:rPr>
                  </w:pPr>
                  <w:r>
                    <w:rPr>
                      <w:b/>
                      <w:bCs/>
                      <w:color w:val="auto"/>
                    </w:rPr>
                    <w:t>危险废物</w:t>
                  </w:r>
                </w:p>
                <w:p>
                  <w:pPr>
                    <w:pStyle w:val="11"/>
                    <w:jc w:val="center"/>
                    <w:rPr>
                      <w:b/>
                      <w:bCs/>
                      <w:color w:val="auto"/>
                    </w:rPr>
                  </w:pPr>
                  <w:r>
                    <w:rPr>
                      <w:b/>
                      <w:bCs/>
                      <w:color w:val="auto"/>
                    </w:rPr>
                    <w:t>代码</w:t>
                  </w:r>
                </w:p>
              </w:tc>
              <w:tc>
                <w:tcPr>
                  <w:tcW w:w="721" w:type="dxa"/>
                  <w:vAlign w:val="center"/>
                </w:tcPr>
                <w:p>
                  <w:pPr>
                    <w:pStyle w:val="11"/>
                    <w:jc w:val="center"/>
                    <w:rPr>
                      <w:b/>
                      <w:bCs/>
                      <w:color w:val="auto"/>
                    </w:rPr>
                  </w:pPr>
                  <w:r>
                    <w:rPr>
                      <w:b/>
                      <w:bCs/>
                      <w:color w:val="auto"/>
                    </w:rPr>
                    <w:t>产生量</w:t>
                  </w:r>
                </w:p>
              </w:tc>
              <w:tc>
                <w:tcPr>
                  <w:tcW w:w="1136" w:type="dxa"/>
                  <w:vAlign w:val="center"/>
                </w:tcPr>
                <w:p>
                  <w:pPr>
                    <w:pStyle w:val="11"/>
                    <w:jc w:val="center"/>
                    <w:rPr>
                      <w:b/>
                      <w:bCs/>
                      <w:color w:val="auto"/>
                    </w:rPr>
                  </w:pPr>
                  <w:r>
                    <w:rPr>
                      <w:b/>
                      <w:bCs/>
                      <w:color w:val="auto"/>
                    </w:rPr>
                    <w:t>产生工序及装置</w:t>
                  </w:r>
                </w:p>
              </w:tc>
              <w:tc>
                <w:tcPr>
                  <w:tcW w:w="600" w:type="dxa"/>
                  <w:vAlign w:val="center"/>
                </w:tcPr>
                <w:p>
                  <w:pPr>
                    <w:pStyle w:val="11"/>
                    <w:jc w:val="center"/>
                    <w:rPr>
                      <w:b/>
                      <w:bCs/>
                      <w:color w:val="auto"/>
                    </w:rPr>
                  </w:pPr>
                  <w:r>
                    <w:rPr>
                      <w:b/>
                      <w:bCs/>
                      <w:color w:val="auto"/>
                    </w:rPr>
                    <w:t>形态</w:t>
                  </w:r>
                </w:p>
              </w:tc>
              <w:tc>
                <w:tcPr>
                  <w:tcW w:w="720" w:type="dxa"/>
                  <w:vAlign w:val="center"/>
                </w:tcPr>
                <w:p>
                  <w:pPr>
                    <w:pStyle w:val="11"/>
                    <w:jc w:val="center"/>
                    <w:rPr>
                      <w:b/>
                      <w:bCs/>
                      <w:color w:val="auto"/>
                    </w:rPr>
                  </w:pPr>
                  <w:r>
                    <w:rPr>
                      <w:b/>
                      <w:bCs/>
                      <w:color w:val="auto"/>
                    </w:rPr>
                    <w:t>主要成分</w:t>
                  </w:r>
                </w:p>
              </w:tc>
              <w:tc>
                <w:tcPr>
                  <w:tcW w:w="823" w:type="dxa"/>
                  <w:vAlign w:val="center"/>
                </w:tcPr>
                <w:p>
                  <w:pPr>
                    <w:pStyle w:val="11"/>
                    <w:jc w:val="center"/>
                    <w:rPr>
                      <w:b/>
                      <w:bCs/>
                      <w:color w:val="auto"/>
                    </w:rPr>
                  </w:pPr>
                  <w:r>
                    <w:rPr>
                      <w:b/>
                      <w:bCs/>
                      <w:color w:val="auto"/>
                    </w:rPr>
                    <w:t>有害成分</w:t>
                  </w:r>
                </w:p>
              </w:tc>
              <w:tc>
                <w:tcPr>
                  <w:tcW w:w="675" w:type="dxa"/>
                  <w:vAlign w:val="center"/>
                </w:tcPr>
                <w:p>
                  <w:pPr>
                    <w:pStyle w:val="11"/>
                    <w:jc w:val="center"/>
                    <w:rPr>
                      <w:b/>
                      <w:bCs/>
                      <w:color w:val="auto"/>
                    </w:rPr>
                  </w:pPr>
                  <w:r>
                    <w:rPr>
                      <w:b/>
                      <w:bCs/>
                      <w:color w:val="auto"/>
                    </w:rPr>
                    <w:t>产废周期</w:t>
                  </w:r>
                </w:p>
              </w:tc>
              <w:tc>
                <w:tcPr>
                  <w:tcW w:w="700" w:type="dxa"/>
                  <w:vAlign w:val="center"/>
                </w:tcPr>
                <w:p>
                  <w:pPr>
                    <w:pStyle w:val="11"/>
                    <w:jc w:val="center"/>
                    <w:rPr>
                      <w:b/>
                      <w:bCs/>
                      <w:color w:val="auto"/>
                    </w:rPr>
                  </w:pPr>
                  <w:r>
                    <w:rPr>
                      <w:b/>
                      <w:bCs/>
                      <w:color w:val="auto"/>
                    </w:rPr>
                    <w:t>危险特性</w:t>
                  </w:r>
                </w:p>
              </w:tc>
              <w:tc>
                <w:tcPr>
                  <w:tcW w:w="737" w:type="dxa"/>
                  <w:vAlign w:val="center"/>
                </w:tcPr>
                <w:p>
                  <w:pPr>
                    <w:pStyle w:val="11"/>
                    <w:jc w:val="center"/>
                    <w:rPr>
                      <w:b/>
                      <w:bCs/>
                      <w:color w:val="auto"/>
                    </w:rPr>
                  </w:pPr>
                  <w:r>
                    <w:rPr>
                      <w:b/>
                      <w:bCs/>
                      <w:color w:val="auto"/>
                    </w:rPr>
                    <w:t>污染防治措施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1313" w:type="dxa"/>
                  <w:vAlign w:val="center"/>
                </w:tcPr>
                <w:p>
                  <w:pPr>
                    <w:pStyle w:val="11"/>
                    <w:jc w:val="center"/>
                    <w:rPr>
                      <w:color w:val="auto"/>
                    </w:rPr>
                  </w:pPr>
                  <w:r>
                    <w:rPr>
                      <w:color w:val="auto"/>
                    </w:rPr>
                    <w:t>废机油</w:t>
                  </w:r>
                </w:p>
              </w:tc>
              <w:tc>
                <w:tcPr>
                  <w:tcW w:w="825" w:type="dxa"/>
                  <w:vAlign w:val="center"/>
                </w:tcPr>
                <w:p>
                  <w:pPr>
                    <w:pStyle w:val="11"/>
                    <w:jc w:val="center"/>
                    <w:rPr>
                      <w:color w:val="auto"/>
                    </w:rPr>
                  </w:pPr>
                  <w:r>
                    <w:rPr>
                      <w:color w:val="auto"/>
                    </w:rPr>
                    <w:t>HW08</w:t>
                  </w:r>
                </w:p>
              </w:tc>
              <w:tc>
                <w:tcPr>
                  <w:tcW w:w="723" w:type="dxa"/>
                  <w:vAlign w:val="center"/>
                </w:tcPr>
                <w:p>
                  <w:pPr>
                    <w:pStyle w:val="11"/>
                    <w:jc w:val="center"/>
                    <w:rPr>
                      <w:color w:val="auto"/>
                    </w:rPr>
                  </w:pPr>
                  <w:r>
                    <w:rPr>
                      <w:color w:val="auto"/>
                    </w:rPr>
                    <w:t>900-217-08</w:t>
                  </w:r>
                </w:p>
              </w:tc>
              <w:tc>
                <w:tcPr>
                  <w:tcW w:w="721" w:type="dxa"/>
                  <w:vAlign w:val="center"/>
                </w:tcPr>
                <w:p>
                  <w:pPr>
                    <w:pStyle w:val="11"/>
                    <w:jc w:val="center"/>
                    <w:rPr>
                      <w:color w:val="auto"/>
                    </w:rPr>
                  </w:pPr>
                  <w:r>
                    <w:rPr>
                      <w:color w:val="auto"/>
                    </w:rPr>
                    <w:t>0.010t/a</w:t>
                  </w:r>
                </w:p>
              </w:tc>
              <w:tc>
                <w:tcPr>
                  <w:tcW w:w="1136" w:type="dxa"/>
                  <w:vAlign w:val="center"/>
                </w:tcPr>
                <w:p>
                  <w:pPr>
                    <w:pStyle w:val="11"/>
                    <w:jc w:val="center"/>
                    <w:rPr>
                      <w:color w:val="auto"/>
                    </w:rPr>
                  </w:pPr>
                  <w:r>
                    <w:rPr>
                      <w:color w:val="auto"/>
                    </w:rPr>
                    <w:t>生产过程/机械设备</w:t>
                  </w:r>
                </w:p>
              </w:tc>
              <w:tc>
                <w:tcPr>
                  <w:tcW w:w="600" w:type="dxa"/>
                  <w:vAlign w:val="center"/>
                </w:tcPr>
                <w:p>
                  <w:pPr>
                    <w:pStyle w:val="11"/>
                    <w:jc w:val="center"/>
                    <w:rPr>
                      <w:color w:val="auto"/>
                    </w:rPr>
                  </w:pPr>
                  <w:r>
                    <w:rPr>
                      <w:color w:val="auto"/>
                    </w:rPr>
                    <w:t>液体</w:t>
                  </w:r>
                </w:p>
              </w:tc>
              <w:tc>
                <w:tcPr>
                  <w:tcW w:w="720" w:type="dxa"/>
                  <w:vAlign w:val="center"/>
                </w:tcPr>
                <w:p>
                  <w:pPr>
                    <w:pStyle w:val="11"/>
                    <w:jc w:val="center"/>
                    <w:rPr>
                      <w:color w:val="auto"/>
                    </w:rPr>
                  </w:pPr>
                  <w:r>
                    <w:rPr>
                      <w:color w:val="auto"/>
                    </w:rPr>
                    <w:t>矿物质油</w:t>
                  </w:r>
                </w:p>
              </w:tc>
              <w:tc>
                <w:tcPr>
                  <w:tcW w:w="823" w:type="dxa"/>
                  <w:vAlign w:val="center"/>
                </w:tcPr>
                <w:p>
                  <w:pPr>
                    <w:pStyle w:val="11"/>
                    <w:jc w:val="center"/>
                    <w:rPr>
                      <w:color w:val="auto"/>
                    </w:rPr>
                  </w:pPr>
                  <w:r>
                    <w:rPr>
                      <w:color w:val="auto"/>
                    </w:rPr>
                    <w:t>矿物质油</w:t>
                  </w:r>
                </w:p>
              </w:tc>
              <w:tc>
                <w:tcPr>
                  <w:tcW w:w="675" w:type="dxa"/>
                  <w:vAlign w:val="center"/>
                </w:tcPr>
                <w:p>
                  <w:pPr>
                    <w:pStyle w:val="11"/>
                    <w:jc w:val="center"/>
                    <w:rPr>
                      <w:color w:val="auto"/>
                    </w:rPr>
                  </w:pPr>
                  <w:r>
                    <w:rPr>
                      <w:color w:val="auto"/>
                    </w:rPr>
                    <w:t>半年</w:t>
                  </w:r>
                </w:p>
              </w:tc>
              <w:tc>
                <w:tcPr>
                  <w:tcW w:w="700" w:type="dxa"/>
                  <w:vAlign w:val="center"/>
                </w:tcPr>
                <w:p>
                  <w:pPr>
                    <w:pStyle w:val="11"/>
                    <w:jc w:val="center"/>
                    <w:rPr>
                      <w:color w:val="auto"/>
                    </w:rPr>
                  </w:pPr>
                  <w:r>
                    <w:rPr>
                      <w:color w:val="auto"/>
                    </w:rPr>
                    <w:t>T</w:t>
                  </w:r>
                </w:p>
              </w:tc>
              <w:tc>
                <w:tcPr>
                  <w:tcW w:w="737" w:type="dxa"/>
                  <w:vMerge w:val="restart"/>
                  <w:vAlign w:val="center"/>
                </w:tcPr>
                <w:p>
                  <w:pPr>
                    <w:pStyle w:val="11"/>
                    <w:jc w:val="center"/>
                    <w:rPr>
                      <w:color w:val="auto"/>
                    </w:rPr>
                  </w:pPr>
                  <w:r>
                    <w:rPr>
                      <w:color w:val="auto"/>
                    </w:rPr>
                    <w:t>危废间暂存后交由有资质的单位处理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1313" w:type="dxa"/>
                  <w:vAlign w:val="center"/>
                </w:tcPr>
                <w:p>
                  <w:pPr>
                    <w:pStyle w:val="11"/>
                    <w:jc w:val="center"/>
                    <w:rPr>
                      <w:color w:val="auto"/>
                    </w:rPr>
                  </w:pPr>
                  <w:r>
                    <w:rPr>
                      <w:color w:val="auto"/>
                    </w:rPr>
                    <w:t>废液压油</w:t>
                  </w:r>
                </w:p>
              </w:tc>
              <w:tc>
                <w:tcPr>
                  <w:tcW w:w="825" w:type="dxa"/>
                  <w:vAlign w:val="center"/>
                </w:tcPr>
                <w:p>
                  <w:pPr>
                    <w:pStyle w:val="11"/>
                    <w:jc w:val="center"/>
                    <w:rPr>
                      <w:color w:val="auto"/>
                    </w:rPr>
                  </w:pPr>
                  <w:r>
                    <w:rPr>
                      <w:color w:val="auto"/>
                    </w:rPr>
                    <w:t>HW08</w:t>
                  </w:r>
                </w:p>
              </w:tc>
              <w:tc>
                <w:tcPr>
                  <w:tcW w:w="723" w:type="dxa"/>
                  <w:vAlign w:val="center"/>
                </w:tcPr>
                <w:p>
                  <w:pPr>
                    <w:pStyle w:val="11"/>
                    <w:jc w:val="center"/>
                    <w:rPr>
                      <w:color w:val="auto"/>
                    </w:rPr>
                  </w:pPr>
                  <w:r>
                    <w:rPr>
                      <w:color w:val="auto"/>
                    </w:rPr>
                    <w:t>900-217-08</w:t>
                  </w:r>
                </w:p>
              </w:tc>
              <w:tc>
                <w:tcPr>
                  <w:tcW w:w="721" w:type="dxa"/>
                  <w:vAlign w:val="center"/>
                </w:tcPr>
                <w:p>
                  <w:pPr>
                    <w:pStyle w:val="11"/>
                    <w:jc w:val="center"/>
                    <w:rPr>
                      <w:color w:val="auto"/>
                    </w:rPr>
                  </w:pPr>
                  <w:r>
                    <w:rPr>
                      <w:color w:val="auto"/>
                    </w:rPr>
                    <w:t>0.005t/a</w:t>
                  </w:r>
                </w:p>
              </w:tc>
              <w:tc>
                <w:tcPr>
                  <w:tcW w:w="1136" w:type="dxa"/>
                  <w:vAlign w:val="center"/>
                </w:tcPr>
                <w:p>
                  <w:pPr>
                    <w:pStyle w:val="11"/>
                    <w:jc w:val="center"/>
                    <w:rPr>
                      <w:color w:val="auto"/>
                    </w:rPr>
                  </w:pPr>
                  <w:r>
                    <w:rPr>
                      <w:color w:val="auto"/>
                    </w:rPr>
                    <w:t>生产过程/机械设备</w:t>
                  </w:r>
                </w:p>
              </w:tc>
              <w:tc>
                <w:tcPr>
                  <w:tcW w:w="600" w:type="dxa"/>
                  <w:vAlign w:val="center"/>
                </w:tcPr>
                <w:p>
                  <w:pPr>
                    <w:pStyle w:val="11"/>
                    <w:jc w:val="center"/>
                    <w:rPr>
                      <w:color w:val="auto"/>
                    </w:rPr>
                  </w:pPr>
                  <w:r>
                    <w:rPr>
                      <w:color w:val="auto"/>
                    </w:rPr>
                    <w:t>液体</w:t>
                  </w:r>
                </w:p>
              </w:tc>
              <w:tc>
                <w:tcPr>
                  <w:tcW w:w="720" w:type="dxa"/>
                  <w:vAlign w:val="center"/>
                </w:tcPr>
                <w:p>
                  <w:pPr>
                    <w:pStyle w:val="11"/>
                    <w:jc w:val="center"/>
                    <w:rPr>
                      <w:color w:val="auto"/>
                    </w:rPr>
                  </w:pPr>
                  <w:r>
                    <w:rPr>
                      <w:color w:val="auto"/>
                    </w:rPr>
                    <w:t>矿物质油</w:t>
                  </w:r>
                </w:p>
              </w:tc>
              <w:tc>
                <w:tcPr>
                  <w:tcW w:w="823" w:type="dxa"/>
                  <w:vAlign w:val="center"/>
                </w:tcPr>
                <w:p>
                  <w:pPr>
                    <w:pStyle w:val="11"/>
                    <w:jc w:val="center"/>
                    <w:rPr>
                      <w:color w:val="auto"/>
                    </w:rPr>
                  </w:pPr>
                  <w:r>
                    <w:rPr>
                      <w:color w:val="auto"/>
                    </w:rPr>
                    <w:t>矿物质油</w:t>
                  </w:r>
                </w:p>
              </w:tc>
              <w:tc>
                <w:tcPr>
                  <w:tcW w:w="675" w:type="dxa"/>
                  <w:vAlign w:val="center"/>
                </w:tcPr>
                <w:p>
                  <w:pPr>
                    <w:pStyle w:val="11"/>
                    <w:jc w:val="center"/>
                    <w:rPr>
                      <w:color w:val="auto"/>
                    </w:rPr>
                  </w:pPr>
                  <w:r>
                    <w:rPr>
                      <w:color w:val="auto"/>
                    </w:rPr>
                    <w:t>半年</w:t>
                  </w:r>
                </w:p>
              </w:tc>
              <w:tc>
                <w:tcPr>
                  <w:tcW w:w="700" w:type="dxa"/>
                  <w:vAlign w:val="center"/>
                </w:tcPr>
                <w:p>
                  <w:pPr>
                    <w:pStyle w:val="11"/>
                    <w:jc w:val="center"/>
                    <w:rPr>
                      <w:color w:val="auto"/>
                    </w:rPr>
                  </w:pPr>
                  <w:r>
                    <w:rPr>
                      <w:color w:val="auto"/>
                    </w:rPr>
                    <w:t>T</w:t>
                  </w:r>
                </w:p>
              </w:tc>
              <w:tc>
                <w:tcPr>
                  <w:tcW w:w="737" w:type="dxa"/>
                  <w:vMerge w:val="continue"/>
                  <w:vAlign w:val="center"/>
                </w:tcPr>
                <w:p>
                  <w:pPr>
                    <w:pStyle w:val="11"/>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1313" w:type="dxa"/>
                  <w:vAlign w:val="center"/>
                </w:tcPr>
                <w:p>
                  <w:pPr>
                    <w:pStyle w:val="11"/>
                    <w:jc w:val="center"/>
                    <w:rPr>
                      <w:color w:val="auto"/>
                    </w:rPr>
                  </w:pPr>
                  <w:r>
                    <w:rPr>
                      <w:color w:val="auto"/>
                    </w:rPr>
                    <w:t>废油桶</w:t>
                  </w:r>
                </w:p>
              </w:tc>
              <w:tc>
                <w:tcPr>
                  <w:tcW w:w="825" w:type="dxa"/>
                  <w:vAlign w:val="center"/>
                </w:tcPr>
                <w:p>
                  <w:pPr>
                    <w:pStyle w:val="11"/>
                    <w:jc w:val="center"/>
                    <w:rPr>
                      <w:color w:val="auto"/>
                    </w:rPr>
                  </w:pPr>
                  <w:r>
                    <w:rPr>
                      <w:color w:val="auto"/>
                    </w:rPr>
                    <w:t>HW49</w:t>
                  </w:r>
                </w:p>
              </w:tc>
              <w:tc>
                <w:tcPr>
                  <w:tcW w:w="723" w:type="dxa"/>
                  <w:vAlign w:val="center"/>
                </w:tcPr>
                <w:p>
                  <w:pPr>
                    <w:pStyle w:val="11"/>
                    <w:jc w:val="center"/>
                    <w:rPr>
                      <w:color w:val="auto"/>
                    </w:rPr>
                  </w:pPr>
                  <w:r>
                    <w:rPr>
                      <w:color w:val="auto"/>
                    </w:rPr>
                    <w:t>900-041-49</w:t>
                  </w:r>
                </w:p>
              </w:tc>
              <w:tc>
                <w:tcPr>
                  <w:tcW w:w="721" w:type="dxa"/>
                  <w:vAlign w:val="center"/>
                </w:tcPr>
                <w:p>
                  <w:pPr>
                    <w:pStyle w:val="11"/>
                    <w:jc w:val="center"/>
                    <w:rPr>
                      <w:color w:val="auto"/>
                    </w:rPr>
                  </w:pPr>
                  <w:r>
                    <w:rPr>
                      <w:color w:val="auto"/>
                    </w:rPr>
                    <w:t>0.005t/a</w:t>
                  </w:r>
                </w:p>
              </w:tc>
              <w:tc>
                <w:tcPr>
                  <w:tcW w:w="1136" w:type="dxa"/>
                  <w:vAlign w:val="center"/>
                </w:tcPr>
                <w:p>
                  <w:pPr>
                    <w:pStyle w:val="11"/>
                    <w:jc w:val="center"/>
                    <w:rPr>
                      <w:color w:val="auto"/>
                    </w:rPr>
                  </w:pPr>
                  <w:r>
                    <w:rPr>
                      <w:color w:val="auto"/>
                    </w:rPr>
                    <w:t>生产过程/机械设备</w:t>
                  </w:r>
                </w:p>
              </w:tc>
              <w:tc>
                <w:tcPr>
                  <w:tcW w:w="600" w:type="dxa"/>
                  <w:vAlign w:val="center"/>
                </w:tcPr>
                <w:p>
                  <w:pPr>
                    <w:pStyle w:val="11"/>
                    <w:jc w:val="center"/>
                    <w:rPr>
                      <w:color w:val="auto"/>
                    </w:rPr>
                  </w:pPr>
                  <w:r>
                    <w:rPr>
                      <w:color w:val="auto"/>
                    </w:rPr>
                    <w:t>固体</w:t>
                  </w:r>
                </w:p>
              </w:tc>
              <w:tc>
                <w:tcPr>
                  <w:tcW w:w="720" w:type="dxa"/>
                  <w:vAlign w:val="center"/>
                </w:tcPr>
                <w:p>
                  <w:pPr>
                    <w:pStyle w:val="11"/>
                    <w:jc w:val="center"/>
                    <w:rPr>
                      <w:color w:val="auto"/>
                    </w:rPr>
                  </w:pPr>
                  <w:r>
                    <w:rPr>
                      <w:color w:val="auto"/>
                    </w:rPr>
                    <w:t>/</w:t>
                  </w:r>
                </w:p>
              </w:tc>
              <w:tc>
                <w:tcPr>
                  <w:tcW w:w="823" w:type="dxa"/>
                  <w:vAlign w:val="center"/>
                </w:tcPr>
                <w:p>
                  <w:pPr>
                    <w:pStyle w:val="11"/>
                    <w:jc w:val="center"/>
                    <w:rPr>
                      <w:color w:val="auto"/>
                    </w:rPr>
                  </w:pPr>
                  <w:r>
                    <w:rPr>
                      <w:color w:val="auto"/>
                    </w:rPr>
                    <w:t>矿物质油</w:t>
                  </w:r>
                </w:p>
              </w:tc>
              <w:tc>
                <w:tcPr>
                  <w:tcW w:w="675" w:type="dxa"/>
                  <w:vAlign w:val="center"/>
                </w:tcPr>
                <w:p>
                  <w:pPr>
                    <w:pStyle w:val="11"/>
                    <w:jc w:val="center"/>
                    <w:rPr>
                      <w:color w:val="auto"/>
                    </w:rPr>
                  </w:pPr>
                  <w:r>
                    <w:rPr>
                      <w:color w:val="auto"/>
                    </w:rPr>
                    <w:t>半年</w:t>
                  </w:r>
                </w:p>
              </w:tc>
              <w:tc>
                <w:tcPr>
                  <w:tcW w:w="700" w:type="dxa"/>
                  <w:vAlign w:val="center"/>
                </w:tcPr>
                <w:p>
                  <w:pPr>
                    <w:pStyle w:val="11"/>
                    <w:jc w:val="center"/>
                    <w:rPr>
                      <w:color w:val="auto"/>
                    </w:rPr>
                  </w:pPr>
                  <w:r>
                    <w:rPr>
                      <w:color w:val="auto"/>
                    </w:rPr>
                    <w:t>T</w:t>
                  </w:r>
                </w:p>
              </w:tc>
              <w:tc>
                <w:tcPr>
                  <w:tcW w:w="737" w:type="dxa"/>
                  <w:vMerge w:val="continue"/>
                  <w:vAlign w:val="center"/>
                </w:tcPr>
                <w:p>
                  <w:pPr>
                    <w:pStyle w:val="11"/>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5" w:hRule="atLeast"/>
                <w:jc w:val="center"/>
              </w:trPr>
              <w:tc>
                <w:tcPr>
                  <w:tcW w:w="8973" w:type="dxa"/>
                  <w:gridSpan w:val="11"/>
                  <w:vAlign w:val="center"/>
                </w:tcPr>
                <w:p>
                  <w:pPr>
                    <w:pStyle w:val="11"/>
                    <w:jc w:val="both"/>
                    <w:rPr>
                      <w:color w:val="auto"/>
                    </w:rPr>
                  </w:pPr>
                  <w:r>
                    <w:rPr>
                      <w:color w:val="auto"/>
                    </w:rPr>
                    <w:t>注：废物代码参考《国家危险分类管理名录》（2021版）；</w:t>
                  </w:r>
                </w:p>
              </w:tc>
            </w:tr>
          </w:tbl>
          <w:p>
            <w:pPr>
              <w:adjustRightInd w:val="0"/>
              <w:snapToGrid w:val="0"/>
              <w:ind w:firstLine="480"/>
              <w:rPr>
                <w:color w:val="auto"/>
              </w:rPr>
            </w:pPr>
            <w:r>
              <w:rPr>
                <w:color w:val="auto"/>
              </w:rPr>
              <w:t>环评要求采取的措施：</w:t>
            </w:r>
          </w:p>
          <w:p>
            <w:pPr>
              <w:adjustRightInd w:val="0"/>
              <w:snapToGrid w:val="0"/>
              <w:ind w:firstLine="480"/>
              <w:rPr>
                <w:color w:val="auto"/>
              </w:rPr>
            </w:pPr>
            <w:r>
              <w:rPr>
                <w:color w:val="auto"/>
              </w:rPr>
              <w:t>A、本次环评要求项目单独设置危废暂存间1个，</w:t>
            </w:r>
            <w:r>
              <w:rPr>
                <w:b/>
                <w:bCs/>
                <w:color w:val="auto"/>
                <w:u w:val="single"/>
              </w:rPr>
              <w:t>采用2mmHDPE土工膜+防渗水泥进行防渗处理</w:t>
            </w:r>
            <w:r>
              <w:rPr>
                <w:color w:val="auto"/>
              </w:rPr>
              <w:t>，并设置危险废物识别标志。</w:t>
            </w:r>
          </w:p>
          <w:p>
            <w:pPr>
              <w:adjustRightInd w:val="0"/>
              <w:snapToGrid w:val="0"/>
              <w:ind w:firstLine="480"/>
              <w:rPr>
                <w:color w:val="auto"/>
              </w:rPr>
            </w:pPr>
            <w:r>
              <w:rPr>
                <w:color w:val="auto"/>
              </w:rPr>
              <w:t>B、建设单位应建立相应的危废管理</w:t>
            </w:r>
            <w:r>
              <w:rPr>
                <w:rFonts w:hint="eastAsia"/>
                <w:color w:val="auto"/>
              </w:rPr>
              <w:t>台账</w:t>
            </w:r>
            <w:r>
              <w:rPr>
                <w:color w:val="auto"/>
              </w:rPr>
              <w:t>，按照国家有关危险废物申报登记、转移联单等管理制度的要求，向当地</w:t>
            </w:r>
            <w:r>
              <w:rPr>
                <w:rFonts w:hint="eastAsia"/>
                <w:color w:val="auto"/>
              </w:rPr>
              <w:t>生态环境部</w:t>
            </w:r>
            <w:r>
              <w:rPr>
                <w:color w:val="auto"/>
              </w:rPr>
              <w:t>门进行危险废物的申报、转移。</w:t>
            </w:r>
          </w:p>
          <w:p>
            <w:pPr>
              <w:adjustRightInd w:val="0"/>
              <w:snapToGrid w:val="0"/>
              <w:ind w:firstLine="480"/>
              <w:rPr>
                <w:color w:val="auto"/>
              </w:rPr>
            </w:pPr>
            <w:r>
              <w:rPr>
                <w:color w:val="auto"/>
              </w:rPr>
              <w:t>C、作为危险废物情况的记录，记录上须注明危险废物的名称、来源、数量、特性和包装容器的类别、入库日期、存放库位、废物出库日期及接收单位名称，危险废物的记录和货单在危险废物回去后应继续保留3a。</w:t>
            </w:r>
          </w:p>
          <w:p>
            <w:pPr>
              <w:adjustRightInd w:val="0"/>
              <w:snapToGrid w:val="0"/>
              <w:ind w:firstLine="480"/>
              <w:rPr>
                <w:color w:val="auto"/>
              </w:rPr>
            </w:pPr>
            <w:r>
              <w:rPr>
                <w:color w:val="auto"/>
              </w:rPr>
              <w:t>D、定期对所贮存的危险废物包装容器及贮存设施进行检查，发现破损，应及时采取措施清理更换。</w:t>
            </w:r>
          </w:p>
          <w:p>
            <w:pPr>
              <w:adjustRightInd w:val="0"/>
              <w:snapToGrid w:val="0"/>
              <w:ind w:firstLine="480"/>
              <w:rPr>
                <w:color w:val="auto"/>
              </w:rPr>
            </w:pPr>
            <w:r>
              <w:rPr>
                <w:color w:val="auto"/>
              </w:rPr>
              <w:t>E、装载液体、半固体危险废物的容器内须留足够空间，容器顶部与液体表面之间保留100mm以上的空间，盛装危险废物的容器上必须粘贴具有危险废物性质、成分、安全措施、产生单位的信息标签，不得将不相容的废物混合或合并存放。</w:t>
            </w:r>
          </w:p>
          <w:p>
            <w:pPr>
              <w:adjustRightInd w:val="0"/>
              <w:snapToGrid w:val="0"/>
              <w:ind w:firstLine="480"/>
              <w:rPr>
                <w:color w:val="auto"/>
              </w:rPr>
            </w:pPr>
            <w:r>
              <w:rPr>
                <w:color w:val="auto"/>
              </w:rPr>
              <w:t>综上，项目各类固废均做到了合理处置，不会形成二次污染。</w:t>
            </w:r>
          </w:p>
          <w:p>
            <w:pPr>
              <w:adjustRightInd w:val="0"/>
              <w:snapToGrid w:val="0"/>
              <w:ind w:firstLine="440"/>
              <w:rPr>
                <w:bCs/>
                <w:color w:val="auto"/>
                <w:spacing w:val="-10"/>
                <w:szCs w:val="21"/>
              </w:rPr>
            </w:pPr>
            <w:r>
              <w:rPr>
                <w:bCs/>
                <w:color w:val="auto"/>
                <w:spacing w:val="-10"/>
                <w:szCs w:val="21"/>
              </w:rPr>
              <w:t>（二）运营期环境影响分析</w:t>
            </w:r>
          </w:p>
          <w:p>
            <w:pPr>
              <w:adjustRightInd w:val="0"/>
              <w:snapToGrid w:val="0"/>
              <w:ind w:firstLine="442"/>
              <w:rPr>
                <w:b/>
                <w:color w:val="auto"/>
                <w:spacing w:val="-10"/>
                <w:szCs w:val="21"/>
              </w:rPr>
            </w:pPr>
            <w:r>
              <w:rPr>
                <w:b/>
                <w:color w:val="auto"/>
                <w:spacing w:val="-10"/>
                <w:szCs w:val="21"/>
              </w:rPr>
              <w:t>1、地表水</w:t>
            </w:r>
          </w:p>
          <w:p>
            <w:pPr>
              <w:adjustRightInd w:val="0"/>
              <w:snapToGrid w:val="0"/>
              <w:ind w:firstLine="480"/>
              <w:jc w:val="left"/>
              <w:rPr>
                <w:color w:val="auto"/>
              </w:rPr>
            </w:pPr>
            <w:r>
              <w:rPr>
                <w:rFonts w:hint="eastAsia"/>
                <w:color w:val="auto"/>
              </w:rPr>
              <w:t>本次建设项目采用清污分流，雨污分流的措施，配套</w:t>
            </w:r>
            <w:r>
              <w:rPr>
                <w:rFonts w:hint="eastAsia"/>
                <w:color w:val="auto"/>
                <w:lang w:eastAsia="zh-CN"/>
              </w:rPr>
              <w:t>预处理池</w:t>
            </w:r>
            <w:r>
              <w:rPr>
                <w:rFonts w:hint="eastAsia"/>
                <w:color w:val="auto"/>
              </w:rPr>
              <w:t>及1座处理能力为300.00m</w:t>
            </w:r>
            <w:r>
              <w:rPr>
                <w:rFonts w:hint="eastAsia"/>
                <w:color w:val="auto"/>
                <w:vertAlign w:val="superscript"/>
              </w:rPr>
              <w:t>3</w:t>
            </w:r>
            <w:r>
              <w:rPr>
                <w:rFonts w:hint="eastAsia"/>
                <w:color w:val="auto"/>
              </w:rPr>
              <w:t>/d污水处理站，经污水处理站设计单位提供资料，本次项目污水处理站采取“格栅+气浮+接触氧化+沉淀”的污水处理工艺</w:t>
            </w:r>
            <w:bookmarkStart w:id="8" w:name="_Toc317240867"/>
            <w:bookmarkStart w:id="9" w:name="_Toc317240306"/>
            <w:bookmarkStart w:id="10" w:name="_Toc317239135"/>
            <w:r>
              <w:rPr>
                <w:rFonts w:hint="eastAsia"/>
                <w:bCs/>
                <w:color w:val="auto"/>
                <w:spacing w:val="-10"/>
                <w:szCs w:val="21"/>
              </w:rPr>
              <w:t>，</w:t>
            </w:r>
            <w:r>
              <w:rPr>
                <w:color w:val="auto"/>
              </w:rPr>
              <w:t>处理达标后排入园区污水管网，经园区污水管网排入园区污水处理厂处理，</w:t>
            </w:r>
            <w:r>
              <w:rPr>
                <w:rFonts w:hint="eastAsia"/>
                <w:color w:val="auto"/>
              </w:rPr>
              <w:t>不直接外排外环境，对周边地表水环境影响较小</w:t>
            </w:r>
            <w:r>
              <w:rPr>
                <w:color w:val="auto"/>
              </w:rPr>
              <w:t>。</w:t>
            </w:r>
          </w:p>
          <w:p>
            <w:pPr>
              <w:adjustRightInd w:val="0"/>
              <w:snapToGrid w:val="0"/>
              <w:ind w:firstLine="442"/>
              <w:rPr>
                <w:b/>
                <w:color w:val="auto"/>
                <w:spacing w:val="-10"/>
                <w:szCs w:val="21"/>
              </w:rPr>
            </w:pPr>
            <w:r>
              <w:rPr>
                <w:b/>
                <w:color w:val="auto"/>
                <w:spacing w:val="-10"/>
                <w:szCs w:val="21"/>
              </w:rPr>
              <w:t>2、环境空气影响分析</w:t>
            </w:r>
            <w:bookmarkEnd w:id="8"/>
            <w:bookmarkEnd w:id="9"/>
            <w:bookmarkEnd w:id="10"/>
          </w:p>
          <w:p>
            <w:pPr>
              <w:adjustRightInd w:val="0"/>
              <w:snapToGrid w:val="0"/>
              <w:ind w:firstLine="480"/>
              <w:rPr>
                <w:color w:val="auto"/>
              </w:rPr>
            </w:pPr>
            <w:r>
              <w:rPr>
                <w:color w:val="auto"/>
              </w:rPr>
              <w:t>本项目在产品的生产过程中，</w:t>
            </w:r>
            <w:r>
              <w:rPr>
                <w:rFonts w:hint="eastAsia"/>
                <w:color w:val="auto"/>
              </w:rPr>
              <w:t>红烧肉、小酥肉生产过程油炸工序（均位于1号生产车间）产生的油炸油烟废气，</w:t>
            </w:r>
            <w:r>
              <w:rPr>
                <w:color w:val="auto"/>
              </w:rPr>
              <w:t>采用</w:t>
            </w:r>
            <w:r>
              <w:rPr>
                <w:rFonts w:hint="eastAsia"/>
                <w:color w:val="auto"/>
              </w:rPr>
              <w:t>2</w:t>
            </w:r>
            <w:r>
              <w:rPr>
                <w:color w:val="auto"/>
              </w:rPr>
              <w:t>套“</w:t>
            </w:r>
            <w:r>
              <w:rPr>
                <w:rFonts w:hint="eastAsia"/>
                <w:color w:val="auto"/>
              </w:rPr>
              <w:t>高效静电除油净化装置</w:t>
            </w:r>
            <w:r>
              <w:rPr>
                <w:color w:val="auto"/>
              </w:rPr>
              <w:t>”装置处理后</w:t>
            </w:r>
            <w:r>
              <w:rPr>
                <w:rFonts w:hint="eastAsia"/>
                <w:color w:val="auto"/>
              </w:rPr>
              <w:t>达标</w:t>
            </w:r>
            <w:r>
              <w:rPr>
                <w:color w:val="auto"/>
              </w:rPr>
              <w:t>经</w:t>
            </w:r>
            <w:r>
              <w:rPr>
                <w:rFonts w:hint="eastAsia"/>
                <w:color w:val="auto"/>
              </w:rPr>
              <w:t>18m高</w:t>
            </w:r>
            <w:r>
              <w:rPr>
                <w:color w:val="auto"/>
              </w:rPr>
              <w:t>排气筒排放(风量按</w:t>
            </w:r>
            <w:r>
              <w:rPr>
                <w:rFonts w:hint="eastAsia"/>
                <w:color w:val="auto"/>
              </w:rPr>
              <w:t>20000m</w:t>
            </w:r>
            <w:r>
              <w:rPr>
                <w:color w:val="auto"/>
                <w:vertAlign w:val="superscript"/>
              </w:rPr>
              <w:t>3</w:t>
            </w:r>
            <w:r>
              <w:rPr>
                <w:color w:val="auto"/>
              </w:rPr>
              <w:t>/h计算）</w:t>
            </w:r>
            <w:r>
              <w:rPr>
                <w:rFonts w:hint="eastAsia"/>
                <w:color w:val="auto"/>
              </w:rPr>
              <w:t>，</w:t>
            </w:r>
            <w:r>
              <w:rPr>
                <w:color w:val="auto"/>
              </w:rPr>
              <w:t>污水处理站运行期间</w:t>
            </w:r>
            <w:r>
              <w:rPr>
                <w:rFonts w:hint="eastAsia"/>
                <w:color w:val="auto"/>
              </w:rPr>
              <w:t>产生的恶臭，采取地埋式设备，四周种植矮灌丛</w:t>
            </w:r>
            <w:r>
              <w:rPr>
                <w:color w:val="auto"/>
              </w:rPr>
              <w:t>吸收恶臭气体，加强对污水处理站的管理等措施，从而控制异味对周边环境以及厂区的影响</w:t>
            </w:r>
            <w:r>
              <w:rPr>
                <w:rFonts w:hint="eastAsia"/>
                <w:color w:val="auto"/>
              </w:rPr>
              <w:t>，天然气燃烧废气经低氮燃烧装置处理后引入12m高</w:t>
            </w:r>
            <w:r>
              <w:rPr>
                <w:color w:val="auto"/>
              </w:rPr>
              <w:t>排气筒排放。</w:t>
            </w:r>
          </w:p>
          <w:p>
            <w:pPr>
              <w:adjustRightInd w:val="0"/>
              <w:snapToGrid w:val="0"/>
              <w:ind w:firstLine="480"/>
              <w:rPr>
                <w:color w:val="auto"/>
              </w:rPr>
            </w:pPr>
            <w:r>
              <w:rPr>
                <w:color w:val="auto"/>
              </w:rPr>
              <w:t>综上所述，本项目产生废气通过采取措施后，废气浓度及排放速率达到排放标准要求，不会对周围大气环境造成明显影响。</w:t>
            </w:r>
          </w:p>
          <w:p>
            <w:pPr>
              <w:adjustRightInd w:val="0"/>
              <w:snapToGrid w:val="0"/>
              <w:ind w:firstLine="442"/>
              <w:rPr>
                <w:b/>
                <w:color w:val="auto"/>
                <w:spacing w:val="-10"/>
                <w:szCs w:val="21"/>
              </w:rPr>
            </w:pPr>
            <w:r>
              <w:rPr>
                <w:b/>
                <w:color w:val="auto"/>
                <w:spacing w:val="-10"/>
                <w:szCs w:val="21"/>
              </w:rPr>
              <w:t>3、声环境影响分析</w:t>
            </w:r>
          </w:p>
          <w:p>
            <w:pPr>
              <w:adjustRightInd w:val="0"/>
              <w:snapToGrid w:val="0"/>
              <w:ind w:firstLine="480"/>
              <w:rPr>
                <w:color w:val="auto"/>
              </w:rPr>
            </w:pPr>
            <w:bookmarkStart w:id="11" w:name="_Toc317240307"/>
            <w:bookmarkStart w:id="12" w:name="_Toc317240868"/>
            <w:bookmarkStart w:id="13" w:name="_Toc317239136"/>
            <w:r>
              <w:rPr>
                <w:color w:val="auto"/>
              </w:rPr>
              <w:t>源强分析</w:t>
            </w:r>
          </w:p>
          <w:p>
            <w:pPr>
              <w:adjustRightInd w:val="0"/>
              <w:snapToGrid w:val="0"/>
              <w:ind w:firstLine="480"/>
              <w:rPr>
                <w:color w:val="auto"/>
              </w:rPr>
            </w:pPr>
            <w:r>
              <w:rPr>
                <w:color w:val="auto"/>
              </w:rPr>
              <w:t>项目产生噪声设备主要造粒机、破碎机等机械设备，先计算各具体噪声源（同一类设备声源叠加后按设备预设中心位置估算厂界距离）经衰减后至各厂界处的噪声值，然后再将噪声值进行叠加计算贡献值。</w:t>
            </w:r>
          </w:p>
          <w:p>
            <w:pPr>
              <w:adjustRightInd w:val="0"/>
              <w:snapToGrid w:val="0"/>
              <w:ind w:firstLine="480"/>
              <w:rPr>
                <w:color w:val="auto"/>
              </w:rPr>
            </w:pPr>
            <w:r>
              <w:rPr>
                <w:color w:val="auto"/>
              </w:rPr>
              <w:t>拟采取的措施及达标情况</w:t>
            </w:r>
          </w:p>
          <w:p>
            <w:pPr>
              <w:adjustRightInd w:val="0"/>
              <w:snapToGrid w:val="0"/>
              <w:ind w:firstLine="480"/>
              <w:rPr>
                <w:color w:val="auto"/>
              </w:rPr>
            </w:pPr>
            <w:r>
              <w:rPr>
                <w:color w:val="auto"/>
              </w:rPr>
              <w:t>①合理布置噪声源，优化总图布置；②选型上使用国内先进的低噪声设备，从声源上降低设备本身噪声；③对高噪声设备进行基础减震、单独隔声措施；</w:t>
            </w:r>
            <w:r>
              <w:rPr>
                <w:color w:val="auto"/>
              </w:rPr>
              <w:fldChar w:fldCharType="begin"/>
            </w:r>
            <w:r>
              <w:rPr>
                <w:color w:val="auto"/>
              </w:rPr>
              <w:instrText xml:space="preserve"> = 4 \* GB3 </w:instrText>
            </w:r>
            <w:r>
              <w:rPr>
                <w:color w:val="auto"/>
              </w:rPr>
              <w:fldChar w:fldCharType="separate"/>
            </w:r>
            <w:r>
              <w:rPr>
                <w:color w:val="auto"/>
              </w:rPr>
              <w:t>④</w:t>
            </w:r>
            <w:r>
              <w:rPr>
                <w:color w:val="auto"/>
              </w:rPr>
              <w:fldChar w:fldCharType="end"/>
            </w:r>
            <w:r>
              <w:rPr>
                <w:color w:val="auto"/>
              </w:rPr>
              <w:t>定期对设备维修管理，维持设备处于良好的运转状态。项目对主要噪声源采取了基础减振、生产车间隔声、吸声等措施，通过采取这些措施，项目设备噪声可削减噪声15dB(A)。</w:t>
            </w:r>
          </w:p>
          <w:p>
            <w:pPr>
              <w:adjustRightInd w:val="0"/>
              <w:snapToGrid w:val="0"/>
              <w:ind w:firstLine="482"/>
              <w:rPr>
                <w:b/>
                <w:bCs/>
                <w:color w:val="auto"/>
              </w:rPr>
            </w:pPr>
            <w:r>
              <w:rPr>
                <w:b/>
                <w:bCs/>
                <w:color w:val="auto"/>
              </w:rPr>
              <w:t>预测模式</w:t>
            </w:r>
          </w:p>
          <w:p>
            <w:pPr>
              <w:adjustRightInd w:val="0"/>
              <w:snapToGrid w:val="0"/>
              <w:ind w:firstLine="480"/>
              <w:rPr>
                <w:color w:val="auto"/>
              </w:rPr>
            </w:pPr>
            <w:r>
              <w:rPr>
                <w:color w:val="auto"/>
              </w:rPr>
              <w:t>根据《环境影响评价技术导则 声环境》（HJ2.4-2021）相关推荐模式进行预测，用A.1式进行计算，模式如下：</w:t>
            </w:r>
          </w:p>
          <w:p>
            <w:pPr>
              <w:adjustRightInd w:val="0"/>
              <w:snapToGrid w:val="0"/>
              <w:ind w:firstLine="480"/>
              <w:rPr>
                <w:color w:val="auto"/>
              </w:rPr>
            </w:pPr>
            <w:r>
              <w:rPr>
                <w:color w:val="auto"/>
              </w:rPr>
              <w:t>室内声源在预测点的声压级计算：</w:t>
            </w:r>
          </w:p>
          <w:p>
            <w:pPr>
              <w:adjustRightInd w:val="0"/>
              <w:snapToGrid w:val="0"/>
              <w:ind w:firstLine="480"/>
              <w:rPr>
                <w:color w:val="auto"/>
              </w:rPr>
            </w:pPr>
            <w:r>
              <w:rPr>
                <w:color w:val="auto"/>
              </w:rPr>
              <w:t>首先计算某个室内声源在靠近围护结构处的声压级:</w:t>
            </w:r>
          </w:p>
          <w:p>
            <w:pPr>
              <w:adjustRightInd w:val="0"/>
              <w:snapToGrid w:val="0"/>
              <w:ind w:firstLine="482"/>
              <w:jc w:val="center"/>
              <w:rPr>
                <w:b/>
                <w:bCs/>
                <w:color w:val="auto"/>
              </w:rPr>
            </w:pPr>
            <w:r>
              <w:rPr>
                <w:b/>
                <w:bCs/>
                <w:color w:val="auto"/>
                <w:position w:val="-32"/>
              </w:rPr>
              <w:object>
                <v:shape id="_x0000_i1033" o:spt="75" type="#_x0000_t75" style="height:27.5pt;width:127.5pt;" o:ole="t" filled="f" coordsize="21600,21600">
                  <v:path/>
                  <v:fill on="f" focussize="0,0"/>
                  <v:stroke/>
                  <v:imagedata r:id="rId41" o:title=""/>
                  <o:lock v:ext="edit" aspectratio="t"/>
                  <w10:wrap type="none"/>
                  <w10:anchorlock/>
                </v:shape>
                <o:OLEObject Type="Embed" ProgID="Equation.3" ShapeID="_x0000_i1033" DrawAspect="Content" ObjectID="_1468075733" r:id="rId40">
                  <o:LockedField>false</o:LockedField>
                </o:OLEObject>
              </w:object>
            </w:r>
          </w:p>
          <w:p>
            <w:pPr>
              <w:adjustRightInd w:val="0"/>
              <w:snapToGrid w:val="0"/>
              <w:ind w:firstLine="480"/>
              <w:rPr>
                <w:color w:val="auto"/>
              </w:rPr>
            </w:pPr>
            <w:r>
              <w:rPr>
                <w:color w:val="auto"/>
              </w:rPr>
              <w:t>式中:L</w:t>
            </w:r>
            <w:r>
              <w:rPr>
                <w:color w:val="auto"/>
                <w:vertAlign w:val="subscript"/>
              </w:rPr>
              <w:t>p1</w:t>
            </w:r>
            <w:r>
              <w:rPr>
                <w:color w:val="auto"/>
              </w:rPr>
              <w:t>靠近开口处（或窗户）室内某倍频带的声压级或A声级，dB；L</w:t>
            </w:r>
            <w:r>
              <w:rPr>
                <w:color w:val="auto"/>
                <w:vertAlign w:val="subscript"/>
              </w:rPr>
              <w:t>w</w:t>
            </w:r>
            <w:r>
              <w:rPr>
                <w:color w:val="auto"/>
              </w:rPr>
              <w:t>—点声源声功率级（A计权或倍频带），dB；Q—指向性因数；通常对无指向性声源，当声源放在房间中心时，Q=1；当放在一面墙的中心时，Q=2；当放在两面墙夹角处时，Q=4；当放在三面墙夹角处时，Q=8；R—房间常数；R=Sα/（1-α），S为房间内表面面积，</w:t>
            </w:r>
            <w:r>
              <w:rPr>
                <w:rFonts w:hint="eastAsia"/>
                <w:color w:val="auto"/>
              </w:rPr>
              <w:t>取车间占地面积20000</w:t>
            </w:r>
            <w:r>
              <w:rPr>
                <w:color w:val="auto"/>
              </w:rPr>
              <w:t>m</w:t>
            </w:r>
            <w:r>
              <w:rPr>
                <w:color w:val="auto"/>
                <w:vertAlign w:val="superscript"/>
              </w:rPr>
              <w:t>2</w:t>
            </w:r>
            <w:r>
              <w:rPr>
                <w:rFonts w:hint="eastAsia"/>
                <w:color w:val="auto"/>
              </w:rPr>
              <w:t>，</w:t>
            </w:r>
            <w:r>
              <w:rPr>
                <w:color w:val="auto"/>
              </w:rPr>
              <w:t>α为平均吸声系数</w:t>
            </w:r>
            <w:r>
              <w:rPr>
                <w:rFonts w:hint="eastAsia"/>
                <w:color w:val="auto"/>
              </w:rPr>
              <w:t>，取0.1</w:t>
            </w:r>
            <w:r>
              <w:rPr>
                <w:color w:val="auto"/>
              </w:rPr>
              <w:t>；r—声源到靠近围护结构某点处的距离，m。</w:t>
            </w:r>
          </w:p>
          <w:p>
            <w:pPr>
              <w:adjustRightInd w:val="0"/>
              <w:snapToGrid w:val="0"/>
              <w:ind w:firstLine="480"/>
              <w:rPr>
                <w:color w:val="auto"/>
              </w:rPr>
            </w:pPr>
            <w:r>
              <w:rPr>
                <w:color w:val="auto"/>
              </w:rPr>
              <w:t>然后计算出所有室内声源在围护结构处产生的i倍频带叠加声压级：</w:t>
            </w:r>
          </w:p>
          <w:p>
            <w:pPr>
              <w:adjustRightInd w:val="0"/>
              <w:snapToGrid w:val="0"/>
              <w:ind w:firstLine="0" w:firstLineChars="0"/>
              <w:jc w:val="center"/>
              <w:rPr>
                <w:color w:val="auto"/>
              </w:rPr>
            </w:pPr>
            <w:r>
              <w:rPr>
                <w:color w:val="auto"/>
                <w:position w:val="-26"/>
              </w:rPr>
              <w:object>
                <v:shape id="_x0000_i1034" o:spt="75" type="#_x0000_t75" style="height:40pt;width:140pt;" o:ole="t" filled="f" coordsize="21600,21600">
                  <v:path/>
                  <v:fill on="f" focussize="0,0"/>
                  <v:stroke/>
                  <v:imagedata r:id="rId43" o:title=""/>
                  <o:lock v:ext="edit" aspectratio="t"/>
                  <w10:wrap type="none"/>
                  <w10:anchorlock/>
                </v:shape>
                <o:OLEObject Type="Embed" ProgID="Equation.3" ShapeID="_x0000_i1034" DrawAspect="Content" ObjectID="_1468075734" r:id="rId42">
                  <o:LockedField>false</o:LockedField>
                </o:OLEObject>
              </w:object>
            </w:r>
          </w:p>
          <w:p>
            <w:pPr>
              <w:adjustRightInd w:val="0"/>
              <w:snapToGrid w:val="0"/>
              <w:ind w:firstLine="480"/>
              <w:rPr>
                <w:color w:val="auto"/>
              </w:rPr>
            </w:pPr>
            <w:r>
              <w:rPr>
                <w:color w:val="auto"/>
              </w:rPr>
              <w:t>式中：L</w:t>
            </w:r>
            <w:r>
              <w:rPr>
                <w:color w:val="auto"/>
                <w:vertAlign w:val="subscript"/>
              </w:rPr>
              <w:t>pli</w:t>
            </w:r>
            <w:r>
              <w:rPr>
                <w:color w:val="auto"/>
              </w:rPr>
              <w:t>（T）—靠近围护结构处室内N个声源i倍频带的叠加声压级，dB；L</w:t>
            </w:r>
            <w:r>
              <w:rPr>
                <w:color w:val="auto"/>
                <w:vertAlign w:val="subscript"/>
              </w:rPr>
              <w:t>pli</w:t>
            </w:r>
            <w:r>
              <w:rPr>
                <w:color w:val="auto"/>
              </w:rPr>
              <w:t>—室内j声源i倍频带的声压级，dB；N—室内声源总数。</w:t>
            </w:r>
          </w:p>
          <w:p>
            <w:pPr>
              <w:adjustRightInd w:val="0"/>
              <w:snapToGrid w:val="0"/>
              <w:ind w:firstLine="480"/>
              <w:rPr>
                <w:color w:val="auto"/>
              </w:rPr>
            </w:pPr>
            <w:r>
              <w:rPr>
                <w:rFonts w:hint="eastAsia"/>
                <w:color w:val="auto"/>
              </w:rPr>
              <w:t>然后按室外声源预测方法</w:t>
            </w:r>
            <w:r>
              <w:rPr>
                <w:color w:val="auto"/>
              </w:rPr>
              <w:t>计算等效声源在预测点产生的声级。</w:t>
            </w:r>
          </w:p>
          <w:p>
            <w:pPr>
              <w:pStyle w:val="11"/>
              <w:jc w:val="center"/>
              <w:rPr>
                <w:b/>
                <w:bCs/>
                <w:color w:val="auto"/>
              </w:rPr>
            </w:pPr>
            <w:r>
              <w:rPr>
                <w:b/>
                <w:bCs/>
                <w:color w:val="auto"/>
              </w:rPr>
              <w:t>表4-</w:t>
            </w:r>
            <w:r>
              <w:rPr>
                <w:rFonts w:hint="eastAsia"/>
                <w:b/>
                <w:bCs/>
                <w:color w:val="auto"/>
              </w:rPr>
              <w:t>10</w:t>
            </w:r>
            <w:r>
              <w:rPr>
                <w:b/>
                <w:bCs/>
                <w:color w:val="auto"/>
              </w:rPr>
              <w:t xml:space="preserve">    项目主要</w:t>
            </w:r>
            <w:r>
              <w:rPr>
                <w:rFonts w:hint="eastAsia"/>
                <w:b/>
                <w:bCs/>
                <w:color w:val="auto"/>
              </w:rPr>
              <w:t>室内</w:t>
            </w:r>
            <w:r>
              <w:rPr>
                <w:b/>
                <w:bCs/>
                <w:color w:val="auto"/>
              </w:rPr>
              <w:t xml:space="preserve">噪声设备情况汇总表  </w:t>
            </w:r>
          </w:p>
          <w:tbl>
            <w:tblPr>
              <w:tblStyle w:val="6"/>
              <w:tblW w:w="91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084"/>
              <w:gridCol w:w="679"/>
              <w:gridCol w:w="966"/>
              <w:gridCol w:w="675"/>
              <w:gridCol w:w="725"/>
              <w:gridCol w:w="538"/>
              <w:gridCol w:w="610"/>
              <w:gridCol w:w="690"/>
              <w:gridCol w:w="640"/>
              <w:gridCol w:w="585"/>
              <w:gridCol w:w="7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21" w:type="dxa"/>
                  <w:vMerge w:val="restart"/>
                  <w:vAlign w:val="center"/>
                </w:tcPr>
                <w:p>
                  <w:pPr>
                    <w:pStyle w:val="11"/>
                    <w:jc w:val="center"/>
                    <w:rPr>
                      <w:b/>
                      <w:bCs/>
                      <w:color w:val="auto"/>
                    </w:rPr>
                  </w:pPr>
                  <w:r>
                    <w:rPr>
                      <w:b/>
                      <w:bCs/>
                      <w:color w:val="auto"/>
                    </w:rPr>
                    <w:t>设备</w:t>
                  </w:r>
                </w:p>
                <w:p>
                  <w:pPr>
                    <w:pStyle w:val="11"/>
                    <w:jc w:val="center"/>
                    <w:rPr>
                      <w:b/>
                      <w:bCs/>
                      <w:color w:val="auto"/>
                    </w:rPr>
                  </w:pPr>
                  <w:r>
                    <w:rPr>
                      <w:b/>
                      <w:bCs/>
                      <w:color w:val="auto"/>
                    </w:rPr>
                    <w:t>名称</w:t>
                  </w:r>
                </w:p>
              </w:tc>
              <w:tc>
                <w:tcPr>
                  <w:tcW w:w="1084" w:type="dxa"/>
                  <w:vMerge w:val="restart"/>
                  <w:vAlign w:val="center"/>
                </w:tcPr>
                <w:p>
                  <w:pPr>
                    <w:pStyle w:val="11"/>
                    <w:jc w:val="center"/>
                    <w:rPr>
                      <w:b/>
                      <w:bCs/>
                      <w:color w:val="auto"/>
                    </w:rPr>
                  </w:pPr>
                  <w:r>
                    <w:rPr>
                      <w:b/>
                      <w:bCs/>
                      <w:color w:val="auto"/>
                    </w:rPr>
                    <w:t>治理后</w:t>
                  </w:r>
                </w:p>
                <w:p>
                  <w:pPr>
                    <w:pStyle w:val="11"/>
                    <w:jc w:val="center"/>
                    <w:rPr>
                      <w:b/>
                      <w:bCs/>
                      <w:color w:val="auto"/>
                    </w:rPr>
                  </w:pPr>
                  <w:r>
                    <w:rPr>
                      <w:b/>
                      <w:bCs/>
                      <w:color w:val="auto"/>
                    </w:rPr>
                    <w:t>声级</w:t>
                  </w:r>
                  <w:r>
                    <w:rPr>
                      <w:b/>
                      <w:bCs/>
                      <w:color w:val="auto"/>
                      <w:kern w:val="2"/>
                    </w:rPr>
                    <w:t>dB(A)</w:t>
                  </w:r>
                </w:p>
              </w:tc>
              <w:tc>
                <w:tcPr>
                  <w:tcW w:w="679" w:type="dxa"/>
                  <w:vMerge w:val="restart"/>
                  <w:vAlign w:val="center"/>
                </w:tcPr>
                <w:p>
                  <w:pPr>
                    <w:pStyle w:val="11"/>
                    <w:jc w:val="center"/>
                    <w:rPr>
                      <w:b/>
                      <w:bCs/>
                      <w:color w:val="auto"/>
                    </w:rPr>
                  </w:pPr>
                  <w:r>
                    <w:rPr>
                      <w:b/>
                      <w:bCs/>
                      <w:color w:val="auto"/>
                    </w:rPr>
                    <w:t>数量(台)</w:t>
                  </w:r>
                </w:p>
              </w:tc>
              <w:tc>
                <w:tcPr>
                  <w:tcW w:w="966" w:type="dxa"/>
                  <w:vMerge w:val="restart"/>
                  <w:vAlign w:val="center"/>
                </w:tcPr>
                <w:p>
                  <w:pPr>
                    <w:pStyle w:val="11"/>
                    <w:jc w:val="center"/>
                    <w:rPr>
                      <w:b/>
                      <w:bCs/>
                      <w:color w:val="auto"/>
                    </w:rPr>
                  </w:pPr>
                  <w:r>
                    <w:rPr>
                      <w:b/>
                      <w:bCs/>
                      <w:color w:val="auto"/>
                    </w:rPr>
                    <w:t>叠加后声级</w:t>
                  </w:r>
                  <w:r>
                    <w:rPr>
                      <w:b/>
                      <w:bCs/>
                      <w:color w:val="auto"/>
                      <w:kern w:val="2"/>
                    </w:rPr>
                    <w:t>dB(A)</w:t>
                  </w:r>
                </w:p>
              </w:tc>
              <w:tc>
                <w:tcPr>
                  <w:tcW w:w="5164" w:type="dxa"/>
                  <w:gridSpan w:val="8"/>
                  <w:vAlign w:val="center"/>
                </w:tcPr>
                <w:p>
                  <w:pPr>
                    <w:pStyle w:val="11"/>
                    <w:jc w:val="center"/>
                    <w:rPr>
                      <w:b/>
                      <w:bCs/>
                      <w:color w:val="auto"/>
                    </w:rPr>
                  </w:pPr>
                  <w:r>
                    <w:rPr>
                      <w:b/>
                      <w:bCs/>
                      <w:color w:val="auto"/>
                    </w:rPr>
                    <w:t>距离生产车间边界距离（m）/距离衰减后声级dB(A)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21" w:type="dxa"/>
                  <w:vMerge w:val="continue"/>
                  <w:vAlign w:val="center"/>
                </w:tcPr>
                <w:p>
                  <w:pPr>
                    <w:pStyle w:val="11"/>
                    <w:jc w:val="center"/>
                    <w:rPr>
                      <w:b/>
                      <w:bCs/>
                      <w:color w:val="auto"/>
                    </w:rPr>
                  </w:pPr>
                </w:p>
              </w:tc>
              <w:tc>
                <w:tcPr>
                  <w:tcW w:w="1084" w:type="dxa"/>
                  <w:vMerge w:val="continue"/>
                  <w:vAlign w:val="center"/>
                </w:tcPr>
                <w:p>
                  <w:pPr>
                    <w:pStyle w:val="11"/>
                    <w:jc w:val="center"/>
                    <w:rPr>
                      <w:b/>
                      <w:bCs/>
                      <w:color w:val="auto"/>
                    </w:rPr>
                  </w:pPr>
                </w:p>
              </w:tc>
              <w:tc>
                <w:tcPr>
                  <w:tcW w:w="679" w:type="dxa"/>
                  <w:vMerge w:val="continue"/>
                  <w:vAlign w:val="center"/>
                </w:tcPr>
                <w:p>
                  <w:pPr>
                    <w:pStyle w:val="11"/>
                    <w:jc w:val="center"/>
                    <w:rPr>
                      <w:b/>
                      <w:bCs/>
                      <w:color w:val="auto"/>
                    </w:rPr>
                  </w:pPr>
                </w:p>
              </w:tc>
              <w:tc>
                <w:tcPr>
                  <w:tcW w:w="966" w:type="dxa"/>
                  <w:vMerge w:val="continue"/>
                  <w:vAlign w:val="center"/>
                </w:tcPr>
                <w:p>
                  <w:pPr>
                    <w:pStyle w:val="11"/>
                    <w:jc w:val="center"/>
                    <w:rPr>
                      <w:b/>
                      <w:bCs/>
                      <w:color w:val="auto"/>
                    </w:rPr>
                  </w:pPr>
                </w:p>
              </w:tc>
              <w:tc>
                <w:tcPr>
                  <w:tcW w:w="675" w:type="dxa"/>
                  <w:vAlign w:val="center"/>
                </w:tcPr>
                <w:p>
                  <w:pPr>
                    <w:pStyle w:val="11"/>
                    <w:jc w:val="center"/>
                    <w:rPr>
                      <w:b/>
                      <w:bCs/>
                      <w:color w:val="auto"/>
                      <w:kern w:val="2"/>
                    </w:rPr>
                  </w:pPr>
                  <w:r>
                    <w:rPr>
                      <w:rFonts w:hint="eastAsia"/>
                      <w:b/>
                      <w:bCs/>
                      <w:color w:val="auto"/>
                    </w:rPr>
                    <w:t>东</w:t>
                  </w:r>
                </w:p>
              </w:tc>
              <w:tc>
                <w:tcPr>
                  <w:tcW w:w="725" w:type="dxa"/>
                  <w:vAlign w:val="center"/>
                </w:tcPr>
                <w:p>
                  <w:pPr>
                    <w:pStyle w:val="11"/>
                    <w:jc w:val="center"/>
                    <w:rPr>
                      <w:b/>
                      <w:bCs/>
                      <w:color w:val="auto"/>
                    </w:rPr>
                  </w:pPr>
                  <w:r>
                    <w:rPr>
                      <w:b/>
                      <w:bCs/>
                      <w:color w:val="auto"/>
                    </w:rPr>
                    <w:t>声级</w:t>
                  </w:r>
                </w:p>
              </w:tc>
              <w:tc>
                <w:tcPr>
                  <w:tcW w:w="538" w:type="dxa"/>
                  <w:vAlign w:val="center"/>
                </w:tcPr>
                <w:p>
                  <w:pPr>
                    <w:pStyle w:val="11"/>
                    <w:jc w:val="center"/>
                    <w:rPr>
                      <w:b/>
                      <w:bCs/>
                      <w:color w:val="auto"/>
                      <w:kern w:val="2"/>
                    </w:rPr>
                  </w:pPr>
                  <w:r>
                    <w:rPr>
                      <w:rFonts w:hint="eastAsia"/>
                      <w:b/>
                      <w:bCs/>
                      <w:color w:val="auto"/>
                    </w:rPr>
                    <w:t>南</w:t>
                  </w:r>
                </w:p>
              </w:tc>
              <w:tc>
                <w:tcPr>
                  <w:tcW w:w="610" w:type="dxa"/>
                  <w:vAlign w:val="center"/>
                </w:tcPr>
                <w:p>
                  <w:pPr>
                    <w:pStyle w:val="11"/>
                    <w:jc w:val="center"/>
                    <w:rPr>
                      <w:b/>
                      <w:bCs/>
                      <w:color w:val="auto"/>
                    </w:rPr>
                  </w:pPr>
                  <w:r>
                    <w:rPr>
                      <w:b/>
                      <w:bCs/>
                      <w:color w:val="auto"/>
                    </w:rPr>
                    <w:t>声级</w:t>
                  </w:r>
                </w:p>
              </w:tc>
              <w:tc>
                <w:tcPr>
                  <w:tcW w:w="690" w:type="dxa"/>
                  <w:vAlign w:val="center"/>
                </w:tcPr>
                <w:p>
                  <w:pPr>
                    <w:pStyle w:val="11"/>
                    <w:jc w:val="center"/>
                    <w:rPr>
                      <w:b/>
                      <w:bCs/>
                      <w:color w:val="auto"/>
                      <w:kern w:val="2"/>
                    </w:rPr>
                  </w:pPr>
                  <w:r>
                    <w:rPr>
                      <w:rFonts w:hint="eastAsia"/>
                      <w:b/>
                      <w:bCs/>
                      <w:color w:val="auto"/>
                    </w:rPr>
                    <w:t>西</w:t>
                  </w:r>
                </w:p>
              </w:tc>
              <w:tc>
                <w:tcPr>
                  <w:tcW w:w="640" w:type="dxa"/>
                  <w:vAlign w:val="center"/>
                </w:tcPr>
                <w:p>
                  <w:pPr>
                    <w:pStyle w:val="11"/>
                    <w:jc w:val="center"/>
                    <w:rPr>
                      <w:b/>
                      <w:bCs/>
                      <w:color w:val="auto"/>
                    </w:rPr>
                  </w:pPr>
                  <w:r>
                    <w:rPr>
                      <w:b/>
                      <w:bCs/>
                      <w:color w:val="auto"/>
                    </w:rPr>
                    <w:t>声级</w:t>
                  </w:r>
                </w:p>
              </w:tc>
              <w:tc>
                <w:tcPr>
                  <w:tcW w:w="585" w:type="dxa"/>
                  <w:vAlign w:val="center"/>
                </w:tcPr>
                <w:p>
                  <w:pPr>
                    <w:pStyle w:val="11"/>
                    <w:jc w:val="center"/>
                    <w:rPr>
                      <w:b/>
                      <w:bCs/>
                      <w:color w:val="auto"/>
                      <w:kern w:val="2"/>
                    </w:rPr>
                  </w:pPr>
                  <w:r>
                    <w:rPr>
                      <w:rFonts w:hint="eastAsia"/>
                      <w:b/>
                      <w:bCs/>
                      <w:color w:val="auto"/>
                    </w:rPr>
                    <w:t>北</w:t>
                  </w:r>
                </w:p>
              </w:tc>
              <w:tc>
                <w:tcPr>
                  <w:tcW w:w="701" w:type="dxa"/>
                  <w:vAlign w:val="center"/>
                </w:tcPr>
                <w:p>
                  <w:pPr>
                    <w:pStyle w:val="11"/>
                    <w:jc w:val="center"/>
                    <w:rPr>
                      <w:b/>
                      <w:bCs/>
                      <w:color w:val="auto"/>
                    </w:rPr>
                  </w:pPr>
                  <w:r>
                    <w:rPr>
                      <w:b/>
                      <w:bCs/>
                      <w:color w:val="auto"/>
                    </w:rPr>
                    <w:t>声级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221" w:type="dxa"/>
                  <w:vAlign w:val="center"/>
                </w:tcPr>
                <w:p>
                  <w:pPr>
                    <w:pStyle w:val="11"/>
                    <w:jc w:val="center"/>
                    <w:rPr>
                      <w:color w:val="auto"/>
                    </w:rPr>
                  </w:pPr>
                  <w:r>
                    <w:rPr>
                      <w:rFonts w:hint="eastAsia"/>
                      <w:color w:val="auto"/>
                    </w:rPr>
                    <w:t>制冷机组（冻库，1号车间）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2</w:t>
                  </w:r>
                </w:p>
              </w:tc>
              <w:tc>
                <w:tcPr>
                  <w:tcW w:w="966" w:type="dxa"/>
                  <w:vAlign w:val="center"/>
                </w:tcPr>
                <w:p>
                  <w:pPr>
                    <w:pStyle w:val="11"/>
                    <w:jc w:val="center"/>
                    <w:rPr>
                      <w:color w:val="auto"/>
                    </w:rPr>
                  </w:pPr>
                  <w:r>
                    <w:rPr>
                      <w:rFonts w:hint="eastAsia"/>
                      <w:color w:val="auto"/>
                    </w:rPr>
                    <w:t>73.0</w:t>
                  </w:r>
                </w:p>
              </w:tc>
              <w:tc>
                <w:tcPr>
                  <w:tcW w:w="675" w:type="dxa"/>
                  <w:vAlign w:val="center"/>
                </w:tcPr>
                <w:p>
                  <w:pPr>
                    <w:pStyle w:val="11"/>
                    <w:jc w:val="center"/>
                    <w:rPr>
                      <w:color w:val="auto"/>
                    </w:rPr>
                  </w:pPr>
                  <w:r>
                    <w:rPr>
                      <w:rFonts w:hint="eastAsia"/>
                      <w:color w:val="auto"/>
                    </w:rPr>
                    <w:t>140</w:t>
                  </w:r>
                </w:p>
              </w:tc>
              <w:tc>
                <w:tcPr>
                  <w:tcW w:w="725" w:type="dxa"/>
                  <w:vAlign w:val="center"/>
                </w:tcPr>
                <w:p>
                  <w:pPr>
                    <w:pStyle w:val="11"/>
                    <w:jc w:val="center"/>
                    <w:rPr>
                      <w:color w:val="auto"/>
                    </w:rPr>
                  </w:pPr>
                  <w:r>
                    <w:rPr>
                      <w:color w:val="auto"/>
                    </w:rPr>
                    <w:t>30.0</w:t>
                  </w:r>
                </w:p>
              </w:tc>
              <w:tc>
                <w:tcPr>
                  <w:tcW w:w="538" w:type="dxa"/>
                  <w:vAlign w:val="center"/>
                </w:tcPr>
                <w:p>
                  <w:pPr>
                    <w:pStyle w:val="11"/>
                    <w:jc w:val="center"/>
                    <w:rPr>
                      <w:color w:val="auto"/>
                      <w:kern w:val="2"/>
                    </w:rPr>
                  </w:pPr>
                  <w:r>
                    <w:rPr>
                      <w:rFonts w:hint="eastAsia"/>
                      <w:color w:val="auto"/>
                      <w:kern w:val="2"/>
                    </w:rPr>
                    <w:t>200</w:t>
                  </w:r>
                </w:p>
              </w:tc>
              <w:tc>
                <w:tcPr>
                  <w:tcW w:w="610" w:type="dxa"/>
                  <w:vAlign w:val="center"/>
                </w:tcPr>
                <w:p>
                  <w:pPr>
                    <w:pStyle w:val="11"/>
                    <w:jc w:val="center"/>
                    <w:rPr>
                      <w:color w:val="auto"/>
                    </w:rPr>
                  </w:pPr>
                  <w:r>
                    <w:rPr>
                      <w:color w:val="auto"/>
                    </w:rPr>
                    <w:t>26.9</w:t>
                  </w:r>
                </w:p>
              </w:tc>
              <w:tc>
                <w:tcPr>
                  <w:tcW w:w="690" w:type="dxa"/>
                  <w:vAlign w:val="center"/>
                </w:tcPr>
                <w:p>
                  <w:pPr>
                    <w:pStyle w:val="11"/>
                    <w:jc w:val="center"/>
                    <w:rPr>
                      <w:color w:val="auto"/>
                    </w:rPr>
                  </w:pPr>
                  <w:r>
                    <w:rPr>
                      <w:rFonts w:hint="eastAsia"/>
                      <w:color w:val="auto"/>
                    </w:rPr>
                    <w:t>40</w:t>
                  </w:r>
                </w:p>
              </w:tc>
              <w:tc>
                <w:tcPr>
                  <w:tcW w:w="640" w:type="dxa"/>
                  <w:vAlign w:val="center"/>
                </w:tcPr>
                <w:p>
                  <w:pPr>
                    <w:pStyle w:val="11"/>
                    <w:jc w:val="center"/>
                    <w:rPr>
                      <w:color w:val="auto"/>
                    </w:rPr>
                  </w:pPr>
                  <w:r>
                    <w:rPr>
                      <w:color w:val="auto"/>
                    </w:rPr>
                    <w:t>40.9</w:t>
                  </w:r>
                </w:p>
              </w:tc>
              <w:tc>
                <w:tcPr>
                  <w:tcW w:w="585" w:type="dxa"/>
                  <w:vAlign w:val="center"/>
                </w:tcPr>
                <w:p>
                  <w:pPr>
                    <w:pStyle w:val="11"/>
                    <w:jc w:val="center"/>
                    <w:rPr>
                      <w:color w:val="auto"/>
                      <w:kern w:val="2"/>
                    </w:rPr>
                  </w:pPr>
                  <w:r>
                    <w:rPr>
                      <w:rFonts w:hint="eastAsia"/>
                      <w:color w:val="auto"/>
                      <w:kern w:val="2"/>
                    </w:rPr>
                    <w:t>100</w:t>
                  </w:r>
                </w:p>
              </w:tc>
              <w:tc>
                <w:tcPr>
                  <w:tcW w:w="701" w:type="dxa"/>
                  <w:vAlign w:val="center"/>
                </w:tcPr>
                <w:p>
                  <w:pPr>
                    <w:pStyle w:val="11"/>
                    <w:jc w:val="center"/>
                    <w:rPr>
                      <w:color w:val="auto"/>
                    </w:rPr>
                  </w:pPr>
                  <w:r>
                    <w:rPr>
                      <w:color w:val="auto"/>
                    </w:rPr>
                    <w:t>3</w:t>
                  </w:r>
                  <w:r>
                    <w:rPr>
                      <w:rFonts w:hint="eastAsia"/>
                      <w:color w:val="auto"/>
                    </w:rPr>
                    <w:t>3</w:t>
                  </w:r>
                  <w:r>
                    <w:rPr>
                      <w:color w:val="auto"/>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221" w:type="dxa"/>
                  <w:vAlign w:val="center"/>
                </w:tcPr>
                <w:p>
                  <w:pPr>
                    <w:pStyle w:val="11"/>
                    <w:jc w:val="center"/>
                    <w:rPr>
                      <w:color w:val="auto"/>
                    </w:rPr>
                  </w:pPr>
                  <w:r>
                    <w:rPr>
                      <w:rFonts w:hint="eastAsia"/>
                      <w:color w:val="auto"/>
                    </w:rPr>
                    <w:t>制冷机组（冻库，2号车间）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1</w:t>
                  </w:r>
                </w:p>
              </w:tc>
              <w:tc>
                <w:tcPr>
                  <w:tcW w:w="966" w:type="dxa"/>
                  <w:vAlign w:val="center"/>
                </w:tcPr>
                <w:p>
                  <w:pPr>
                    <w:pStyle w:val="11"/>
                    <w:jc w:val="center"/>
                    <w:rPr>
                      <w:color w:val="auto"/>
                    </w:rPr>
                  </w:pPr>
                  <w:r>
                    <w:rPr>
                      <w:rFonts w:hint="eastAsia"/>
                      <w:color w:val="auto"/>
                    </w:rPr>
                    <w:t>70.0</w:t>
                  </w:r>
                </w:p>
              </w:tc>
              <w:tc>
                <w:tcPr>
                  <w:tcW w:w="675" w:type="dxa"/>
                  <w:vAlign w:val="center"/>
                </w:tcPr>
                <w:p>
                  <w:pPr>
                    <w:pStyle w:val="11"/>
                    <w:jc w:val="center"/>
                    <w:rPr>
                      <w:color w:val="auto"/>
                    </w:rPr>
                  </w:pPr>
                  <w:r>
                    <w:rPr>
                      <w:rFonts w:hint="eastAsia"/>
                      <w:color w:val="auto"/>
                    </w:rPr>
                    <w:t>55</w:t>
                  </w:r>
                </w:p>
              </w:tc>
              <w:tc>
                <w:tcPr>
                  <w:tcW w:w="725" w:type="dxa"/>
                  <w:vAlign w:val="center"/>
                </w:tcPr>
                <w:p>
                  <w:pPr>
                    <w:pStyle w:val="11"/>
                    <w:jc w:val="center"/>
                    <w:rPr>
                      <w:color w:val="auto"/>
                    </w:rPr>
                  </w:pPr>
                  <w:r>
                    <w:rPr>
                      <w:rFonts w:hint="eastAsia"/>
                      <w:color w:val="auto"/>
                    </w:rPr>
                    <w:t>35.1</w:t>
                  </w:r>
                </w:p>
              </w:tc>
              <w:tc>
                <w:tcPr>
                  <w:tcW w:w="538" w:type="dxa"/>
                  <w:vAlign w:val="center"/>
                </w:tcPr>
                <w:p>
                  <w:pPr>
                    <w:pStyle w:val="11"/>
                    <w:jc w:val="center"/>
                    <w:rPr>
                      <w:color w:val="auto"/>
                      <w:kern w:val="2"/>
                    </w:rPr>
                  </w:pPr>
                  <w:r>
                    <w:rPr>
                      <w:rFonts w:hint="eastAsia"/>
                      <w:color w:val="auto"/>
                      <w:kern w:val="2"/>
                    </w:rPr>
                    <w:t>165</w:t>
                  </w:r>
                </w:p>
              </w:tc>
              <w:tc>
                <w:tcPr>
                  <w:tcW w:w="610" w:type="dxa"/>
                  <w:vAlign w:val="center"/>
                </w:tcPr>
                <w:p>
                  <w:pPr>
                    <w:pStyle w:val="11"/>
                    <w:jc w:val="center"/>
                    <w:rPr>
                      <w:color w:val="auto"/>
                    </w:rPr>
                  </w:pPr>
                  <w:r>
                    <w:rPr>
                      <w:color w:val="auto"/>
                    </w:rPr>
                    <w:t>25.6</w:t>
                  </w:r>
                </w:p>
              </w:tc>
              <w:tc>
                <w:tcPr>
                  <w:tcW w:w="690" w:type="dxa"/>
                  <w:vAlign w:val="center"/>
                </w:tcPr>
                <w:p>
                  <w:pPr>
                    <w:pStyle w:val="11"/>
                    <w:jc w:val="center"/>
                    <w:rPr>
                      <w:color w:val="auto"/>
                    </w:rPr>
                  </w:pPr>
                  <w:r>
                    <w:rPr>
                      <w:rFonts w:hint="eastAsia"/>
                      <w:color w:val="auto"/>
                    </w:rPr>
                    <w:t>125</w:t>
                  </w:r>
                </w:p>
              </w:tc>
              <w:tc>
                <w:tcPr>
                  <w:tcW w:w="640" w:type="dxa"/>
                  <w:vAlign w:val="center"/>
                </w:tcPr>
                <w:p>
                  <w:pPr>
                    <w:pStyle w:val="11"/>
                    <w:jc w:val="center"/>
                    <w:rPr>
                      <w:color w:val="auto"/>
                    </w:rPr>
                  </w:pPr>
                  <w:r>
                    <w:rPr>
                      <w:rFonts w:hint="eastAsia"/>
                      <w:color w:val="auto"/>
                    </w:rPr>
                    <w:t>28.0</w:t>
                  </w:r>
                </w:p>
              </w:tc>
              <w:tc>
                <w:tcPr>
                  <w:tcW w:w="585" w:type="dxa"/>
                  <w:vAlign w:val="center"/>
                </w:tcPr>
                <w:p>
                  <w:pPr>
                    <w:pStyle w:val="11"/>
                    <w:jc w:val="center"/>
                    <w:rPr>
                      <w:color w:val="auto"/>
                      <w:kern w:val="2"/>
                    </w:rPr>
                  </w:pPr>
                  <w:r>
                    <w:rPr>
                      <w:rFonts w:hint="eastAsia"/>
                      <w:color w:val="auto"/>
                      <w:kern w:val="2"/>
                    </w:rPr>
                    <w:t>135</w:t>
                  </w:r>
                </w:p>
              </w:tc>
              <w:tc>
                <w:tcPr>
                  <w:tcW w:w="701" w:type="dxa"/>
                  <w:vAlign w:val="center"/>
                </w:tcPr>
                <w:p>
                  <w:pPr>
                    <w:pStyle w:val="11"/>
                    <w:jc w:val="center"/>
                    <w:rPr>
                      <w:color w:val="auto"/>
                    </w:rPr>
                  </w:pPr>
                  <w:r>
                    <w:rPr>
                      <w:color w:val="auto"/>
                    </w:rPr>
                    <w:t>27.3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冷风机（冷库、解冻间，1号车间）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5</w:t>
                  </w:r>
                </w:p>
              </w:tc>
              <w:tc>
                <w:tcPr>
                  <w:tcW w:w="966" w:type="dxa"/>
                  <w:vAlign w:val="center"/>
                </w:tcPr>
                <w:p>
                  <w:pPr>
                    <w:pStyle w:val="11"/>
                    <w:jc w:val="center"/>
                    <w:rPr>
                      <w:color w:val="auto"/>
                    </w:rPr>
                  </w:pPr>
                  <w:r>
                    <w:rPr>
                      <w:color w:val="auto"/>
                    </w:rPr>
                    <w:t>76.9</w:t>
                  </w:r>
                </w:p>
              </w:tc>
              <w:tc>
                <w:tcPr>
                  <w:tcW w:w="675" w:type="dxa"/>
                  <w:vAlign w:val="center"/>
                </w:tcPr>
                <w:p>
                  <w:pPr>
                    <w:pStyle w:val="11"/>
                    <w:jc w:val="center"/>
                    <w:rPr>
                      <w:color w:val="auto"/>
                    </w:rPr>
                  </w:pPr>
                  <w:r>
                    <w:rPr>
                      <w:rFonts w:hint="eastAsia"/>
                      <w:color w:val="auto"/>
                    </w:rPr>
                    <w:t>145</w:t>
                  </w:r>
                </w:p>
              </w:tc>
              <w:tc>
                <w:tcPr>
                  <w:tcW w:w="725" w:type="dxa"/>
                  <w:vAlign w:val="center"/>
                </w:tcPr>
                <w:p>
                  <w:pPr>
                    <w:pStyle w:val="11"/>
                    <w:jc w:val="center"/>
                    <w:rPr>
                      <w:color w:val="auto"/>
                    </w:rPr>
                  </w:pPr>
                  <w:r>
                    <w:rPr>
                      <w:color w:val="auto"/>
                    </w:rPr>
                    <w:t>33.6</w:t>
                  </w:r>
                </w:p>
              </w:tc>
              <w:tc>
                <w:tcPr>
                  <w:tcW w:w="538" w:type="dxa"/>
                  <w:vAlign w:val="center"/>
                </w:tcPr>
                <w:p>
                  <w:pPr>
                    <w:pStyle w:val="11"/>
                    <w:jc w:val="center"/>
                    <w:rPr>
                      <w:color w:val="auto"/>
                      <w:kern w:val="2"/>
                    </w:rPr>
                  </w:pPr>
                  <w:r>
                    <w:rPr>
                      <w:rFonts w:hint="eastAsia"/>
                      <w:color w:val="auto"/>
                      <w:kern w:val="2"/>
                    </w:rPr>
                    <w:t>200</w:t>
                  </w:r>
                </w:p>
              </w:tc>
              <w:tc>
                <w:tcPr>
                  <w:tcW w:w="610" w:type="dxa"/>
                  <w:vAlign w:val="center"/>
                </w:tcPr>
                <w:p>
                  <w:pPr>
                    <w:pStyle w:val="11"/>
                    <w:jc w:val="center"/>
                    <w:rPr>
                      <w:color w:val="auto"/>
                    </w:rPr>
                  </w:pPr>
                  <w:r>
                    <w:rPr>
                      <w:color w:val="auto"/>
                    </w:rPr>
                    <w:t>30.8</w:t>
                  </w:r>
                </w:p>
              </w:tc>
              <w:tc>
                <w:tcPr>
                  <w:tcW w:w="690" w:type="dxa"/>
                  <w:vAlign w:val="center"/>
                </w:tcPr>
                <w:p>
                  <w:pPr>
                    <w:pStyle w:val="11"/>
                    <w:jc w:val="center"/>
                    <w:rPr>
                      <w:color w:val="auto"/>
                    </w:rPr>
                  </w:pPr>
                  <w:r>
                    <w:rPr>
                      <w:rFonts w:hint="eastAsia"/>
                      <w:color w:val="auto"/>
                    </w:rPr>
                    <w:t>35</w:t>
                  </w:r>
                </w:p>
              </w:tc>
              <w:tc>
                <w:tcPr>
                  <w:tcW w:w="640" w:type="dxa"/>
                  <w:vAlign w:val="center"/>
                </w:tcPr>
                <w:p>
                  <w:pPr>
                    <w:pStyle w:val="11"/>
                    <w:jc w:val="center"/>
                    <w:rPr>
                      <w:color w:val="auto"/>
                    </w:rPr>
                  </w:pPr>
                  <w:r>
                    <w:rPr>
                      <w:color w:val="auto"/>
                    </w:rPr>
                    <w:t>46.0</w:t>
                  </w:r>
                </w:p>
              </w:tc>
              <w:tc>
                <w:tcPr>
                  <w:tcW w:w="585" w:type="dxa"/>
                  <w:vAlign w:val="center"/>
                </w:tcPr>
                <w:p>
                  <w:pPr>
                    <w:pStyle w:val="11"/>
                    <w:jc w:val="center"/>
                    <w:rPr>
                      <w:color w:val="auto"/>
                      <w:kern w:val="2"/>
                    </w:rPr>
                  </w:pPr>
                  <w:r>
                    <w:rPr>
                      <w:rFonts w:hint="eastAsia"/>
                      <w:color w:val="auto"/>
                      <w:kern w:val="2"/>
                    </w:rPr>
                    <w:t>100</w:t>
                  </w:r>
                </w:p>
              </w:tc>
              <w:tc>
                <w:tcPr>
                  <w:tcW w:w="701" w:type="dxa"/>
                  <w:vAlign w:val="center"/>
                </w:tcPr>
                <w:p>
                  <w:pPr>
                    <w:pStyle w:val="11"/>
                    <w:jc w:val="center"/>
                    <w:rPr>
                      <w:color w:val="auto"/>
                    </w:rPr>
                  </w:pPr>
                  <w:r>
                    <w:rPr>
                      <w:color w:val="auto"/>
                    </w:rPr>
                    <w:t>36.9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冷风机（冷库、解冻间，2号车间）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2</w:t>
                  </w:r>
                </w:p>
              </w:tc>
              <w:tc>
                <w:tcPr>
                  <w:tcW w:w="966" w:type="dxa"/>
                  <w:vAlign w:val="center"/>
                </w:tcPr>
                <w:p>
                  <w:pPr>
                    <w:pStyle w:val="11"/>
                    <w:jc w:val="center"/>
                    <w:rPr>
                      <w:color w:val="auto"/>
                    </w:rPr>
                  </w:pPr>
                  <w:r>
                    <w:rPr>
                      <w:rFonts w:hint="eastAsia"/>
                      <w:color w:val="auto"/>
                    </w:rPr>
                    <w:t>73.0</w:t>
                  </w:r>
                </w:p>
              </w:tc>
              <w:tc>
                <w:tcPr>
                  <w:tcW w:w="675" w:type="dxa"/>
                  <w:vAlign w:val="center"/>
                </w:tcPr>
                <w:p>
                  <w:pPr>
                    <w:pStyle w:val="11"/>
                    <w:jc w:val="center"/>
                    <w:rPr>
                      <w:color w:val="auto"/>
                    </w:rPr>
                  </w:pPr>
                  <w:r>
                    <w:rPr>
                      <w:rFonts w:hint="eastAsia"/>
                      <w:color w:val="auto"/>
                    </w:rPr>
                    <w:t>60</w:t>
                  </w:r>
                </w:p>
              </w:tc>
              <w:tc>
                <w:tcPr>
                  <w:tcW w:w="725" w:type="dxa"/>
                  <w:vAlign w:val="center"/>
                </w:tcPr>
                <w:p>
                  <w:pPr>
                    <w:pStyle w:val="11"/>
                    <w:jc w:val="center"/>
                    <w:rPr>
                      <w:color w:val="auto"/>
                    </w:rPr>
                  </w:pPr>
                  <w:r>
                    <w:rPr>
                      <w:color w:val="auto"/>
                    </w:rPr>
                    <w:t>37.4</w:t>
                  </w:r>
                </w:p>
              </w:tc>
              <w:tc>
                <w:tcPr>
                  <w:tcW w:w="538" w:type="dxa"/>
                  <w:vAlign w:val="center"/>
                </w:tcPr>
                <w:p>
                  <w:pPr>
                    <w:pStyle w:val="11"/>
                    <w:jc w:val="center"/>
                    <w:rPr>
                      <w:color w:val="auto"/>
                      <w:kern w:val="2"/>
                    </w:rPr>
                  </w:pPr>
                  <w:r>
                    <w:rPr>
                      <w:rFonts w:hint="eastAsia"/>
                      <w:color w:val="auto"/>
                      <w:kern w:val="2"/>
                    </w:rPr>
                    <w:t>165</w:t>
                  </w:r>
                </w:p>
              </w:tc>
              <w:tc>
                <w:tcPr>
                  <w:tcW w:w="610" w:type="dxa"/>
                  <w:vAlign w:val="center"/>
                </w:tcPr>
                <w:p>
                  <w:pPr>
                    <w:pStyle w:val="11"/>
                    <w:jc w:val="center"/>
                    <w:rPr>
                      <w:color w:val="auto"/>
                    </w:rPr>
                  </w:pPr>
                  <w:r>
                    <w:rPr>
                      <w:color w:val="auto"/>
                    </w:rPr>
                    <w:t>28.6</w:t>
                  </w:r>
                </w:p>
              </w:tc>
              <w:tc>
                <w:tcPr>
                  <w:tcW w:w="690" w:type="dxa"/>
                  <w:vAlign w:val="center"/>
                </w:tcPr>
                <w:p>
                  <w:pPr>
                    <w:pStyle w:val="11"/>
                    <w:jc w:val="center"/>
                    <w:rPr>
                      <w:color w:val="auto"/>
                    </w:rPr>
                  </w:pPr>
                  <w:r>
                    <w:rPr>
                      <w:rFonts w:hint="eastAsia"/>
                      <w:color w:val="auto"/>
                    </w:rPr>
                    <w:t>120</w:t>
                  </w:r>
                </w:p>
              </w:tc>
              <w:tc>
                <w:tcPr>
                  <w:tcW w:w="640" w:type="dxa"/>
                  <w:vAlign w:val="center"/>
                </w:tcPr>
                <w:p>
                  <w:pPr>
                    <w:pStyle w:val="11"/>
                    <w:jc w:val="center"/>
                    <w:rPr>
                      <w:color w:val="auto"/>
                    </w:rPr>
                  </w:pPr>
                  <w:r>
                    <w:rPr>
                      <w:color w:val="auto"/>
                    </w:rPr>
                    <w:t>31.4</w:t>
                  </w:r>
                </w:p>
              </w:tc>
              <w:tc>
                <w:tcPr>
                  <w:tcW w:w="585" w:type="dxa"/>
                  <w:vAlign w:val="center"/>
                </w:tcPr>
                <w:p>
                  <w:pPr>
                    <w:pStyle w:val="11"/>
                    <w:jc w:val="center"/>
                    <w:rPr>
                      <w:color w:val="auto"/>
                      <w:kern w:val="2"/>
                    </w:rPr>
                  </w:pPr>
                  <w:r>
                    <w:rPr>
                      <w:rFonts w:hint="eastAsia"/>
                      <w:color w:val="auto"/>
                      <w:kern w:val="2"/>
                    </w:rPr>
                    <w:t>135</w:t>
                  </w:r>
                </w:p>
              </w:tc>
              <w:tc>
                <w:tcPr>
                  <w:tcW w:w="701" w:type="dxa"/>
                  <w:vAlign w:val="center"/>
                </w:tcPr>
                <w:p>
                  <w:pPr>
                    <w:pStyle w:val="11"/>
                    <w:jc w:val="center"/>
                    <w:rPr>
                      <w:color w:val="auto"/>
                    </w:rPr>
                  </w:pPr>
                  <w:r>
                    <w:rPr>
                      <w:color w:val="auto"/>
                    </w:rPr>
                    <w:t>30.3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冷风机（冷库、解冻间，4号车间）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1</w:t>
                  </w:r>
                </w:p>
              </w:tc>
              <w:tc>
                <w:tcPr>
                  <w:tcW w:w="966" w:type="dxa"/>
                  <w:vAlign w:val="center"/>
                </w:tcPr>
                <w:p>
                  <w:pPr>
                    <w:pStyle w:val="11"/>
                    <w:jc w:val="center"/>
                    <w:rPr>
                      <w:color w:val="auto"/>
                    </w:rPr>
                  </w:pPr>
                  <w:r>
                    <w:rPr>
                      <w:rFonts w:hint="eastAsia"/>
                      <w:color w:val="auto"/>
                    </w:rPr>
                    <w:t>70.0</w:t>
                  </w:r>
                </w:p>
              </w:tc>
              <w:tc>
                <w:tcPr>
                  <w:tcW w:w="675" w:type="dxa"/>
                  <w:vAlign w:val="center"/>
                </w:tcPr>
                <w:p>
                  <w:pPr>
                    <w:pStyle w:val="11"/>
                    <w:jc w:val="center"/>
                    <w:rPr>
                      <w:color w:val="auto"/>
                    </w:rPr>
                  </w:pPr>
                  <w:r>
                    <w:rPr>
                      <w:rFonts w:hint="eastAsia"/>
                      <w:color w:val="auto"/>
                    </w:rPr>
                    <w:t>145</w:t>
                  </w:r>
                </w:p>
              </w:tc>
              <w:tc>
                <w:tcPr>
                  <w:tcW w:w="725" w:type="dxa"/>
                  <w:vAlign w:val="center"/>
                </w:tcPr>
                <w:p>
                  <w:pPr>
                    <w:pStyle w:val="11"/>
                    <w:jc w:val="center"/>
                    <w:rPr>
                      <w:color w:val="auto"/>
                    </w:rPr>
                  </w:pPr>
                  <w:r>
                    <w:rPr>
                      <w:color w:val="auto"/>
                    </w:rPr>
                    <w:t>26.7</w:t>
                  </w:r>
                </w:p>
              </w:tc>
              <w:tc>
                <w:tcPr>
                  <w:tcW w:w="538" w:type="dxa"/>
                  <w:vAlign w:val="center"/>
                </w:tcPr>
                <w:p>
                  <w:pPr>
                    <w:pStyle w:val="11"/>
                    <w:jc w:val="center"/>
                    <w:rPr>
                      <w:color w:val="auto"/>
                      <w:kern w:val="2"/>
                    </w:rPr>
                  </w:pPr>
                  <w:r>
                    <w:rPr>
                      <w:rFonts w:hint="eastAsia"/>
                      <w:color w:val="auto"/>
                      <w:kern w:val="2"/>
                    </w:rPr>
                    <w:t>120</w:t>
                  </w:r>
                </w:p>
              </w:tc>
              <w:tc>
                <w:tcPr>
                  <w:tcW w:w="610" w:type="dxa"/>
                  <w:vAlign w:val="center"/>
                </w:tcPr>
                <w:p>
                  <w:pPr>
                    <w:pStyle w:val="11"/>
                    <w:jc w:val="center"/>
                    <w:rPr>
                      <w:color w:val="auto"/>
                    </w:rPr>
                  </w:pPr>
                  <w:r>
                    <w:rPr>
                      <w:color w:val="auto"/>
                    </w:rPr>
                    <w:t>28.4</w:t>
                  </w:r>
                </w:p>
              </w:tc>
              <w:tc>
                <w:tcPr>
                  <w:tcW w:w="690" w:type="dxa"/>
                  <w:vAlign w:val="center"/>
                </w:tcPr>
                <w:p>
                  <w:pPr>
                    <w:pStyle w:val="11"/>
                    <w:jc w:val="center"/>
                    <w:rPr>
                      <w:color w:val="auto"/>
                    </w:rPr>
                  </w:pPr>
                  <w:r>
                    <w:rPr>
                      <w:rFonts w:hint="eastAsia"/>
                      <w:color w:val="auto"/>
                    </w:rPr>
                    <w:t>35</w:t>
                  </w:r>
                </w:p>
              </w:tc>
              <w:tc>
                <w:tcPr>
                  <w:tcW w:w="640" w:type="dxa"/>
                  <w:vAlign w:val="center"/>
                </w:tcPr>
                <w:p>
                  <w:pPr>
                    <w:pStyle w:val="11"/>
                    <w:jc w:val="center"/>
                    <w:rPr>
                      <w:color w:val="auto"/>
                    </w:rPr>
                  </w:pPr>
                  <w:r>
                    <w:rPr>
                      <w:color w:val="auto"/>
                    </w:rPr>
                    <w:t>39.1</w:t>
                  </w:r>
                </w:p>
              </w:tc>
              <w:tc>
                <w:tcPr>
                  <w:tcW w:w="585" w:type="dxa"/>
                  <w:vAlign w:val="center"/>
                </w:tcPr>
                <w:p>
                  <w:pPr>
                    <w:pStyle w:val="11"/>
                    <w:jc w:val="center"/>
                    <w:rPr>
                      <w:color w:val="auto"/>
                      <w:kern w:val="2"/>
                    </w:rPr>
                  </w:pPr>
                  <w:r>
                    <w:rPr>
                      <w:rFonts w:hint="eastAsia"/>
                      <w:color w:val="auto"/>
                      <w:kern w:val="2"/>
                    </w:rPr>
                    <w:t>180</w:t>
                  </w:r>
                </w:p>
              </w:tc>
              <w:tc>
                <w:tcPr>
                  <w:tcW w:w="701" w:type="dxa"/>
                  <w:vAlign w:val="center"/>
                </w:tcPr>
                <w:p>
                  <w:pPr>
                    <w:pStyle w:val="11"/>
                    <w:jc w:val="center"/>
                    <w:rPr>
                      <w:color w:val="auto"/>
                    </w:rPr>
                  </w:pPr>
                  <w:r>
                    <w:rPr>
                      <w:color w:val="auto"/>
                    </w:rPr>
                    <w:t>24.8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切割机（1号车间）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4</w:t>
                  </w:r>
                </w:p>
              </w:tc>
              <w:tc>
                <w:tcPr>
                  <w:tcW w:w="966" w:type="dxa"/>
                  <w:vAlign w:val="center"/>
                </w:tcPr>
                <w:p>
                  <w:pPr>
                    <w:pStyle w:val="11"/>
                    <w:jc w:val="center"/>
                    <w:rPr>
                      <w:color w:val="auto"/>
                    </w:rPr>
                  </w:pPr>
                  <w:r>
                    <w:rPr>
                      <w:color w:val="auto"/>
                    </w:rPr>
                    <w:t>76.0</w:t>
                  </w:r>
                </w:p>
              </w:tc>
              <w:tc>
                <w:tcPr>
                  <w:tcW w:w="675" w:type="dxa"/>
                  <w:vAlign w:val="center"/>
                </w:tcPr>
                <w:p>
                  <w:pPr>
                    <w:pStyle w:val="11"/>
                    <w:jc w:val="center"/>
                    <w:rPr>
                      <w:color w:val="auto"/>
                    </w:rPr>
                  </w:pPr>
                  <w:r>
                    <w:rPr>
                      <w:rFonts w:hint="eastAsia"/>
                      <w:color w:val="auto"/>
                    </w:rPr>
                    <w:t>145</w:t>
                  </w:r>
                </w:p>
              </w:tc>
              <w:tc>
                <w:tcPr>
                  <w:tcW w:w="725" w:type="dxa"/>
                  <w:vAlign w:val="center"/>
                </w:tcPr>
                <w:p>
                  <w:pPr>
                    <w:pStyle w:val="11"/>
                    <w:jc w:val="center"/>
                    <w:rPr>
                      <w:color w:val="auto"/>
                    </w:rPr>
                  </w:pPr>
                  <w:r>
                    <w:rPr>
                      <w:color w:val="auto"/>
                    </w:rPr>
                    <w:t>32.7</w:t>
                  </w:r>
                </w:p>
              </w:tc>
              <w:tc>
                <w:tcPr>
                  <w:tcW w:w="538" w:type="dxa"/>
                  <w:vAlign w:val="center"/>
                </w:tcPr>
                <w:p>
                  <w:pPr>
                    <w:pStyle w:val="11"/>
                    <w:jc w:val="center"/>
                    <w:rPr>
                      <w:color w:val="auto"/>
                      <w:kern w:val="2"/>
                    </w:rPr>
                  </w:pPr>
                  <w:r>
                    <w:rPr>
                      <w:rFonts w:hint="eastAsia"/>
                      <w:color w:val="auto"/>
                      <w:kern w:val="2"/>
                    </w:rPr>
                    <w:t>210</w:t>
                  </w:r>
                </w:p>
              </w:tc>
              <w:tc>
                <w:tcPr>
                  <w:tcW w:w="610" w:type="dxa"/>
                  <w:vAlign w:val="center"/>
                </w:tcPr>
                <w:p>
                  <w:pPr>
                    <w:pStyle w:val="11"/>
                    <w:jc w:val="center"/>
                    <w:rPr>
                      <w:color w:val="auto"/>
                    </w:rPr>
                  </w:pPr>
                  <w:r>
                    <w:rPr>
                      <w:color w:val="auto"/>
                    </w:rPr>
                    <w:t>29.5</w:t>
                  </w:r>
                </w:p>
              </w:tc>
              <w:tc>
                <w:tcPr>
                  <w:tcW w:w="690" w:type="dxa"/>
                  <w:vAlign w:val="center"/>
                </w:tcPr>
                <w:p>
                  <w:pPr>
                    <w:pStyle w:val="11"/>
                    <w:jc w:val="center"/>
                    <w:rPr>
                      <w:color w:val="auto"/>
                    </w:rPr>
                  </w:pPr>
                  <w:r>
                    <w:rPr>
                      <w:rFonts w:hint="eastAsia"/>
                      <w:color w:val="auto"/>
                    </w:rPr>
                    <w:t>35</w:t>
                  </w:r>
                </w:p>
              </w:tc>
              <w:tc>
                <w:tcPr>
                  <w:tcW w:w="640" w:type="dxa"/>
                  <w:vAlign w:val="center"/>
                </w:tcPr>
                <w:p>
                  <w:pPr>
                    <w:pStyle w:val="11"/>
                    <w:jc w:val="center"/>
                    <w:rPr>
                      <w:color w:val="auto"/>
                    </w:rPr>
                  </w:pPr>
                  <w:r>
                    <w:rPr>
                      <w:color w:val="auto"/>
                    </w:rPr>
                    <w:t>45.1</w:t>
                  </w:r>
                </w:p>
              </w:tc>
              <w:tc>
                <w:tcPr>
                  <w:tcW w:w="585" w:type="dxa"/>
                  <w:vAlign w:val="center"/>
                </w:tcPr>
                <w:p>
                  <w:pPr>
                    <w:pStyle w:val="11"/>
                    <w:jc w:val="center"/>
                    <w:rPr>
                      <w:color w:val="auto"/>
                      <w:kern w:val="2"/>
                    </w:rPr>
                  </w:pPr>
                  <w:r>
                    <w:rPr>
                      <w:rFonts w:hint="eastAsia"/>
                      <w:color w:val="auto"/>
                      <w:kern w:val="2"/>
                    </w:rPr>
                    <w:t>90</w:t>
                  </w:r>
                </w:p>
              </w:tc>
              <w:tc>
                <w:tcPr>
                  <w:tcW w:w="701" w:type="dxa"/>
                  <w:vAlign w:val="center"/>
                </w:tcPr>
                <w:p>
                  <w:pPr>
                    <w:pStyle w:val="11"/>
                    <w:jc w:val="center"/>
                    <w:rPr>
                      <w:color w:val="auto"/>
                    </w:rPr>
                  </w:pPr>
                  <w:r>
                    <w:rPr>
                      <w:color w:val="auto"/>
                    </w:rPr>
                    <w:t>36.9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切割机（2号车间）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4</w:t>
                  </w:r>
                </w:p>
              </w:tc>
              <w:tc>
                <w:tcPr>
                  <w:tcW w:w="966" w:type="dxa"/>
                  <w:vAlign w:val="center"/>
                </w:tcPr>
                <w:p>
                  <w:pPr>
                    <w:pStyle w:val="11"/>
                    <w:jc w:val="center"/>
                    <w:rPr>
                      <w:color w:val="auto"/>
                    </w:rPr>
                  </w:pPr>
                  <w:r>
                    <w:rPr>
                      <w:color w:val="auto"/>
                    </w:rPr>
                    <w:t>76.0</w:t>
                  </w:r>
                </w:p>
              </w:tc>
              <w:tc>
                <w:tcPr>
                  <w:tcW w:w="675" w:type="dxa"/>
                  <w:vAlign w:val="center"/>
                </w:tcPr>
                <w:p>
                  <w:pPr>
                    <w:pStyle w:val="11"/>
                    <w:jc w:val="center"/>
                    <w:rPr>
                      <w:color w:val="auto"/>
                    </w:rPr>
                  </w:pPr>
                  <w:r>
                    <w:rPr>
                      <w:rFonts w:hint="eastAsia"/>
                      <w:color w:val="auto"/>
                    </w:rPr>
                    <w:t>65</w:t>
                  </w:r>
                </w:p>
              </w:tc>
              <w:tc>
                <w:tcPr>
                  <w:tcW w:w="725" w:type="dxa"/>
                  <w:vAlign w:val="center"/>
                </w:tcPr>
                <w:p>
                  <w:pPr>
                    <w:pStyle w:val="11"/>
                    <w:jc w:val="center"/>
                    <w:rPr>
                      <w:color w:val="auto"/>
                    </w:rPr>
                  </w:pPr>
                  <w:r>
                    <w:rPr>
                      <w:color w:val="auto"/>
                    </w:rPr>
                    <w:t>39.7</w:t>
                  </w:r>
                </w:p>
              </w:tc>
              <w:tc>
                <w:tcPr>
                  <w:tcW w:w="538" w:type="dxa"/>
                  <w:vAlign w:val="center"/>
                </w:tcPr>
                <w:p>
                  <w:pPr>
                    <w:pStyle w:val="11"/>
                    <w:jc w:val="center"/>
                    <w:rPr>
                      <w:color w:val="auto"/>
                      <w:kern w:val="2"/>
                    </w:rPr>
                  </w:pPr>
                  <w:r>
                    <w:rPr>
                      <w:rFonts w:hint="eastAsia"/>
                      <w:color w:val="auto"/>
                      <w:kern w:val="2"/>
                    </w:rPr>
                    <w:t>180</w:t>
                  </w:r>
                </w:p>
              </w:tc>
              <w:tc>
                <w:tcPr>
                  <w:tcW w:w="610" w:type="dxa"/>
                  <w:vAlign w:val="center"/>
                </w:tcPr>
                <w:p>
                  <w:pPr>
                    <w:pStyle w:val="11"/>
                    <w:jc w:val="center"/>
                    <w:rPr>
                      <w:color w:val="auto"/>
                    </w:rPr>
                  </w:pPr>
                  <w:r>
                    <w:rPr>
                      <w:rFonts w:hint="eastAsia"/>
                      <w:color w:val="auto"/>
                    </w:rPr>
                    <w:t>30.8</w:t>
                  </w:r>
                </w:p>
              </w:tc>
              <w:tc>
                <w:tcPr>
                  <w:tcW w:w="690" w:type="dxa"/>
                  <w:vAlign w:val="center"/>
                </w:tcPr>
                <w:p>
                  <w:pPr>
                    <w:pStyle w:val="11"/>
                    <w:jc w:val="center"/>
                    <w:rPr>
                      <w:color w:val="auto"/>
                    </w:rPr>
                  </w:pPr>
                  <w:r>
                    <w:rPr>
                      <w:rFonts w:hint="eastAsia"/>
                      <w:color w:val="auto"/>
                    </w:rPr>
                    <w:t>115</w:t>
                  </w:r>
                </w:p>
              </w:tc>
              <w:tc>
                <w:tcPr>
                  <w:tcW w:w="640" w:type="dxa"/>
                  <w:vAlign w:val="center"/>
                </w:tcPr>
                <w:p>
                  <w:pPr>
                    <w:pStyle w:val="11"/>
                    <w:jc w:val="center"/>
                    <w:rPr>
                      <w:color w:val="auto"/>
                    </w:rPr>
                  </w:pPr>
                  <w:r>
                    <w:rPr>
                      <w:color w:val="auto"/>
                    </w:rPr>
                    <w:t>34.7</w:t>
                  </w:r>
                </w:p>
              </w:tc>
              <w:tc>
                <w:tcPr>
                  <w:tcW w:w="585" w:type="dxa"/>
                  <w:vAlign w:val="center"/>
                </w:tcPr>
                <w:p>
                  <w:pPr>
                    <w:pStyle w:val="11"/>
                    <w:jc w:val="center"/>
                    <w:rPr>
                      <w:color w:val="auto"/>
                      <w:kern w:val="2"/>
                    </w:rPr>
                  </w:pPr>
                  <w:r>
                    <w:rPr>
                      <w:rFonts w:hint="eastAsia"/>
                      <w:color w:val="auto"/>
                      <w:kern w:val="2"/>
                    </w:rPr>
                    <w:t>120</w:t>
                  </w:r>
                </w:p>
              </w:tc>
              <w:tc>
                <w:tcPr>
                  <w:tcW w:w="701" w:type="dxa"/>
                  <w:vAlign w:val="center"/>
                </w:tcPr>
                <w:p>
                  <w:pPr>
                    <w:pStyle w:val="11"/>
                    <w:jc w:val="center"/>
                    <w:rPr>
                      <w:color w:val="auto"/>
                    </w:rPr>
                  </w:pPr>
                  <w:r>
                    <w:rPr>
                      <w:color w:val="auto"/>
                    </w:rPr>
                    <w:t>34.4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切割机（4号车间）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8</w:t>
                  </w:r>
                </w:p>
              </w:tc>
              <w:tc>
                <w:tcPr>
                  <w:tcW w:w="966" w:type="dxa"/>
                  <w:vAlign w:val="center"/>
                </w:tcPr>
                <w:p>
                  <w:pPr>
                    <w:pStyle w:val="11"/>
                    <w:jc w:val="center"/>
                    <w:rPr>
                      <w:color w:val="auto"/>
                    </w:rPr>
                  </w:pPr>
                  <w:r>
                    <w:rPr>
                      <w:color w:val="auto"/>
                    </w:rPr>
                    <w:t>7</w:t>
                  </w:r>
                  <w:r>
                    <w:rPr>
                      <w:rFonts w:hint="eastAsia"/>
                      <w:color w:val="auto"/>
                    </w:rPr>
                    <w:t>9</w:t>
                  </w:r>
                  <w:r>
                    <w:rPr>
                      <w:color w:val="auto"/>
                    </w:rPr>
                    <w:t>.0</w:t>
                  </w:r>
                </w:p>
              </w:tc>
              <w:tc>
                <w:tcPr>
                  <w:tcW w:w="675" w:type="dxa"/>
                  <w:vAlign w:val="center"/>
                </w:tcPr>
                <w:p>
                  <w:pPr>
                    <w:pStyle w:val="11"/>
                    <w:jc w:val="center"/>
                    <w:rPr>
                      <w:color w:val="auto"/>
                    </w:rPr>
                  </w:pPr>
                  <w:r>
                    <w:rPr>
                      <w:rFonts w:hint="eastAsia"/>
                      <w:color w:val="auto"/>
                    </w:rPr>
                    <w:t>145</w:t>
                  </w:r>
                </w:p>
              </w:tc>
              <w:tc>
                <w:tcPr>
                  <w:tcW w:w="725" w:type="dxa"/>
                  <w:vAlign w:val="center"/>
                </w:tcPr>
                <w:p>
                  <w:pPr>
                    <w:pStyle w:val="11"/>
                    <w:jc w:val="center"/>
                    <w:rPr>
                      <w:color w:val="auto"/>
                    </w:rPr>
                  </w:pPr>
                  <w:r>
                    <w:rPr>
                      <w:color w:val="auto"/>
                    </w:rPr>
                    <w:t>35.7</w:t>
                  </w:r>
                </w:p>
              </w:tc>
              <w:tc>
                <w:tcPr>
                  <w:tcW w:w="538" w:type="dxa"/>
                  <w:vAlign w:val="center"/>
                </w:tcPr>
                <w:p>
                  <w:pPr>
                    <w:pStyle w:val="11"/>
                    <w:jc w:val="center"/>
                    <w:rPr>
                      <w:color w:val="auto"/>
                      <w:kern w:val="2"/>
                    </w:rPr>
                  </w:pPr>
                  <w:r>
                    <w:rPr>
                      <w:rFonts w:hint="eastAsia"/>
                      <w:color w:val="auto"/>
                      <w:kern w:val="2"/>
                    </w:rPr>
                    <w:t>120</w:t>
                  </w:r>
                </w:p>
              </w:tc>
              <w:tc>
                <w:tcPr>
                  <w:tcW w:w="610" w:type="dxa"/>
                  <w:vAlign w:val="center"/>
                </w:tcPr>
                <w:p>
                  <w:pPr>
                    <w:pStyle w:val="11"/>
                    <w:jc w:val="center"/>
                    <w:rPr>
                      <w:color w:val="auto"/>
                    </w:rPr>
                  </w:pPr>
                  <w:r>
                    <w:rPr>
                      <w:rFonts w:hint="eastAsia"/>
                      <w:color w:val="auto"/>
                    </w:rPr>
                    <w:t>37.4</w:t>
                  </w:r>
                </w:p>
              </w:tc>
              <w:tc>
                <w:tcPr>
                  <w:tcW w:w="690" w:type="dxa"/>
                  <w:vAlign w:val="center"/>
                </w:tcPr>
                <w:p>
                  <w:pPr>
                    <w:pStyle w:val="11"/>
                    <w:jc w:val="center"/>
                    <w:rPr>
                      <w:color w:val="auto"/>
                    </w:rPr>
                  </w:pPr>
                  <w:r>
                    <w:rPr>
                      <w:rFonts w:hint="eastAsia"/>
                      <w:color w:val="auto"/>
                    </w:rPr>
                    <w:t>35</w:t>
                  </w:r>
                </w:p>
              </w:tc>
              <w:tc>
                <w:tcPr>
                  <w:tcW w:w="640" w:type="dxa"/>
                  <w:vAlign w:val="center"/>
                </w:tcPr>
                <w:p>
                  <w:pPr>
                    <w:pStyle w:val="11"/>
                    <w:jc w:val="center"/>
                    <w:rPr>
                      <w:color w:val="auto"/>
                    </w:rPr>
                  </w:pPr>
                  <w:r>
                    <w:rPr>
                      <w:color w:val="auto"/>
                    </w:rPr>
                    <w:t>48.1</w:t>
                  </w:r>
                </w:p>
              </w:tc>
              <w:tc>
                <w:tcPr>
                  <w:tcW w:w="585" w:type="dxa"/>
                  <w:vAlign w:val="center"/>
                </w:tcPr>
                <w:p>
                  <w:pPr>
                    <w:pStyle w:val="11"/>
                    <w:jc w:val="center"/>
                    <w:rPr>
                      <w:color w:val="auto"/>
                      <w:kern w:val="2"/>
                    </w:rPr>
                  </w:pPr>
                  <w:r>
                    <w:rPr>
                      <w:rFonts w:hint="eastAsia"/>
                      <w:color w:val="auto"/>
                      <w:kern w:val="2"/>
                    </w:rPr>
                    <w:t>180</w:t>
                  </w:r>
                </w:p>
              </w:tc>
              <w:tc>
                <w:tcPr>
                  <w:tcW w:w="701" w:type="dxa"/>
                  <w:vAlign w:val="center"/>
                </w:tcPr>
                <w:p>
                  <w:pPr>
                    <w:pStyle w:val="11"/>
                    <w:jc w:val="center"/>
                    <w:rPr>
                      <w:color w:val="auto"/>
                    </w:rPr>
                  </w:pPr>
                  <w:r>
                    <w:rPr>
                      <w:color w:val="auto"/>
                    </w:rPr>
                    <w:t>33.8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搅拌机（1号车间）</w:t>
                  </w:r>
                </w:p>
              </w:tc>
              <w:tc>
                <w:tcPr>
                  <w:tcW w:w="1084" w:type="dxa"/>
                  <w:vAlign w:val="center"/>
                </w:tcPr>
                <w:p>
                  <w:pPr>
                    <w:pStyle w:val="11"/>
                    <w:jc w:val="center"/>
                    <w:rPr>
                      <w:color w:val="auto"/>
                    </w:rPr>
                  </w:pPr>
                  <w:r>
                    <w:rPr>
                      <w:rFonts w:hint="eastAsia"/>
                      <w:color w:val="auto"/>
                    </w:rPr>
                    <w:t>65</w:t>
                  </w:r>
                </w:p>
              </w:tc>
              <w:tc>
                <w:tcPr>
                  <w:tcW w:w="679" w:type="dxa"/>
                  <w:vAlign w:val="center"/>
                </w:tcPr>
                <w:p>
                  <w:pPr>
                    <w:pStyle w:val="11"/>
                    <w:jc w:val="center"/>
                    <w:rPr>
                      <w:color w:val="auto"/>
                    </w:rPr>
                  </w:pPr>
                  <w:r>
                    <w:rPr>
                      <w:rFonts w:hint="eastAsia"/>
                      <w:color w:val="auto"/>
                    </w:rPr>
                    <w:t>7</w:t>
                  </w:r>
                </w:p>
              </w:tc>
              <w:tc>
                <w:tcPr>
                  <w:tcW w:w="966" w:type="dxa"/>
                  <w:vAlign w:val="center"/>
                </w:tcPr>
                <w:p>
                  <w:pPr>
                    <w:pStyle w:val="11"/>
                    <w:jc w:val="center"/>
                    <w:rPr>
                      <w:color w:val="auto"/>
                    </w:rPr>
                  </w:pPr>
                  <w:r>
                    <w:rPr>
                      <w:color w:val="auto"/>
                    </w:rPr>
                    <w:t>73.3</w:t>
                  </w:r>
                </w:p>
              </w:tc>
              <w:tc>
                <w:tcPr>
                  <w:tcW w:w="675" w:type="dxa"/>
                  <w:vAlign w:val="center"/>
                </w:tcPr>
                <w:p>
                  <w:pPr>
                    <w:pStyle w:val="11"/>
                    <w:jc w:val="center"/>
                    <w:rPr>
                      <w:color w:val="auto"/>
                    </w:rPr>
                  </w:pPr>
                  <w:r>
                    <w:rPr>
                      <w:rFonts w:hint="eastAsia"/>
                      <w:color w:val="auto"/>
                    </w:rPr>
                    <w:t>145</w:t>
                  </w:r>
                </w:p>
              </w:tc>
              <w:tc>
                <w:tcPr>
                  <w:tcW w:w="725" w:type="dxa"/>
                  <w:vAlign w:val="center"/>
                </w:tcPr>
                <w:p>
                  <w:pPr>
                    <w:pStyle w:val="11"/>
                    <w:jc w:val="center"/>
                    <w:rPr>
                      <w:color w:val="auto"/>
                    </w:rPr>
                  </w:pPr>
                  <w:r>
                    <w:rPr>
                      <w:color w:val="auto"/>
                    </w:rPr>
                    <w:t>30.0</w:t>
                  </w:r>
                </w:p>
              </w:tc>
              <w:tc>
                <w:tcPr>
                  <w:tcW w:w="538" w:type="dxa"/>
                  <w:vAlign w:val="center"/>
                </w:tcPr>
                <w:p>
                  <w:pPr>
                    <w:pStyle w:val="11"/>
                    <w:jc w:val="center"/>
                    <w:rPr>
                      <w:color w:val="auto"/>
                      <w:kern w:val="2"/>
                    </w:rPr>
                  </w:pPr>
                  <w:r>
                    <w:rPr>
                      <w:rFonts w:hint="eastAsia"/>
                      <w:color w:val="auto"/>
                      <w:kern w:val="2"/>
                    </w:rPr>
                    <w:t>220</w:t>
                  </w:r>
                </w:p>
              </w:tc>
              <w:tc>
                <w:tcPr>
                  <w:tcW w:w="610" w:type="dxa"/>
                  <w:vAlign w:val="center"/>
                </w:tcPr>
                <w:p>
                  <w:pPr>
                    <w:pStyle w:val="11"/>
                    <w:jc w:val="center"/>
                    <w:rPr>
                      <w:color w:val="auto"/>
                    </w:rPr>
                  </w:pPr>
                  <w:r>
                    <w:rPr>
                      <w:rFonts w:hint="eastAsia"/>
                      <w:color w:val="auto"/>
                    </w:rPr>
                    <w:t>26.4</w:t>
                  </w:r>
                </w:p>
              </w:tc>
              <w:tc>
                <w:tcPr>
                  <w:tcW w:w="690" w:type="dxa"/>
                  <w:vAlign w:val="center"/>
                </w:tcPr>
                <w:p>
                  <w:pPr>
                    <w:pStyle w:val="11"/>
                    <w:jc w:val="center"/>
                    <w:rPr>
                      <w:color w:val="auto"/>
                    </w:rPr>
                  </w:pPr>
                  <w:r>
                    <w:rPr>
                      <w:rFonts w:hint="eastAsia"/>
                      <w:color w:val="auto"/>
                    </w:rPr>
                    <w:t>35</w:t>
                  </w:r>
                </w:p>
              </w:tc>
              <w:tc>
                <w:tcPr>
                  <w:tcW w:w="640" w:type="dxa"/>
                  <w:vAlign w:val="center"/>
                </w:tcPr>
                <w:p>
                  <w:pPr>
                    <w:pStyle w:val="11"/>
                    <w:jc w:val="center"/>
                    <w:rPr>
                      <w:color w:val="auto"/>
                    </w:rPr>
                  </w:pPr>
                  <w:r>
                    <w:rPr>
                      <w:color w:val="auto"/>
                    </w:rPr>
                    <w:t>42.4</w:t>
                  </w:r>
                </w:p>
              </w:tc>
              <w:tc>
                <w:tcPr>
                  <w:tcW w:w="585" w:type="dxa"/>
                  <w:vAlign w:val="center"/>
                </w:tcPr>
                <w:p>
                  <w:pPr>
                    <w:pStyle w:val="11"/>
                    <w:jc w:val="center"/>
                    <w:rPr>
                      <w:color w:val="auto"/>
                      <w:kern w:val="2"/>
                    </w:rPr>
                  </w:pPr>
                  <w:r>
                    <w:rPr>
                      <w:rFonts w:hint="eastAsia"/>
                      <w:color w:val="auto"/>
                      <w:kern w:val="2"/>
                    </w:rPr>
                    <w:t>80</w:t>
                  </w:r>
                </w:p>
              </w:tc>
              <w:tc>
                <w:tcPr>
                  <w:tcW w:w="701" w:type="dxa"/>
                  <w:vAlign w:val="center"/>
                </w:tcPr>
                <w:p>
                  <w:pPr>
                    <w:pStyle w:val="11"/>
                    <w:jc w:val="center"/>
                    <w:rPr>
                      <w:color w:val="auto"/>
                    </w:rPr>
                  </w:pPr>
                  <w:r>
                    <w:rPr>
                      <w:color w:val="auto"/>
                    </w:rPr>
                    <w:t>35.2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221" w:type="dxa"/>
                  <w:vAlign w:val="center"/>
                </w:tcPr>
                <w:p>
                  <w:pPr>
                    <w:pStyle w:val="11"/>
                    <w:jc w:val="center"/>
                    <w:rPr>
                      <w:color w:val="auto"/>
                    </w:rPr>
                  </w:pPr>
                  <w:r>
                    <w:rPr>
                      <w:rFonts w:hint="eastAsia"/>
                      <w:color w:val="auto"/>
                    </w:rPr>
                    <w:t>搅拌机（2号车间）</w:t>
                  </w:r>
                </w:p>
              </w:tc>
              <w:tc>
                <w:tcPr>
                  <w:tcW w:w="1084" w:type="dxa"/>
                  <w:vAlign w:val="center"/>
                </w:tcPr>
                <w:p>
                  <w:pPr>
                    <w:pStyle w:val="11"/>
                    <w:jc w:val="center"/>
                    <w:rPr>
                      <w:color w:val="auto"/>
                    </w:rPr>
                  </w:pPr>
                  <w:r>
                    <w:rPr>
                      <w:rFonts w:hint="eastAsia"/>
                      <w:color w:val="auto"/>
                    </w:rPr>
                    <w:t>65</w:t>
                  </w:r>
                </w:p>
              </w:tc>
              <w:tc>
                <w:tcPr>
                  <w:tcW w:w="679" w:type="dxa"/>
                  <w:vAlign w:val="center"/>
                </w:tcPr>
                <w:p>
                  <w:pPr>
                    <w:pStyle w:val="11"/>
                    <w:jc w:val="center"/>
                    <w:rPr>
                      <w:color w:val="auto"/>
                    </w:rPr>
                  </w:pPr>
                  <w:r>
                    <w:rPr>
                      <w:rFonts w:hint="eastAsia"/>
                      <w:color w:val="auto"/>
                    </w:rPr>
                    <w:t>5</w:t>
                  </w:r>
                </w:p>
              </w:tc>
              <w:tc>
                <w:tcPr>
                  <w:tcW w:w="966" w:type="dxa"/>
                  <w:vAlign w:val="center"/>
                </w:tcPr>
                <w:p>
                  <w:pPr>
                    <w:pStyle w:val="11"/>
                    <w:jc w:val="center"/>
                    <w:rPr>
                      <w:color w:val="auto"/>
                    </w:rPr>
                  </w:pPr>
                  <w:r>
                    <w:rPr>
                      <w:color w:val="auto"/>
                    </w:rPr>
                    <w:t>71.9</w:t>
                  </w:r>
                </w:p>
              </w:tc>
              <w:tc>
                <w:tcPr>
                  <w:tcW w:w="675" w:type="dxa"/>
                  <w:vAlign w:val="center"/>
                </w:tcPr>
                <w:p>
                  <w:pPr>
                    <w:pStyle w:val="11"/>
                    <w:jc w:val="center"/>
                    <w:rPr>
                      <w:color w:val="auto"/>
                    </w:rPr>
                  </w:pPr>
                  <w:r>
                    <w:rPr>
                      <w:rFonts w:hint="eastAsia"/>
                      <w:color w:val="auto"/>
                    </w:rPr>
                    <w:t>70</w:t>
                  </w:r>
                </w:p>
              </w:tc>
              <w:tc>
                <w:tcPr>
                  <w:tcW w:w="725" w:type="dxa"/>
                  <w:vAlign w:val="center"/>
                </w:tcPr>
                <w:p>
                  <w:pPr>
                    <w:pStyle w:val="11"/>
                    <w:jc w:val="center"/>
                    <w:rPr>
                      <w:color w:val="auto"/>
                    </w:rPr>
                  </w:pPr>
                  <w:r>
                    <w:rPr>
                      <w:color w:val="auto"/>
                    </w:rPr>
                    <w:t>34.9</w:t>
                  </w:r>
                </w:p>
              </w:tc>
              <w:tc>
                <w:tcPr>
                  <w:tcW w:w="538" w:type="dxa"/>
                  <w:vAlign w:val="center"/>
                </w:tcPr>
                <w:p>
                  <w:pPr>
                    <w:pStyle w:val="11"/>
                    <w:jc w:val="center"/>
                    <w:rPr>
                      <w:color w:val="auto"/>
                      <w:kern w:val="2"/>
                    </w:rPr>
                  </w:pPr>
                  <w:r>
                    <w:rPr>
                      <w:rFonts w:hint="eastAsia"/>
                      <w:color w:val="auto"/>
                      <w:kern w:val="2"/>
                    </w:rPr>
                    <w:t>180</w:t>
                  </w:r>
                </w:p>
              </w:tc>
              <w:tc>
                <w:tcPr>
                  <w:tcW w:w="610" w:type="dxa"/>
                  <w:vAlign w:val="center"/>
                </w:tcPr>
                <w:p>
                  <w:pPr>
                    <w:pStyle w:val="11"/>
                    <w:jc w:val="center"/>
                    <w:rPr>
                      <w:color w:val="auto"/>
                    </w:rPr>
                  </w:pPr>
                  <w:r>
                    <w:rPr>
                      <w:rFonts w:hint="eastAsia"/>
                      <w:color w:val="auto"/>
                    </w:rPr>
                    <w:t>26.7</w:t>
                  </w:r>
                </w:p>
              </w:tc>
              <w:tc>
                <w:tcPr>
                  <w:tcW w:w="690" w:type="dxa"/>
                  <w:vAlign w:val="center"/>
                </w:tcPr>
                <w:p>
                  <w:pPr>
                    <w:pStyle w:val="11"/>
                    <w:jc w:val="center"/>
                    <w:rPr>
                      <w:color w:val="auto"/>
                    </w:rPr>
                  </w:pPr>
                  <w:r>
                    <w:rPr>
                      <w:rFonts w:hint="eastAsia"/>
                      <w:color w:val="auto"/>
                    </w:rPr>
                    <w:t>110</w:t>
                  </w:r>
                </w:p>
              </w:tc>
              <w:tc>
                <w:tcPr>
                  <w:tcW w:w="640" w:type="dxa"/>
                  <w:vAlign w:val="center"/>
                </w:tcPr>
                <w:p>
                  <w:pPr>
                    <w:pStyle w:val="11"/>
                    <w:jc w:val="center"/>
                    <w:rPr>
                      <w:color w:val="auto"/>
                    </w:rPr>
                  </w:pPr>
                  <w:r>
                    <w:rPr>
                      <w:color w:val="auto"/>
                    </w:rPr>
                    <w:t>31.0</w:t>
                  </w:r>
                </w:p>
              </w:tc>
              <w:tc>
                <w:tcPr>
                  <w:tcW w:w="585" w:type="dxa"/>
                  <w:vAlign w:val="center"/>
                </w:tcPr>
                <w:p>
                  <w:pPr>
                    <w:pStyle w:val="11"/>
                    <w:jc w:val="center"/>
                    <w:rPr>
                      <w:color w:val="auto"/>
                      <w:kern w:val="2"/>
                    </w:rPr>
                  </w:pPr>
                  <w:r>
                    <w:rPr>
                      <w:rFonts w:hint="eastAsia"/>
                      <w:color w:val="auto"/>
                      <w:kern w:val="2"/>
                    </w:rPr>
                    <w:t>120</w:t>
                  </w:r>
                </w:p>
              </w:tc>
              <w:tc>
                <w:tcPr>
                  <w:tcW w:w="701" w:type="dxa"/>
                  <w:vAlign w:val="center"/>
                </w:tcPr>
                <w:p>
                  <w:pPr>
                    <w:pStyle w:val="11"/>
                    <w:jc w:val="center"/>
                    <w:rPr>
                      <w:color w:val="auto"/>
                    </w:rPr>
                  </w:pPr>
                  <w:r>
                    <w:rPr>
                      <w:color w:val="auto"/>
                    </w:rPr>
                    <w:t>30.3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烘干机（1号车间）</w:t>
                  </w:r>
                </w:p>
              </w:tc>
              <w:tc>
                <w:tcPr>
                  <w:tcW w:w="1084" w:type="dxa"/>
                  <w:vAlign w:val="center"/>
                </w:tcPr>
                <w:p>
                  <w:pPr>
                    <w:pStyle w:val="11"/>
                    <w:jc w:val="center"/>
                    <w:rPr>
                      <w:color w:val="auto"/>
                    </w:rPr>
                  </w:pPr>
                  <w:r>
                    <w:rPr>
                      <w:rFonts w:hint="eastAsia"/>
                      <w:color w:val="auto"/>
                    </w:rPr>
                    <w:t>65</w:t>
                  </w:r>
                </w:p>
              </w:tc>
              <w:tc>
                <w:tcPr>
                  <w:tcW w:w="679" w:type="dxa"/>
                  <w:vAlign w:val="center"/>
                </w:tcPr>
                <w:p>
                  <w:pPr>
                    <w:pStyle w:val="11"/>
                    <w:jc w:val="center"/>
                    <w:rPr>
                      <w:color w:val="auto"/>
                    </w:rPr>
                  </w:pPr>
                  <w:r>
                    <w:rPr>
                      <w:rFonts w:hint="eastAsia"/>
                      <w:color w:val="auto"/>
                    </w:rPr>
                    <w:t>1</w:t>
                  </w:r>
                </w:p>
              </w:tc>
              <w:tc>
                <w:tcPr>
                  <w:tcW w:w="966" w:type="dxa"/>
                  <w:vAlign w:val="center"/>
                </w:tcPr>
                <w:p>
                  <w:pPr>
                    <w:pStyle w:val="11"/>
                    <w:jc w:val="center"/>
                    <w:rPr>
                      <w:color w:val="auto"/>
                    </w:rPr>
                  </w:pPr>
                  <w:r>
                    <w:rPr>
                      <w:rFonts w:hint="eastAsia"/>
                      <w:color w:val="auto"/>
                    </w:rPr>
                    <w:t>65.0</w:t>
                  </w:r>
                </w:p>
              </w:tc>
              <w:tc>
                <w:tcPr>
                  <w:tcW w:w="675" w:type="dxa"/>
                  <w:vAlign w:val="center"/>
                </w:tcPr>
                <w:p>
                  <w:pPr>
                    <w:pStyle w:val="11"/>
                    <w:jc w:val="center"/>
                    <w:rPr>
                      <w:color w:val="auto"/>
                    </w:rPr>
                  </w:pPr>
                  <w:r>
                    <w:rPr>
                      <w:rFonts w:hint="eastAsia"/>
                      <w:color w:val="auto"/>
                    </w:rPr>
                    <w:t>90</w:t>
                  </w:r>
                </w:p>
              </w:tc>
              <w:tc>
                <w:tcPr>
                  <w:tcW w:w="725" w:type="dxa"/>
                  <w:vAlign w:val="center"/>
                </w:tcPr>
                <w:p>
                  <w:pPr>
                    <w:pStyle w:val="11"/>
                    <w:jc w:val="center"/>
                    <w:rPr>
                      <w:color w:val="auto"/>
                    </w:rPr>
                  </w:pPr>
                  <w:r>
                    <w:rPr>
                      <w:color w:val="auto"/>
                    </w:rPr>
                    <w:t>25.9</w:t>
                  </w:r>
                </w:p>
              </w:tc>
              <w:tc>
                <w:tcPr>
                  <w:tcW w:w="538" w:type="dxa"/>
                  <w:vAlign w:val="center"/>
                </w:tcPr>
                <w:p>
                  <w:pPr>
                    <w:pStyle w:val="11"/>
                    <w:jc w:val="center"/>
                    <w:rPr>
                      <w:color w:val="auto"/>
                      <w:kern w:val="2"/>
                    </w:rPr>
                  </w:pPr>
                  <w:r>
                    <w:rPr>
                      <w:rFonts w:hint="eastAsia"/>
                      <w:color w:val="auto"/>
                      <w:kern w:val="2"/>
                    </w:rPr>
                    <w:t>260</w:t>
                  </w:r>
                </w:p>
              </w:tc>
              <w:tc>
                <w:tcPr>
                  <w:tcW w:w="610" w:type="dxa"/>
                  <w:vAlign w:val="center"/>
                </w:tcPr>
                <w:p>
                  <w:pPr>
                    <w:pStyle w:val="11"/>
                    <w:jc w:val="center"/>
                    <w:rPr>
                      <w:color w:val="auto"/>
                    </w:rPr>
                  </w:pPr>
                  <w:r>
                    <w:rPr>
                      <w:color w:val="auto"/>
                    </w:rPr>
                    <w:t>16.7</w:t>
                  </w:r>
                </w:p>
              </w:tc>
              <w:tc>
                <w:tcPr>
                  <w:tcW w:w="690" w:type="dxa"/>
                  <w:vAlign w:val="center"/>
                </w:tcPr>
                <w:p>
                  <w:pPr>
                    <w:pStyle w:val="11"/>
                    <w:jc w:val="center"/>
                    <w:rPr>
                      <w:color w:val="auto"/>
                    </w:rPr>
                  </w:pPr>
                  <w:r>
                    <w:rPr>
                      <w:rFonts w:hint="eastAsia"/>
                      <w:color w:val="auto"/>
                    </w:rPr>
                    <w:t>90</w:t>
                  </w:r>
                </w:p>
              </w:tc>
              <w:tc>
                <w:tcPr>
                  <w:tcW w:w="640" w:type="dxa"/>
                  <w:vAlign w:val="center"/>
                </w:tcPr>
                <w:p>
                  <w:pPr>
                    <w:pStyle w:val="11"/>
                    <w:jc w:val="center"/>
                    <w:rPr>
                      <w:color w:val="auto"/>
                    </w:rPr>
                  </w:pPr>
                  <w:r>
                    <w:rPr>
                      <w:color w:val="auto"/>
                    </w:rPr>
                    <w:t>25.9</w:t>
                  </w:r>
                </w:p>
              </w:tc>
              <w:tc>
                <w:tcPr>
                  <w:tcW w:w="585" w:type="dxa"/>
                  <w:vAlign w:val="center"/>
                </w:tcPr>
                <w:p>
                  <w:pPr>
                    <w:pStyle w:val="11"/>
                    <w:jc w:val="center"/>
                    <w:rPr>
                      <w:color w:val="auto"/>
                      <w:kern w:val="2"/>
                    </w:rPr>
                  </w:pPr>
                  <w:r>
                    <w:rPr>
                      <w:rFonts w:hint="eastAsia"/>
                      <w:color w:val="auto"/>
                      <w:kern w:val="2"/>
                    </w:rPr>
                    <w:t>40</w:t>
                  </w:r>
                </w:p>
              </w:tc>
              <w:tc>
                <w:tcPr>
                  <w:tcW w:w="701" w:type="dxa"/>
                  <w:vAlign w:val="center"/>
                </w:tcPr>
                <w:p>
                  <w:pPr>
                    <w:pStyle w:val="11"/>
                    <w:jc w:val="center"/>
                    <w:rPr>
                      <w:color w:val="auto"/>
                    </w:rPr>
                  </w:pPr>
                  <w:r>
                    <w:rPr>
                      <w:color w:val="auto"/>
                    </w:rPr>
                    <w:t>32.9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烘干机（2号车间）</w:t>
                  </w:r>
                </w:p>
              </w:tc>
              <w:tc>
                <w:tcPr>
                  <w:tcW w:w="1084" w:type="dxa"/>
                  <w:vAlign w:val="center"/>
                </w:tcPr>
                <w:p>
                  <w:pPr>
                    <w:pStyle w:val="11"/>
                    <w:jc w:val="center"/>
                    <w:rPr>
                      <w:color w:val="auto"/>
                    </w:rPr>
                  </w:pPr>
                  <w:r>
                    <w:rPr>
                      <w:rFonts w:hint="eastAsia"/>
                      <w:color w:val="auto"/>
                    </w:rPr>
                    <w:t>65</w:t>
                  </w:r>
                </w:p>
              </w:tc>
              <w:tc>
                <w:tcPr>
                  <w:tcW w:w="679" w:type="dxa"/>
                  <w:vAlign w:val="center"/>
                </w:tcPr>
                <w:p>
                  <w:pPr>
                    <w:pStyle w:val="11"/>
                    <w:jc w:val="center"/>
                    <w:rPr>
                      <w:color w:val="auto"/>
                    </w:rPr>
                  </w:pPr>
                  <w:r>
                    <w:rPr>
                      <w:rFonts w:hint="eastAsia"/>
                      <w:color w:val="auto"/>
                    </w:rPr>
                    <w:t>2</w:t>
                  </w:r>
                </w:p>
              </w:tc>
              <w:tc>
                <w:tcPr>
                  <w:tcW w:w="966" w:type="dxa"/>
                  <w:vAlign w:val="center"/>
                </w:tcPr>
                <w:p>
                  <w:pPr>
                    <w:pStyle w:val="11"/>
                    <w:jc w:val="center"/>
                    <w:rPr>
                      <w:color w:val="auto"/>
                    </w:rPr>
                  </w:pPr>
                  <w:r>
                    <w:rPr>
                      <w:rFonts w:hint="eastAsia"/>
                      <w:color w:val="auto"/>
                    </w:rPr>
                    <w:t>68.0</w:t>
                  </w:r>
                </w:p>
              </w:tc>
              <w:tc>
                <w:tcPr>
                  <w:tcW w:w="675" w:type="dxa"/>
                  <w:vAlign w:val="center"/>
                </w:tcPr>
                <w:p>
                  <w:pPr>
                    <w:pStyle w:val="11"/>
                    <w:jc w:val="center"/>
                    <w:rPr>
                      <w:color w:val="auto"/>
                    </w:rPr>
                  </w:pPr>
                  <w:r>
                    <w:rPr>
                      <w:rFonts w:hint="eastAsia"/>
                      <w:color w:val="auto"/>
                    </w:rPr>
                    <w:t>100</w:t>
                  </w:r>
                </w:p>
              </w:tc>
              <w:tc>
                <w:tcPr>
                  <w:tcW w:w="725" w:type="dxa"/>
                  <w:vAlign w:val="center"/>
                </w:tcPr>
                <w:p>
                  <w:pPr>
                    <w:pStyle w:val="11"/>
                    <w:jc w:val="center"/>
                    <w:rPr>
                      <w:color w:val="auto"/>
                    </w:rPr>
                  </w:pPr>
                  <w:r>
                    <w:rPr>
                      <w:color w:val="auto"/>
                    </w:rPr>
                    <w:t>28</w:t>
                  </w:r>
                  <w:r>
                    <w:rPr>
                      <w:rFonts w:hint="eastAsia"/>
                      <w:color w:val="auto"/>
                    </w:rPr>
                    <w:t>.0</w:t>
                  </w:r>
                </w:p>
              </w:tc>
              <w:tc>
                <w:tcPr>
                  <w:tcW w:w="538" w:type="dxa"/>
                  <w:vAlign w:val="center"/>
                </w:tcPr>
                <w:p>
                  <w:pPr>
                    <w:pStyle w:val="11"/>
                    <w:jc w:val="center"/>
                    <w:rPr>
                      <w:color w:val="auto"/>
                      <w:kern w:val="2"/>
                    </w:rPr>
                  </w:pPr>
                  <w:r>
                    <w:rPr>
                      <w:rFonts w:hint="eastAsia"/>
                      <w:color w:val="auto"/>
                      <w:kern w:val="2"/>
                    </w:rPr>
                    <w:t>180</w:t>
                  </w:r>
                </w:p>
              </w:tc>
              <w:tc>
                <w:tcPr>
                  <w:tcW w:w="610" w:type="dxa"/>
                  <w:vAlign w:val="center"/>
                </w:tcPr>
                <w:p>
                  <w:pPr>
                    <w:pStyle w:val="11"/>
                    <w:jc w:val="center"/>
                    <w:rPr>
                      <w:color w:val="auto"/>
                    </w:rPr>
                  </w:pPr>
                  <w:r>
                    <w:rPr>
                      <w:color w:val="auto"/>
                    </w:rPr>
                    <w:t>22.8</w:t>
                  </w:r>
                </w:p>
              </w:tc>
              <w:tc>
                <w:tcPr>
                  <w:tcW w:w="690" w:type="dxa"/>
                  <w:vAlign w:val="center"/>
                </w:tcPr>
                <w:p>
                  <w:pPr>
                    <w:pStyle w:val="11"/>
                    <w:jc w:val="center"/>
                    <w:rPr>
                      <w:color w:val="auto"/>
                    </w:rPr>
                  </w:pPr>
                  <w:r>
                    <w:rPr>
                      <w:rFonts w:hint="eastAsia"/>
                      <w:color w:val="auto"/>
                    </w:rPr>
                    <w:t>80</w:t>
                  </w:r>
                </w:p>
              </w:tc>
              <w:tc>
                <w:tcPr>
                  <w:tcW w:w="640" w:type="dxa"/>
                  <w:vAlign w:val="center"/>
                </w:tcPr>
                <w:p>
                  <w:pPr>
                    <w:pStyle w:val="11"/>
                    <w:jc w:val="center"/>
                    <w:rPr>
                      <w:color w:val="auto"/>
                    </w:rPr>
                  </w:pPr>
                  <w:r>
                    <w:rPr>
                      <w:color w:val="auto"/>
                    </w:rPr>
                    <w:t>29.9</w:t>
                  </w:r>
                </w:p>
              </w:tc>
              <w:tc>
                <w:tcPr>
                  <w:tcW w:w="585" w:type="dxa"/>
                  <w:vAlign w:val="center"/>
                </w:tcPr>
                <w:p>
                  <w:pPr>
                    <w:pStyle w:val="11"/>
                    <w:jc w:val="center"/>
                    <w:rPr>
                      <w:color w:val="auto"/>
                      <w:kern w:val="2"/>
                    </w:rPr>
                  </w:pPr>
                  <w:r>
                    <w:rPr>
                      <w:rFonts w:hint="eastAsia"/>
                      <w:color w:val="auto"/>
                      <w:kern w:val="2"/>
                    </w:rPr>
                    <w:t>120</w:t>
                  </w:r>
                </w:p>
              </w:tc>
              <w:tc>
                <w:tcPr>
                  <w:tcW w:w="701" w:type="dxa"/>
                  <w:vAlign w:val="center"/>
                </w:tcPr>
                <w:p>
                  <w:pPr>
                    <w:pStyle w:val="11"/>
                    <w:jc w:val="center"/>
                    <w:rPr>
                      <w:color w:val="auto"/>
                    </w:rPr>
                  </w:pPr>
                  <w:r>
                    <w:rPr>
                      <w:color w:val="auto"/>
                    </w:rPr>
                    <w:t>26.4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烘干机（4号车间）</w:t>
                  </w:r>
                </w:p>
              </w:tc>
              <w:tc>
                <w:tcPr>
                  <w:tcW w:w="1084" w:type="dxa"/>
                  <w:vAlign w:val="center"/>
                </w:tcPr>
                <w:p>
                  <w:pPr>
                    <w:pStyle w:val="11"/>
                    <w:jc w:val="center"/>
                    <w:rPr>
                      <w:color w:val="auto"/>
                    </w:rPr>
                  </w:pPr>
                  <w:r>
                    <w:rPr>
                      <w:rFonts w:hint="eastAsia"/>
                      <w:color w:val="auto"/>
                    </w:rPr>
                    <w:t>65</w:t>
                  </w:r>
                </w:p>
              </w:tc>
              <w:tc>
                <w:tcPr>
                  <w:tcW w:w="679" w:type="dxa"/>
                  <w:vAlign w:val="center"/>
                </w:tcPr>
                <w:p>
                  <w:pPr>
                    <w:pStyle w:val="11"/>
                    <w:jc w:val="center"/>
                    <w:rPr>
                      <w:color w:val="auto"/>
                    </w:rPr>
                  </w:pPr>
                  <w:r>
                    <w:rPr>
                      <w:rFonts w:hint="eastAsia"/>
                      <w:color w:val="auto"/>
                    </w:rPr>
                    <w:t>4</w:t>
                  </w:r>
                </w:p>
              </w:tc>
              <w:tc>
                <w:tcPr>
                  <w:tcW w:w="966" w:type="dxa"/>
                  <w:vAlign w:val="center"/>
                </w:tcPr>
                <w:p>
                  <w:pPr>
                    <w:pStyle w:val="11"/>
                    <w:jc w:val="center"/>
                    <w:rPr>
                      <w:color w:val="auto"/>
                    </w:rPr>
                  </w:pPr>
                  <w:r>
                    <w:rPr>
                      <w:rFonts w:hint="eastAsia"/>
                      <w:color w:val="auto"/>
                    </w:rPr>
                    <w:t>71.0</w:t>
                  </w:r>
                </w:p>
              </w:tc>
              <w:tc>
                <w:tcPr>
                  <w:tcW w:w="675" w:type="dxa"/>
                  <w:vAlign w:val="center"/>
                </w:tcPr>
                <w:p>
                  <w:pPr>
                    <w:pStyle w:val="11"/>
                    <w:jc w:val="center"/>
                    <w:rPr>
                      <w:color w:val="auto"/>
                    </w:rPr>
                  </w:pPr>
                  <w:r>
                    <w:rPr>
                      <w:rFonts w:hint="eastAsia"/>
                      <w:color w:val="auto"/>
                    </w:rPr>
                    <w:t>90</w:t>
                  </w:r>
                </w:p>
              </w:tc>
              <w:tc>
                <w:tcPr>
                  <w:tcW w:w="725" w:type="dxa"/>
                  <w:vAlign w:val="center"/>
                </w:tcPr>
                <w:p>
                  <w:pPr>
                    <w:pStyle w:val="11"/>
                    <w:jc w:val="center"/>
                    <w:rPr>
                      <w:color w:val="auto"/>
                    </w:rPr>
                  </w:pPr>
                  <w:r>
                    <w:rPr>
                      <w:color w:val="auto"/>
                    </w:rPr>
                    <w:t>31.9</w:t>
                  </w:r>
                </w:p>
              </w:tc>
              <w:tc>
                <w:tcPr>
                  <w:tcW w:w="538" w:type="dxa"/>
                  <w:vAlign w:val="center"/>
                </w:tcPr>
                <w:p>
                  <w:pPr>
                    <w:pStyle w:val="11"/>
                    <w:jc w:val="center"/>
                    <w:rPr>
                      <w:color w:val="auto"/>
                      <w:kern w:val="2"/>
                    </w:rPr>
                  </w:pPr>
                  <w:r>
                    <w:rPr>
                      <w:rFonts w:hint="eastAsia"/>
                      <w:color w:val="auto"/>
                      <w:kern w:val="2"/>
                    </w:rPr>
                    <w:t>80</w:t>
                  </w:r>
                </w:p>
              </w:tc>
              <w:tc>
                <w:tcPr>
                  <w:tcW w:w="610" w:type="dxa"/>
                  <w:vAlign w:val="center"/>
                </w:tcPr>
                <w:p>
                  <w:pPr>
                    <w:pStyle w:val="11"/>
                    <w:jc w:val="center"/>
                    <w:rPr>
                      <w:color w:val="auto"/>
                    </w:rPr>
                  </w:pPr>
                  <w:r>
                    <w:rPr>
                      <w:color w:val="auto"/>
                    </w:rPr>
                    <w:t>32.9</w:t>
                  </w:r>
                </w:p>
              </w:tc>
              <w:tc>
                <w:tcPr>
                  <w:tcW w:w="690" w:type="dxa"/>
                  <w:vAlign w:val="center"/>
                </w:tcPr>
                <w:p>
                  <w:pPr>
                    <w:pStyle w:val="11"/>
                    <w:jc w:val="center"/>
                    <w:rPr>
                      <w:color w:val="auto"/>
                    </w:rPr>
                  </w:pPr>
                  <w:r>
                    <w:rPr>
                      <w:rFonts w:hint="eastAsia"/>
                      <w:color w:val="auto"/>
                    </w:rPr>
                    <w:t>90</w:t>
                  </w:r>
                </w:p>
              </w:tc>
              <w:tc>
                <w:tcPr>
                  <w:tcW w:w="640" w:type="dxa"/>
                  <w:vAlign w:val="center"/>
                </w:tcPr>
                <w:p>
                  <w:pPr>
                    <w:pStyle w:val="11"/>
                    <w:jc w:val="center"/>
                    <w:rPr>
                      <w:color w:val="auto"/>
                    </w:rPr>
                  </w:pPr>
                  <w:r>
                    <w:rPr>
                      <w:color w:val="auto"/>
                    </w:rPr>
                    <w:t>31.9</w:t>
                  </w:r>
                </w:p>
              </w:tc>
              <w:tc>
                <w:tcPr>
                  <w:tcW w:w="585" w:type="dxa"/>
                  <w:vAlign w:val="center"/>
                </w:tcPr>
                <w:p>
                  <w:pPr>
                    <w:pStyle w:val="11"/>
                    <w:jc w:val="center"/>
                    <w:rPr>
                      <w:color w:val="auto"/>
                      <w:kern w:val="2"/>
                    </w:rPr>
                  </w:pPr>
                  <w:r>
                    <w:rPr>
                      <w:rFonts w:hint="eastAsia"/>
                      <w:color w:val="auto"/>
                      <w:kern w:val="2"/>
                    </w:rPr>
                    <w:t>220</w:t>
                  </w:r>
                </w:p>
              </w:tc>
              <w:tc>
                <w:tcPr>
                  <w:tcW w:w="701" w:type="dxa"/>
                  <w:vAlign w:val="center"/>
                </w:tcPr>
                <w:p>
                  <w:pPr>
                    <w:pStyle w:val="11"/>
                    <w:jc w:val="center"/>
                    <w:rPr>
                      <w:color w:val="auto"/>
                    </w:rPr>
                  </w:pPr>
                  <w:r>
                    <w:rPr>
                      <w:color w:val="auto"/>
                    </w:rPr>
                    <w:t>24.1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全自动包装机（1号车间）</w:t>
                  </w:r>
                </w:p>
              </w:tc>
              <w:tc>
                <w:tcPr>
                  <w:tcW w:w="1084" w:type="dxa"/>
                  <w:vAlign w:val="center"/>
                </w:tcPr>
                <w:p>
                  <w:pPr>
                    <w:pStyle w:val="11"/>
                    <w:jc w:val="center"/>
                    <w:rPr>
                      <w:color w:val="auto"/>
                    </w:rPr>
                  </w:pPr>
                  <w:r>
                    <w:rPr>
                      <w:rFonts w:hint="eastAsia"/>
                      <w:color w:val="auto"/>
                    </w:rPr>
                    <w:t>65</w:t>
                  </w:r>
                </w:p>
              </w:tc>
              <w:tc>
                <w:tcPr>
                  <w:tcW w:w="679" w:type="dxa"/>
                  <w:vAlign w:val="center"/>
                </w:tcPr>
                <w:p>
                  <w:pPr>
                    <w:pStyle w:val="11"/>
                    <w:jc w:val="center"/>
                    <w:rPr>
                      <w:color w:val="auto"/>
                    </w:rPr>
                  </w:pPr>
                  <w:r>
                    <w:rPr>
                      <w:rFonts w:hint="eastAsia"/>
                      <w:color w:val="auto"/>
                    </w:rPr>
                    <w:t>1</w:t>
                  </w:r>
                </w:p>
              </w:tc>
              <w:tc>
                <w:tcPr>
                  <w:tcW w:w="966" w:type="dxa"/>
                  <w:vAlign w:val="center"/>
                </w:tcPr>
                <w:p>
                  <w:pPr>
                    <w:pStyle w:val="11"/>
                    <w:jc w:val="center"/>
                    <w:rPr>
                      <w:color w:val="auto"/>
                    </w:rPr>
                  </w:pPr>
                  <w:r>
                    <w:rPr>
                      <w:rFonts w:hint="eastAsia"/>
                      <w:color w:val="auto"/>
                    </w:rPr>
                    <w:t>65.0</w:t>
                  </w:r>
                </w:p>
              </w:tc>
              <w:tc>
                <w:tcPr>
                  <w:tcW w:w="675" w:type="dxa"/>
                  <w:vAlign w:val="center"/>
                </w:tcPr>
                <w:p>
                  <w:pPr>
                    <w:pStyle w:val="11"/>
                    <w:jc w:val="center"/>
                    <w:rPr>
                      <w:color w:val="auto"/>
                    </w:rPr>
                  </w:pPr>
                  <w:r>
                    <w:rPr>
                      <w:rFonts w:hint="eastAsia"/>
                      <w:color w:val="auto"/>
                    </w:rPr>
                    <w:t>100</w:t>
                  </w:r>
                </w:p>
              </w:tc>
              <w:tc>
                <w:tcPr>
                  <w:tcW w:w="725" w:type="dxa"/>
                  <w:vAlign w:val="center"/>
                </w:tcPr>
                <w:p>
                  <w:pPr>
                    <w:pStyle w:val="11"/>
                    <w:jc w:val="center"/>
                    <w:rPr>
                      <w:color w:val="auto"/>
                    </w:rPr>
                  </w:pPr>
                  <w:r>
                    <w:rPr>
                      <w:color w:val="auto"/>
                    </w:rPr>
                    <w:t>25</w:t>
                  </w:r>
                  <w:r>
                    <w:rPr>
                      <w:rFonts w:hint="eastAsia"/>
                      <w:color w:val="auto"/>
                    </w:rPr>
                    <w:t>.0</w:t>
                  </w:r>
                </w:p>
              </w:tc>
              <w:tc>
                <w:tcPr>
                  <w:tcW w:w="538" w:type="dxa"/>
                  <w:vAlign w:val="center"/>
                </w:tcPr>
                <w:p>
                  <w:pPr>
                    <w:pStyle w:val="11"/>
                    <w:jc w:val="center"/>
                    <w:rPr>
                      <w:color w:val="auto"/>
                      <w:kern w:val="2"/>
                    </w:rPr>
                  </w:pPr>
                  <w:r>
                    <w:rPr>
                      <w:rFonts w:hint="eastAsia"/>
                      <w:color w:val="auto"/>
                      <w:kern w:val="2"/>
                    </w:rPr>
                    <w:t>260</w:t>
                  </w:r>
                </w:p>
              </w:tc>
              <w:tc>
                <w:tcPr>
                  <w:tcW w:w="610" w:type="dxa"/>
                  <w:vAlign w:val="center"/>
                </w:tcPr>
                <w:p>
                  <w:pPr>
                    <w:pStyle w:val="11"/>
                    <w:jc w:val="center"/>
                    <w:rPr>
                      <w:color w:val="auto"/>
                    </w:rPr>
                  </w:pPr>
                  <w:r>
                    <w:rPr>
                      <w:color w:val="auto"/>
                    </w:rPr>
                    <w:t>16.7</w:t>
                  </w:r>
                </w:p>
              </w:tc>
              <w:tc>
                <w:tcPr>
                  <w:tcW w:w="690" w:type="dxa"/>
                  <w:vAlign w:val="center"/>
                </w:tcPr>
                <w:p>
                  <w:pPr>
                    <w:pStyle w:val="11"/>
                    <w:jc w:val="center"/>
                    <w:rPr>
                      <w:color w:val="auto"/>
                    </w:rPr>
                  </w:pPr>
                  <w:r>
                    <w:rPr>
                      <w:rFonts w:hint="eastAsia"/>
                      <w:color w:val="auto"/>
                    </w:rPr>
                    <w:t>80</w:t>
                  </w:r>
                </w:p>
              </w:tc>
              <w:tc>
                <w:tcPr>
                  <w:tcW w:w="640" w:type="dxa"/>
                  <w:vAlign w:val="center"/>
                </w:tcPr>
                <w:p>
                  <w:pPr>
                    <w:pStyle w:val="11"/>
                    <w:jc w:val="center"/>
                    <w:rPr>
                      <w:color w:val="auto"/>
                    </w:rPr>
                  </w:pPr>
                  <w:r>
                    <w:rPr>
                      <w:color w:val="auto"/>
                    </w:rPr>
                    <w:t>26.9</w:t>
                  </w:r>
                </w:p>
              </w:tc>
              <w:tc>
                <w:tcPr>
                  <w:tcW w:w="585" w:type="dxa"/>
                  <w:vAlign w:val="center"/>
                </w:tcPr>
                <w:p>
                  <w:pPr>
                    <w:pStyle w:val="11"/>
                    <w:jc w:val="center"/>
                    <w:rPr>
                      <w:color w:val="auto"/>
                      <w:kern w:val="2"/>
                    </w:rPr>
                  </w:pPr>
                  <w:r>
                    <w:rPr>
                      <w:rFonts w:hint="eastAsia"/>
                      <w:color w:val="auto"/>
                      <w:kern w:val="2"/>
                    </w:rPr>
                    <w:t>40</w:t>
                  </w:r>
                </w:p>
              </w:tc>
              <w:tc>
                <w:tcPr>
                  <w:tcW w:w="701" w:type="dxa"/>
                  <w:vAlign w:val="center"/>
                </w:tcPr>
                <w:p>
                  <w:pPr>
                    <w:pStyle w:val="11"/>
                    <w:jc w:val="center"/>
                    <w:rPr>
                      <w:color w:val="auto"/>
                    </w:rPr>
                  </w:pPr>
                  <w:r>
                    <w:rPr>
                      <w:color w:val="auto"/>
                    </w:rPr>
                    <w:t>32.9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全自动包装机（2号车间）</w:t>
                  </w:r>
                </w:p>
              </w:tc>
              <w:tc>
                <w:tcPr>
                  <w:tcW w:w="1084" w:type="dxa"/>
                  <w:vAlign w:val="center"/>
                </w:tcPr>
                <w:p>
                  <w:pPr>
                    <w:pStyle w:val="11"/>
                    <w:jc w:val="center"/>
                    <w:rPr>
                      <w:color w:val="auto"/>
                    </w:rPr>
                  </w:pPr>
                  <w:r>
                    <w:rPr>
                      <w:rFonts w:hint="eastAsia"/>
                      <w:color w:val="auto"/>
                    </w:rPr>
                    <w:t>65</w:t>
                  </w:r>
                </w:p>
              </w:tc>
              <w:tc>
                <w:tcPr>
                  <w:tcW w:w="679" w:type="dxa"/>
                  <w:vAlign w:val="center"/>
                </w:tcPr>
                <w:p>
                  <w:pPr>
                    <w:pStyle w:val="11"/>
                    <w:jc w:val="center"/>
                    <w:rPr>
                      <w:color w:val="auto"/>
                    </w:rPr>
                  </w:pPr>
                  <w:r>
                    <w:rPr>
                      <w:rFonts w:hint="eastAsia"/>
                      <w:color w:val="auto"/>
                    </w:rPr>
                    <w:t>2</w:t>
                  </w:r>
                </w:p>
              </w:tc>
              <w:tc>
                <w:tcPr>
                  <w:tcW w:w="966" w:type="dxa"/>
                  <w:vAlign w:val="center"/>
                </w:tcPr>
                <w:p>
                  <w:pPr>
                    <w:pStyle w:val="11"/>
                    <w:jc w:val="center"/>
                    <w:rPr>
                      <w:color w:val="auto"/>
                    </w:rPr>
                  </w:pPr>
                  <w:r>
                    <w:rPr>
                      <w:rFonts w:hint="eastAsia"/>
                      <w:color w:val="auto"/>
                    </w:rPr>
                    <w:t>68.0</w:t>
                  </w:r>
                </w:p>
              </w:tc>
              <w:tc>
                <w:tcPr>
                  <w:tcW w:w="675" w:type="dxa"/>
                  <w:vAlign w:val="center"/>
                </w:tcPr>
                <w:p>
                  <w:pPr>
                    <w:pStyle w:val="11"/>
                    <w:jc w:val="center"/>
                    <w:rPr>
                      <w:color w:val="auto"/>
                    </w:rPr>
                  </w:pPr>
                  <w:r>
                    <w:rPr>
                      <w:rFonts w:hint="eastAsia"/>
                      <w:color w:val="auto"/>
                    </w:rPr>
                    <w:t>80</w:t>
                  </w:r>
                </w:p>
              </w:tc>
              <w:tc>
                <w:tcPr>
                  <w:tcW w:w="725" w:type="dxa"/>
                  <w:vAlign w:val="center"/>
                </w:tcPr>
                <w:p>
                  <w:pPr>
                    <w:pStyle w:val="11"/>
                    <w:jc w:val="center"/>
                    <w:rPr>
                      <w:color w:val="auto"/>
                    </w:rPr>
                  </w:pPr>
                  <w:r>
                    <w:rPr>
                      <w:color w:val="auto"/>
                    </w:rPr>
                    <w:t>29.9</w:t>
                  </w:r>
                </w:p>
              </w:tc>
              <w:tc>
                <w:tcPr>
                  <w:tcW w:w="538" w:type="dxa"/>
                  <w:vAlign w:val="center"/>
                </w:tcPr>
                <w:p>
                  <w:pPr>
                    <w:pStyle w:val="11"/>
                    <w:jc w:val="center"/>
                    <w:rPr>
                      <w:color w:val="auto"/>
                      <w:kern w:val="2"/>
                    </w:rPr>
                  </w:pPr>
                  <w:r>
                    <w:rPr>
                      <w:rFonts w:hint="eastAsia"/>
                      <w:color w:val="auto"/>
                      <w:kern w:val="2"/>
                    </w:rPr>
                    <w:t>170</w:t>
                  </w:r>
                </w:p>
              </w:tc>
              <w:tc>
                <w:tcPr>
                  <w:tcW w:w="610" w:type="dxa"/>
                  <w:vAlign w:val="center"/>
                </w:tcPr>
                <w:p>
                  <w:pPr>
                    <w:pStyle w:val="11"/>
                    <w:jc w:val="center"/>
                    <w:rPr>
                      <w:color w:val="auto"/>
                    </w:rPr>
                  </w:pPr>
                  <w:r>
                    <w:rPr>
                      <w:color w:val="auto"/>
                    </w:rPr>
                    <w:t>23.3</w:t>
                  </w:r>
                </w:p>
              </w:tc>
              <w:tc>
                <w:tcPr>
                  <w:tcW w:w="690" w:type="dxa"/>
                  <w:vAlign w:val="center"/>
                </w:tcPr>
                <w:p>
                  <w:pPr>
                    <w:pStyle w:val="11"/>
                    <w:jc w:val="center"/>
                    <w:rPr>
                      <w:color w:val="auto"/>
                    </w:rPr>
                  </w:pPr>
                  <w:r>
                    <w:rPr>
                      <w:rFonts w:hint="eastAsia"/>
                      <w:color w:val="auto"/>
                    </w:rPr>
                    <w:t>100</w:t>
                  </w:r>
                </w:p>
              </w:tc>
              <w:tc>
                <w:tcPr>
                  <w:tcW w:w="640" w:type="dxa"/>
                  <w:vAlign w:val="center"/>
                </w:tcPr>
                <w:p>
                  <w:pPr>
                    <w:pStyle w:val="11"/>
                    <w:jc w:val="center"/>
                    <w:rPr>
                      <w:color w:val="auto"/>
                    </w:rPr>
                  </w:pPr>
                  <w:r>
                    <w:rPr>
                      <w:rFonts w:hint="eastAsia"/>
                      <w:color w:val="auto"/>
                    </w:rPr>
                    <w:t>28.0</w:t>
                  </w:r>
                </w:p>
              </w:tc>
              <w:tc>
                <w:tcPr>
                  <w:tcW w:w="585" w:type="dxa"/>
                  <w:vAlign w:val="center"/>
                </w:tcPr>
                <w:p>
                  <w:pPr>
                    <w:pStyle w:val="11"/>
                    <w:jc w:val="center"/>
                    <w:rPr>
                      <w:color w:val="auto"/>
                      <w:kern w:val="2"/>
                    </w:rPr>
                  </w:pPr>
                  <w:r>
                    <w:rPr>
                      <w:rFonts w:hint="eastAsia"/>
                      <w:color w:val="auto"/>
                      <w:kern w:val="2"/>
                    </w:rPr>
                    <w:t>130</w:t>
                  </w:r>
                </w:p>
              </w:tc>
              <w:tc>
                <w:tcPr>
                  <w:tcW w:w="701" w:type="dxa"/>
                  <w:vAlign w:val="center"/>
                </w:tcPr>
                <w:p>
                  <w:pPr>
                    <w:pStyle w:val="11"/>
                    <w:jc w:val="center"/>
                    <w:rPr>
                      <w:color w:val="auto"/>
                    </w:rPr>
                  </w:pPr>
                  <w:r>
                    <w:rPr>
                      <w:color w:val="auto"/>
                    </w:rPr>
                    <w:t>25.7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全自动包装机（4号车间）</w:t>
                  </w:r>
                </w:p>
              </w:tc>
              <w:tc>
                <w:tcPr>
                  <w:tcW w:w="1084" w:type="dxa"/>
                  <w:vAlign w:val="center"/>
                </w:tcPr>
                <w:p>
                  <w:pPr>
                    <w:pStyle w:val="11"/>
                    <w:jc w:val="center"/>
                    <w:rPr>
                      <w:color w:val="auto"/>
                    </w:rPr>
                  </w:pPr>
                  <w:r>
                    <w:rPr>
                      <w:rFonts w:hint="eastAsia"/>
                      <w:color w:val="auto"/>
                    </w:rPr>
                    <w:t>65</w:t>
                  </w:r>
                </w:p>
              </w:tc>
              <w:tc>
                <w:tcPr>
                  <w:tcW w:w="679" w:type="dxa"/>
                  <w:vAlign w:val="center"/>
                </w:tcPr>
                <w:p>
                  <w:pPr>
                    <w:pStyle w:val="11"/>
                    <w:jc w:val="center"/>
                    <w:rPr>
                      <w:color w:val="auto"/>
                    </w:rPr>
                  </w:pPr>
                  <w:r>
                    <w:rPr>
                      <w:rFonts w:hint="eastAsia"/>
                      <w:color w:val="auto"/>
                    </w:rPr>
                    <w:t>1</w:t>
                  </w:r>
                </w:p>
              </w:tc>
              <w:tc>
                <w:tcPr>
                  <w:tcW w:w="966" w:type="dxa"/>
                  <w:vAlign w:val="center"/>
                </w:tcPr>
                <w:p>
                  <w:pPr>
                    <w:pStyle w:val="11"/>
                    <w:jc w:val="center"/>
                    <w:rPr>
                      <w:color w:val="auto"/>
                    </w:rPr>
                  </w:pPr>
                  <w:r>
                    <w:rPr>
                      <w:rFonts w:hint="eastAsia"/>
                      <w:color w:val="auto"/>
                    </w:rPr>
                    <w:t>65.0</w:t>
                  </w:r>
                </w:p>
              </w:tc>
              <w:tc>
                <w:tcPr>
                  <w:tcW w:w="675" w:type="dxa"/>
                  <w:vAlign w:val="center"/>
                </w:tcPr>
                <w:p>
                  <w:pPr>
                    <w:pStyle w:val="11"/>
                    <w:jc w:val="center"/>
                    <w:rPr>
                      <w:color w:val="auto"/>
                    </w:rPr>
                  </w:pPr>
                  <w:r>
                    <w:rPr>
                      <w:rFonts w:hint="eastAsia"/>
                      <w:color w:val="auto"/>
                    </w:rPr>
                    <w:t>80</w:t>
                  </w:r>
                </w:p>
              </w:tc>
              <w:tc>
                <w:tcPr>
                  <w:tcW w:w="725" w:type="dxa"/>
                  <w:vAlign w:val="center"/>
                </w:tcPr>
                <w:p>
                  <w:pPr>
                    <w:pStyle w:val="11"/>
                    <w:jc w:val="center"/>
                    <w:rPr>
                      <w:color w:val="auto"/>
                    </w:rPr>
                  </w:pPr>
                  <w:r>
                    <w:rPr>
                      <w:color w:val="auto"/>
                    </w:rPr>
                    <w:t>26.9</w:t>
                  </w:r>
                </w:p>
              </w:tc>
              <w:tc>
                <w:tcPr>
                  <w:tcW w:w="538" w:type="dxa"/>
                  <w:vAlign w:val="center"/>
                </w:tcPr>
                <w:p>
                  <w:pPr>
                    <w:pStyle w:val="11"/>
                    <w:jc w:val="center"/>
                    <w:rPr>
                      <w:color w:val="auto"/>
                      <w:kern w:val="2"/>
                    </w:rPr>
                  </w:pPr>
                  <w:r>
                    <w:rPr>
                      <w:rFonts w:hint="eastAsia"/>
                      <w:color w:val="auto"/>
                      <w:kern w:val="2"/>
                    </w:rPr>
                    <w:t>70</w:t>
                  </w:r>
                </w:p>
              </w:tc>
              <w:tc>
                <w:tcPr>
                  <w:tcW w:w="610" w:type="dxa"/>
                  <w:vAlign w:val="center"/>
                </w:tcPr>
                <w:p>
                  <w:pPr>
                    <w:pStyle w:val="11"/>
                    <w:jc w:val="center"/>
                    <w:rPr>
                      <w:color w:val="auto"/>
                    </w:rPr>
                  </w:pPr>
                  <w:r>
                    <w:rPr>
                      <w:color w:val="auto"/>
                    </w:rPr>
                    <w:t>28.0</w:t>
                  </w:r>
                </w:p>
              </w:tc>
              <w:tc>
                <w:tcPr>
                  <w:tcW w:w="690" w:type="dxa"/>
                  <w:vAlign w:val="center"/>
                </w:tcPr>
                <w:p>
                  <w:pPr>
                    <w:pStyle w:val="11"/>
                    <w:jc w:val="center"/>
                    <w:rPr>
                      <w:color w:val="auto"/>
                    </w:rPr>
                  </w:pPr>
                  <w:r>
                    <w:rPr>
                      <w:rFonts w:hint="eastAsia"/>
                      <w:color w:val="auto"/>
                    </w:rPr>
                    <w:t>100</w:t>
                  </w:r>
                </w:p>
              </w:tc>
              <w:tc>
                <w:tcPr>
                  <w:tcW w:w="640" w:type="dxa"/>
                  <w:vAlign w:val="center"/>
                </w:tcPr>
                <w:p>
                  <w:pPr>
                    <w:pStyle w:val="11"/>
                    <w:jc w:val="center"/>
                    <w:rPr>
                      <w:color w:val="auto"/>
                    </w:rPr>
                  </w:pPr>
                  <w:r>
                    <w:rPr>
                      <w:rFonts w:hint="eastAsia"/>
                      <w:color w:val="auto"/>
                    </w:rPr>
                    <w:t>25.0</w:t>
                  </w:r>
                </w:p>
              </w:tc>
              <w:tc>
                <w:tcPr>
                  <w:tcW w:w="585" w:type="dxa"/>
                  <w:vAlign w:val="center"/>
                </w:tcPr>
                <w:p>
                  <w:pPr>
                    <w:pStyle w:val="11"/>
                    <w:jc w:val="center"/>
                    <w:rPr>
                      <w:color w:val="auto"/>
                      <w:kern w:val="2"/>
                    </w:rPr>
                  </w:pPr>
                  <w:r>
                    <w:rPr>
                      <w:rFonts w:hint="eastAsia"/>
                      <w:color w:val="auto"/>
                      <w:kern w:val="2"/>
                    </w:rPr>
                    <w:t>230</w:t>
                  </w:r>
                </w:p>
              </w:tc>
              <w:tc>
                <w:tcPr>
                  <w:tcW w:w="701" w:type="dxa"/>
                  <w:vAlign w:val="center"/>
                </w:tcPr>
                <w:p>
                  <w:pPr>
                    <w:pStyle w:val="11"/>
                    <w:jc w:val="center"/>
                    <w:rPr>
                      <w:color w:val="auto"/>
                    </w:rPr>
                  </w:pPr>
                  <w:r>
                    <w:rPr>
                      <w:color w:val="auto"/>
                    </w:rPr>
                    <w:t>17.7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color w:val="auto"/>
                    </w:rPr>
                    <w:t>风机</w:t>
                  </w:r>
                  <w:r>
                    <w:rPr>
                      <w:rFonts w:hint="eastAsia"/>
                      <w:color w:val="auto"/>
                    </w:rPr>
                    <w:t>（1号车间）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2</w:t>
                  </w:r>
                </w:p>
              </w:tc>
              <w:tc>
                <w:tcPr>
                  <w:tcW w:w="966" w:type="dxa"/>
                  <w:vAlign w:val="center"/>
                </w:tcPr>
                <w:p>
                  <w:pPr>
                    <w:pStyle w:val="11"/>
                    <w:jc w:val="center"/>
                    <w:rPr>
                      <w:color w:val="auto"/>
                    </w:rPr>
                  </w:pPr>
                  <w:r>
                    <w:rPr>
                      <w:color w:val="auto"/>
                    </w:rPr>
                    <w:t>73.</w:t>
                  </w:r>
                  <w:r>
                    <w:rPr>
                      <w:rFonts w:hint="eastAsia"/>
                      <w:color w:val="auto"/>
                    </w:rPr>
                    <w:t>0</w:t>
                  </w:r>
                </w:p>
              </w:tc>
              <w:tc>
                <w:tcPr>
                  <w:tcW w:w="675" w:type="dxa"/>
                  <w:vAlign w:val="center"/>
                </w:tcPr>
                <w:p>
                  <w:pPr>
                    <w:pStyle w:val="11"/>
                    <w:jc w:val="center"/>
                    <w:rPr>
                      <w:color w:val="auto"/>
                    </w:rPr>
                  </w:pPr>
                  <w:r>
                    <w:rPr>
                      <w:rFonts w:hint="eastAsia"/>
                      <w:color w:val="auto"/>
                    </w:rPr>
                    <w:t>105</w:t>
                  </w:r>
                </w:p>
              </w:tc>
              <w:tc>
                <w:tcPr>
                  <w:tcW w:w="725" w:type="dxa"/>
                  <w:vAlign w:val="center"/>
                </w:tcPr>
                <w:p>
                  <w:pPr>
                    <w:pStyle w:val="11"/>
                    <w:jc w:val="center"/>
                    <w:rPr>
                      <w:color w:val="auto"/>
                    </w:rPr>
                  </w:pPr>
                  <w:r>
                    <w:rPr>
                      <w:color w:val="auto"/>
                    </w:rPr>
                    <w:t>32.5</w:t>
                  </w:r>
                </w:p>
              </w:tc>
              <w:tc>
                <w:tcPr>
                  <w:tcW w:w="538" w:type="dxa"/>
                  <w:vAlign w:val="center"/>
                </w:tcPr>
                <w:p>
                  <w:pPr>
                    <w:pStyle w:val="11"/>
                    <w:jc w:val="center"/>
                    <w:rPr>
                      <w:color w:val="auto"/>
                      <w:kern w:val="2"/>
                    </w:rPr>
                  </w:pPr>
                  <w:r>
                    <w:rPr>
                      <w:rFonts w:hint="eastAsia"/>
                      <w:color w:val="auto"/>
                      <w:kern w:val="2"/>
                    </w:rPr>
                    <w:t>250</w:t>
                  </w:r>
                </w:p>
              </w:tc>
              <w:tc>
                <w:tcPr>
                  <w:tcW w:w="610" w:type="dxa"/>
                  <w:vAlign w:val="center"/>
                </w:tcPr>
                <w:p>
                  <w:pPr>
                    <w:pStyle w:val="11"/>
                    <w:jc w:val="center"/>
                    <w:rPr>
                      <w:color w:val="auto"/>
                    </w:rPr>
                  </w:pPr>
                  <w:r>
                    <w:rPr>
                      <w:color w:val="auto"/>
                    </w:rPr>
                    <w:t>25.0</w:t>
                  </w:r>
                </w:p>
              </w:tc>
              <w:tc>
                <w:tcPr>
                  <w:tcW w:w="690" w:type="dxa"/>
                  <w:vAlign w:val="center"/>
                </w:tcPr>
                <w:p>
                  <w:pPr>
                    <w:pStyle w:val="11"/>
                    <w:jc w:val="center"/>
                    <w:rPr>
                      <w:color w:val="auto"/>
                    </w:rPr>
                  </w:pPr>
                  <w:r>
                    <w:rPr>
                      <w:rFonts w:hint="eastAsia"/>
                      <w:color w:val="auto"/>
                    </w:rPr>
                    <w:t>75</w:t>
                  </w:r>
                </w:p>
              </w:tc>
              <w:tc>
                <w:tcPr>
                  <w:tcW w:w="640" w:type="dxa"/>
                  <w:vAlign w:val="center"/>
                </w:tcPr>
                <w:p>
                  <w:pPr>
                    <w:pStyle w:val="11"/>
                    <w:jc w:val="center"/>
                    <w:rPr>
                      <w:color w:val="auto"/>
                    </w:rPr>
                  </w:pPr>
                  <w:r>
                    <w:rPr>
                      <w:color w:val="auto"/>
                    </w:rPr>
                    <w:t>35.4</w:t>
                  </w:r>
                </w:p>
              </w:tc>
              <w:tc>
                <w:tcPr>
                  <w:tcW w:w="585" w:type="dxa"/>
                  <w:vAlign w:val="center"/>
                </w:tcPr>
                <w:p>
                  <w:pPr>
                    <w:pStyle w:val="11"/>
                    <w:jc w:val="center"/>
                    <w:rPr>
                      <w:color w:val="auto"/>
                      <w:kern w:val="2"/>
                    </w:rPr>
                  </w:pPr>
                  <w:r>
                    <w:rPr>
                      <w:rFonts w:hint="eastAsia"/>
                      <w:color w:val="auto"/>
                      <w:kern w:val="2"/>
                    </w:rPr>
                    <w:t>50</w:t>
                  </w:r>
                </w:p>
              </w:tc>
              <w:tc>
                <w:tcPr>
                  <w:tcW w:w="701" w:type="dxa"/>
                  <w:vAlign w:val="center"/>
                </w:tcPr>
                <w:p>
                  <w:pPr>
                    <w:pStyle w:val="11"/>
                    <w:jc w:val="center"/>
                    <w:rPr>
                      <w:color w:val="auto"/>
                    </w:rPr>
                  </w:pPr>
                  <w:r>
                    <w:rPr>
                      <w:color w:val="auto"/>
                    </w:rPr>
                    <w:t>39.0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221"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风机</w:t>
                  </w:r>
                  <w:r>
                    <w:rPr>
                      <w:rFonts w:hint="eastAsia"/>
                      <w:color w:val="auto"/>
                    </w:rPr>
                    <w:t>（</w:t>
                  </w:r>
                  <w:r>
                    <w:rPr>
                      <w:rFonts w:hint="eastAsia"/>
                      <w:color w:val="auto"/>
                      <w:lang w:val="en-US" w:eastAsia="zh-CN"/>
                    </w:rPr>
                    <w:t>2</w:t>
                  </w:r>
                  <w:r>
                    <w:rPr>
                      <w:rFonts w:hint="eastAsia"/>
                      <w:color w:val="auto"/>
                    </w:rPr>
                    <w:t>号车间）</w:t>
                  </w:r>
                </w:p>
              </w:tc>
              <w:tc>
                <w:tcPr>
                  <w:tcW w:w="1084"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70</w:t>
                  </w:r>
                </w:p>
              </w:tc>
              <w:tc>
                <w:tcPr>
                  <w:tcW w:w="679"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1</w:t>
                  </w:r>
                </w:p>
              </w:tc>
              <w:tc>
                <w:tcPr>
                  <w:tcW w:w="966"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7</w:t>
                  </w:r>
                  <w:r>
                    <w:rPr>
                      <w:rFonts w:hint="eastAsia"/>
                      <w:color w:val="auto"/>
                      <w:lang w:val="en-US" w:eastAsia="zh-CN"/>
                    </w:rPr>
                    <w:t>0</w:t>
                  </w:r>
                  <w:r>
                    <w:rPr>
                      <w:color w:val="auto"/>
                    </w:rPr>
                    <w:t>.</w:t>
                  </w:r>
                  <w:r>
                    <w:rPr>
                      <w:rFonts w:hint="eastAsia"/>
                      <w:color w:val="auto"/>
                    </w:rPr>
                    <w:t>0</w:t>
                  </w:r>
                </w:p>
              </w:tc>
              <w:tc>
                <w:tcPr>
                  <w:tcW w:w="675"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55</w:t>
                  </w:r>
                </w:p>
              </w:tc>
              <w:tc>
                <w:tcPr>
                  <w:tcW w:w="725" w:type="dxa"/>
                  <w:vAlign w:val="center"/>
                </w:tcPr>
                <w:p>
                  <w:pPr>
                    <w:pStyle w:val="11"/>
                    <w:jc w:val="center"/>
                    <w:rPr>
                      <w:rFonts w:ascii="Times New Roman" w:hAnsi="Times New Roman" w:eastAsia="宋体" w:cs="Times New Roman"/>
                      <w:color w:val="auto"/>
                      <w:sz w:val="21"/>
                      <w:szCs w:val="21"/>
                      <w:lang w:val="en-US" w:eastAsia="zh-CN" w:bidi="ar-SA"/>
                    </w:rPr>
                  </w:pPr>
                  <w:r>
                    <w:rPr>
                      <w:rFonts w:hint="eastAsia"/>
                      <w:color w:val="auto"/>
                    </w:rPr>
                    <w:t>35.1</w:t>
                  </w:r>
                </w:p>
              </w:tc>
              <w:tc>
                <w:tcPr>
                  <w:tcW w:w="538" w:type="dxa"/>
                  <w:vAlign w:val="center"/>
                </w:tcPr>
                <w:p>
                  <w:pPr>
                    <w:pStyle w:val="11"/>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rPr>
                    <w:t>165</w:t>
                  </w:r>
                </w:p>
              </w:tc>
              <w:tc>
                <w:tcPr>
                  <w:tcW w:w="610"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25.6</w:t>
                  </w:r>
                </w:p>
              </w:tc>
              <w:tc>
                <w:tcPr>
                  <w:tcW w:w="690"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125</w:t>
                  </w:r>
                </w:p>
              </w:tc>
              <w:tc>
                <w:tcPr>
                  <w:tcW w:w="640" w:type="dxa"/>
                  <w:vAlign w:val="center"/>
                </w:tcPr>
                <w:p>
                  <w:pPr>
                    <w:pStyle w:val="11"/>
                    <w:jc w:val="center"/>
                    <w:rPr>
                      <w:rFonts w:ascii="Times New Roman" w:hAnsi="Times New Roman" w:eastAsia="宋体" w:cs="Times New Roman"/>
                      <w:color w:val="auto"/>
                      <w:sz w:val="21"/>
                      <w:szCs w:val="21"/>
                      <w:lang w:val="en-US" w:eastAsia="zh-CN" w:bidi="ar-SA"/>
                    </w:rPr>
                  </w:pPr>
                  <w:r>
                    <w:rPr>
                      <w:rFonts w:hint="eastAsia"/>
                      <w:color w:val="auto"/>
                    </w:rPr>
                    <w:t>28.0</w:t>
                  </w:r>
                </w:p>
              </w:tc>
              <w:tc>
                <w:tcPr>
                  <w:tcW w:w="585" w:type="dxa"/>
                  <w:vAlign w:val="center"/>
                </w:tcPr>
                <w:p>
                  <w:pPr>
                    <w:pStyle w:val="11"/>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rPr>
                    <w:t>135</w:t>
                  </w:r>
                </w:p>
              </w:tc>
              <w:tc>
                <w:tcPr>
                  <w:tcW w:w="701"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27.3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风机</w:t>
                  </w:r>
                  <w:r>
                    <w:rPr>
                      <w:rFonts w:hint="eastAsia"/>
                      <w:color w:val="auto"/>
                    </w:rPr>
                    <w:t>（</w:t>
                  </w:r>
                  <w:r>
                    <w:rPr>
                      <w:rFonts w:hint="eastAsia"/>
                      <w:color w:val="auto"/>
                      <w:lang w:val="en-US" w:eastAsia="zh-CN"/>
                    </w:rPr>
                    <w:t>4</w:t>
                  </w:r>
                  <w:r>
                    <w:rPr>
                      <w:rFonts w:hint="eastAsia"/>
                      <w:color w:val="auto"/>
                    </w:rPr>
                    <w:t>号车间）</w:t>
                  </w:r>
                </w:p>
              </w:tc>
              <w:tc>
                <w:tcPr>
                  <w:tcW w:w="1084"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70</w:t>
                  </w:r>
                </w:p>
              </w:tc>
              <w:tc>
                <w:tcPr>
                  <w:tcW w:w="679"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1</w:t>
                  </w:r>
                </w:p>
              </w:tc>
              <w:tc>
                <w:tcPr>
                  <w:tcW w:w="966"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7</w:t>
                  </w:r>
                  <w:r>
                    <w:rPr>
                      <w:rFonts w:hint="eastAsia"/>
                      <w:color w:val="auto"/>
                      <w:lang w:val="en-US" w:eastAsia="zh-CN"/>
                    </w:rPr>
                    <w:t>0</w:t>
                  </w:r>
                  <w:r>
                    <w:rPr>
                      <w:color w:val="auto"/>
                    </w:rPr>
                    <w:t>.</w:t>
                  </w:r>
                  <w:r>
                    <w:rPr>
                      <w:rFonts w:hint="eastAsia"/>
                      <w:color w:val="auto"/>
                    </w:rPr>
                    <w:t>0</w:t>
                  </w:r>
                </w:p>
              </w:tc>
              <w:tc>
                <w:tcPr>
                  <w:tcW w:w="675"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90</w:t>
                  </w:r>
                </w:p>
              </w:tc>
              <w:tc>
                <w:tcPr>
                  <w:tcW w:w="725" w:type="dxa"/>
                  <w:vAlign w:val="center"/>
                </w:tcPr>
                <w:p>
                  <w:pPr>
                    <w:pStyle w:val="11"/>
                    <w:jc w:val="center"/>
                    <w:rPr>
                      <w:rFonts w:hint="eastAsia" w:ascii="Times New Roman" w:hAnsi="Times New Roman" w:eastAsia="宋体" w:cs="Times New Roman"/>
                      <w:color w:val="auto"/>
                      <w:sz w:val="21"/>
                      <w:szCs w:val="21"/>
                      <w:lang w:val="en-US" w:eastAsia="zh-CN" w:bidi="ar-SA"/>
                    </w:rPr>
                  </w:pPr>
                  <w:r>
                    <w:rPr>
                      <w:color w:val="auto"/>
                    </w:rPr>
                    <w:t>31.</w:t>
                  </w:r>
                  <w:r>
                    <w:rPr>
                      <w:rFonts w:hint="eastAsia"/>
                      <w:color w:val="auto"/>
                      <w:lang w:val="en-US" w:eastAsia="zh-CN"/>
                    </w:rPr>
                    <w:t>7</w:t>
                  </w:r>
                </w:p>
              </w:tc>
              <w:tc>
                <w:tcPr>
                  <w:tcW w:w="538" w:type="dxa"/>
                  <w:vAlign w:val="center"/>
                </w:tcPr>
                <w:p>
                  <w:pPr>
                    <w:pStyle w:val="11"/>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rPr>
                    <w:t>80</w:t>
                  </w:r>
                </w:p>
              </w:tc>
              <w:tc>
                <w:tcPr>
                  <w:tcW w:w="610" w:type="dxa"/>
                  <w:vAlign w:val="center"/>
                </w:tcPr>
                <w:p>
                  <w:pPr>
                    <w:pStyle w:val="11"/>
                    <w:jc w:val="center"/>
                    <w:rPr>
                      <w:rFonts w:hint="eastAsia" w:ascii="Times New Roman" w:hAnsi="Times New Roman" w:eastAsia="宋体" w:cs="Times New Roman"/>
                      <w:color w:val="auto"/>
                      <w:sz w:val="21"/>
                      <w:szCs w:val="21"/>
                      <w:lang w:val="en-US" w:eastAsia="zh-CN" w:bidi="ar-SA"/>
                    </w:rPr>
                  </w:pPr>
                  <w:r>
                    <w:rPr>
                      <w:color w:val="auto"/>
                    </w:rPr>
                    <w:t>32.</w:t>
                  </w:r>
                  <w:r>
                    <w:rPr>
                      <w:rFonts w:hint="eastAsia"/>
                      <w:color w:val="auto"/>
                      <w:lang w:val="en-US" w:eastAsia="zh-CN"/>
                    </w:rPr>
                    <w:t>7</w:t>
                  </w:r>
                </w:p>
              </w:tc>
              <w:tc>
                <w:tcPr>
                  <w:tcW w:w="690"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90</w:t>
                  </w:r>
                </w:p>
              </w:tc>
              <w:tc>
                <w:tcPr>
                  <w:tcW w:w="640" w:type="dxa"/>
                  <w:vAlign w:val="center"/>
                </w:tcPr>
                <w:p>
                  <w:pPr>
                    <w:pStyle w:val="11"/>
                    <w:jc w:val="center"/>
                    <w:rPr>
                      <w:rFonts w:hint="eastAsia" w:ascii="Times New Roman" w:hAnsi="Times New Roman" w:eastAsia="宋体" w:cs="Times New Roman"/>
                      <w:color w:val="auto"/>
                      <w:sz w:val="21"/>
                      <w:szCs w:val="21"/>
                      <w:lang w:val="en-US" w:eastAsia="zh-CN" w:bidi="ar-SA"/>
                    </w:rPr>
                  </w:pPr>
                  <w:r>
                    <w:rPr>
                      <w:color w:val="auto"/>
                    </w:rPr>
                    <w:t>31.</w:t>
                  </w:r>
                  <w:r>
                    <w:rPr>
                      <w:rFonts w:hint="eastAsia"/>
                      <w:color w:val="auto"/>
                      <w:lang w:val="en-US" w:eastAsia="zh-CN"/>
                    </w:rPr>
                    <w:t>7</w:t>
                  </w:r>
                </w:p>
              </w:tc>
              <w:tc>
                <w:tcPr>
                  <w:tcW w:w="585" w:type="dxa"/>
                  <w:vAlign w:val="center"/>
                </w:tcPr>
                <w:p>
                  <w:pPr>
                    <w:pStyle w:val="11"/>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rPr>
                    <w:t>220</w:t>
                  </w:r>
                </w:p>
              </w:tc>
              <w:tc>
                <w:tcPr>
                  <w:tcW w:w="701" w:type="dxa"/>
                  <w:vAlign w:val="center"/>
                </w:tcPr>
                <w:p>
                  <w:pPr>
                    <w:pStyle w:val="11"/>
                    <w:jc w:val="center"/>
                    <w:rPr>
                      <w:rFonts w:hint="eastAsia" w:ascii="Times New Roman" w:hAnsi="Times New Roman" w:eastAsia="宋体" w:cs="Times New Roman"/>
                      <w:color w:val="auto"/>
                      <w:sz w:val="21"/>
                      <w:szCs w:val="21"/>
                      <w:lang w:val="en-US" w:eastAsia="zh-CN" w:bidi="ar-SA"/>
                    </w:rPr>
                  </w:pPr>
                  <w:r>
                    <w:rPr>
                      <w:color w:val="auto"/>
                    </w:rPr>
                    <w:t>2</w:t>
                  </w:r>
                  <w:r>
                    <w:rPr>
                      <w:rFonts w:hint="eastAsia"/>
                      <w:color w:val="auto"/>
                      <w:lang w:val="en-US" w:eastAsia="zh-CN"/>
                    </w:rPr>
                    <w:t>3</w:t>
                  </w:r>
                  <w:r>
                    <w:rPr>
                      <w:color w:val="auto"/>
                    </w:rPr>
                    <w:t>.</w:t>
                  </w:r>
                  <w:r>
                    <w:rPr>
                      <w:rFonts w:hint="eastAsia"/>
                      <w:color w:val="auto"/>
                      <w:lang w:val="en-US" w:eastAsia="zh-CN"/>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风机</w:t>
                  </w:r>
                  <w:r>
                    <w:rPr>
                      <w:rFonts w:hint="eastAsia"/>
                      <w:color w:val="auto"/>
                    </w:rPr>
                    <w:t>（</w:t>
                  </w:r>
                  <w:r>
                    <w:rPr>
                      <w:rFonts w:hint="eastAsia"/>
                      <w:color w:val="auto"/>
                      <w:lang w:val="en-US" w:eastAsia="zh-CN"/>
                    </w:rPr>
                    <w:t>污水站</w:t>
                  </w:r>
                  <w:r>
                    <w:rPr>
                      <w:rFonts w:hint="eastAsia"/>
                      <w:color w:val="auto"/>
                    </w:rPr>
                    <w:t>）</w:t>
                  </w:r>
                </w:p>
              </w:tc>
              <w:tc>
                <w:tcPr>
                  <w:tcW w:w="1084"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70</w:t>
                  </w:r>
                </w:p>
              </w:tc>
              <w:tc>
                <w:tcPr>
                  <w:tcW w:w="679"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lang w:val="en-US" w:eastAsia="zh-CN"/>
                    </w:rPr>
                    <w:t>1</w:t>
                  </w:r>
                </w:p>
              </w:tc>
              <w:tc>
                <w:tcPr>
                  <w:tcW w:w="966"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7</w:t>
                  </w:r>
                  <w:r>
                    <w:rPr>
                      <w:rFonts w:hint="eastAsia"/>
                      <w:color w:val="auto"/>
                      <w:lang w:val="en-US" w:eastAsia="zh-CN"/>
                    </w:rPr>
                    <w:t>0</w:t>
                  </w:r>
                  <w:r>
                    <w:rPr>
                      <w:color w:val="auto"/>
                    </w:rPr>
                    <w:t>.</w:t>
                  </w:r>
                  <w:r>
                    <w:rPr>
                      <w:rFonts w:hint="eastAsia"/>
                      <w:color w:val="auto"/>
                    </w:rPr>
                    <w:t>0</w:t>
                  </w:r>
                </w:p>
              </w:tc>
              <w:tc>
                <w:tcPr>
                  <w:tcW w:w="675"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55</w:t>
                  </w:r>
                </w:p>
              </w:tc>
              <w:tc>
                <w:tcPr>
                  <w:tcW w:w="725" w:type="dxa"/>
                  <w:vAlign w:val="center"/>
                </w:tcPr>
                <w:p>
                  <w:pPr>
                    <w:pStyle w:val="11"/>
                    <w:jc w:val="center"/>
                    <w:rPr>
                      <w:rFonts w:ascii="Times New Roman" w:hAnsi="Times New Roman" w:eastAsia="宋体" w:cs="Times New Roman"/>
                      <w:color w:val="auto"/>
                      <w:sz w:val="21"/>
                      <w:szCs w:val="21"/>
                      <w:lang w:val="en-US" w:eastAsia="zh-CN" w:bidi="ar-SA"/>
                    </w:rPr>
                  </w:pPr>
                  <w:r>
                    <w:rPr>
                      <w:rFonts w:hint="eastAsia"/>
                      <w:color w:val="auto"/>
                    </w:rPr>
                    <w:t>35.1</w:t>
                  </w:r>
                </w:p>
              </w:tc>
              <w:tc>
                <w:tcPr>
                  <w:tcW w:w="538"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35</w:t>
                  </w:r>
                </w:p>
              </w:tc>
              <w:tc>
                <w:tcPr>
                  <w:tcW w:w="610"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48.1</w:t>
                  </w:r>
                </w:p>
              </w:tc>
              <w:tc>
                <w:tcPr>
                  <w:tcW w:w="690"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rPr>
                    <w:t>75</w:t>
                  </w:r>
                </w:p>
              </w:tc>
              <w:tc>
                <w:tcPr>
                  <w:tcW w:w="640" w:type="dxa"/>
                  <w:vAlign w:val="center"/>
                </w:tcPr>
                <w:p>
                  <w:pPr>
                    <w:pStyle w:val="11"/>
                    <w:jc w:val="center"/>
                    <w:rPr>
                      <w:rFonts w:ascii="Times New Roman" w:hAnsi="Times New Roman" w:eastAsia="宋体" w:cs="Times New Roman"/>
                      <w:color w:val="auto"/>
                      <w:sz w:val="21"/>
                      <w:szCs w:val="21"/>
                      <w:lang w:val="en-US" w:eastAsia="zh-CN" w:bidi="ar-SA"/>
                    </w:rPr>
                  </w:pPr>
                  <w:r>
                    <w:rPr>
                      <w:color w:val="auto"/>
                    </w:rPr>
                    <w:t>35.4</w:t>
                  </w:r>
                </w:p>
              </w:tc>
              <w:tc>
                <w:tcPr>
                  <w:tcW w:w="585" w:type="dxa"/>
                  <w:vAlign w:val="center"/>
                </w:tcPr>
                <w:p>
                  <w:pPr>
                    <w:pStyle w:val="11"/>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lang w:val="en-US" w:eastAsia="zh-CN"/>
                    </w:rPr>
                    <w:t>265</w:t>
                  </w:r>
                </w:p>
              </w:tc>
              <w:tc>
                <w:tcPr>
                  <w:tcW w:w="701" w:type="dxa"/>
                  <w:vAlign w:val="center"/>
                </w:tcPr>
                <w:p>
                  <w:pPr>
                    <w:pStyle w:val="11"/>
                    <w:jc w:val="center"/>
                    <w:rPr>
                      <w:rFonts w:ascii="Times New Roman" w:hAnsi="Times New Roman" w:eastAsia="宋体" w:cs="Times New Roman"/>
                      <w:color w:val="auto"/>
                      <w:sz w:val="21"/>
                      <w:szCs w:val="21"/>
                      <w:lang w:val="en-US" w:eastAsia="zh-CN" w:bidi="ar-SA"/>
                    </w:rPr>
                  </w:pPr>
                  <w:r>
                    <w:rPr>
                      <w:rFonts w:hint="eastAsia"/>
                      <w:color w:val="auto"/>
                      <w:lang w:val="en-US" w:eastAsia="zh-CN"/>
                    </w:rPr>
                    <w:t>20</w:t>
                  </w:r>
                  <w:r>
                    <w:rPr>
                      <w:color w:val="auto"/>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color w:val="auto"/>
                    </w:rPr>
                  </w:pPr>
                  <w:r>
                    <w:rPr>
                      <w:rFonts w:hint="eastAsia"/>
                      <w:color w:val="auto"/>
                    </w:rPr>
                    <w:t>空压机（1号车间）</w:t>
                  </w:r>
                </w:p>
              </w:tc>
              <w:tc>
                <w:tcPr>
                  <w:tcW w:w="1084" w:type="dxa"/>
                  <w:vAlign w:val="center"/>
                </w:tcPr>
                <w:p>
                  <w:pPr>
                    <w:pStyle w:val="11"/>
                    <w:jc w:val="center"/>
                    <w:rPr>
                      <w:color w:val="auto"/>
                    </w:rPr>
                  </w:pPr>
                  <w:r>
                    <w:rPr>
                      <w:rFonts w:hint="eastAsia"/>
                      <w:color w:val="auto"/>
                    </w:rPr>
                    <w:t>70</w:t>
                  </w:r>
                </w:p>
              </w:tc>
              <w:tc>
                <w:tcPr>
                  <w:tcW w:w="679" w:type="dxa"/>
                  <w:vAlign w:val="center"/>
                </w:tcPr>
                <w:p>
                  <w:pPr>
                    <w:pStyle w:val="11"/>
                    <w:jc w:val="center"/>
                    <w:rPr>
                      <w:color w:val="auto"/>
                    </w:rPr>
                  </w:pPr>
                  <w:r>
                    <w:rPr>
                      <w:rFonts w:hint="eastAsia"/>
                      <w:color w:val="auto"/>
                    </w:rPr>
                    <w:t>1</w:t>
                  </w:r>
                </w:p>
              </w:tc>
              <w:tc>
                <w:tcPr>
                  <w:tcW w:w="966" w:type="dxa"/>
                  <w:vAlign w:val="center"/>
                </w:tcPr>
                <w:p>
                  <w:pPr>
                    <w:pStyle w:val="11"/>
                    <w:jc w:val="center"/>
                    <w:rPr>
                      <w:color w:val="auto"/>
                    </w:rPr>
                  </w:pPr>
                  <w:r>
                    <w:rPr>
                      <w:rFonts w:hint="eastAsia"/>
                      <w:color w:val="auto"/>
                    </w:rPr>
                    <w:t>70.0</w:t>
                  </w:r>
                </w:p>
              </w:tc>
              <w:tc>
                <w:tcPr>
                  <w:tcW w:w="675" w:type="dxa"/>
                  <w:vAlign w:val="center"/>
                </w:tcPr>
                <w:p>
                  <w:pPr>
                    <w:pStyle w:val="11"/>
                    <w:jc w:val="center"/>
                    <w:rPr>
                      <w:color w:val="auto"/>
                    </w:rPr>
                  </w:pPr>
                  <w:r>
                    <w:rPr>
                      <w:rFonts w:hint="eastAsia"/>
                      <w:color w:val="auto"/>
                    </w:rPr>
                    <w:t>105</w:t>
                  </w:r>
                </w:p>
              </w:tc>
              <w:tc>
                <w:tcPr>
                  <w:tcW w:w="725" w:type="dxa"/>
                  <w:vAlign w:val="center"/>
                </w:tcPr>
                <w:p>
                  <w:pPr>
                    <w:pStyle w:val="11"/>
                    <w:jc w:val="center"/>
                    <w:rPr>
                      <w:color w:val="auto"/>
                    </w:rPr>
                  </w:pPr>
                  <w:r>
                    <w:rPr>
                      <w:color w:val="auto"/>
                    </w:rPr>
                    <w:t>29.5</w:t>
                  </w:r>
                </w:p>
              </w:tc>
              <w:tc>
                <w:tcPr>
                  <w:tcW w:w="538" w:type="dxa"/>
                  <w:vAlign w:val="center"/>
                </w:tcPr>
                <w:p>
                  <w:pPr>
                    <w:pStyle w:val="11"/>
                    <w:jc w:val="center"/>
                    <w:rPr>
                      <w:color w:val="auto"/>
                      <w:kern w:val="2"/>
                    </w:rPr>
                  </w:pPr>
                  <w:r>
                    <w:rPr>
                      <w:rFonts w:hint="eastAsia"/>
                      <w:color w:val="auto"/>
                      <w:kern w:val="2"/>
                    </w:rPr>
                    <w:t>270</w:t>
                  </w:r>
                </w:p>
              </w:tc>
              <w:tc>
                <w:tcPr>
                  <w:tcW w:w="610" w:type="dxa"/>
                  <w:vAlign w:val="center"/>
                </w:tcPr>
                <w:p>
                  <w:pPr>
                    <w:pStyle w:val="11"/>
                    <w:jc w:val="center"/>
                    <w:rPr>
                      <w:color w:val="auto"/>
                    </w:rPr>
                  </w:pPr>
                  <w:r>
                    <w:rPr>
                      <w:color w:val="auto"/>
                    </w:rPr>
                    <w:t>21.3</w:t>
                  </w:r>
                </w:p>
              </w:tc>
              <w:tc>
                <w:tcPr>
                  <w:tcW w:w="690" w:type="dxa"/>
                  <w:vAlign w:val="center"/>
                </w:tcPr>
                <w:p>
                  <w:pPr>
                    <w:pStyle w:val="11"/>
                    <w:jc w:val="center"/>
                    <w:rPr>
                      <w:color w:val="auto"/>
                    </w:rPr>
                  </w:pPr>
                  <w:r>
                    <w:rPr>
                      <w:rFonts w:hint="eastAsia"/>
                      <w:color w:val="auto"/>
                    </w:rPr>
                    <w:t>75</w:t>
                  </w:r>
                </w:p>
              </w:tc>
              <w:tc>
                <w:tcPr>
                  <w:tcW w:w="640" w:type="dxa"/>
                  <w:vAlign w:val="center"/>
                </w:tcPr>
                <w:p>
                  <w:pPr>
                    <w:pStyle w:val="11"/>
                    <w:jc w:val="center"/>
                    <w:rPr>
                      <w:color w:val="auto"/>
                    </w:rPr>
                  </w:pPr>
                  <w:r>
                    <w:rPr>
                      <w:color w:val="auto"/>
                    </w:rPr>
                    <w:t>32.4</w:t>
                  </w:r>
                </w:p>
              </w:tc>
              <w:tc>
                <w:tcPr>
                  <w:tcW w:w="585" w:type="dxa"/>
                  <w:vAlign w:val="center"/>
                </w:tcPr>
                <w:p>
                  <w:pPr>
                    <w:pStyle w:val="11"/>
                    <w:jc w:val="center"/>
                    <w:rPr>
                      <w:color w:val="auto"/>
                      <w:kern w:val="2"/>
                    </w:rPr>
                  </w:pPr>
                  <w:r>
                    <w:rPr>
                      <w:rFonts w:hint="eastAsia"/>
                      <w:color w:val="auto"/>
                      <w:kern w:val="2"/>
                    </w:rPr>
                    <w:t>30</w:t>
                  </w:r>
                </w:p>
              </w:tc>
              <w:tc>
                <w:tcPr>
                  <w:tcW w:w="701" w:type="dxa"/>
                  <w:vAlign w:val="center"/>
                </w:tcPr>
                <w:p>
                  <w:pPr>
                    <w:pStyle w:val="11"/>
                    <w:jc w:val="center"/>
                    <w:rPr>
                      <w:color w:val="auto"/>
                    </w:rPr>
                  </w:pPr>
                  <w:r>
                    <w:rPr>
                      <w:color w:val="auto"/>
                    </w:rPr>
                    <w:t>40.4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11"/>
                    <w:jc w:val="center"/>
                    <w:rPr>
                      <w:b/>
                      <w:bCs/>
                      <w:color w:val="auto"/>
                    </w:rPr>
                  </w:pPr>
                  <w:r>
                    <w:rPr>
                      <w:b/>
                      <w:bCs/>
                      <w:color w:val="auto"/>
                    </w:rPr>
                    <w:t>贡献值</w:t>
                  </w:r>
                </w:p>
              </w:tc>
              <w:tc>
                <w:tcPr>
                  <w:tcW w:w="2729" w:type="dxa"/>
                  <w:gridSpan w:val="3"/>
                  <w:vAlign w:val="center"/>
                </w:tcPr>
                <w:p>
                  <w:pPr>
                    <w:pStyle w:val="11"/>
                    <w:jc w:val="center"/>
                    <w:rPr>
                      <w:b/>
                      <w:bCs/>
                      <w:color w:val="auto"/>
                    </w:rPr>
                  </w:pPr>
                  <w:r>
                    <w:rPr>
                      <w:b/>
                      <w:bCs/>
                      <w:color w:val="auto"/>
                    </w:rPr>
                    <w:t>/</w:t>
                  </w:r>
                </w:p>
              </w:tc>
              <w:tc>
                <w:tcPr>
                  <w:tcW w:w="675" w:type="dxa"/>
                  <w:vAlign w:val="center"/>
                </w:tcPr>
                <w:p>
                  <w:pPr>
                    <w:pStyle w:val="11"/>
                    <w:jc w:val="center"/>
                    <w:rPr>
                      <w:b/>
                      <w:bCs/>
                      <w:color w:val="auto"/>
                    </w:rPr>
                  </w:pPr>
                  <w:r>
                    <w:rPr>
                      <w:b/>
                      <w:bCs/>
                      <w:color w:val="auto"/>
                    </w:rPr>
                    <w:t>/</w:t>
                  </w:r>
                </w:p>
              </w:tc>
              <w:tc>
                <w:tcPr>
                  <w:tcW w:w="725" w:type="dxa"/>
                  <w:vAlign w:val="center"/>
                </w:tcPr>
                <w:p>
                  <w:pPr>
                    <w:pStyle w:val="11"/>
                    <w:jc w:val="center"/>
                    <w:rPr>
                      <w:b/>
                      <w:bCs/>
                      <w:color w:val="auto"/>
                    </w:rPr>
                  </w:pPr>
                  <w:r>
                    <w:rPr>
                      <w:b/>
                      <w:bCs/>
                      <w:color w:val="auto"/>
                    </w:rPr>
                    <w:t>45.3</w:t>
                  </w:r>
                </w:p>
              </w:tc>
              <w:tc>
                <w:tcPr>
                  <w:tcW w:w="538" w:type="dxa"/>
                  <w:vAlign w:val="center"/>
                </w:tcPr>
                <w:p>
                  <w:pPr>
                    <w:pStyle w:val="11"/>
                    <w:jc w:val="center"/>
                    <w:rPr>
                      <w:b/>
                      <w:bCs/>
                      <w:color w:val="auto"/>
                      <w:kern w:val="2"/>
                    </w:rPr>
                  </w:pPr>
                  <w:r>
                    <w:rPr>
                      <w:b/>
                      <w:bCs/>
                      <w:color w:val="auto"/>
                      <w:kern w:val="2"/>
                    </w:rPr>
                    <w:t>/</w:t>
                  </w:r>
                </w:p>
              </w:tc>
              <w:tc>
                <w:tcPr>
                  <w:tcW w:w="610" w:type="dxa"/>
                  <w:vAlign w:val="center"/>
                </w:tcPr>
                <w:p>
                  <w:pPr>
                    <w:pStyle w:val="11"/>
                    <w:jc w:val="center"/>
                    <w:rPr>
                      <w:b/>
                      <w:bCs/>
                      <w:color w:val="auto"/>
                    </w:rPr>
                  </w:pPr>
                  <w:r>
                    <w:rPr>
                      <w:b/>
                      <w:bCs/>
                      <w:color w:val="auto"/>
                    </w:rPr>
                    <w:t>41.7</w:t>
                  </w:r>
                </w:p>
              </w:tc>
              <w:tc>
                <w:tcPr>
                  <w:tcW w:w="690" w:type="dxa"/>
                  <w:vAlign w:val="center"/>
                </w:tcPr>
                <w:p>
                  <w:pPr>
                    <w:pStyle w:val="11"/>
                    <w:jc w:val="center"/>
                    <w:rPr>
                      <w:b/>
                      <w:bCs/>
                      <w:color w:val="auto"/>
                    </w:rPr>
                  </w:pPr>
                  <w:r>
                    <w:rPr>
                      <w:b/>
                      <w:bCs/>
                      <w:color w:val="auto"/>
                    </w:rPr>
                    <w:t>/</w:t>
                  </w:r>
                </w:p>
              </w:tc>
              <w:tc>
                <w:tcPr>
                  <w:tcW w:w="640" w:type="dxa"/>
                  <w:vAlign w:val="center"/>
                </w:tcPr>
                <w:p>
                  <w:pPr>
                    <w:pStyle w:val="11"/>
                    <w:jc w:val="center"/>
                    <w:rPr>
                      <w:b/>
                      <w:bCs/>
                      <w:color w:val="auto"/>
                    </w:rPr>
                  </w:pPr>
                  <w:r>
                    <w:rPr>
                      <w:b/>
                      <w:bCs/>
                      <w:color w:val="auto"/>
                    </w:rPr>
                    <w:t>52.7</w:t>
                  </w:r>
                </w:p>
              </w:tc>
              <w:tc>
                <w:tcPr>
                  <w:tcW w:w="585" w:type="dxa"/>
                  <w:vAlign w:val="center"/>
                </w:tcPr>
                <w:p>
                  <w:pPr>
                    <w:pStyle w:val="11"/>
                    <w:jc w:val="center"/>
                    <w:rPr>
                      <w:b/>
                      <w:bCs/>
                      <w:color w:val="auto"/>
                      <w:kern w:val="2"/>
                    </w:rPr>
                  </w:pPr>
                  <w:r>
                    <w:rPr>
                      <w:b/>
                      <w:bCs/>
                      <w:color w:val="auto"/>
                      <w:kern w:val="2"/>
                    </w:rPr>
                    <w:t>/</w:t>
                  </w:r>
                </w:p>
              </w:tc>
              <w:tc>
                <w:tcPr>
                  <w:tcW w:w="701" w:type="dxa"/>
                  <w:vAlign w:val="center"/>
                </w:tcPr>
                <w:p>
                  <w:pPr>
                    <w:pStyle w:val="11"/>
                    <w:jc w:val="center"/>
                    <w:rPr>
                      <w:b/>
                      <w:bCs/>
                      <w:color w:val="auto"/>
                      <w:kern w:val="2"/>
                    </w:rPr>
                  </w:pPr>
                  <w:r>
                    <w:rPr>
                      <w:b/>
                      <w:bCs/>
                      <w:color w:val="auto"/>
                      <w:kern w:val="2"/>
                    </w:rPr>
                    <w:t>46.6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9114" w:type="dxa"/>
                  <w:gridSpan w:val="12"/>
                  <w:vAlign w:val="center"/>
                </w:tcPr>
                <w:p>
                  <w:pPr>
                    <w:pStyle w:val="11"/>
                    <w:jc w:val="both"/>
                    <w:rPr>
                      <w:color w:val="auto"/>
                      <w:kern w:val="2"/>
                    </w:rPr>
                  </w:pPr>
                  <w:r>
                    <w:rPr>
                      <w:color w:val="auto"/>
                      <w:kern w:val="2"/>
                    </w:rPr>
                    <w:t>注：</w:t>
                  </w:r>
                  <w:r>
                    <w:rPr>
                      <w:rFonts w:hint="eastAsia"/>
                      <w:color w:val="auto"/>
                      <w:kern w:val="2"/>
                    </w:rPr>
                    <w:t>①</w:t>
                  </w:r>
                  <w:r>
                    <w:rPr>
                      <w:color w:val="auto"/>
                      <w:kern w:val="2"/>
                    </w:rPr>
                    <w:t>项目产生噪声设备为室内声源</w:t>
                  </w:r>
                  <w:r>
                    <w:rPr>
                      <w:rFonts w:hint="eastAsia"/>
                      <w:color w:val="auto"/>
                      <w:kern w:val="2"/>
                    </w:rPr>
                    <w:t>；②项目生产车间厂区居中布置，根据报规文件，生产车间场界离厂区东南西北四至红线范围分别为25m、55m、25m、61m</w:t>
                  </w:r>
                  <w:r>
                    <w:rPr>
                      <w:color w:val="auto"/>
                      <w:kern w:val="2"/>
                    </w:rPr>
                    <w:t>；</w:t>
                  </w:r>
                </w:p>
              </w:tc>
            </w:tr>
          </w:tbl>
          <w:p>
            <w:pPr>
              <w:adjustRightInd w:val="0"/>
              <w:snapToGrid w:val="0"/>
              <w:ind w:firstLine="480"/>
              <w:rPr>
                <w:color w:val="auto"/>
              </w:rPr>
            </w:pPr>
            <w:r>
              <w:rPr>
                <w:color w:val="auto"/>
              </w:rPr>
              <w:t>总声级的计算</w:t>
            </w:r>
          </w:p>
          <w:p>
            <w:pPr>
              <w:adjustRightInd w:val="0"/>
              <w:snapToGrid w:val="0"/>
              <w:ind w:firstLine="480"/>
              <w:rPr>
                <w:color w:val="auto"/>
              </w:rPr>
            </w:pPr>
            <w:r>
              <w:rPr>
                <w:color w:val="auto"/>
              </w:rPr>
              <w:t>预测点的贡献值和背景值按能量叠加方法计算得到的声级</w:t>
            </w:r>
          </w:p>
          <w:p>
            <w:pPr>
              <w:adjustRightInd w:val="0"/>
              <w:snapToGrid w:val="0"/>
              <w:ind w:firstLine="480"/>
              <w:rPr>
                <w:color w:val="auto"/>
              </w:rPr>
            </w:pPr>
            <w:r>
              <w:rPr>
                <w:color w:val="auto"/>
              </w:rPr>
              <w:t>噪声预测值（ Leq ）计算公式为：</w:t>
            </w:r>
          </w:p>
          <w:p>
            <w:pPr>
              <w:adjustRightInd w:val="0"/>
              <w:snapToGrid w:val="0"/>
              <w:ind w:firstLine="0" w:firstLineChars="0"/>
              <w:jc w:val="center"/>
              <w:rPr>
                <w:color w:val="auto"/>
              </w:rPr>
            </w:pPr>
            <w:r>
              <w:rPr>
                <w:color w:val="auto"/>
                <w:position w:val="-10"/>
              </w:rPr>
              <w:object>
                <v:shape id="_x0000_i1035" o:spt="75" type="#_x0000_t75" style="height:29.5pt;width:197pt;" o:ole="t" filled="f" coordsize="21600,21600">
                  <v:path/>
                  <v:fill on="f" focussize="0,0"/>
                  <v:stroke/>
                  <v:imagedata r:id="rId45" o:title=""/>
                  <o:lock v:ext="edit" aspectratio="t"/>
                  <w10:wrap type="none"/>
                  <w10:anchorlock/>
                </v:shape>
                <o:OLEObject Type="Embed" ProgID="Equation.3" ShapeID="_x0000_i1035" DrawAspect="Content" ObjectID="_1468075735" r:id="rId44">
                  <o:LockedField>false</o:LockedField>
                </o:OLEObject>
              </w:object>
            </w:r>
          </w:p>
          <w:p>
            <w:pPr>
              <w:adjustRightInd w:val="0"/>
              <w:snapToGrid w:val="0"/>
              <w:ind w:firstLine="480"/>
              <w:rPr>
                <w:color w:val="auto"/>
              </w:rPr>
            </w:pPr>
            <w:r>
              <w:rPr>
                <w:color w:val="auto"/>
              </w:rPr>
              <w:t>式中：L</w:t>
            </w:r>
            <w:r>
              <w:rPr>
                <w:color w:val="auto"/>
                <w:vertAlign w:val="subscript"/>
              </w:rPr>
              <w:t>eq</w:t>
            </w:r>
            <w:r>
              <w:rPr>
                <w:color w:val="auto"/>
              </w:rPr>
              <w:t>—预测点的噪声预测值，dB；Leq</w:t>
            </w:r>
            <w:r>
              <w:rPr>
                <w:rFonts w:hint="eastAsia"/>
                <w:color w:val="auto"/>
              </w:rPr>
              <w:t>g</w:t>
            </w:r>
            <w:r>
              <w:rPr>
                <w:color w:val="auto"/>
              </w:rPr>
              <w:t>—建设项目声源在预测点产生的噪声贡献值，dB；Leq</w:t>
            </w:r>
            <w:r>
              <w:rPr>
                <w:rFonts w:hint="eastAsia"/>
                <w:color w:val="auto"/>
              </w:rPr>
              <w:t>b</w:t>
            </w:r>
            <w:r>
              <w:rPr>
                <w:color w:val="auto"/>
              </w:rPr>
              <w:t>—预测点的背景噪声值，dB</w:t>
            </w:r>
          </w:p>
          <w:p>
            <w:pPr>
              <w:adjustRightInd w:val="0"/>
              <w:snapToGrid w:val="0"/>
              <w:ind w:firstLine="482"/>
              <w:rPr>
                <w:b/>
                <w:bCs/>
                <w:color w:val="auto"/>
              </w:rPr>
            </w:pPr>
            <w:r>
              <w:rPr>
                <w:b/>
                <w:bCs/>
                <w:color w:val="auto"/>
              </w:rPr>
              <w:t>预测评价结果</w:t>
            </w:r>
          </w:p>
          <w:p>
            <w:pPr>
              <w:adjustRightInd w:val="0"/>
              <w:snapToGrid w:val="0"/>
              <w:ind w:firstLine="480"/>
              <w:rPr>
                <w:color w:val="auto"/>
              </w:rPr>
            </w:pPr>
            <w:r>
              <w:rPr>
                <w:color w:val="auto"/>
              </w:rPr>
              <w:t>根据不同设备的噪声级、确定的预测模式以及拟采取的降噪措施计算出不同距离处的噪声值。本项目夜间不生产，因此本报告仅对项目昼间噪声进行预测。项目厂界噪声影响预测结果见下表。</w:t>
            </w:r>
          </w:p>
          <w:p>
            <w:pPr>
              <w:pStyle w:val="11"/>
              <w:jc w:val="center"/>
              <w:rPr>
                <w:b/>
                <w:bCs/>
                <w:color w:val="auto"/>
              </w:rPr>
            </w:pPr>
            <w:r>
              <w:rPr>
                <w:b/>
                <w:bCs/>
                <w:color w:val="auto"/>
              </w:rPr>
              <w:t>表4-</w:t>
            </w:r>
            <w:r>
              <w:rPr>
                <w:rFonts w:hint="eastAsia"/>
                <w:b/>
                <w:bCs/>
                <w:color w:val="auto"/>
              </w:rPr>
              <w:t>11</w:t>
            </w:r>
            <w:r>
              <w:rPr>
                <w:b/>
                <w:bCs/>
                <w:color w:val="auto"/>
              </w:rPr>
              <w:t xml:space="preserve">       噪声影响预测结果     单位：dB(A)</w:t>
            </w:r>
          </w:p>
          <w:tbl>
            <w:tblPr>
              <w:tblStyle w:val="6"/>
              <w:tblW w:w="87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093"/>
              <w:gridCol w:w="699"/>
              <w:gridCol w:w="750"/>
              <w:gridCol w:w="648"/>
              <w:gridCol w:w="767"/>
              <w:gridCol w:w="699"/>
              <w:gridCol w:w="716"/>
              <w:gridCol w:w="750"/>
              <w:gridCol w:w="647"/>
              <w:gridCol w:w="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53" w:type="dxa"/>
                  <w:vMerge w:val="restart"/>
                  <w:vAlign w:val="center"/>
                </w:tcPr>
                <w:p>
                  <w:pPr>
                    <w:pStyle w:val="11"/>
                    <w:jc w:val="center"/>
                    <w:rPr>
                      <w:b/>
                      <w:bCs/>
                      <w:color w:val="auto"/>
                    </w:rPr>
                  </w:pPr>
                  <w:r>
                    <w:rPr>
                      <w:b/>
                      <w:bCs/>
                      <w:color w:val="auto"/>
                    </w:rPr>
                    <w:t>编号</w:t>
                  </w:r>
                </w:p>
              </w:tc>
              <w:tc>
                <w:tcPr>
                  <w:tcW w:w="1093" w:type="dxa"/>
                  <w:vMerge w:val="restart"/>
                  <w:vAlign w:val="center"/>
                </w:tcPr>
                <w:p>
                  <w:pPr>
                    <w:pStyle w:val="11"/>
                    <w:jc w:val="center"/>
                    <w:rPr>
                      <w:b/>
                      <w:bCs/>
                      <w:color w:val="auto"/>
                    </w:rPr>
                  </w:pPr>
                  <w:r>
                    <w:rPr>
                      <w:b/>
                      <w:bCs/>
                      <w:color w:val="auto"/>
                    </w:rPr>
                    <w:t>预测点</w:t>
                  </w:r>
                </w:p>
              </w:tc>
              <w:tc>
                <w:tcPr>
                  <w:tcW w:w="1449" w:type="dxa"/>
                  <w:gridSpan w:val="2"/>
                  <w:vAlign w:val="center"/>
                </w:tcPr>
                <w:p>
                  <w:pPr>
                    <w:pStyle w:val="11"/>
                    <w:jc w:val="center"/>
                    <w:rPr>
                      <w:b/>
                      <w:bCs/>
                      <w:color w:val="auto"/>
                    </w:rPr>
                  </w:pPr>
                  <w:r>
                    <w:rPr>
                      <w:rFonts w:hint="eastAsia"/>
                      <w:b/>
                      <w:bCs/>
                      <w:color w:val="auto"/>
                    </w:rPr>
                    <w:t>室内</w:t>
                  </w:r>
                  <w:r>
                    <w:rPr>
                      <w:b/>
                      <w:bCs/>
                      <w:color w:val="auto"/>
                    </w:rPr>
                    <w:t>贡献值</w:t>
                  </w:r>
                </w:p>
              </w:tc>
              <w:tc>
                <w:tcPr>
                  <w:tcW w:w="1415" w:type="dxa"/>
                  <w:gridSpan w:val="2"/>
                  <w:vAlign w:val="center"/>
                </w:tcPr>
                <w:p>
                  <w:pPr>
                    <w:pStyle w:val="11"/>
                    <w:jc w:val="center"/>
                    <w:rPr>
                      <w:b/>
                      <w:bCs/>
                      <w:color w:val="auto"/>
                    </w:rPr>
                  </w:pPr>
                  <w:r>
                    <w:rPr>
                      <w:b/>
                      <w:bCs/>
                      <w:color w:val="auto"/>
                    </w:rPr>
                    <w:t>室</w:t>
                  </w:r>
                  <w:r>
                    <w:rPr>
                      <w:rFonts w:hint="eastAsia"/>
                      <w:b/>
                      <w:bCs/>
                      <w:color w:val="auto"/>
                    </w:rPr>
                    <w:t>外</w:t>
                  </w:r>
                  <w:r>
                    <w:rPr>
                      <w:b/>
                      <w:bCs/>
                      <w:color w:val="auto"/>
                    </w:rPr>
                    <w:t>贡献值</w:t>
                  </w:r>
                </w:p>
              </w:tc>
              <w:tc>
                <w:tcPr>
                  <w:tcW w:w="1415" w:type="dxa"/>
                  <w:gridSpan w:val="2"/>
                  <w:vAlign w:val="center"/>
                </w:tcPr>
                <w:p>
                  <w:pPr>
                    <w:pStyle w:val="11"/>
                    <w:jc w:val="center"/>
                    <w:rPr>
                      <w:b/>
                      <w:bCs/>
                      <w:color w:val="auto"/>
                    </w:rPr>
                  </w:pPr>
                  <w:r>
                    <w:rPr>
                      <w:rFonts w:hint="eastAsia"/>
                      <w:b/>
                      <w:bCs/>
                      <w:color w:val="auto"/>
                    </w:rPr>
                    <w:t>叠加</w:t>
                  </w:r>
                  <w:r>
                    <w:rPr>
                      <w:b/>
                      <w:bCs/>
                      <w:color w:val="auto"/>
                    </w:rPr>
                    <w:t>预测值</w:t>
                  </w:r>
                </w:p>
              </w:tc>
              <w:tc>
                <w:tcPr>
                  <w:tcW w:w="1397" w:type="dxa"/>
                  <w:gridSpan w:val="2"/>
                  <w:vAlign w:val="center"/>
                </w:tcPr>
                <w:p>
                  <w:pPr>
                    <w:pStyle w:val="11"/>
                    <w:jc w:val="center"/>
                    <w:rPr>
                      <w:b/>
                      <w:bCs/>
                      <w:color w:val="auto"/>
                    </w:rPr>
                  </w:pPr>
                  <w:r>
                    <w:rPr>
                      <w:rFonts w:hint="eastAsia"/>
                      <w:b/>
                      <w:bCs/>
                      <w:color w:val="auto"/>
                    </w:rPr>
                    <w:t>标准值</w:t>
                  </w:r>
                </w:p>
              </w:tc>
              <w:tc>
                <w:tcPr>
                  <w:tcW w:w="825" w:type="dxa"/>
                  <w:vMerge w:val="restart"/>
                  <w:vAlign w:val="center"/>
                </w:tcPr>
                <w:p>
                  <w:pPr>
                    <w:pStyle w:val="11"/>
                    <w:jc w:val="center"/>
                    <w:rPr>
                      <w:b/>
                      <w:bCs/>
                      <w:color w:val="auto"/>
                    </w:rPr>
                  </w:pPr>
                  <w:r>
                    <w:rPr>
                      <w:b/>
                      <w:bCs/>
                      <w:color w:val="auto"/>
                    </w:rPr>
                    <w:t>预测结果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1153" w:type="dxa"/>
                  <w:vMerge w:val="continue"/>
                  <w:vAlign w:val="center"/>
                </w:tcPr>
                <w:p>
                  <w:pPr>
                    <w:pStyle w:val="11"/>
                    <w:jc w:val="center"/>
                    <w:rPr>
                      <w:b/>
                      <w:bCs/>
                      <w:color w:val="auto"/>
                    </w:rPr>
                  </w:pPr>
                </w:p>
              </w:tc>
              <w:tc>
                <w:tcPr>
                  <w:tcW w:w="1093" w:type="dxa"/>
                  <w:vMerge w:val="continue"/>
                  <w:vAlign w:val="center"/>
                </w:tcPr>
                <w:p>
                  <w:pPr>
                    <w:pStyle w:val="11"/>
                    <w:jc w:val="center"/>
                    <w:rPr>
                      <w:b/>
                      <w:bCs/>
                      <w:color w:val="auto"/>
                    </w:rPr>
                  </w:pPr>
                </w:p>
              </w:tc>
              <w:tc>
                <w:tcPr>
                  <w:tcW w:w="699" w:type="dxa"/>
                  <w:vAlign w:val="center"/>
                </w:tcPr>
                <w:p>
                  <w:pPr>
                    <w:pStyle w:val="11"/>
                    <w:jc w:val="center"/>
                    <w:rPr>
                      <w:b/>
                      <w:bCs/>
                      <w:color w:val="auto"/>
                    </w:rPr>
                  </w:pPr>
                  <w:r>
                    <w:rPr>
                      <w:b/>
                      <w:bCs/>
                      <w:color w:val="auto"/>
                    </w:rPr>
                    <w:t>昼间</w:t>
                  </w:r>
                </w:p>
              </w:tc>
              <w:tc>
                <w:tcPr>
                  <w:tcW w:w="750" w:type="dxa"/>
                  <w:vAlign w:val="center"/>
                </w:tcPr>
                <w:p>
                  <w:pPr>
                    <w:pStyle w:val="11"/>
                    <w:jc w:val="center"/>
                    <w:rPr>
                      <w:b/>
                      <w:bCs/>
                      <w:color w:val="auto"/>
                    </w:rPr>
                  </w:pPr>
                  <w:r>
                    <w:rPr>
                      <w:b/>
                      <w:bCs/>
                      <w:color w:val="auto"/>
                    </w:rPr>
                    <w:t>夜间</w:t>
                  </w:r>
                </w:p>
              </w:tc>
              <w:tc>
                <w:tcPr>
                  <w:tcW w:w="648" w:type="dxa"/>
                  <w:vAlign w:val="center"/>
                </w:tcPr>
                <w:p>
                  <w:pPr>
                    <w:pStyle w:val="11"/>
                    <w:jc w:val="center"/>
                    <w:rPr>
                      <w:b/>
                      <w:bCs/>
                      <w:color w:val="auto"/>
                    </w:rPr>
                  </w:pPr>
                  <w:r>
                    <w:rPr>
                      <w:b/>
                      <w:bCs/>
                      <w:color w:val="auto"/>
                    </w:rPr>
                    <w:t>昼间</w:t>
                  </w:r>
                </w:p>
              </w:tc>
              <w:tc>
                <w:tcPr>
                  <w:tcW w:w="767" w:type="dxa"/>
                  <w:vAlign w:val="center"/>
                </w:tcPr>
                <w:p>
                  <w:pPr>
                    <w:pStyle w:val="11"/>
                    <w:jc w:val="center"/>
                    <w:rPr>
                      <w:b/>
                      <w:bCs/>
                      <w:color w:val="auto"/>
                    </w:rPr>
                  </w:pPr>
                  <w:r>
                    <w:rPr>
                      <w:b/>
                      <w:bCs/>
                      <w:color w:val="auto"/>
                    </w:rPr>
                    <w:t>夜间</w:t>
                  </w:r>
                </w:p>
              </w:tc>
              <w:tc>
                <w:tcPr>
                  <w:tcW w:w="699" w:type="dxa"/>
                  <w:tcBorders>
                    <w:top w:val="single" w:color="auto" w:sz="4" w:space="0"/>
                  </w:tcBorders>
                  <w:vAlign w:val="center"/>
                </w:tcPr>
                <w:p>
                  <w:pPr>
                    <w:pStyle w:val="11"/>
                    <w:jc w:val="center"/>
                    <w:rPr>
                      <w:b/>
                      <w:bCs/>
                      <w:color w:val="auto"/>
                    </w:rPr>
                  </w:pPr>
                  <w:r>
                    <w:rPr>
                      <w:b/>
                      <w:bCs/>
                      <w:color w:val="auto"/>
                    </w:rPr>
                    <w:t>昼间</w:t>
                  </w:r>
                </w:p>
              </w:tc>
              <w:tc>
                <w:tcPr>
                  <w:tcW w:w="716" w:type="dxa"/>
                  <w:vAlign w:val="center"/>
                </w:tcPr>
                <w:p>
                  <w:pPr>
                    <w:pStyle w:val="11"/>
                    <w:jc w:val="center"/>
                    <w:rPr>
                      <w:b/>
                      <w:bCs/>
                      <w:color w:val="auto"/>
                    </w:rPr>
                  </w:pPr>
                  <w:r>
                    <w:rPr>
                      <w:b/>
                      <w:bCs/>
                      <w:color w:val="auto"/>
                    </w:rPr>
                    <w:t>夜间</w:t>
                  </w:r>
                </w:p>
              </w:tc>
              <w:tc>
                <w:tcPr>
                  <w:tcW w:w="750" w:type="dxa"/>
                  <w:vAlign w:val="center"/>
                </w:tcPr>
                <w:p>
                  <w:pPr>
                    <w:pStyle w:val="11"/>
                    <w:jc w:val="center"/>
                    <w:rPr>
                      <w:b/>
                      <w:bCs/>
                      <w:color w:val="auto"/>
                    </w:rPr>
                  </w:pPr>
                  <w:r>
                    <w:rPr>
                      <w:b/>
                      <w:bCs/>
                      <w:color w:val="auto"/>
                    </w:rPr>
                    <w:t>昼间</w:t>
                  </w:r>
                </w:p>
              </w:tc>
              <w:tc>
                <w:tcPr>
                  <w:tcW w:w="647" w:type="dxa"/>
                  <w:vAlign w:val="center"/>
                </w:tcPr>
                <w:p>
                  <w:pPr>
                    <w:pStyle w:val="11"/>
                    <w:jc w:val="center"/>
                    <w:rPr>
                      <w:b/>
                      <w:bCs/>
                      <w:color w:val="auto"/>
                    </w:rPr>
                  </w:pPr>
                  <w:r>
                    <w:rPr>
                      <w:b/>
                      <w:bCs/>
                      <w:color w:val="auto"/>
                    </w:rPr>
                    <w:t>夜间</w:t>
                  </w:r>
                </w:p>
              </w:tc>
              <w:tc>
                <w:tcPr>
                  <w:tcW w:w="825" w:type="dxa"/>
                  <w:vMerge w:val="continue"/>
                  <w:vAlign w:val="center"/>
                </w:tcPr>
                <w:p>
                  <w:pPr>
                    <w:pStyle w:val="11"/>
                    <w:jc w:val="center"/>
                    <w:rPr>
                      <w:b/>
                      <w:bCs/>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6" w:hRule="atLeast"/>
                <w:jc w:val="center"/>
              </w:trPr>
              <w:tc>
                <w:tcPr>
                  <w:tcW w:w="1153" w:type="dxa"/>
                  <w:vAlign w:val="center"/>
                </w:tcPr>
                <w:p>
                  <w:pPr>
                    <w:pStyle w:val="11"/>
                    <w:jc w:val="center"/>
                    <w:rPr>
                      <w:color w:val="auto"/>
                    </w:rPr>
                  </w:pPr>
                  <w:r>
                    <w:rPr>
                      <w:color w:val="auto"/>
                    </w:rPr>
                    <w:t>1</w:t>
                  </w:r>
                  <w:r>
                    <w:rPr>
                      <w:color w:val="auto"/>
                      <w:vertAlign w:val="superscript"/>
                    </w:rPr>
                    <w:t>#</w:t>
                  </w:r>
                </w:p>
              </w:tc>
              <w:tc>
                <w:tcPr>
                  <w:tcW w:w="1093" w:type="dxa"/>
                  <w:vAlign w:val="center"/>
                </w:tcPr>
                <w:p>
                  <w:pPr>
                    <w:pStyle w:val="11"/>
                    <w:jc w:val="center"/>
                    <w:rPr>
                      <w:color w:val="auto"/>
                    </w:rPr>
                  </w:pPr>
                  <w:r>
                    <w:rPr>
                      <w:color w:val="auto"/>
                    </w:rPr>
                    <w:t>东厂界</w:t>
                  </w:r>
                </w:p>
              </w:tc>
              <w:tc>
                <w:tcPr>
                  <w:tcW w:w="699" w:type="dxa"/>
                  <w:vAlign w:val="center"/>
                </w:tcPr>
                <w:p>
                  <w:pPr>
                    <w:pStyle w:val="11"/>
                    <w:jc w:val="center"/>
                    <w:rPr>
                      <w:color w:val="auto"/>
                    </w:rPr>
                  </w:pPr>
                  <w:r>
                    <w:rPr>
                      <w:b/>
                      <w:bCs/>
                      <w:color w:val="auto"/>
                    </w:rPr>
                    <w:t>45.3</w:t>
                  </w:r>
                </w:p>
              </w:tc>
              <w:tc>
                <w:tcPr>
                  <w:tcW w:w="750" w:type="dxa"/>
                  <w:vAlign w:val="center"/>
                </w:tcPr>
                <w:p>
                  <w:pPr>
                    <w:pStyle w:val="11"/>
                    <w:jc w:val="center"/>
                    <w:rPr>
                      <w:color w:val="auto"/>
                    </w:rPr>
                  </w:pPr>
                  <w:r>
                    <w:rPr>
                      <w:color w:val="auto"/>
                    </w:rPr>
                    <w:t>/</w:t>
                  </w:r>
                </w:p>
              </w:tc>
              <w:tc>
                <w:tcPr>
                  <w:tcW w:w="648" w:type="dxa"/>
                  <w:vAlign w:val="center"/>
                </w:tcPr>
                <w:p>
                  <w:pPr>
                    <w:pStyle w:val="11"/>
                    <w:jc w:val="center"/>
                    <w:rPr>
                      <w:color w:val="auto"/>
                    </w:rPr>
                  </w:pPr>
                  <w:r>
                    <w:rPr>
                      <w:color w:val="auto"/>
                    </w:rPr>
                    <w:t>/</w:t>
                  </w:r>
                </w:p>
              </w:tc>
              <w:tc>
                <w:tcPr>
                  <w:tcW w:w="767" w:type="dxa"/>
                  <w:vAlign w:val="center"/>
                </w:tcPr>
                <w:p>
                  <w:pPr>
                    <w:pStyle w:val="11"/>
                    <w:jc w:val="center"/>
                    <w:rPr>
                      <w:color w:val="auto"/>
                    </w:rPr>
                  </w:pPr>
                  <w:r>
                    <w:rPr>
                      <w:color w:val="auto"/>
                    </w:rPr>
                    <w:t>/</w:t>
                  </w:r>
                </w:p>
              </w:tc>
              <w:tc>
                <w:tcPr>
                  <w:tcW w:w="699" w:type="dxa"/>
                  <w:vAlign w:val="center"/>
                </w:tcPr>
                <w:p>
                  <w:pPr>
                    <w:pStyle w:val="11"/>
                    <w:jc w:val="center"/>
                    <w:rPr>
                      <w:color w:val="auto"/>
                    </w:rPr>
                  </w:pPr>
                  <w:r>
                    <w:rPr>
                      <w:b/>
                      <w:bCs/>
                      <w:color w:val="auto"/>
                    </w:rPr>
                    <w:t>45.3</w:t>
                  </w:r>
                </w:p>
              </w:tc>
              <w:tc>
                <w:tcPr>
                  <w:tcW w:w="716" w:type="dxa"/>
                  <w:vAlign w:val="center"/>
                </w:tcPr>
                <w:p>
                  <w:pPr>
                    <w:pStyle w:val="11"/>
                    <w:jc w:val="center"/>
                    <w:rPr>
                      <w:color w:val="auto"/>
                    </w:rPr>
                  </w:pPr>
                  <w:r>
                    <w:rPr>
                      <w:color w:val="auto"/>
                    </w:rPr>
                    <w:t>/</w:t>
                  </w:r>
                </w:p>
              </w:tc>
              <w:tc>
                <w:tcPr>
                  <w:tcW w:w="750" w:type="dxa"/>
                  <w:vAlign w:val="center"/>
                </w:tcPr>
                <w:p>
                  <w:pPr>
                    <w:pStyle w:val="11"/>
                    <w:jc w:val="center"/>
                    <w:rPr>
                      <w:color w:val="auto"/>
                    </w:rPr>
                  </w:pPr>
                  <w:r>
                    <w:rPr>
                      <w:rFonts w:hint="eastAsia"/>
                      <w:color w:val="auto"/>
                    </w:rPr>
                    <w:t>65</w:t>
                  </w:r>
                </w:p>
              </w:tc>
              <w:tc>
                <w:tcPr>
                  <w:tcW w:w="647" w:type="dxa"/>
                  <w:vAlign w:val="center"/>
                </w:tcPr>
                <w:p>
                  <w:pPr>
                    <w:pStyle w:val="11"/>
                    <w:jc w:val="center"/>
                    <w:rPr>
                      <w:color w:val="auto"/>
                    </w:rPr>
                  </w:pPr>
                  <w:r>
                    <w:rPr>
                      <w:color w:val="auto"/>
                    </w:rPr>
                    <w:t>/</w:t>
                  </w:r>
                </w:p>
              </w:tc>
              <w:tc>
                <w:tcPr>
                  <w:tcW w:w="825" w:type="dxa"/>
                  <w:vAlign w:val="center"/>
                </w:tcPr>
                <w:p>
                  <w:pPr>
                    <w:pStyle w:val="11"/>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153" w:type="dxa"/>
                  <w:vAlign w:val="center"/>
                </w:tcPr>
                <w:p>
                  <w:pPr>
                    <w:pStyle w:val="11"/>
                    <w:jc w:val="center"/>
                    <w:rPr>
                      <w:color w:val="auto"/>
                    </w:rPr>
                  </w:pPr>
                  <w:r>
                    <w:rPr>
                      <w:color w:val="auto"/>
                    </w:rPr>
                    <w:t>2</w:t>
                  </w:r>
                  <w:r>
                    <w:rPr>
                      <w:color w:val="auto"/>
                      <w:vertAlign w:val="superscript"/>
                    </w:rPr>
                    <w:t>#</w:t>
                  </w:r>
                </w:p>
              </w:tc>
              <w:tc>
                <w:tcPr>
                  <w:tcW w:w="1093" w:type="dxa"/>
                  <w:vAlign w:val="center"/>
                </w:tcPr>
                <w:p>
                  <w:pPr>
                    <w:pStyle w:val="11"/>
                    <w:jc w:val="center"/>
                    <w:rPr>
                      <w:color w:val="auto"/>
                    </w:rPr>
                  </w:pPr>
                  <w:r>
                    <w:rPr>
                      <w:color w:val="auto"/>
                    </w:rPr>
                    <w:t>南厂界</w:t>
                  </w:r>
                </w:p>
              </w:tc>
              <w:tc>
                <w:tcPr>
                  <w:tcW w:w="699" w:type="dxa"/>
                  <w:vAlign w:val="center"/>
                </w:tcPr>
                <w:p>
                  <w:pPr>
                    <w:pStyle w:val="11"/>
                    <w:jc w:val="center"/>
                    <w:rPr>
                      <w:color w:val="auto"/>
                    </w:rPr>
                  </w:pPr>
                  <w:r>
                    <w:rPr>
                      <w:b/>
                      <w:bCs/>
                      <w:color w:val="auto"/>
                    </w:rPr>
                    <w:t>41.7</w:t>
                  </w:r>
                </w:p>
              </w:tc>
              <w:tc>
                <w:tcPr>
                  <w:tcW w:w="750" w:type="dxa"/>
                  <w:vAlign w:val="center"/>
                </w:tcPr>
                <w:p>
                  <w:pPr>
                    <w:pStyle w:val="11"/>
                    <w:jc w:val="center"/>
                    <w:rPr>
                      <w:color w:val="auto"/>
                    </w:rPr>
                  </w:pPr>
                  <w:r>
                    <w:rPr>
                      <w:color w:val="auto"/>
                    </w:rPr>
                    <w:t>/</w:t>
                  </w:r>
                </w:p>
              </w:tc>
              <w:tc>
                <w:tcPr>
                  <w:tcW w:w="648" w:type="dxa"/>
                  <w:vAlign w:val="center"/>
                </w:tcPr>
                <w:p>
                  <w:pPr>
                    <w:pStyle w:val="11"/>
                    <w:jc w:val="center"/>
                    <w:rPr>
                      <w:color w:val="auto"/>
                    </w:rPr>
                  </w:pPr>
                  <w:r>
                    <w:rPr>
                      <w:color w:val="auto"/>
                    </w:rPr>
                    <w:t>/</w:t>
                  </w:r>
                </w:p>
              </w:tc>
              <w:tc>
                <w:tcPr>
                  <w:tcW w:w="767" w:type="dxa"/>
                  <w:vAlign w:val="center"/>
                </w:tcPr>
                <w:p>
                  <w:pPr>
                    <w:pStyle w:val="11"/>
                    <w:jc w:val="center"/>
                    <w:rPr>
                      <w:color w:val="auto"/>
                    </w:rPr>
                  </w:pPr>
                  <w:r>
                    <w:rPr>
                      <w:color w:val="auto"/>
                    </w:rPr>
                    <w:t>/</w:t>
                  </w:r>
                </w:p>
              </w:tc>
              <w:tc>
                <w:tcPr>
                  <w:tcW w:w="699" w:type="dxa"/>
                  <w:vAlign w:val="center"/>
                </w:tcPr>
                <w:p>
                  <w:pPr>
                    <w:pStyle w:val="11"/>
                    <w:jc w:val="center"/>
                    <w:rPr>
                      <w:color w:val="auto"/>
                    </w:rPr>
                  </w:pPr>
                  <w:r>
                    <w:rPr>
                      <w:b/>
                      <w:bCs/>
                      <w:color w:val="auto"/>
                    </w:rPr>
                    <w:t>41.7</w:t>
                  </w:r>
                </w:p>
              </w:tc>
              <w:tc>
                <w:tcPr>
                  <w:tcW w:w="716" w:type="dxa"/>
                  <w:vAlign w:val="center"/>
                </w:tcPr>
                <w:p>
                  <w:pPr>
                    <w:pStyle w:val="11"/>
                    <w:jc w:val="center"/>
                    <w:rPr>
                      <w:color w:val="auto"/>
                    </w:rPr>
                  </w:pPr>
                  <w:r>
                    <w:rPr>
                      <w:color w:val="auto"/>
                    </w:rPr>
                    <w:t>/</w:t>
                  </w:r>
                </w:p>
              </w:tc>
              <w:tc>
                <w:tcPr>
                  <w:tcW w:w="750" w:type="dxa"/>
                  <w:vAlign w:val="center"/>
                </w:tcPr>
                <w:p>
                  <w:pPr>
                    <w:pStyle w:val="11"/>
                    <w:jc w:val="center"/>
                    <w:rPr>
                      <w:color w:val="auto"/>
                    </w:rPr>
                  </w:pPr>
                  <w:r>
                    <w:rPr>
                      <w:rFonts w:hint="eastAsia"/>
                      <w:color w:val="auto"/>
                    </w:rPr>
                    <w:t>65</w:t>
                  </w:r>
                </w:p>
              </w:tc>
              <w:tc>
                <w:tcPr>
                  <w:tcW w:w="647" w:type="dxa"/>
                  <w:vAlign w:val="center"/>
                </w:tcPr>
                <w:p>
                  <w:pPr>
                    <w:pStyle w:val="11"/>
                    <w:jc w:val="center"/>
                    <w:rPr>
                      <w:color w:val="auto"/>
                    </w:rPr>
                  </w:pPr>
                  <w:r>
                    <w:rPr>
                      <w:color w:val="auto"/>
                    </w:rPr>
                    <w:t>/</w:t>
                  </w:r>
                </w:p>
              </w:tc>
              <w:tc>
                <w:tcPr>
                  <w:tcW w:w="825" w:type="dxa"/>
                  <w:vAlign w:val="center"/>
                </w:tcPr>
                <w:p>
                  <w:pPr>
                    <w:pStyle w:val="11"/>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53" w:type="dxa"/>
                  <w:vAlign w:val="center"/>
                </w:tcPr>
                <w:p>
                  <w:pPr>
                    <w:pStyle w:val="11"/>
                    <w:jc w:val="center"/>
                    <w:rPr>
                      <w:color w:val="auto"/>
                    </w:rPr>
                  </w:pPr>
                  <w:r>
                    <w:rPr>
                      <w:color w:val="auto"/>
                    </w:rPr>
                    <w:t>3</w:t>
                  </w:r>
                  <w:r>
                    <w:rPr>
                      <w:color w:val="auto"/>
                      <w:vertAlign w:val="superscript"/>
                    </w:rPr>
                    <w:t>#</w:t>
                  </w:r>
                </w:p>
              </w:tc>
              <w:tc>
                <w:tcPr>
                  <w:tcW w:w="1093" w:type="dxa"/>
                  <w:vAlign w:val="center"/>
                </w:tcPr>
                <w:p>
                  <w:pPr>
                    <w:pStyle w:val="11"/>
                    <w:jc w:val="center"/>
                    <w:rPr>
                      <w:color w:val="auto"/>
                    </w:rPr>
                  </w:pPr>
                  <w:r>
                    <w:rPr>
                      <w:color w:val="auto"/>
                    </w:rPr>
                    <w:t>西厂界</w:t>
                  </w:r>
                </w:p>
              </w:tc>
              <w:tc>
                <w:tcPr>
                  <w:tcW w:w="699" w:type="dxa"/>
                  <w:vAlign w:val="center"/>
                </w:tcPr>
                <w:p>
                  <w:pPr>
                    <w:pStyle w:val="11"/>
                    <w:jc w:val="center"/>
                    <w:rPr>
                      <w:color w:val="auto"/>
                    </w:rPr>
                  </w:pPr>
                  <w:r>
                    <w:rPr>
                      <w:b/>
                      <w:bCs/>
                      <w:color w:val="auto"/>
                    </w:rPr>
                    <w:t>52.7</w:t>
                  </w:r>
                </w:p>
              </w:tc>
              <w:tc>
                <w:tcPr>
                  <w:tcW w:w="750" w:type="dxa"/>
                  <w:vAlign w:val="center"/>
                </w:tcPr>
                <w:p>
                  <w:pPr>
                    <w:pStyle w:val="11"/>
                    <w:jc w:val="center"/>
                    <w:rPr>
                      <w:color w:val="auto"/>
                    </w:rPr>
                  </w:pPr>
                  <w:r>
                    <w:rPr>
                      <w:color w:val="auto"/>
                    </w:rPr>
                    <w:t>/</w:t>
                  </w:r>
                </w:p>
              </w:tc>
              <w:tc>
                <w:tcPr>
                  <w:tcW w:w="648" w:type="dxa"/>
                  <w:vAlign w:val="center"/>
                </w:tcPr>
                <w:p>
                  <w:pPr>
                    <w:pStyle w:val="11"/>
                    <w:jc w:val="center"/>
                    <w:rPr>
                      <w:color w:val="auto"/>
                    </w:rPr>
                  </w:pPr>
                  <w:r>
                    <w:rPr>
                      <w:color w:val="auto"/>
                    </w:rPr>
                    <w:t>/</w:t>
                  </w:r>
                </w:p>
              </w:tc>
              <w:tc>
                <w:tcPr>
                  <w:tcW w:w="767" w:type="dxa"/>
                  <w:vAlign w:val="center"/>
                </w:tcPr>
                <w:p>
                  <w:pPr>
                    <w:pStyle w:val="11"/>
                    <w:jc w:val="center"/>
                    <w:rPr>
                      <w:color w:val="auto"/>
                    </w:rPr>
                  </w:pPr>
                  <w:r>
                    <w:rPr>
                      <w:color w:val="auto"/>
                    </w:rPr>
                    <w:t>/</w:t>
                  </w:r>
                </w:p>
              </w:tc>
              <w:tc>
                <w:tcPr>
                  <w:tcW w:w="699" w:type="dxa"/>
                  <w:vAlign w:val="center"/>
                </w:tcPr>
                <w:p>
                  <w:pPr>
                    <w:pStyle w:val="11"/>
                    <w:jc w:val="center"/>
                    <w:rPr>
                      <w:color w:val="auto"/>
                    </w:rPr>
                  </w:pPr>
                  <w:r>
                    <w:rPr>
                      <w:b/>
                      <w:bCs/>
                      <w:color w:val="auto"/>
                    </w:rPr>
                    <w:t>52.7</w:t>
                  </w:r>
                </w:p>
              </w:tc>
              <w:tc>
                <w:tcPr>
                  <w:tcW w:w="716" w:type="dxa"/>
                  <w:vAlign w:val="center"/>
                </w:tcPr>
                <w:p>
                  <w:pPr>
                    <w:pStyle w:val="11"/>
                    <w:jc w:val="center"/>
                    <w:rPr>
                      <w:color w:val="auto"/>
                    </w:rPr>
                  </w:pPr>
                  <w:r>
                    <w:rPr>
                      <w:color w:val="auto"/>
                    </w:rPr>
                    <w:t>/</w:t>
                  </w:r>
                </w:p>
              </w:tc>
              <w:tc>
                <w:tcPr>
                  <w:tcW w:w="750" w:type="dxa"/>
                  <w:vAlign w:val="center"/>
                </w:tcPr>
                <w:p>
                  <w:pPr>
                    <w:pStyle w:val="11"/>
                    <w:jc w:val="center"/>
                    <w:rPr>
                      <w:color w:val="auto"/>
                    </w:rPr>
                  </w:pPr>
                  <w:r>
                    <w:rPr>
                      <w:rFonts w:hint="eastAsia"/>
                      <w:color w:val="auto"/>
                    </w:rPr>
                    <w:t>65</w:t>
                  </w:r>
                </w:p>
              </w:tc>
              <w:tc>
                <w:tcPr>
                  <w:tcW w:w="647" w:type="dxa"/>
                  <w:vAlign w:val="center"/>
                </w:tcPr>
                <w:p>
                  <w:pPr>
                    <w:pStyle w:val="11"/>
                    <w:jc w:val="center"/>
                    <w:rPr>
                      <w:color w:val="auto"/>
                    </w:rPr>
                  </w:pPr>
                  <w:r>
                    <w:rPr>
                      <w:color w:val="auto"/>
                    </w:rPr>
                    <w:t>/</w:t>
                  </w:r>
                </w:p>
              </w:tc>
              <w:tc>
                <w:tcPr>
                  <w:tcW w:w="825" w:type="dxa"/>
                  <w:vAlign w:val="center"/>
                </w:tcPr>
                <w:p>
                  <w:pPr>
                    <w:pStyle w:val="11"/>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1153" w:type="dxa"/>
                  <w:vAlign w:val="center"/>
                </w:tcPr>
                <w:p>
                  <w:pPr>
                    <w:pStyle w:val="11"/>
                    <w:jc w:val="center"/>
                    <w:rPr>
                      <w:color w:val="auto"/>
                    </w:rPr>
                  </w:pPr>
                  <w:r>
                    <w:rPr>
                      <w:color w:val="auto"/>
                    </w:rPr>
                    <w:t>4</w:t>
                  </w:r>
                  <w:r>
                    <w:rPr>
                      <w:color w:val="auto"/>
                      <w:vertAlign w:val="superscript"/>
                    </w:rPr>
                    <w:t>#</w:t>
                  </w:r>
                </w:p>
              </w:tc>
              <w:tc>
                <w:tcPr>
                  <w:tcW w:w="1093" w:type="dxa"/>
                  <w:vAlign w:val="center"/>
                </w:tcPr>
                <w:p>
                  <w:pPr>
                    <w:pStyle w:val="11"/>
                    <w:jc w:val="center"/>
                    <w:rPr>
                      <w:color w:val="auto"/>
                    </w:rPr>
                  </w:pPr>
                  <w:r>
                    <w:rPr>
                      <w:color w:val="auto"/>
                    </w:rPr>
                    <w:t>北厂界</w:t>
                  </w:r>
                </w:p>
              </w:tc>
              <w:tc>
                <w:tcPr>
                  <w:tcW w:w="699" w:type="dxa"/>
                  <w:vAlign w:val="center"/>
                </w:tcPr>
                <w:p>
                  <w:pPr>
                    <w:pStyle w:val="11"/>
                    <w:jc w:val="center"/>
                    <w:rPr>
                      <w:color w:val="auto"/>
                      <w:kern w:val="2"/>
                    </w:rPr>
                  </w:pPr>
                  <w:r>
                    <w:rPr>
                      <w:b/>
                      <w:bCs/>
                      <w:color w:val="auto"/>
                      <w:kern w:val="2"/>
                    </w:rPr>
                    <w:t>46.6</w:t>
                  </w:r>
                </w:p>
              </w:tc>
              <w:tc>
                <w:tcPr>
                  <w:tcW w:w="750" w:type="dxa"/>
                  <w:vAlign w:val="center"/>
                </w:tcPr>
                <w:p>
                  <w:pPr>
                    <w:pStyle w:val="11"/>
                    <w:jc w:val="center"/>
                    <w:rPr>
                      <w:color w:val="auto"/>
                    </w:rPr>
                  </w:pPr>
                  <w:r>
                    <w:rPr>
                      <w:color w:val="auto"/>
                    </w:rPr>
                    <w:t>/</w:t>
                  </w:r>
                </w:p>
              </w:tc>
              <w:tc>
                <w:tcPr>
                  <w:tcW w:w="648" w:type="dxa"/>
                  <w:vAlign w:val="center"/>
                </w:tcPr>
                <w:p>
                  <w:pPr>
                    <w:pStyle w:val="11"/>
                    <w:jc w:val="center"/>
                    <w:rPr>
                      <w:color w:val="auto"/>
                    </w:rPr>
                  </w:pPr>
                  <w:r>
                    <w:rPr>
                      <w:color w:val="auto"/>
                    </w:rPr>
                    <w:t>/</w:t>
                  </w:r>
                </w:p>
              </w:tc>
              <w:tc>
                <w:tcPr>
                  <w:tcW w:w="767" w:type="dxa"/>
                  <w:vAlign w:val="center"/>
                </w:tcPr>
                <w:p>
                  <w:pPr>
                    <w:pStyle w:val="11"/>
                    <w:jc w:val="center"/>
                    <w:rPr>
                      <w:color w:val="auto"/>
                    </w:rPr>
                  </w:pPr>
                  <w:r>
                    <w:rPr>
                      <w:color w:val="auto"/>
                    </w:rPr>
                    <w:t>/</w:t>
                  </w:r>
                </w:p>
              </w:tc>
              <w:tc>
                <w:tcPr>
                  <w:tcW w:w="699" w:type="dxa"/>
                  <w:vAlign w:val="center"/>
                </w:tcPr>
                <w:p>
                  <w:pPr>
                    <w:pStyle w:val="11"/>
                    <w:jc w:val="center"/>
                    <w:rPr>
                      <w:color w:val="auto"/>
                      <w:kern w:val="2"/>
                    </w:rPr>
                  </w:pPr>
                  <w:r>
                    <w:rPr>
                      <w:b/>
                      <w:bCs/>
                      <w:color w:val="auto"/>
                      <w:kern w:val="2"/>
                    </w:rPr>
                    <w:t>46.6</w:t>
                  </w:r>
                </w:p>
              </w:tc>
              <w:tc>
                <w:tcPr>
                  <w:tcW w:w="716" w:type="dxa"/>
                  <w:vAlign w:val="center"/>
                </w:tcPr>
                <w:p>
                  <w:pPr>
                    <w:pStyle w:val="11"/>
                    <w:jc w:val="center"/>
                    <w:rPr>
                      <w:color w:val="auto"/>
                    </w:rPr>
                  </w:pPr>
                  <w:r>
                    <w:rPr>
                      <w:color w:val="auto"/>
                    </w:rPr>
                    <w:t>/</w:t>
                  </w:r>
                </w:p>
              </w:tc>
              <w:tc>
                <w:tcPr>
                  <w:tcW w:w="750" w:type="dxa"/>
                  <w:vAlign w:val="center"/>
                </w:tcPr>
                <w:p>
                  <w:pPr>
                    <w:pStyle w:val="11"/>
                    <w:jc w:val="center"/>
                    <w:rPr>
                      <w:color w:val="auto"/>
                    </w:rPr>
                  </w:pPr>
                  <w:r>
                    <w:rPr>
                      <w:rFonts w:hint="eastAsia"/>
                      <w:color w:val="auto"/>
                    </w:rPr>
                    <w:t>65</w:t>
                  </w:r>
                </w:p>
              </w:tc>
              <w:tc>
                <w:tcPr>
                  <w:tcW w:w="647" w:type="dxa"/>
                  <w:vAlign w:val="center"/>
                </w:tcPr>
                <w:p>
                  <w:pPr>
                    <w:pStyle w:val="11"/>
                    <w:jc w:val="center"/>
                    <w:rPr>
                      <w:color w:val="auto"/>
                    </w:rPr>
                  </w:pPr>
                  <w:r>
                    <w:rPr>
                      <w:color w:val="auto"/>
                    </w:rPr>
                    <w:t>/</w:t>
                  </w:r>
                </w:p>
              </w:tc>
              <w:tc>
                <w:tcPr>
                  <w:tcW w:w="825" w:type="dxa"/>
                  <w:vAlign w:val="center"/>
                </w:tcPr>
                <w:p>
                  <w:pPr>
                    <w:pStyle w:val="11"/>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747" w:type="dxa"/>
                  <w:gridSpan w:val="11"/>
                  <w:vAlign w:val="center"/>
                </w:tcPr>
                <w:p>
                  <w:pPr>
                    <w:pStyle w:val="11"/>
                    <w:jc w:val="both"/>
                    <w:rPr>
                      <w:color w:val="auto"/>
                    </w:rPr>
                  </w:pPr>
                  <w:r>
                    <w:rPr>
                      <w:color w:val="auto"/>
                    </w:rPr>
                    <w:t xml:space="preserve">  注：</w:t>
                  </w:r>
                  <w:r>
                    <w:rPr>
                      <w:rFonts w:hint="eastAsia"/>
                      <w:color w:val="auto"/>
                    </w:rPr>
                    <w:t>①</w:t>
                  </w:r>
                  <w:r>
                    <w:rPr>
                      <w:color w:val="auto"/>
                    </w:rPr>
                    <w:t>项目夜间不进行生产；</w:t>
                  </w:r>
                  <w:r>
                    <w:rPr>
                      <w:rFonts w:hint="eastAsia"/>
                      <w:color w:val="auto"/>
                    </w:rPr>
                    <w:t>②项目无室外声源；</w:t>
                  </w:r>
                </w:p>
              </w:tc>
            </w:tr>
          </w:tbl>
          <w:p>
            <w:pPr>
              <w:adjustRightInd w:val="0"/>
              <w:snapToGrid w:val="0"/>
              <w:ind w:firstLine="480"/>
              <w:rPr>
                <w:color w:val="auto"/>
              </w:rPr>
            </w:pPr>
            <w:r>
              <w:rPr>
                <w:color w:val="auto"/>
              </w:rPr>
              <w:t>项目对主要噪声源采取了基础减振、隔声和消声等措施，根据噪声预测结果等相关内容，项目的东南西北厂界预测噪声低于《工业企业厂界环境噪声排放标准》（GB12348-2008）中的3类标准，对周边声环境影响较小。</w:t>
            </w:r>
          </w:p>
          <w:p>
            <w:pPr>
              <w:adjustRightInd w:val="0"/>
              <w:snapToGrid w:val="0"/>
              <w:ind w:firstLine="442"/>
              <w:rPr>
                <w:b/>
                <w:color w:val="auto"/>
                <w:spacing w:val="-10"/>
                <w:szCs w:val="21"/>
              </w:rPr>
            </w:pPr>
            <w:r>
              <w:rPr>
                <w:b/>
                <w:color w:val="auto"/>
                <w:spacing w:val="-10"/>
                <w:szCs w:val="21"/>
              </w:rPr>
              <w:t>4、固废物影响分析</w:t>
            </w:r>
            <w:bookmarkEnd w:id="11"/>
            <w:bookmarkEnd w:id="12"/>
            <w:bookmarkEnd w:id="13"/>
          </w:p>
          <w:p>
            <w:pPr>
              <w:ind w:firstLine="480"/>
              <w:rPr>
                <w:color w:val="auto"/>
              </w:rPr>
            </w:pPr>
            <w:r>
              <w:rPr>
                <w:color w:val="auto"/>
              </w:rPr>
              <w:t>本项目固体废弃物主要为工作人员产生的生活垃圾、</w:t>
            </w:r>
            <w:r>
              <w:rPr>
                <w:rFonts w:hint="eastAsia"/>
                <w:color w:val="auto"/>
              </w:rPr>
              <w:t>污水站</w:t>
            </w:r>
            <w:r>
              <w:rPr>
                <w:color w:val="auto"/>
              </w:rPr>
              <w:t>污泥、</w:t>
            </w:r>
            <w:r>
              <w:rPr>
                <w:rFonts w:hint="eastAsia"/>
                <w:color w:val="auto"/>
              </w:rPr>
              <w:t>不可利用的边角料</w:t>
            </w:r>
            <w:r>
              <w:rPr>
                <w:color w:val="auto"/>
              </w:rPr>
              <w:t>、</w:t>
            </w:r>
            <w:r>
              <w:rPr>
                <w:rFonts w:hint="eastAsia"/>
                <w:color w:val="auto"/>
              </w:rPr>
              <w:t>不合格产品</w:t>
            </w:r>
            <w:r>
              <w:rPr>
                <w:rFonts w:hint="eastAsia"/>
                <w:color w:val="auto"/>
                <w:lang w:eastAsia="zh-CN"/>
              </w:rPr>
              <w:t>、</w:t>
            </w:r>
            <w:r>
              <w:rPr>
                <w:rFonts w:hint="eastAsia"/>
                <w:color w:val="auto"/>
                <w:lang w:val="en-US" w:eastAsia="zh-CN"/>
              </w:rPr>
              <w:t>废包装材料、</w:t>
            </w:r>
            <w:r>
              <w:rPr>
                <w:color w:val="auto"/>
              </w:rPr>
              <w:t>废机油、废液压油、废机油废液压油桶。</w:t>
            </w:r>
          </w:p>
          <w:p>
            <w:pPr>
              <w:ind w:firstLine="480"/>
              <w:rPr>
                <w:color w:val="auto"/>
              </w:rPr>
            </w:pPr>
            <w:r>
              <w:rPr>
                <w:color w:val="auto"/>
              </w:rPr>
              <w:t>（1）本项目生活垃圾、</w:t>
            </w:r>
            <w:r>
              <w:rPr>
                <w:rFonts w:hint="eastAsia"/>
                <w:color w:val="auto"/>
                <w:lang w:eastAsia="zh-CN"/>
              </w:rPr>
              <w:t>预处理池</w:t>
            </w:r>
            <w:r>
              <w:rPr>
                <w:color w:val="auto"/>
              </w:rPr>
              <w:t>污泥、清洗沉淀池泥沙等交环卫部门定期清运处理。</w:t>
            </w:r>
          </w:p>
          <w:p>
            <w:pPr>
              <w:ind w:firstLine="480"/>
              <w:rPr>
                <w:rFonts w:hint="default" w:eastAsia="宋体"/>
                <w:color w:val="auto"/>
                <w:lang w:val="en-US" w:eastAsia="zh-CN"/>
              </w:rPr>
            </w:pPr>
            <w:r>
              <w:rPr>
                <w:color w:val="auto"/>
              </w:rPr>
              <w:t>（2）</w:t>
            </w:r>
            <w:r>
              <w:rPr>
                <w:rFonts w:hint="eastAsia"/>
                <w:color w:val="auto"/>
                <w:lang w:val="en-US" w:eastAsia="zh-CN"/>
              </w:rPr>
              <w:t>本项目</w:t>
            </w:r>
            <w:r>
              <w:rPr>
                <w:rFonts w:hint="eastAsia"/>
                <w:color w:val="auto"/>
              </w:rPr>
              <w:t>不可利用的边角料</w:t>
            </w:r>
            <w:r>
              <w:rPr>
                <w:rFonts w:hint="eastAsia"/>
                <w:color w:val="auto"/>
                <w:lang w:val="en-US" w:eastAsia="zh-CN"/>
              </w:rPr>
              <w:t>（如毛发、骨渣、伤肉、淋巴及其它杂质）</w:t>
            </w:r>
            <w:r>
              <w:rPr>
                <w:rFonts w:hint="eastAsia"/>
                <w:color w:val="auto"/>
                <w:lang w:eastAsia="zh-CN"/>
              </w:rPr>
              <w:t>、废弃食用油、</w:t>
            </w:r>
            <w:r>
              <w:rPr>
                <w:rFonts w:hint="eastAsia"/>
                <w:color w:val="auto"/>
                <w:lang w:val="en-US" w:eastAsia="zh-CN"/>
              </w:rPr>
              <w:t>不合格产品暂存在一般固废暂存区，交由专门的油脂回收公司进行处理。</w:t>
            </w:r>
          </w:p>
          <w:p>
            <w:pPr>
              <w:ind w:firstLine="48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本项目的废包装材料</w:t>
            </w:r>
            <w:r>
              <w:rPr>
                <w:color w:val="auto"/>
              </w:rPr>
              <w:t>暂存在一般固废暂存区，交由废旧物回收公司进行处理。</w:t>
            </w:r>
          </w:p>
          <w:p>
            <w:pPr>
              <w:ind w:firstLine="480"/>
              <w:rPr>
                <w:color w:val="auto"/>
              </w:rPr>
            </w:pPr>
            <w:r>
              <w:rPr>
                <w:color w:val="auto"/>
              </w:rPr>
              <w:t>（</w:t>
            </w:r>
            <w:r>
              <w:rPr>
                <w:rFonts w:hint="eastAsia"/>
                <w:color w:val="auto"/>
                <w:lang w:val="en-US" w:eastAsia="zh-CN"/>
              </w:rPr>
              <w:t>4</w:t>
            </w:r>
            <w:r>
              <w:rPr>
                <w:color w:val="auto"/>
              </w:rPr>
              <w:t>）废机油、废液压油等危险废物交由有资质的单位处理。</w:t>
            </w:r>
          </w:p>
          <w:p>
            <w:pPr>
              <w:pStyle w:val="11"/>
              <w:jc w:val="center"/>
              <w:rPr>
                <w:b/>
                <w:bCs/>
                <w:color w:val="auto"/>
              </w:rPr>
            </w:pPr>
            <w:r>
              <w:rPr>
                <w:b/>
                <w:bCs/>
                <w:color w:val="auto"/>
              </w:rPr>
              <w:t>表4-</w:t>
            </w:r>
            <w:r>
              <w:rPr>
                <w:rFonts w:hint="eastAsia"/>
                <w:b/>
                <w:bCs/>
                <w:color w:val="auto"/>
              </w:rPr>
              <w:t>12</w:t>
            </w:r>
            <w:r>
              <w:rPr>
                <w:b/>
                <w:bCs/>
                <w:color w:val="auto"/>
              </w:rPr>
              <w:t xml:space="preserve"> 项目危险废物暂存间基本情况表</w:t>
            </w:r>
          </w:p>
          <w:tbl>
            <w:tblPr>
              <w:tblStyle w:val="6"/>
              <w:tblW w:w="87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516"/>
              <w:gridCol w:w="984"/>
              <w:gridCol w:w="1262"/>
              <w:gridCol w:w="688"/>
              <w:gridCol w:w="1116"/>
              <w:gridCol w:w="1240"/>
              <w:gridCol w:w="7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pStyle w:val="11"/>
                    <w:jc w:val="center"/>
                    <w:rPr>
                      <w:b/>
                      <w:bCs/>
                      <w:color w:val="auto"/>
                    </w:rPr>
                  </w:pPr>
                  <w:r>
                    <w:rPr>
                      <w:b/>
                      <w:bCs/>
                      <w:color w:val="auto"/>
                    </w:rPr>
                    <w:t>储存</w:t>
                  </w:r>
                </w:p>
                <w:p>
                  <w:pPr>
                    <w:pStyle w:val="11"/>
                    <w:jc w:val="center"/>
                    <w:rPr>
                      <w:b/>
                      <w:bCs/>
                      <w:color w:val="auto"/>
                    </w:rPr>
                  </w:pPr>
                  <w:r>
                    <w:rPr>
                      <w:b/>
                      <w:bCs/>
                      <w:color w:val="auto"/>
                    </w:rPr>
                    <w:t>场所</w:t>
                  </w:r>
                </w:p>
              </w:tc>
              <w:tc>
                <w:tcPr>
                  <w:tcW w:w="1516" w:type="dxa"/>
                  <w:vAlign w:val="center"/>
                </w:tcPr>
                <w:p>
                  <w:pPr>
                    <w:pStyle w:val="11"/>
                    <w:jc w:val="center"/>
                    <w:rPr>
                      <w:b/>
                      <w:bCs/>
                      <w:color w:val="auto"/>
                    </w:rPr>
                  </w:pPr>
                  <w:r>
                    <w:rPr>
                      <w:b/>
                      <w:bCs/>
                      <w:color w:val="auto"/>
                    </w:rPr>
                    <w:t>危险废</w:t>
                  </w:r>
                </w:p>
                <w:p>
                  <w:pPr>
                    <w:pStyle w:val="11"/>
                    <w:jc w:val="center"/>
                    <w:rPr>
                      <w:b/>
                      <w:bCs/>
                      <w:color w:val="auto"/>
                    </w:rPr>
                  </w:pPr>
                  <w:r>
                    <w:rPr>
                      <w:b/>
                      <w:bCs/>
                      <w:color w:val="auto"/>
                    </w:rPr>
                    <w:t>物名称</w:t>
                  </w:r>
                </w:p>
              </w:tc>
              <w:tc>
                <w:tcPr>
                  <w:tcW w:w="984" w:type="dxa"/>
                  <w:vAlign w:val="center"/>
                </w:tcPr>
                <w:p>
                  <w:pPr>
                    <w:pStyle w:val="11"/>
                    <w:jc w:val="center"/>
                    <w:rPr>
                      <w:b/>
                      <w:bCs/>
                      <w:color w:val="auto"/>
                    </w:rPr>
                  </w:pPr>
                  <w:r>
                    <w:rPr>
                      <w:b/>
                      <w:bCs/>
                      <w:color w:val="auto"/>
                    </w:rPr>
                    <w:t>危险废物类别</w:t>
                  </w:r>
                </w:p>
              </w:tc>
              <w:tc>
                <w:tcPr>
                  <w:tcW w:w="1262" w:type="dxa"/>
                  <w:vAlign w:val="center"/>
                </w:tcPr>
                <w:p>
                  <w:pPr>
                    <w:pStyle w:val="11"/>
                    <w:jc w:val="center"/>
                    <w:rPr>
                      <w:b/>
                      <w:bCs/>
                      <w:color w:val="auto"/>
                    </w:rPr>
                  </w:pPr>
                  <w:r>
                    <w:rPr>
                      <w:b/>
                      <w:bCs/>
                      <w:color w:val="auto"/>
                    </w:rPr>
                    <w:t>危险废</w:t>
                  </w:r>
                </w:p>
                <w:p>
                  <w:pPr>
                    <w:pStyle w:val="11"/>
                    <w:jc w:val="center"/>
                    <w:rPr>
                      <w:b/>
                      <w:bCs/>
                      <w:color w:val="auto"/>
                    </w:rPr>
                  </w:pPr>
                  <w:r>
                    <w:rPr>
                      <w:b/>
                      <w:bCs/>
                      <w:color w:val="auto"/>
                    </w:rPr>
                    <w:t>物代码</w:t>
                  </w:r>
                </w:p>
              </w:tc>
              <w:tc>
                <w:tcPr>
                  <w:tcW w:w="688" w:type="dxa"/>
                  <w:vAlign w:val="center"/>
                </w:tcPr>
                <w:p>
                  <w:pPr>
                    <w:pStyle w:val="11"/>
                    <w:jc w:val="center"/>
                    <w:rPr>
                      <w:b/>
                      <w:bCs/>
                      <w:color w:val="auto"/>
                    </w:rPr>
                  </w:pPr>
                  <w:r>
                    <w:rPr>
                      <w:b/>
                      <w:bCs/>
                      <w:color w:val="auto"/>
                    </w:rPr>
                    <w:t>占地</w:t>
                  </w:r>
                </w:p>
                <w:p>
                  <w:pPr>
                    <w:pStyle w:val="11"/>
                    <w:jc w:val="center"/>
                    <w:rPr>
                      <w:b/>
                      <w:bCs/>
                      <w:color w:val="auto"/>
                    </w:rPr>
                  </w:pPr>
                  <w:r>
                    <w:rPr>
                      <w:b/>
                      <w:bCs/>
                      <w:color w:val="auto"/>
                    </w:rPr>
                    <w:t>面积</w:t>
                  </w:r>
                </w:p>
              </w:tc>
              <w:tc>
                <w:tcPr>
                  <w:tcW w:w="1116" w:type="dxa"/>
                  <w:vAlign w:val="center"/>
                </w:tcPr>
                <w:p>
                  <w:pPr>
                    <w:pStyle w:val="11"/>
                    <w:jc w:val="center"/>
                    <w:rPr>
                      <w:b/>
                      <w:bCs/>
                      <w:color w:val="auto"/>
                    </w:rPr>
                  </w:pPr>
                  <w:r>
                    <w:rPr>
                      <w:b/>
                      <w:bCs/>
                      <w:color w:val="auto"/>
                    </w:rPr>
                    <w:t>贮存</w:t>
                  </w:r>
                </w:p>
                <w:p>
                  <w:pPr>
                    <w:pStyle w:val="11"/>
                    <w:jc w:val="center"/>
                    <w:rPr>
                      <w:b/>
                      <w:bCs/>
                      <w:color w:val="auto"/>
                    </w:rPr>
                  </w:pPr>
                  <w:r>
                    <w:rPr>
                      <w:b/>
                      <w:bCs/>
                      <w:color w:val="auto"/>
                    </w:rPr>
                    <w:t>方式</w:t>
                  </w:r>
                </w:p>
              </w:tc>
              <w:tc>
                <w:tcPr>
                  <w:tcW w:w="1240" w:type="dxa"/>
                  <w:vAlign w:val="center"/>
                </w:tcPr>
                <w:p>
                  <w:pPr>
                    <w:pStyle w:val="11"/>
                    <w:jc w:val="center"/>
                    <w:rPr>
                      <w:b/>
                      <w:bCs/>
                      <w:color w:val="auto"/>
                    </w:rPr>
                  </w:pPr>
                  <w:r>
                    <w:rPr>
                      <w:b/>
                      <w:bCs/>
                      <w:color w:val="auto"/>
                    </w:rPr>
                    <w:t>贮存</w:t>
                  </w:r>
                </w:p>
                <w:p>
                  <w:pPr>
                    <w:pStyle w:val="11"/>
                    <w:jc w:val="center"/>
                    <w:rPr>
                      <w:b/>
                      <w:bCs/>
                      <w:color w:val="auto"/>
                    </w:rPr>
                  </w:pPr>
                  <w:r>
                    <w:rPr>
                      <w:b/>
                      <w:bCs/>
                      <w:color w:val="auto"/>
                    </w:rPr>
                    <w:t>能力</w:t>
                  </w:r>
                </w:p>
              </w:tc>
              <w:tc>
                <w:tcPr>
                  <w:tcW w:w="778" w:type="dxa"/>
                  <w:vAlign w:val="center"/>
                </w:tcPr>
                <w:p>
                  <w:pPr>
                    <w:pStyle w:val="11"/>
                    <w:jc w:val="center"/>
                    <w:rPr>
                      <w:b/>
                      <w:bCs/>
                      <w:color w:val="auto"/>
                    </w:rPr>
                  </w:pPr>
                  <w:r>
                    <w:rPr>
                      <w:b/>
                      <w:bCs/>
                      <w:color w:val="auto"/>
                    </w:rPr>
                    <w:t>贮存</w:t>
                  </w:r>
                </w:p>
                <w:p>
                  <w:pPr>
                    <w:pStyle w:val="11"/>
                    <w:jc w:val="center"/>
                    <w:rPr>
                      <w:b/>
                      <w:bCs/>
                      <w:color w:val="auto"/>
                    </w:rPr>
                  </w:pPr>
                  <w:r>
                    <w:rPr>
                      <w:b/>
                      <w:bCs/>
                      <w:color w:val="auto"/>
                    </w:rPr>
                    <w:t>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pStyle w:val="11"/>
                    <w:jc w:val="center"/>
                    <w:rPr>
                      <w:color w:val="auto"/>
                    </w:rPr>
                  </w:pPr>
                  <w:r>
                    <w:rPr>
                      <w:color w:val="auto"/>
                    </w:rPr>
                    <w:t>危废暂存间</w:t>
                  </w:r>
                </w:p>
              </w:tc>
              <w:tc>
                <w:tcPr>
                  <w:tcW w:w="1516" w:type="dxa"/>
                  <w:vAlign w:val="center"/>
                </w:tcPr>
                <w:p>
                  <w:pPr>
                    <w:pStyle w:val="11"/>
                    <w:jc w:val="center"/>
                    <w:rPr>
                      <w:color w:val="auto"/>
                    </w:rPr>
                  </w:pPr>
                  <w:r>
                    <w:rPr>
                      <w:color w:val="auto"/>
                    </w:rPr>
                    <w:t>废机油</w:t>
                  </w:r>
                </w:p>
              </w:tc>
              <w:tc>
                <w:tcPr>
                  <w:tcW w:w="984" w:type="dxa"/>
                  <w:vAlign w:val="center"/>
                </w:tcPr>
                <w:p>
                  <w:pPr>
                    <w:pStyle w:val="11"/>
                    <w:jc w:val="center"/>
                    <w:rPr>
                      <w:color w:val="auto"/>
                    </w:rPr>
                  </w:pPr>
                  <w:r>
                    <w:rPr>
                      <w:color w:val="auto"/>
                    </w:rPr>
                    <w:t>HW08</w:t>
                  </w:r>
                </w:p>
              </w:tc>
              <w:tc>
                <w:tcPr>
                  <w:tcW w:w="1262" w:type="dxa"/>
                  <w:vAlign w:val="center"/>
                </w:tcPr>
                <w:p>
                  <w:pPr>
                    <w:pStyle w:val="11"/>
                    <w:jc w:val="center"/>
                    <w:rPr>
                      <w:color w:val="auto"/>
                    </w:rPr>
                  </w:pPr>
                  <w:r>
                    <w:rPr>
                      <w:color w:val="auto"/>
                    </w:rPr>
                    <w:t>900-217-08</w:t>
                  </w:r>
                </w:p>
              </w:tc>
              <w:tc>
                <w:tcPr>
                  <w:tcW w:w="688" w:type="dxa"/>
                  <w:vMerge w:val="restart"/>
                  <w:vAlign w:val="center"/>
                </w:tcPr>
                <w:p>
                  <w:pPr>
                    <w:pStyle w:val="11"/>
                    <w:jc w:val="center"/>
                    <w:rPr>
                      <w:color w:val="auto"/>
                    </w:rPr>
                  </w:pPr>
                  <w:r>
                    <w:rPr>
                      <w:color w:val="auto"/>
                    </w:rPr>
                    <w:t>约</w:t>
                  </w:r>
                  <w:r>
                    <w:rPr>
                      <w:rFonts w:hint="eastAsia"/>
                      <w:color w:val="auto"/>
                    </w:rPr>
                    <w:t>20</w:t>
                  </w:r>
                  <w:r>
                    <w:rPr>
                      <w:color w:val="auto"/>
                    </w:rPr>
                    <w:t>m</w:t>
                  </w:r>
                  <w:r>
                    <w:rPr>
                      <w:color w:val="auto"/>
                      <w:vertAlign w:val="superscript"/>
                    </w:rPr>
                    <w:t>2</w:t>
                  </w:r>
                </w:p>
              </w:tc>
              <w:tc>
                <w:tcPr>
                  <w:tcW w:w="1116" w:type="dxa"/>
                  <w:vAlign w:val="center"/>
                </w:tcPr>
                <w:p>
                  <w:pPr>
                    <w:pStyle w:val="11"/>
                    <w:jc w:val="center"/>
                    <w:rPr>
                      <w:color w:val="auto"/>
                    </w:rPr>
                  </w:pPr>
                  <w:r>
                    <w:rPr>
                      <w:color w:val="auto"/>
                    </w:rPr>
                    <w:t>桶装，50kg/桶</w:t>
                  </w:r>
                </w:p>
              </w:tc>
              <w:tc>
                <w:tcPr>
                  <w:tcW w:w="1240" w:type="dxa"/>
                  <w:vAlign w:val="center"/>
                </w:tcPr>
                <w:p>
                  <w:pPr>
                    <w:pStyle w:val="11"/>
                    <w:jc w:val="center"/>
                    <w:rPr>
                      <w:color w:val="auto"/>
                    </w:rPr>
                  </w:pPr>
                  <w:r>
                    <w:rPr>
                      <w:color w:val="auto"/>
                    </w:rPr>
                    <w:t>≥100kg</w:t>
                  </w:r>
                </w:p>
              </w:tc>
              <w:tc>
                <w:tcPr>
                  <w:tcW w:w="778" w:type="dxa"/>
                  <w:vAlign w:val="center"/>
                </w:tcPr>
                <w:p>
                  <w:pPr>
                    <w:pStyle w:val="11"/>
                    <w:jc w:val="center"/>
                    <w:rPr>
                      <w:color w:val="auto"/>
                    </w:rPr>
                  </w:pPr>
                  <w:r>
                    <w:rPr>
                      <w:color w:val="auto"/>
                    </w:rPr>
                    <w:t>半年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pStyle w:val="11"/>
                    <w:jc w:val="center"/>
                    <w:rPr>
                      <w:color w:val="auto"/>
                    </w:rPr>
                  </w:pPr>
                </w:p>
              </w:tc>
              <w:tc>
                <w:tcPr>
                  <w:tcW w:w="1516" w:type="dxa"/>
                  <w:vAlign w:val="center"/>
                </w:tcPr>
                <w:p>
                  <w:pPr>
                    <w:pStyle w:val="11"/>
                    <w:jc w:val="center"/>
                    <w:rPr>
                      <w:color w:val="auto"/>
                    </w:rPr>
                  </w:pPr>
                  <w:r>
                    <w:rPr>
                      <w:color w:val="auto"/>
                    </w:rPr>
                    <w:t>废液压油</w:t>
                  </w:r>
                </w:p>
              </w:tc>
              <w:tc>
                <w:tcPr>
                  <w:tcW w:w="984" w:type="dxa"/>
                  <w:vAlign w:val="center"/>
                </w:tcPr>
                <w:p>
                  <w:pPr>
                    <w:pStyle w:val="11"/>
                    <w:jc w:val="center"/>
                    <w:rPr>
                      <w:color w:val="auto"/>
                    </w:rPr>
                  </w:pPr>
                  <w:r>
                    <w:rPr>
                      <w:color w:val="auto"/>
                    </w:rPr>
                    <w:t>HW08</w:t>
                  </w:r>
                </w:p>
              </w:tc>
              <w:tc>
                <w:tcPr>
                  <w:tcW w:w="1262" w:type="dxa"/>
                  <w:vAlign w:val="center"/>
                </w:tcPr>
                <w:p>
                  <w:pPr>
                    <w:pStyle w:val="11"/>
                    <w:jc w:val="center"/>
                    <w:rPr>
                      <w:color w:val="auto"/>
                    </w:rPr>
                  </w:pPr>
                  <w:r>
                    <w:rPr>
                      <w:color w:val="auto"/>
                    </w:rPr>
                    <w:t>900-217-08</w:t>
                  </w:r>
                </w:p>
              </w:tc>
              <w:tc>
                <w:tcPr>
                  <w:tcW w:w="688" w:type="dxa"/>
                  <w:vMerge w:val="continue"/>
                  <w:vAlign w:val="center"/>
                </w:tcPr>
                <w:p>
                  <w:pPr>
                    <w:pStyle w:val="11"/>
                    <w:jc w:val="center"/>
                    <w:rPr>
                      <w:color w:val="auto"/>
                    </w:rPr>
                  </w:pPr>
                </w:p>
              </w:tc>
              <w:tc>
                <w:tcPr>
                  <w:tcW w:w="1116" w:type="dxa"/>
                  <w:vAlign w:val="center"/>
                </w:tcPr>
                <w:p>
                  <w:pPr>
                    <w:pStyle w:val="11"/>
                    <w:jc w:val="center"/>
                    <w:rPr>
                      <w:color w:val="auto"/>
                    </w:rPr>
                  </w:pPr>
                  <w:r>
                    <w:rPr>
                      <w:color w:val="auto"/>
                    </w:rPr>
                    <w:t>桶装，50kg/桶</w:t>
                  </w:r>
                </w:p>
              </w:tc>
              <w:tc>
                <w:tcPr>
                  <w:tcW w:w="1240" w:type="dxa"/>
                  <w:vAlign w:val="center"/>
                </w:tcPr>
                <w:p>
                  <w:pPr>
                    <w:pStyle w:val="11"/>
                    <w:jc w:val="center"/>
                    <w:rPr>
                      <w:color w:val="auto"/>
                    </w:rPr>
                  </w:pPr>
                  <w:r>
                    <w:rPr>
                      <w:color w:val="auto"/>
                    </w:rPr>
                    <w:t>≥100kg</w:t>
                  </w:r>
                </w:p>
              </w:tc>
              <w:tc>
                <w:tcPr>
                  <w:tcW w:w="778" w:type="dxa"/>
                  <w:vAlign w:val="center"/>
                </w:tcPr>
                <w:p>
                  <w:pPr>
                    <w:pStyle w:val="11"/>
                    <w:jc w:val="center"/>
                    <w:rPr>
                      <w:color w:val="auto"/>
                    </w:rPr>
                  </w:pPr>
                  <w:r>
                    <w:rPr>
                      <w:color w:val="auto"/>
                    </w:rPr>
                    <w:t>半年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pStyle w:val="11"/>
                    <w:jc w:val="center"/>
                    <w:rPr>
                      <w:color w:val="auto"/>
                    </w:rPr>
                  </w:pPr>
                </w:p>
              </w:tc>
              <w:tc>
                <w:tcPr>
                  <w:tcW w:w="1516" w:type="dxa"/>
                  <w:vAlign w:val="center"/>
                </w:tcPr>
                <w:p>
                  <w:pPr>
                    <w:pStyle w:val="11"/>
                    <w:jc w:val="center"/>
                    <w:rPr>
                      <w:color w:val="auto"/>
                    </w:rPr>
                  </w:pPr>
                  <w:r>
                    <w:rPr>
                      <w:color w:val="auto"/>
                    </w:rPr>
                    <w:t>废机油、废液压油桶</w:t>
                  </w:r>
                </w:p>
              </w:tc>
              <w:tc>
                <w:tcPr>
                  <w:tcW w:w="984" w:type="dxa"/>
                  <w:vAlign w:val="center"/>
                </w:tcPr>
                <w:p>
                  <w:pPr>
                    <w:pStyle w:val="11"/>
                    <w:jc w:val="center"/>
                    <w:rPr>
                      <w:color w:val="auto"/>
                    </w:rPr>
                  </w:pPr>
                  <w:r>
                    <w:rPr>
                      <w:color w:val="auto"/>
                    </w:rPr>
                    <w:t>HW49</w:t>
                  </w:r>
                </w:p>
              </w:tc>
              <w:tc>
                <w:tcPr>
                  <w:tcW w:w="1262" w:type="dxa"/>
                  <w:vAlign w:val="center"/>
                </w:tcPr>
                <w:p>
                  <w:pPr>
                    <w:pStyle w:val="11"/>
                    <w:jc w:val="center"/>
                    <w:rPr>
                      <w:color w:val="auto"/>
                    </w:rPr>
                  </w:pPr>
                  <w:r>
                    <w:rPr>
                      <w:color w:val="auto"/>
                    </w:rPr>
                    <w:t>900-039-49</w:t>
                  </w:r>
                </w:p>
              </w:tc>
              <w:tc>
                <w:tcPr>
                  <w:tcW w:w="688" w:type="dxa"/>
                  <w:vMerge w:val="continue"/>
                  <w:vAlign w:val="center"/>
                </w:tcPr>
                <w:p>
                  <w:pPr>
                    <w:pStyle w:val="11"/>
                    <w:jc w:val="center"/>
                    <w:rPr>
                      <w:color w:val="auto"/>
                    </w:rPr>
                  </w:pPr>
                </w:p>
              </w:tc>
              <w:tc>
                <w:tcPr>
                  <w:tcW w:w="1116" w:type="dxa"/>
                  <w:vAlign w:val="center"/>
                </w:tcPr>
                <w:p>
                  <w:pPr>
                    <w:pStyle w:val="11"/>
                    <w:jc w:val="center"/>
                    <w:rPr>
                      <w:color w:val="auto"/>
                    </w:rPr>
                  </w:pPr>
                  <w:r>
                    <w:rPr>
                      <w:color w:val="auto"/>
                    </w:rPr>
                    <w:t>/</w:t>
                  </w:r>
                </w:p>
              </w:tc>
              <w:tc>
                <w:tcPr>
                  <w:tcW w:w="1240" w:type="dxa"/>
                  <w:vAlign w:val="center"/>
                </w:tcPr>
                <w:p>
                  <w:pPr>
                    <w:pStyle w:val="11"/>
                    <w:jc w:val="center"/>
                    <w:rPr>
                      <w:color w:val="auto"/>
                    </w:rPr>
                  </w:pPr>
                  <w:r>
                    <w:rPr>
                      <w:color w:val="auto"/>
                    </w:rPr>
                    <w:t>≥100kg</w:t>
                  </w:r>
                </w:p>
              </w:tc>
              <w:tc>
                <w:tcPr>
                  <w:tcW w:w="778" w:type="dxa"/>
                  <w:vAlign w:val="center"/>
                </w:tcPr>
                <w:p>
                  <w:pPr>
                    <w:pStyle w:val="11"/>
                    <w:jc w:val="center"/>
                    <w:rPr>
                      <w:color w:val="auto"/>
                    </w:rPr>
                  </w:pPr>
                  <w:r>
                    <w:rPr>
                      <w:color w:val="auto"/>
                    </w:rPr>
                    <w:t>半年</w:t>
                  </w:r>
                </w:p>
              </w:tc>
            </w:tr>
          </w:tbl>
          <w:p>
            <w:pPr>
              <w:adjustRightInd w:val="0"/>
              <w:snapToGrid w:val="0"/>
              <w:ind w:firstLine="480"/>
              <w:rPr>
                <w:color w:val="auto"/>
              </w:rPr>
            </w:pPr>
            <w:r>
              <w:rPr>
                <w:color w:val="auto"/>
              </w:rPr>
              <w:t>综上所述，在采取以上措施后，项目营运期产生的固体废弃物均能得到妥善处置，营运期产生的固废对项目周围环境无明显影响。</w:t>
            </w:r>
          </w:p>
          <w:p>
            <w:pPr>
              <w:adjustRightInd w:val="0"/>
              <w:snapToGrid w:val="0"/>
              <w:ind w:firstLine="442"/>
              <w:rPr>
                <w:b/>
                <w:color w:val="auto"/>
                <w:spacing w:val="-10"/>
                <w:szCs w:val="21"/>
              </w:rPr>
            </w:pPr>
            <w:r>
              <w:rPr>
                <w:b/>
                <w:color w:val="auto"/>
                <w:spacing w:val="-10"/>
                <w:szCs w:val="21"/>
              </w:rPr>
              <w:t>5、营运期地下水影响分析</w:t>
            </w:r>
          </w:p>
          <w:p>
            <w:pPr>
              <w:adjustRightInd w:val="0"/>
              <w:snapToGrid w:val="0"/>
              <w:ind w:firstLine="480"/>
              <w:rPr>
                <w:color w:val="auto"/>
              </w:rPr>
            </w:pPr>
            <w:r>
              <w:rPr>
                <w:color w:val="auto"/>
              </w:rPr>
              <w:t>建设项目的地下水污染防治措施和对策，坚持“源头控制、分区防控、污染监控、应急响应，重点突出饮用水水质安全”的原则。</w:t>
            </w:r>
          </w:p>
          <w:p>
            <w:pPr>
              <w:adjustRightInd w:val="0"/>
              <w:snapToGrid w:val="0"/>
              <w:ind w:firstLine="480"/>
              <w:rPr>
                <w:color w:val="auto"/>
              </w:rPr>
            </w:pPr>
            <w:r>
              <w:rPr>
                <w:color w:val="auto"/>
              </w:rPr>
              <w:t>环评提出如下地下水防治要求：</w:t>
            </w:r>
          </w:p>
          <w:p>
            <w:pPr>
              <w:adjustRightInd w:val="0"/>
              <w:snapToGrid w:val="0"/>
              <w:ind w:firstLine="480"/>
              <w:rPr>
                <w:color w:val="auto"/>
              </w:rPr>
            </w:pPr>
            <w:r>
              <w:rPr>
                <w:color w:val="auto"/>
              </w:rPr>
              <w:t>项目应结合全厂各生产设备、运输装置、污染物贮存与处理装置、事故应急装置等的布局，根据可能进入地下水环境的各种原辅材料、产品的泄漏（含跑、冒、滴、漏）量及其他各类污染物的性质、产生量和排放量，将全车间主要生产单元划分为重点防渗区、一般防渗区、简单防渗区，详见表4-1</w:t>
            </w:r>
            <w:r>
              <w:rPr>
                <w:rFonts w:hint="eastAsia"/>
                <w:color w:val="auto"/>
              </w:rPr>
              <w:t>3</w:t>
            </w:r>
            <w:r>
              <w:rPr>
                <w:color w:val="auto"/>
              </w:rPr>
              <w:t>。</w:t>
            </w:r>
          </w:p>
          <w:p>
            <w:pPr>
              <w:pStyle w:val="11"/>
              <w:jc w:val="center"/>
              <w:rPr>
                <w:b/>
                <w:bCs/>
                <w:color w:val="auto"/>
              </w:rPr>
            </w:pPr>
            <w:r>
              <w:rPr>
                <w:b/>
                <w:bCs/>
                <w:color w:val="auto"/>
              </w:rPr>
              <w:t>表4-1</w:t>
            </w:r>
            <w:r>
              <w:rPr>
                <w:rFonts w:hint="eastAsia"/>
                <w:b/>
                <w:bCs/>
                <w:color w:val="auto"/>
              </w:rPr>
              <w:t>3</w:t>
            </w:r>
            <w:r>
              <w:rPr>
                <w:b/>
                <w:bCs/>
                <w:color w:val="auto"/>
              </w:rPr>
              <w:t xml:space="preserve">   厂区防渗分区防渗要求一览表</w:t>
            </w:r>
          </w:p>
          <w:tbl>
            <w:tblPr>
              <w:tblStyle w:val="6"/>
              <w:tblW w:w="8832"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03"/>
              <w:gridCol w:w="2050"/>
              <w:gridCol w:w="2768"/>
              <w:gridCol w:w="2611"/>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3453" w:type="dxa"/>
                  <w:gridSpan w:val="2"/>
                  <w:vAlign w:val="center"/>
                </w:tcPr>
                <w:p>
                  <w:pPr>
                    <w:pStyle w:val="11"/>
                    <w:jc w:val="center"/>
                    <w:rPr>
                      <w:b/>
                      <w:bCs/>
                      <w:color w:val="auto"/>
                    </w:rPr>
                  </w:pPr>
                  <w:r>
                    <w:rPr>
                      <w:b/>
                      <w:bCs/>
                      <w:color w:val="auto"/>
                    </w:rPr>
                    <w:t>区域名称</w:t>
                  </w:r>
                </w:p>
              </w:tc>
              <w:tc>
                <w:tcPr>
                  <w:tcW w:w="2768" w:type="dxa"/>
                  <w:vAlign w:val="center"/>
                </w:tcPr>
                <w:p>
                  <w:pPr>
                    <w:pStyle w:val="11"/>
                    <w:jc w:val="center"/>
                    <w:rPr>
                      <w:b/>
                      <w:bCs/>
                      <w:color w:val="auto"/>
                    </w:rPr>
                  </w:pPr>
                  <w:r>
                    <w:rPr>
                      <w:b/>
                      <w:bCs/>
                      <w:color w:val="auto"/>
                    </w:rPr>
                    <w:t>防渗技术要求</w:t>
                  </w:r>
                </w:p>
              </w:tc>
              <w:tc>
                <w:tcPr>
                  <w:tcW w:w="2611" w:type="dxa"/>
                  <w:vAlign w:val="center"/>
                </w:tcPr>
                <w:p>
                  <w:pPr>
                    <w:pStyle w:val="11"/>
                    <w:jc w:val="center"/>
                    <w:rPr>
                      <w:b/>
                      <w:bCs/>
                      <w:color w:val="auto"/>
                    </w:rPr>
                  </w:pPr>
                  <w:r>
                    <w:rPr>
                      <w:b/>
                      <w:bCs/>
                      <w:color w:val="auto"/>
                    </w:rPr>
                    <w:t>防渗工艺</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1403" w:type="dxa"/>
                  <w:vAlign w:val="center"/>
                </w:tcPr>
                <w:p>
                  <w:pPr>
                    <w:pStyle w:val="11"/>
                    <w:jc w:val="center"/>
                    <w:rPr>
                      <w:color w:val="auto"/>
                    </w:rPr>
                  </w:pPr>
                  <w:r>
                    <w:rPr>
                      <w:color w:val="auto"/>
                    </w:rPr>
                    <w:t>简单</w:t>
                  </w:r>
                </w:p>
                <w:p>
                  <w:pPr>
                    <w:pStyle w:val="11"/>
                    <w:jc w:val="center"/>
                    <w:rPr>
                      <w:color w:val="auto"/>
                    </w:rPr>
                  </w:pPr>
                  <w:r>
                    <w:rPr>
                      <w:color w:val="auto"/>
                    </w:rPr>
                    <w:t>防渗区</w:t>
                  </w:r>
                </w:p>
              </w:tc>
              <w:tc>
                <w:tcPr>
                  <w:tcW w:w="2050" w:type="dxa"/>
                  <w:vAlign w:val="center"/>
                </w:tcPr>
                <w:p>
                  <w:pPr>
                    <w:pStyle w:val="11"/>
                    <w:jc w:val="center"/>
                    <w:rPr>
                      <w:rFonts w:hint="eastAsia"/>
                      <w:color w:val="auto"/>
                      <w:lang w:val="en-US" w:eastAsia="zh-CN"/>
                    </w:rPr>
                  </w:pPr>
                  <w:r>
                    <w:rPr>
                      <w:color w:val="auto"/>
                    </w:rPr>
                    <w:t>办公</w:t>
                  </w:r>
                  <w:r>
                    <w:rPr>
                      <w:rFonts w:hint="eastAsia"/>
                      <w:color w:val="auto"/>
                      <w:lang w:val="en-US" w:eastAsia="zh-CN"/>
                    </w:rPr>
                    <w:t>综合楼、</w:t>
                  </w:r>
                </w:p>
                <w:p>
                  <w:pPr>
                    <w:pStyle w:val="11"/>
                    <w:jc w:val="center"/>
                    <w:rPr>
                      <w:rFonts w:hint="default" w:eastAsia="宋体"/>
                      <w:color w:val="auto"/>
                      <w:lang w:val="en-US" w:eastAsia="zh-CN"/>
                    </w:rPr>
                  </w:pPr>
                  <w:r>
                    <w:rPr>
                      <w:rFonts w:hint="eastAsia"/>
                      <w:color w:val="auto"/>
                      <w:lang w:val="en-US" w:eastAsia="zh-CN"/>
                    </w:rPr>
                    <w:t>宿舍楼等</w:t>
                  </w:r>
                </w:p>
              </w:tc>
              <w:tc>
                <w:tcPr>
                  <w:tcW w:w="2768" w:type="dxa"/>
                  <w:vAlign w:val="center"/>
                </w:tcPr>
                <w:p>
                  <w:pPr>
                    <w:pStyle w:val="11"/>
                    <w:jc w:val="center"/>
                    <w:rPr>
                      <w:color w:val="auto"/>
                    </w:rPr>
                  </w:pPr>
                  <w:r>
                    <w:rPr>
                      <w:color w:val="auto"/>
                    </w:rPr>
                    <w:t>一般地面硬化</w:t>
                  </w:r>
                </w:p>
              </w:tc>
              <w:tc>
                <w:tcPr>
                  <w:tcW w:w="2611" w:type="dxa"/>
                  <w:vAlign w:val="center"/>
                </w:tcPr>
                <w:p>
                  <w:pPr>
                    <w:pStyle w:val="11"/>
                    <w:jc w:val="center"/>
                    <w:rPr>
                      <w:color w:val="auto"/>
                    </w:rPr>
                  </w:pPr>
                  <w:r>
                    <w:rPr>
                      <w:color w:val="auto"/>
                    </w:rPr>
                    <w:t>使用普通</w:t>
                  </w:r>
                </w:p>
                <w:p>
                  <w:pPr>
                    <w:pStyle w:val="11"/>
                    <w:jc w:val="center"/>
                    <w:rPr>
                      <w:color w:val="auto"/>
                    </w:rPr>
                  </w:pPr>
                  <w:r>
                    <w:rPr>
                      <w:color w:val="auto"/>
                    </w:rPr>
                    <w:t>混凝土硬化地面</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1" w:hRule="atLeast"/>
                <w:jc w:val="center"/>
              </w:trPr>
              <w:tc>
                <w:tcPr>
                  <w:tcW w:w="1403" w:type="dxa"/>
                  <w:vAlign w:val="center"/>
                </w:tcPr>
                <w:p>
                  <w:pPr>
                    <w:pStyle w:val="11"/>
                    <w:jc w:val="center"/>
                    <w:rPr>
                      <w:color w:val="auto"/>
                    </w:rPr>
                  </w:pPr>
                  <w:r>
                    <w:rPr>
                      <w:color w:val="auto"/>
                    </w:rPr>
                    <w:t>一般</w:t>
                  </w:r>
                </w:p>
                <w:p>
                  <w:pPr>
                    <w:pStyle w:val="11"/>
                    <w:jc w:val="center"/>
                    <w:rPr>
                      <w:color w:val="auto"/>
                    </w:rPr>
                  </w:pPr>
                  <w:r>
                    <w:rPr>
                      <w:color w:val="auto"/>
                    </w:rPr>
                    <w:t>防渗区</w:t>
                  </w:r>
                </w:p>
              </w:tc>
              <w:tc>
                <w:tcPr>
                  <w:tcW w:w="2050" w:type="dxa"/>
                  <w:vAlign w:val="center"/>
                </w:tcPr>
                <w:p>
                  <w:pPr>
                    <w:pStyle w:val="11"/>
                    <w:jc w:val="center"/>
                    <w:rPr>
                      <w:rFonts w:hint="default" w:eastAsia="宋体"/>
                      <w:color w:val="auto"/>
                      <w:lang w:val="en-US" w:eastAsia="zh-CN"/>
                    </w:rPr>
                  </w:pPr>
                  <w:r>
                    <w:rPr>
                      <w:rFonts w:hint="eastAsia"/>
                      <w:color w:val="auto"/>
                      <w:lang w:val="en-US" w:eastAsia="zh-CN"/>
                    </w:rPr>
                    <w:t>生产车间</w:t>
                  </w:r>
                  <w:r>
                    <w:rPr>
                      <w:rFonts w:hint="eastAsia"/>
                      <w:color w:val="auto"/>
                      <w:lang w:eastAsia="zh-CN"/>
                    </w:rPr>
                    <w:t>、</w:t>
                  </w:r>
                  <w:r>
                    <w:rPr>
                      <w:rFonts w:hint="eastAsia"/>
                      <w:color w:val="auto"/>
                      <w:lang w:val="en-US" w:eastAsia="zh-CN"/>
                    </w:rPr>
                    <w:t>污水处理站、预处理池等</w:t>
                  </w:r>
                </w:p>
              </w:tc>
              <w:tc>
                <w:tcPr>
                  <w:tcW w:w="2768" w:type="dxa"/>
                  <w:vAlign w:val="center"/>
                </w:tcPr>
                <w:p>
                  <w:pPr>
                    <w:pStyle w:val="11"/>
                    <w:jc w:val="center"/>
                    <w:rPr>
                      <w:color w:val="auto"/>
                    </w:rPr>
                  </w:pPr>
                  <w:r>
                    <w:rPr>
                      <w:color w:val="auto"/>
                    </w:rPr>
                    <w:t>要求K≤10</w:t>
                  </w:r>
                  <w:r>
                    <w:rPr>
                      <w:color w:val="auto"/>
                      <w:vertAlign w:val="superscript"/>
                    </w:rPr>
                    <w:t>-7</w:t>
                  </w:r>
                  <w:r>
                    <w:rPr>
                      <w:color w:val="auto"/>
                    </w:rPr>
                    <w:t>cm/s的</w:t>
                  </w:r>
                </w:p>
                <w:p>
                  <w:pPr>
                    <w:pStyle w:val="11"/>
                    <w:jc w:val="center"/>
                    <w:rPr>
                      <w:color w:val="auto"/>
                    </w:rPr>
                  </w:pPr>
                  <w:r>
                    <w:rPr>
                      <w:color w:val="auto"/>
                    </w:rPr>
                    <w:t>黏土防渗层效果</w:t>
                  </w:r>
                </w:p>
              </w:tc>
              <w:tc>
                <w:tcPr>
                  <w:tcW w:w="2611" w:type="dxa"/>
                  <w:vAlign w:val="center"/>
                </w:tcPr>
                <w:p>
                  <w:pPr>
                    <w:pStyle w:val="11"/>
                    <w:jc w:val="center"/>
                    <w:rPr>
                      <w:color w:val="auto"/>
                    </w:rPr>
                  </w:pPr>
                  <w:r>
                    <w:rPr>
                      <w:color w:val="auto"/>
                    </w:rPr>
                    <w:t>使用防渗混凝土</w:t>
                  </w:r>
                </w:p>
                <w:p>
                  <w:pPr>
                    <w:pStyle w:val="11"/>
                    <w:jc w:val="center"/>
                    <w:rPr>
                      <w:color w:val="auto"/>
                    </w:rPr>
                  </w:pPr>
                  <w:r>
                    <w:rPr>
                      <w:color w:val="auto"/>
                    </w:rPr>
                    <w:t>地面</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403" w:type="dxa"/>
                  <w:vAlign w:val="center"/>
                </w:tcPr>
                <w:p>
                  <w:pPr>
                    <w:pStyle w:val="11"/>
                    <w:jc w:val="center"/>
                    <w:rPr>
                      <w:color w:val="auto"/>
                    </w:rPr>
                  </w:pPr>
                  <w:r>
                    <w:rPr>
                      <w:color w:val="auto"/>
                    </w:rPr>
                    <w:t>重点</w:t>
                  </w:r>
                </w:p>
                <w:p>
                  <w:pPr>
                    <w:pStyle w:val="11"/>
                    <w:jc w:val="center"/>
                    <w:rPr>
                      <w:color w:val="auto"/>
                    </w:rPr>
                  </w:pPr>
                  <w:r>
                    <w:rPr>
                      <w:color w:val="auto"/>
                    </w:rPr>
                    <w:t>防渗区</w:t>
                  </w:r>
                </w:p>
              </w:tc>
              <w:tc>
                <w:tcPr>
                  <w:tcW w:w="2050" w:type="dxa"/>
                  <w:vAlign w:val="center"/>
                </w:tcPr>
                <w:p>
                  <w:pPr>
                    <w:pStyle w:val="11"/>
                    <w:jc w:val="center"/>
                    <w:rPr>
                      <w:color w:val="auto"/>
                    </w:rPr>
                  </w:pPr>
                  <w:r>
                    <w:rPr>
                      <w:color w:val="auto"/>
                    </w:rPr>
                    <w:t>危险废物暂存间</w:t>
                  </w:r>
                </w:p>
              </w:tc>
              <w:tc>
                <w:tcPr>
                  <w:tcW w:w="2768" w:type="dxa"/>
                  <w:vAlign w:val="center"/>
                </w:tcPr>
                <w:p>
                  <w:pPr>
                    <w:pStyle w:val="11"/>
                    <w:jc w:val="center"/>
                    <w:rPr>
                      <w:color w:val="auto"/>
                    </w:rPr>
                  </w:pPr>
                  <w:r>
                    <w:rPr>
                      <w:color w:val="auto"/>
                    </w:rPr>
                    <w:t>要求K≤10</w:t>
                  </w:r>
                  <w:r>
                    <w:rPr>
                      <w:color w:val="auto"/>
                      <w:vertAlign w:val="superscript"/>
                    </w:rPr>
                    <w:t>-10</w:t>
                  </w:r>
                  <w:r>
                    <w:rPr>
                      <w:color w:val="auto"/>
                    </w:rPr>
                    <w:t>cm/s的</w:t>
                  </w:r>
                </w:p>
                <w:p>
                  <w:pPr>
                    <w:pStyle w:val="11"/>
                    <w:jc w:val="center"/>
                    <w:rPr>
                      <w:color w:val="auto"/>
                    </w:rPr>
                  </w:pPr>
                  <w:r>
                    <w:rPr>
                      <w:color w:val="auto"/>
                    </w:rPr>
                    <w:t>黏土防渗层效果</w:t>
                  </w:r>
                </w:p>
              </w:tc>
              <w:tc>
                <w:tcPr>
                  <w:tcW w:w="2611" w:type="dxa"/>
                  <w:vAlign w:val="center"/>
                </w:tcPr>
                <w:p>
                  <w:pPr>
                    <w:pStyle w:val="11"/>
                    <w:jc w:val="center"/>
                    <w:rPr>
                      <w:color w:val="auto"/>
                    </w:rPr>
                  </w:pPr>
                  <w:r>
                    <w:rPr>
                      <w:color w:val="auto"/>
                    </w:rPr>
                    <w:t>采取防渗混凝土</w:t>
                  </w:r>
                </w:p>
                <w:p>
                  <w:pPr>
                    <w:pStyle w:val="11"/>
                    <w:jc w:val="center"/>
                    <w:rPr>
                      <w:color w:val="auto"/>
                    </w:rPr>
                  </w:pPr>
                  <w:r>
                    <w:rPr>
                      <w:color w:val="auto"/>
                    </w:rPr>
                    <w:t>地面+2mmHDPE土工膜进行防渗处理</w:t>
                  </w:r>
                </w:p>
              </w:tc>
            </w:tr>
          </w:tbl>
          <w:p>
            <w:pPr>
              <w:adjustRightInd w:val="0"/>
              <w:snapToGrid w:val="0"/>
              <w:ind w:firstLine="480"/>
              <w:rPr>
                <w:color w:val="auto"/>
              </w:rPr>
            </w:pPr>
            <w:r>
              <w:rPr>
                <w:color w:val="auto"/>
              </w:rPr>
              <w:t>项目采取以上地下水防渗措施后，项目对地下水环境的影响很小。</w:t>
            </w:r>
          </w:p>
          <w:p>
            <w:pPr>
              <w:adjustRightInd w:val="0"/>
              <w:snapToGrid w:val="0"/>
              <w:ind w:firstLine="442"/>
              <w:rPr>
                <w:b/>
                <w:color w:val="auto"/>
                <w:spacing w:val="-10"/>
                <w:szCs w:val="21"/>
              </w:rPr>
            </w:pPr>
            <w:r>
              <w:rPr>
                <w:b/>
                <w:color w:val="auto"/>
                <w:spacing w:val="-10"/>
                <w:szCs w:val="21"/>
              </w:rPr>
              <w:t>6、土壤环境影响分析</w:t>
            </w:r>
          </w:p>
          <w:p>
            <w:pPr>
              <w:adjustRightInd w:val="0"/>
              <w:snapToGrid w:val="0"/>
              <w:ind w:firstLine="440"/>
              <w:rPr>
                <w:bCs/>
                <w:color w:val="auto"/>
                <w:spacing w:val="-10"/>
                <w:szCs w:val="21"/>
              </w:rPr>
            </w:pPr>
            <w:r>
              <w:rPr>
                <w:bCs/>
                <w:color w:val="auto"/>
                <w:spacing w:val="-10"/>
                <w:szCs w:val="21"/>
              </w:rPr>
              <w:t>环评要求：</w:t>
            </w:r>
          </w:p>
          <w:p>
            <w:pPr>
              <w:adjustRightInd w:val="0"/>
              <w:snapToGrid w:val="0"/>
              <w:ind w:firstLine="440"/>
              <w:rPr>
                <w:bCs/>
                <w:color w:val="auto"/>
                <w:spacing w:val="-10"/>
                <w:szCs w:val="21"/>
              </w:rPr>
            </w:pPr>
            <w:r>
              <w:rPr>
                <w:bCs/>
                <w:color w:val="auto"/>
                <w:spacing w:val="-10"/>
                <w:szCs w:val="21"/>
              </w:rPr>
              <w:t>（1）严格检查污水处理设施的防渗措施，从而防止地下水污染。</w:t>
            </w:r>
          </w:p>
          <w:p>
            <w:pPr>
              <w:adjustRightInd w:val="0"/>
              <w:snapToGrid w:val="0"/>
              <w:ind w:firstLine="440"/>
              <w:rPr>
                <w:bCs/>
                <w:color w:val="auto"/>
                <w:spacing w:val="-10"/>
                <w:szCs w:val="21"/>
              </w:rPr>
            </w:pPr>
            <w:r>
              <w:rPr>
                <w:bCs/>
                <w:color w:val="auto"/>
                <w:spacing w:val="-10"/>
                <w:szCs w:val="21"/>
              </w:rPr>
              <w:t>（2）对</w:t>
            </w:r>
            <w:r>
              <w:rPr>
                <w:rFonts w:hint="eastAsia"/>
                <w:bCs/>
                <w:color w:val="auto"/>
                <w:spacing w:val="-10"/>
                <w:szCs w:val="21"/>
              </w:rPr>
              <w:t>危废暂存间</w:t>
            </w:r>
            <w:r>
              <w:rPr>
                <w:bCs/>
                <w:color w:val="auto"/>
                <w:spacing w:val="-10"/>
                <w:szCs w:val="21"/>
              </w:rPr>
              <w:t>进行重点防渗；</w:t>
            </w:r>
          </w:p>
          <w:p>
            <w:pPr>
              <w:adjustRightInd w:val="0"/>
              <w:snapToGrid w:val="0"/>
              <w:ind w:firstLine="482"/>
              <w:rPr>
                <w:b/>
                <w:bCs/>
                <w:color w:val="auto"/>
              </w:rPr>
            </w:pPr>
            <w:r>
              <w:rPr>
                <w:b/>
                <w:bCs/>
                <w:color w:val="auto"/>
              </w:rPr>
              <w:t>7、风险影响分析</w:t>
            </w:r>
          </w:p>
          <w:p>
            <w:pPr>
              <w:ind w:firstLine="480"/>
              <w:rPr>
                <w:color w:val="auto"/>
              </w:rPr>
            </w:pPr>
            <w:r>
              <w:rPr>
                <w:color w:val="auto"/>
              </w:rPr>
              <w:t>环境风险评价的目的是分析和预测建设项目存在的潜在危险、有害因素，建设项目建设和运行期间可能发生的突发性事件或事故，引起有毒有害和易燃易爆等物质泄漏，所造成的人身安全与环境影响和损害程度，提出</w:t>
            </w:r>
            <w:bookmarkStart w:id="19" w:name="_GoBack"/>
            <w:bookmarkEnd w:id="19"/>
            <w:r>
              <w:rPr>
                <w:color w:val="auto"/>
              </w:rPr>
              <w:t>合理可行的防范、应急与减缓措施，以使建设项目事故率、损失和环境影响达到可接受水平。</w:t>
            </w:r>
          </w:p>
          <w:p>
            <w:pPr>
              <w:ind w:firstLine="480"/>
              <w:rPr>
                <w:color w:val="auto"/>
              </w:rPr>
            </w:pPr>
            <w:r>
              <w:rPr>
                <w:color w:val="auto"/>
              </w:rPr>
              <w:t>本项目事故风险评价不考虑工程外部事故风险因素（如地震、雷电、战争、人为蓄意破坏等），主要考虑可能对厂区外敏感点和周围环境造成污染的危害事故。</w:t>
            </w:r>
          </w:p>
          <w:p>
            <w:pPr>
              <w:ind w:firstLine="480"/>
              <w:rPr>
                <w:color w:val="auto"/>
              </w:rPr>
            </w:pPr>
            <w:r>
              <w:rPr>
                <w:color w:val="auto"/>
              </w:rPr>
              <w:t>（1）风险识别</w:t>
            </w:r>
          </w:p>
          <w:p>
            <w:pPr>
              <w:ind w:firstLine="480"/>
              <w:rPr>
                <w:color w:val="auto"/>
              </w:rPr>
            </w:pPr>
            <w:r>
              <w:rPr>
                <w:color w:val="auto"/>
              </w:rPr>
              <w:t>本项目原辅材料、生产过程均不涉及危险物质，本项目不涉及重大危险源。本项目运行过程中，主要的环境风险为生产设备发生火灾、废气处理设施故障发生废气超标排放、危险废物储存不当发生泄露或管理不当发生火灾。具体环境风险识别见表4-1</w:t>
            </w:r>
            <w:r>
              <w:rPr>
                <w:rFonts w:hint="eastAsia"/>
                <w:color w:val="auto"/>
              </w:rPr>
              <w:t>4</w:t>
            </w:r>
            <w:r>
              <w:rPr>
                <w:color w:val="auto"/>
              </w:rPr>
              <w:t>。</w:t>
            </w:r>
          </w:p>
          <w:p>
            <w:pPr>
              <w:pStyle w:val="11"/>
              <w:jc w:val="center"/>
              <w:rPr>
                <w:b/>
                <w:bCs/>
                <w:color w:val="auto"/>
              </w:rPr>
            </w:pPr>
            <w:r>
              <w:rPr>
                <w:b/>
                <w:bCs/>
                <w:color w:val="auto"/>
              </w:rPr>
              <w:t>表4-1</w:t>
            </w:r>
            <w:r>
              <w:rPr>
                <w:rFonts w:hint="eastAsia"/>
                <w:b/>
                <w:bCs/>
                <w:color w:val="auto"/>
              </w:rPr>
              <w:t>4</w:t>
            </w:r>
            <w:r>
              <w:rPr>
                <w:b/>
                <w:bCs/>
                <w:color w:val="auto"/>
              </w:rPr>
              <w:t xml:space="preserve"> 主要生产设施危险识别表</w:t>
            </w:r>
          </w:p>
          <w:tbl>
            <w:tblPr>
              <w:tblStyle w:val="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215"/>
              <w:gridCol w:w="1305"/>
              <w:gridCol w:w="1238"/>
              <w:gridCol w:w="1238"/>
              <w:gridCol w:w="2003"/>
              <w:gridCol w:w="1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shd w:val="clear" w:color="auto" w:fill="auto"/>
                  <w:vAlign w:val="center"/>
                </w:tcPr>
                <w:p>
                  <w:pPr>
                    <w:pStyle w:val="11"/>
                    <w:jc w:val="center"/>
                    <w:rPr>
                      <w:b/>
                      <w:bCs/>
                      <w:color w:val="auto"/>
                    </w:rPr>
                  </w:pPr>
                  <w:r>
                    <w:rPr>
                      <w:b/>
                      <w:bCs/>
                      <w:color w:val="auto"/>
                    </w:rPr>
                    <w:t>序号</w:t>
                  </w:r>
                </w:p>
              </w:tc>
              <w:tc>
                <w:tcPr>
                  <w:tcW w:w="687" w:type="pct"/>
                  <w:shd w:val="clear" w:color="auto" w:fill="auto"/>
                  <w:vAlign w:val="center"/>
                </w:tcPr>
                <w:p>
                  <w:pPr>
                    <w:pStyle w:val="11"/>
                    <w:jc w:val="center"/>
                    <w:rPr>
                      <w:b/>
                      <w:bCs/>
                      <w:color w:val="auto"/>
                    </w:rPr>
                  </w:pPr>
                  <w:r>
                    <w:rPr>
                      <w:b/>
                      <w:bCs/>
                      <w:color w:val="auto"/>
                    </w:rPr>
                    <w:t>危险</w:t>
                  </w:r>
                </w:p>
                <w:p>
                  <w:pPr>
                    <w:pStyle w:val="11"/>
                    <w:jc w:val="center"/>
                    <w:rPr>
                      <w:b/>
                      <w:bCs/>
                      <w:color w:val="auto"/>
                    </w:rPr>
                  </w:pPr>
                  <w:r>
                    <w:rPr>
                      <w:b/>
                      <w:bCs/>
                      <w:color w:val="auto"/>
                    </w:rPr>
                    <w:t>单元</w:t>
                  </w:r>
                </w:p>
              </w:tc>
              <w:tc>
                <w:tcPr>
                  <w:tcW w:w="738" w:type="pct"/>
                  <w:shd w:val="clear" w:color="auto" w:fill="auto"/>
                  <w:vAlign w:val="center"/>
                </w:tcPr>
                <w:p>
                  <w:pPr>
                    <w:pStyle w:val="11"/>
                    <w:jc w:val="center"/>
                    <w:rPr>
                      <w:b/>
                      <w:bCs/>
                      <w:color w:val="auto"/>
                    </w:rPr>
                  </w:pPr>
                  <w:r>
                    <w:rPr>
                      <w:b/>
                      <w:bCs/>
                      <w:color w:val="auto"/>
                    </w:rPr>
                    <w:t>风险源</w:t>
                  </w:r>
                </w:p>
              </w:tc>
              <w:tc>
                <w:tcPr>
                  <w:tcW w:w="701" w:type="pct"/>
                  <w:shd w:val="clear" w:color="auto" w:fill="auto"/>
                  <w:vAlign w:val="center"/>
                </w:tcPr>
                <w:p>
                  <w:pPr>
                    <w:pStyle w:val="11"/>
                    <w:jc w:val="center"/>
                    <w:rPr>
                      <w:b/>
                      <w:bCs/>
                      <w:color w:val="auto"/>
                    </w:rPr>
                  </w:pPr>
                  <w:r>
                    <w:rPr>
                      <w:b/>
                      <w:bCs/>
                      <w:color w:val="auto"/>
                    </w:rPr>
                    <w:t>主要风险物质</w:t>
                  </w:r>
                </w:p>
              </w:tc>
              <w:tc>
                <w:tcPr>
                  <w:tcW w:w="701" w:type="pct"/>
                  <w:shd w:val="clear" w:color="auto" w:fill="auto"/>
                  <w:vAlign w:val="center"/>
                </w:tcPr>
                <w:p>
                  <w:pPr>
                    <w:pStyle w:val="11"/>
                    <w:jc w:val="center"/>
                    <w:rPr>
                      <w:b/>
                      <w:bCs/>
                      <w:color w:val="auto"/>
                    </w:rPr>
                  </w:pPr>
                  <w:r>
                    <w:rPr>
                      <w:b/>
                      <w:bCs/>
                      <w:color w:val="auto"/>
                    </w:rPr>
                    <w:t>环境风险类型</w:t>
                  </w:r>
                </w:p>
              </w:tc>
              <w:tc>
                <w:tcPr>
                  <w:tcW w:w="1134" w:type="pct"/>
                  <w:shd w:val="clear" w:color="auto" w:fill="auto"/>
                  <w:vAlign w:val="center"/>
                </w:tcPr>
                <w:p>
                  <w:pPr>
                    <w:pStyle w:val="11"/>
                    <w:jc w:val="center"/>
                    <w:rPr>
                      <w:b/>
                      <w:bCs/>
                      <w:color w:val="auto"/>
                    </w:rPr>
                  </w:pPr>
                  <w:r>
                    <w:rPr>
                      <w:b/>
                      <w:bCs/>
                      <w:color w:val="auto"/>
                    </w:rPr>
                    <w:t>环境影响途径</w:t>
                  </w:r>
                </w:p>
              </w:tc>
              <w:tc>
                <w:tcPr>
                  <w:tcW w:w="715" w:type="pct"/>
                  <w:shd w:val="clear" w:color="auto" w:fill="auto"/>
                  <w:vAlign w:val="center"/>
                </w:tcPr>
                <w:p>
                  <w:pPr>
                    <w:pStyle w:val="11"/>
                    <w:jc w:val="center"/>
                    <w:rPr>
                      <w:b/>
                      <w:bCs/>
                      <w:color w:val="auto"/>
                    </w:rPr>
                  </w:pPr>
                  <w:r>
                    <w:rPr>
                      <w:b/>
                      <w:bCs/>
                      <w:color w:val="auto"/>
                    </w:rPr>
                    <w:t>可能受影响的环境敏感目标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shd w:val="clear" w:color="auto" w:fill="auto"/>
                  <w:vAlign w:val="center"/>
                </w:tcPr>
                <w:p>
                  <w:pPr>
                    <w:pStyle w:val="11"/>
                    <w:jc w:val="center"/>
                    <w:rPr>
                      <w:color w:val="auto"/>
                    </w:rPr>
                  </w:pPr>
                  <w:r>
                    <w:rPr>
                      <w:color w:val="auto"/>
                    </w:rPr>
                    <w:t>1</w:t>
                  </w:r>
                </w:p>
              </w:tc>
              <w:tc>
                <w:tcPr>
                  <w:tcW w:w="687" w:type="pct"/>
                  <w:shd w:val="clear" w:color="auto" w:fill="auto"/>
                  <w:vAlign w:val="center"/>
                </w:tcPr>
                <w:p>
                  <w:pPr>
                    <w:pStyle w:val="11"/>
                    <w:jc w:val="center"/>
                    <w:rPr>
                      <w:color w:val="auto"/>
                    </w:rPr>
                  </w:pPr>
                  <w:r>
                    <w:rPr>
                      <w:color w:val="auto"/>
                    </w:rPr>
                    <w:t>生产车间</w:t>
                  </w:r>
                </w:p>
              </w:tc>
              <w:tc>
                <w:tcPr>
                  <w:tcW w:w="738" w:type="pct"/>
                  <w:shd w:val="clear" w:color="auto" w:fill="auto"/>
                  <w:vAlign w:val="center"/>
                </w:tcPr>
                <w:p>
                  <w:pPr>
                    <w:pStyle w:val="11"/>
                    <w:jc w:val="center"/>
                    <w:rPr>
                      <w:color w:val="auto"/>
                    </w:rPr>
                  </w:pPr>
                  <w:r>
                    <w:rPr>
                      <w:color w:val="auto"/>
                    </w:rPr>
                    <w:t>生产设备</w:t>
                  </w:r>
                </w:p>
              </w:tc>
              <w:tc>
                <w:tcPr>
                  <w:tcW w:w="701" w:type="pct"/>
                  <w:shd w:val="clear" w:color="auto" w:fill="auto"/>
                  <w:vAlign w:val="center"/>
                </w:tcPr>
                <w:p>
                  <w:pPr>
                    <w:pStyle w:val="11"/>
                    <w:jc w:val="center"/>
                    <w:rPr>
                      <w:color w:val="auto"/>
                    </w:rPr>
                  </w:pPr>
                  <w:r>
                    <w:rPr>
                      <w:color w:val="auto"/>
                    </w:rPr>
                    <w:t>无</w:t>
                  </w:r>
                </w:p>
              </w:tc>
              <w:tc>
                <w:tcPr>
                  <w:tcW w:w="701" w:type="pct"/>
                  <w:shd w:val="clear" w:color="auto" w:fill="auto"/>
                  <w:vAlign w:val="center"/>
                </w:tcPr>
                <w:p>
                  <w:pPr>
                    <w:pStyle w:val="11"/>
                    <w:jc w:val="center"/>
                    <w:rPr>
                      <w:color w:val="auto"/>
                    </w:rPr>
                  </w:pPr>
                  <w:r>
                    <w:rPr>
                      <w:color w:val="auto"/>
                    </w:rPr>
                    <w:t>火灾</w:t>
                  </w:r>
                </w:p>
              </w:tc>
              <w:tc>
                <w:tcPr>
                  <w:tcW w:w="1134" w:type="pct"/>
                  <w:shd w:val="clear" w:color="auto" w:fill="auto"/>
                  <w:vAlign w:val="center"/>
                </w:tcPr>
                <w:p>
                  <w:pPr>
                    <w:pStyle w:val="11"/>
                    <w:jc w:val="center"/>
                    <w:rPr>
                      <w:color w:val="auto"/>
                    </w:rPr>
                  </w:pPr>
                  <w:r>
                    <w:rPr>
                      <w:color w:val="auto"/>
                    </w:rPr>
                    <w:t>操作不当导致设备故障，引发火灾</w:t>
                  </w:r>
                </w:p>
              </w:tc>
              <w:tc>
                <w:tcPr>
                  <w:tcW w:w="715" w:type="pct"/>
                  <w:shd w:val="clear" w:color="auto" w:fill="auto"/>
                  <w:vAlign w:val="center"/>
                </w:tcPr>
                <w:p>
                  <w:pPr>
                    <w:pStyle w:val="11"/>
                    <w:jc w:val="center"/>
                    <w:rPr>
                      <w:color w:val="auto"/>
                    </w:rPr>
                  </w:pPr>
                  <w:r>
                    <w:rPr>
                      <w:color w:val="auto"/>
                    </w:rPr>
                    <w:t>空气环境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shd w:val="clear" w:color="auto" w:fill="auto"/>
                  <w:vAlign w:val="center"/>
                </w:tcPr>
                <w:p>
                  <w:pPr>
                    <w:pStyle w:val="11"/>
                    <w:jc w:val="center"/>
                    <w:rPr>
                      <w:color w:val="auto"/>
                    </w:rPr>
                  </w:pPr>
                  <w:r>
                    <w:rPr>
                      <w:color w:val="auto"/>
                    </w:rPr>
                    <w:t>2</w:t>
                  </w:r>
                </w:p>
              </w:tc>
              <w:tc>
                <w:tcPr>
                  <w:tcW w:w="687" w:type="pct"/>
                  <w:shd w:val="clear" w:color="auto" w:fill="auto"/>
                  <w:vAlign w:val="center"/>
                </w:tcPr>
                <w:p>
                  <w:pPr>
                    <w:pStyle w:val="11"/>
                    <w:jc w:val="center"/>
                    <w:rPr>
                      <w:color w:val="auto"/>
                    </w:rPr>
                  </w:pPr>
                  <w:r>
                    <w:rPr>
                      <w:color w:val="auto"/>
                    </w:rPr>
                    <w:t>废气处理设施</w:t>
                  </w:r>
                </w:p>
              </w:tc>
              <w:tc>
                <w:tcPr>
                  <w:tcW w:w="738" w:type="pct"/>
                  <w:shd w:val="clear" w:color="auto" w:fill="auto"/>
                  <w:vAlign w:val="center"/>
                </w:tcPr>
                <w:p>
                  <w:pPr>
                    <w:pStyle w:val="11"/>
                    <w:jc w:val="center"/>
                    <w:rPr>
                      <w:color w:val="auto"/>
                    </w:rPr>
                  </w:pPr>
                  <w:r>
                    <w:rPr>
                      <w:color w:val="auto"/>
                    </w:rPr>
                    <w:t>废气</w:t>
                  </w:r>
                </w:p>
              </w:tc>
              <w:tc>
                <w:tcPr>
                  <w:tcW w:w="701" w:type="pct"/>
                  <w:shd w:val="clear" w:color="auto" w:fill="auto"/>
                  <w:vAlign w:val="center"/>
                </w:tcPr>
                <w:p>
                  <w:pPr>
                    <w:pStyle w:val="11"/>
                    <w:jc w:val="center"/>
                    <w:rPr>
                      <w:color w:val="auto"/>
                    </w:rPr>
                  </w:pPr>
                  <w:r>
                    <w:rPr>
                      <w:color w:val="auto"/>
                    </w:rPr>
                    <w:t>VOCs</w:t>
                  </w:r>
                </w:p>
              </w:tc>
              <w:tc>
                <w:tcPr>
                  <w:tcW w:w="701" w:type="pct"/>
                  <w:shd w:val="clear" w:color="auto" w:fill="auto"/>
                  <w:vAlign w:val="center"/>
                </w:tcPr>
                <w:p>
                  <w:pPr>
                    <w:pStyle w:val="11"/>
                    <w:jc w:val="center"/>
                    <w:rPr>
                      <w:color w:val="auto"/>
                    </w:rPr>
                  </w:pPr>
                  <w:r>
                    <w:rPr>
                      <w:color w:val="auto"/>
                    </w:rPr>
                    <w:t>超标排放</w:t>
                  </w:r>
                </w:p>
              </w:tc>
              <w:tc>
                <w:tcPr>
                  <w:tcW w:w="1134" w:type="pct"/>
                  <w:shd w:val="clear" w:color="auto" w:fill="auto"/>
                  <w:vAlign w:val="center"/>
                </w:tcPr>
                <w:p>
                  <w:pPr>
                    <w:pStyle w:val="11"/>
                    <w:jc w:val="center"/>
                    <w:rPr>
                      <w:color w:val="auto"/>
                    </w:rPr>
                  </w:pPr>
                  <w:r>
                    <w:rPr>
                      <w:color w:val="auto"/>
                    </w:rPr>
                    <w:t>废气处理设施故障，引发废气超标排放</w:t>
                  </w:r>
                </w:p>
              </w:tc>
              <w:tc>
                <w:tcPr>
                  <w:tcW w:w="715" w:type="pct"/>
                  <w:shd w:val="clear" w:color="auto" w:fill="auto"/>
                  <w:vAlign w:val="center"/>
                </w:tcPr>
                <w:p>
                  <w:pPr>
                    <w:pStyle w:val="11"/>
                    <w:jc w:val="center"/>
                    <w:rPr>
                      <w:color w:val="auto"/>
                    </w:rPr>
                  </w:pPr>
                  <w:r>
                    <w:rPr>
                      <w:color w:val="auto"/>
                    </w:rPr>
                    <w:t>空气环境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shd w:val="clear" w:color="auto" w:fill="auto"/>
                  <w:vAlign w:val="center"/>
                </w:tcPr>
                <w:p>
                  <w:pPr>
                    <w:pStyle w:val="11"/>
                    <w:jc w:val="center"/>
                    <w:rPr>
                      <w:color w:val="auto"/>
                    </w:rPr>
                  </w:pPr>
                  <w:r>
                    <w:rPr>
                      <w:color w:val="auto"/>
                    </w:rPr>
                    <w:t>3</w:t>
                  </w:r>
                </w:p>
              </w:tc>
              <w:tc>
                <w:tcPr>
                  <w:tcW w:w="687" w:type="pct"/>
                  <w:shd w:val="clear" w:color="auto" w:fill="auto"/>
                  <w:vAlign w:val="center"/>
                </w:tcPr>
                <w:p>
                  <w:pPr>
                    <w:pStyle w:val="11"/>
                    <w:jc w:val="center"/>
                    <w:rPr>
                      <w:color w:val="auto"/>
                    </w:rPr>
                  </w:pPr>
                  <w:r>
                    <w:rPr>
                      <w:color w:val="auto"/>
                    </w:rPr>
                    <w:t>危废暂存间</w:t>
                  </w:r>
                </w:p>
              </w:tc>
              <w:tc>
                <w:tcPr>
                  <w:tcW w:w="738" w:type="pct"/>
                  <w:shd w:val="clear" w:color="auto" w:fill="auto"/>
                  <w:vAlign w:val="center"/>
                </w:tcPr>
                <w:p>
                  <w:pPr>
                    <w:pStyle w:val="11"/>
                    <w:jc w:val="center"/>
                    <w:rPr>
                      <w:color w:val="auto"/>
                    </w:rPr>
                  </w:pPr>
                  <w:r>
                    <w:rPr>
                      <w:color w:val="auto"/>
                    </w:rPr>
                    <w:t>危险废物</w:t>
                  </w:r>
                </w:p>
              </w:tc>
              <w:tc>
                <w:tcPr>
                  <w:tcW w:w="701" w:type="pct"/>
                  <w:shd w:val="clear" w:color="auto" w:fill="auto"/>
                  <w:vAlign w:val="center"/>
                </w:tcPr>
                <w:p>
                  <w:pPr>
                    <w:pStyle w:val="11"/>
                    <w:jc w:val="center"/>
                    <w:rPr>
                      <w:color w:val="auto"/>
                    </w:rPr>
                  </w:pPr>
                  <w:r>
                    <w:rPr>
                      <w:color w:val="auto"/>
                    </w:rPr>
                    <w:t>废活性炭</w:t>
                  </w:r>
                </w:p>
              </w:tc>
              <w:tc>
                <w:tcPr>
                  <w:tcW w:w="701" w:type="pct"/>
                  <w:shd w:val="clear" w:color="auto" w:fill="auto"/>
                  <w:vAlign w:val="center"/>
                </w:tcPr>
                <w:p>
                  <w:pPr>
                    <w:pStyle w:val="11"/>
                    <w:jc w:val="center"/>
                    <w:rPr>
                      <w:color w:val="auto"/>
                    </w:rPr>
                  </w:pPr>
                  <w:r>
                    <w:rPr>
                      <w:color w:val="auto"/>
                    </w:rPr>
                    <w:t>明火引发火灾、物料泄露</w:t>
                  </w:r>
                </w:p>
              </w:tc>
              <w:tc>
                <w:tcPr>
                  <w:tcW w:w="1134" w:type="pct"/>
                  <w:shd w:val="clear" w:color="auto" w:fill="auto"/>
                  <w:vAlign w:val="center"/>
                </w:tcPr>
                <w:p>
                  <w:pPr>
                    <w:pStyle w:val="11"/>
                    <w:jc w:val="center"/>
                    <w:rPr>
                      <w:color w:val="auto"/>
                    </w:rPr>
                  </w:pPr>
                  <w:r>
                    <w:rPr>
                      <w:color w:val="auto"/>
                    </w:rPr>
                    <w:t>管理不当引发火灾、存储不当产生泄露</w:t>
                  </w:r>
                </w:p>
              </w:tc>
              <w:tc>
                <w:tcPr>
                  <w:tcW w:w="715" w:type="pct"/>
                  <w:shd w:val="clear" w:color="auto" w:fill="auto"/>
                  <w:vAlign w:val="center"/>
                </w:tcPr>
                <w:p>
                  <w:pPr>
                    <w:pStyle w:val="11"/>
                    <w:jc w:val="center"/>
                    <w:rPr>
                      <w:color w:val="auto"/>
                    </w:rPr>
                  </w:pPr>
                  <w:r>
                    <w:rPr>
                      <w:color w:val="auto"/>
                    </w:rPr>
                    <w:t>环境空气、地表水、地下水</w:t>
                  </w:r>
                </w:p>
              </w:tc>
            </w:tr>
          </w:tbl>
          <w:p>
            <w:pPr>
              <w:ind w:firstLine="480"/>
              <w:rPr>
                <w:color w:val="auto"/>
              </w:rPr>
            </w:pPr>
            <w:r>
              <w:rPr>
                <w:color w:val="auto"/>
              </w:rPr>
              <w:t>（2）风险潜势初判</w:t>
            </w:r>
          </w:p>
          <w:p>
            <w:pPr>
              <w:ind w:firstLine="480"/>
              <w:rPr>
                <w:color w:val="auto"/>
              </w:rPr>
            </w:pPr>
            <w:r>
              <w:rPr>
                <w:color w:val="auto"/>
              </w:rPr>
              <w:t>参照《建设项目环境风险评价技术导则》（HJ169-2018）进行风险物质及工艺系统危险性判定，本项目不涉及风险物质储存。</w:t>
            </w:r>
          </w:p>
          <w:p>
            <w:pPr>
              <w:ind w:firstLine="480"/>
              <w:rPr>
                <w:color w:val="auto"/>
              </w:rPr>
            </w:pPr>
            <w:r>
              <w:rPr>
                <w:color w:val="auto"/>
              </w:rPr>
              <w:t>危险物质数量与临界量比值</w:t>
            </w:r>
          </w:p>
          <w:p>
            <w:pPr>
              <w:ind w:firstLine="480"/>
              <w:rPr>
                <w:color w:val="auto"/>
              </w:rPr>
            </w:pPr>
            <w:r>
              <w:rPr>
                <w:color w:val="auto"/>
              </w:rPr>
              <w:t>计算所涉及的每种危险物质在厂界内的最大存在总量与其在《建设项目环境风险评价技术导则》(HJ169-2018)附录B对应临界量的比值Q。在不同厂区的同一种物质，按其在厂界内的最大存在总量计算。</w:t>
            </w:r>
          </w:p>
          <w:p>
            <w:pPr>
              <w:ind w:firstLine="480"/>
              <w:rPr>
                <w:color w:val="auto"/>
              </w:rPr>
            </w:pPr>
            <w:r>
              <w:rPr>
                <w:color w:val="auto"/>
              </w:rPr>
              <w:t>当只涉及一种危险物质时，计算该物质的总量与其临界量比值，即为Q；</w:t>
            </w:r>
          </w:p>
          <w:p>
            <w:pPr>
              <w:ind w:firstLine="480"/>
              <w:rPr>
                <w:color w:val="auto"/>
              </w:rPr>
            </w:pPr>
            <w:r>
              <w:rPr>
                <w:color w:val="auto"/>
              </w:rPr>
              <w:t>当存在多种危险物质时，则按下式计算物质总量与其临界量比值(Q)：</w:t>
            </w:r>
          </w:p>
          <w:p>
            <w:pPr>
              <w:ind w:firstLine="480"/>
              <w:jc w:val="center"/>
              <w:rPr>
                <w:color w:val="auto"/>
              </w:rPr>
            </w:pPr>
            <w:r>
              <w:rPr>
                <w:color w:val="auto"/>
              </w:rPr>
              <w:object>
                <v:shape id="_x0000_i1036" o:spt="75" type="#_x0000_t75" style="height:38pt;width:110pt;" o:ole="t" filled="f" coordsize="21600,21600">
                  <v:path/>
                  <v:fill on="f" focussize="0,0"/>
                  <v:stroke/>
                  <v:imagedata r:id="rId47" o:title=""/>
                  <o:lock v:ext="edit" aspectratio="t"/>
                  <w10:wrap type="none"/>
                  <w10:anchorlock/>
                </v:shape>
                <o:OLEObject Type="Embed" ProgID="Equation.3" ShapeID="_x0000_i1036" DrawAspect="Content" ObjectID="_1468075736" r:id="rId46">
                  <o:LockedField>false</o:LockedField>
                </o:OLEObject>
              </w:object>
            </w:r>
          </w:p>
          <w:p>
            <w:pPr>
              <w:ind w:firstLine="480"/>
              <w:rPr>
                <w:color w:val="auto"/>
              </w:rPr>
            </w:pPr>
            <w:r>
              <w:rPr>
                <w:color w:val="auto"/>
              </w:rPr>
              <w:t>式中：q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——每种危险物质的最大存在总量，t；</w:t>
            </w:r>
          </w:p>
          <w:p>
            <w:pPr>
              <w:ind w:firstLine="480"/>
              <w:rPr>
                <w:color w:val="auto"/>
              </w:rPr>
            </w:pP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——每种危险物质的临界量，t。</w:t>
            </w:r>
          </w:p>
          <w:p>
            <w:pPr>
              <w:ind w:firstLine="480"/>
              <w:rPr>
                <w:color w:val="auto"/>
              </w:rPr>
            </w:pPr>
            <w:r>
              <w:rPr>
                <w:color w:val="auto"/>
              </w:rPr>
              <w:t>当Q&lt;1时，该项目环境风险潜势为I。</w:t>
            </w:r>
          </w:p>
          <w:p>
            <w:pPr>
              <w:ind w:firstLine="480"/>
              <w:rPr>
                <w:color w:val="auto"/>
              </w:rPr>
            </w:pPr>
            <w:r>
              <w:rPr>
                <w:color w:val="auto"/>
              </w:rPr>
              <w:t>当Q≥1时，将Q值划分为：(1)1≤Q&lt;10；(2)10≤Q&lt;100；(3)Q≥100。</w:t>
            </w:r>
          </w:p>
          <w:p>
            <w:pPr>
              <w:ind w:firstLine="480"/>
              <w:rPr>
                <w:color w:val="auto"/>
              </w:rPr>
            </w:pPr>
            <w:r>
              <w:rPr>
                <w:color w:val="auto"/>
              </w:rPr>
              <w:t>根据项目涉及物质的危险特性及健康危害性、《化学品分类和标签规范第18部分：急性毒性》《化学品分类和标签规范第28部分：对水生环境的危害》《重大危险源辨识》以及《建设项目环境风险评价技术导则》(HJ169-2018)附录B重点关注的危险物质及临界量。根据上述计算公式和各危险物</w:t>
            </w:r>
            <w:r>
              <w:rPr>
                <w:rFonts w:hint="eastAsia"/>
                <w:color w:val="auto"/>
              </w:rPr>
              <w:t>质量</w:t>
            </w:r>
            <w:r>
              <w:rPr>
                <w:color w:val="auto"/>
              </w:rPr>
              <w:t>大存在总量和临界量，根据《建设项目环境风险评价技术导则》(HJ169-2018)规定，则本项目风险潜势为Ⅰ，因此对环境风险评价开展简单分析。</w:t>
            </w:r>
          </w:p>
          <w:p>
            <w:pPr>
              <w:ind w:firstLine="480"/>
              <w:rPr>
                <w:color w:val="auto"/>
              </w:rPr>
            </w:pPr>
            <w:r>
              <w:rPr>
                <w:color w:val="auto"/>
              </w:rPr>
              <w:t>（3）评价等级</w:t>
            </w:r>
          </w:p>
          <w:p>
            <w:pPr>
              <w:ind w:firstLine="480"/>
              <w:rPr>
                <w:color w:val="auto"/>
              </w:rPr>
            </w:pPr>
            <w:r>
              <w:rPr>
                <w:color w:val="auto"/>
              </w:rPr>
              <w:t>按照《建设项目环境风险评价技术导则》（HJ169-2018），企业环境风险潜势为I。根据项目的生产线特点和评价工作等级划分，因此，本项目风险评价工作等级为简单分析。</w:t>
            </w:r>
          </w:p>
          <w:p>
            <w:pPr>
              <w:pStyle w:val="11"/>
              <w:jc w:val="center"/>
              <w:rPr>
                <w:b/>
                <w:bCs/>
                <w:color w:val="auto"/>
              </w:rPr>
            </w:pPr>
            <w:r>
              <w:rPr>
                <w:b/>
                <w:bCs/>
                <w:color w:val="auto"/>
              </w:rPr>
              <w:t>表4-1</w:t>
            </w:r>
            <w:r>
              <w:rPr>
                <w:rFonts w:hint="eastAsia"/>
                <w:b/>
                <w:bCs/>
                <w:color w:val="auto"/>
              </w:rPr>
              <w:t>5</w:t>
            </w:r>
            <w:r>
              <w:rPr>
                <w:b/>
                <w:bCs/>
                <w:color w:val="auto"/>
              </w:rPr>
              <w:t xml:space="preserve">   评价工作等级</w:t>
            </w:r>
          </w:p>
          <w:tbl>
            <w:tblPr>
              <w:tblStyle w:val="6"/>
              <w:tblW w:w="81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57"/>
              <w:gridCol w:w="1807"/>
              <w:gridCol w:w="753"/>
              <w:gridCol w:w="903"/>
              <w:gridCol w:w="1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57" w:type="dxa"/>
                  <w:vAlign w:val="center"/>
                </w:tcPr>
                <w:p>
                  <w:pPr>
                    <w:pStyle w:val="11"/>
                    <w:jc w:val="center"/>
                    <w:rPr>
                      <w:b/>
                      <w:bCs/>
                      <w:color w:val="auto"/>
                    </w:rPr>
                  </w:pPr>
                  <w:r>
                    <w:rPr>
                      <w:b/>
                      <w:bCs/>
                      <w:color w:val="auto"/>
                    </w:rPr>
                    <w:t>环境风险潜势</w:t>
                  </w:r>
                </w:p>
              </w:tc>
              <w:tc>
                <w:tcPr>
                  <w:tcW w:w="1807" w:type="dxa"/>
                  <w:vAlign w:val="center"/>
                </w:tcPr>
                <w:p>
                  <w:pPr>
                    <w:pStyle w:val="11"/>
                    <w:jc w:val="center"/>
                    <w:rPr>
                      <w:color w:val="auto"/>
                    </w:rPr>
                  </w:pPr>
                  <w:r>
                    <w:rPr>
                      <w:color w:val="auto"/>
                    </w:rPr>
                    <w:t>IV、IV</w:t>
                  </w:r>
                  <w:r>
                    <w:rPr>
                      <w:color w:val="auto"/>
                      <w:vertAlign w:val="superscript"/>
                    </w:rPr>
                    <w:t>+</w:t>
                  </w:r>
                </w:p>
              </w:tc>
              <w:tc>
                <w:tcPr>
                  <w:tcW w:w="753" w:type="dxa"/>
                  <w:vAlign w:val="center"/>
                </w:tcPr>
                <w:p>
                  <w:pPr>
                    <w:pStyle w:val="11"/>
                    <w:jc w:val="center"/>
                    <w:rPr>
                      <w:color w:val="auto"/>
                    </w:rPr>
                  </w:pPr>
                  <w:r>
                    <w:rPr>
                      <w:color w:val="auto"/>
                    </w:rPr>
                    <w:t>III</w:t>
                  </w:r>
                </w:p>
              </w:tc>
              <w:tc>
                <w:tcPr>
                  <w:tcW w:w="903" w:type="dxa"/>
                  <w:vAlign w:val="center"/>
                </w:tcPr>
                <w:p>
                  <w:pPr>
                    <w:pStyle w:val="11"/>
                    <w:jc w:val="center"/>
                    <w:rPr>
                      <w:color w:val="auto"/>
                    </w:rPr>
                  </w:pPr>
                  <w:r>
                    <w:rPr>
                      <w:color w:val="auto"/>
                    </w:rPr>
                    <w:t>II</w:t>
                  </w:r>
                </w:p>
              </w:tc>
              <w:tc>
                <w:tcPr>
                  <w:tcW w:w="1839" w:type="dxa"/>
                  <w:vAlign w:val="center"/>
                </w:tcPr>
                <w:p>
                  <w:pPr>
                    <w:pStyle w:val="11"/>
                    <w:jc w:val="center"/>
                    <w:rPr>
                      <w:color w:val="auto"/>
                    </w:rPr>
                  </w:pPr>
                  <w:r>
                    <w:rPr>
                      <w:color w:val="auto"/>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57" w:type="dxa"/>
                  <w:vAlign w:val="center"/>
                </w:tcPr>
                <w:p>
                  <w:pPr>
                    <w:pStyle w:val="11"/>
                    <w:jc w:val="center"/>
                    <w:rPr>
                      <w:b/>
                      <w:bCs/>
                      <w:color w:val="auto"/>
                    </w:rPr>
                  </w:pPr>
                  <w:r>
                    <w:rPr>
                      <w:b/>
                      <w:bCs/>
                      <w:color w:val="auto"/>
                    </w:rPr>
                    <w:t>评价工作等级</w:t>
                  </w:r>
                </w:p>
              </w:tc>
              <w:tc>
                <w:tcPr>
                  <w:tcW w:w="1807" w:type="dxa"/>
                  <w:vAlign w:val="center"/>
                </w:tcPr>
                <w:p>
                  <w:pPr>
                    <w:pStyle w:val="11"/>
                    <w:jc w:val="center"/>
                    <w:rPr>
                      <w:color w:val="auto"/>
                    </w:rPr>
                  </w:pPr>
                  <w:r>
                    <w:rPr>
                      <w:color w:val="auto"/>
                    </w:rPr>
                    <w:t>一</w:t>
                  </w:r>
                </w:p>
              </w:tc>
              <w:tc>
                <w:tcPr>
                  <w:tcW w:w="753" w:type="dxa"/>
                  <w:vAlign w:val="center"/>
                </w:tcPr>
                <w:p>
                  <w:pPr>
                    <w:pStyle w:val="11"/>
                    <w:jc w:val="center"/>
                    <w:rPr>
                      <w:color w:val="auto"/>
                    </w:rPr>
                  </w:pPr>
                  <w:r>
                    <w:rPr>
                      <w:color w:val="auto"/>
                    </w:rPr>
                    <w:t>二</w:t>
                  </w:r>
                </w:p>
              </w:tc>
              <w:tc>
                <w:tcPr>
                  <w:tcW w:w="903" w:type="dxa"/>
                  <w:vAlign w:val="center"/>
                </w:tcPr>
                <w:p>
                  <w:pPr>
                    <w:pStyle w:val="11"/>
                    <w:jc w:val="center"/>
                    <w:rPr>
                      <w:color w:val="auto"/>
                    </w:rPr>
                  </w:pPr>
                  <w:r>
                    <w:rPr>
                      <w:color w:val="auto"/>
                    </w:rPr>
                    <w:t>三</w:t>
                  </w:r>
                </w:p>
              </w:tc>
              <w:tc>
                <w:tcPr>
                  <w:tcW w:w="1839" w:type="dxa"/>
                  <w:vAlign w:val="center"/>
                </w:tcPr>
                <w:p>
                  <w:pPr>
                    <w:pStyle w:val="11"/>
                    <w:jc w:val="center"/>
                    <w:rPr>
                      <w:color w:val="auto"/>
                    </w:rPr>
                  </w:pPr>
                  <w:r>
                    <w:rPr>
                      <w:color w:val="auto"/>
                    </w:rPr>
                    <w:t>简单分析</w:t>
                  </w:r>
                </w:p>
              </w:tc>
            </w:tr>
          </w:tbl>
          <w:p>
            <w:pPr>
              <w:ind w:firstLine="480"/>
              <w:rPr>
                <w:color w:val="auto"/>
              </w:rPr>
            </w:pPr>
            <w:r>
              <w:rPr>
                <w:color w:val="auto"/>
              </w:rPr>
              <w:t>（4）环境风险简介</w:t>
            </w:r>
          </w:p>
          <w:p>
            <w:pPr>
              <w:ind w:firstLine="480"/>
              <w:rPr>
                <w:bCs/>
                <w:color w:val="auto"/>
              </w:rPr>
            </w:pPr>
            <w:r>
              <w:rPr>
                <w:bCs/>
                <w:color w:val="auto"/>
              </w:rPr>
              <w:t>①风险事故发生原因</w:t>
            </w:r>
          </w:p>
          <w:p>
            <w:pPr>
              <w:ind w:firstLine="480"/>
              <w:rPr>
                <w:color w:val="auto"/>
              </w:rPr>
            </w:pPr>
            <w:r>
              <w:rPr>
                <w:color w:val="auto"/>
              </w:rPr>
              <w:t>本项目主要环境风险事故是火灾和废气超标排放，火灾事故和废气超标排放发生的主要原因有：</w:t>
            </w:r>
          </w:p>
          <w:p>
            <w:pPr>
              <w:ind w:firstLine="480"/>
              <w:rPr>
                <w:color w:val="auto"/>
              </w:rPr>
            </w:pPr>
            <w:r>
              <w:rPr>
                <w:color w:val="auto"/>
              </w:rPr>
              <w:t>A、设备的不可靠度。不可靠度是设备本身所具有的，它只与设备及其零部件的设计水平、制造能力、检测手段、安装质量、自身损耗及设计寿命有关。</w:t>
            </w:r>
          </w:p>
          <w:p>
            <w:pPr>
              <w:ind w:firstLine="480"/>
              <w:rPr>
                <w:color w:val="auto"/>
              </w:rPr>
            </w:pPr>
            <w:r>
              <w:rPr>
                <w:color w:val="auto"/>
              </w:rPr>
              <w:t>B、危废暂存间管理不当。本项目产生的废活性炭均属于可燃物质，可能因高温、明火引发火灾，产生的次生物如一氧化碳、碳氢化合物、烟尘、有机废气会对大气环境造成影响。</w:t>
            </w:r>
          </w:p>
          <w:p>
            <w:pPr>
              <w:ind w:firstLine="480"/>
              <w:rPr>
                <w:color w:val="auto"/>
              </w:rPr>
            </w:pPr>
            <w:r>
              <w:rPr>
                <w:color w:val="auto"/>
              </w:rPr>
              <w:t>C、废气处理设施故障。废气处理设施故障，导致废气未经处理超标排入外环境，产生的有机废气会对大气环境造成影响。</w:t>
            </w:r>
          </w:p>
          <w:p>
            <w:pPr>
              <w:ind w:firstLine="480"/>
              <w:rPr>
                <w:color w:val="auto"/>
              </w:rPr>
            </w:pPr>
            <w:r>
              <w:rPr>
                <w:color w:val="auto"/>
              </w:rPr>
              <w:t>D、企业安全管理水平。事故的发生都可以认为是人的不安全行为和物的不安全状态造成的，而人的不安全行为和物的不安全状态又是由于管理不善造成的。因此，一切事故都可归结为管理上的原因。主要包括管理上没有制度完善的安全操作规程和监督检查制度，不能及时发现问题或发现问题不及时解决，使设备带病运转。</w:t>
            </w:r>
          </w:p>
          <w:p>
            <w:pPr>
              <w:ind w:firstLine="480"/>
              <w:rPr>
                <w:color w:val="auto"/>
              </w:rPr>
            </w:pPr>
            <w:r>
              <w:rPr>
                <w:color w:val="auto"/>
              </w:rPr>
              <w:t>②风险事故影响分析</w:t>
            </w:r>
          </w:p>
          <w:p>
            <w:pPr>
              <w:ind w:firstLine="480"/>
              <w:rPr>
                <w:color w:val="auto"/>
              </w:rPr>
            </w:pPr>
            <w:r>
              <w:rPr>
                <w:color w:val="auto"/>
              </w:rPr>
              <w:t>项目运营过程中的主要风险为管理与操作不当导致设备漏电引起火灾，废气处理设施故障导致废气超标排入外环境，造成局部区域环境空气污染，对周围环境造成污染。</w:t>
            </w:r>
          </w:p>
          <w:p>
            <w:pPr>
              <w:ind w:firstLine="480"/>
              <w:rPr>
                <w:color w:val="auto"/>
              </w:rPr>
            </w:pPr>
            <w:r>
              <w:rPr>
                <w:color w:val="auto"/>
              </w:rPr>
              <w:t>③风险防范措施</w:t>
            </w:r>
          </w:p>
          <w:p>
            <w:pPr>
              <w:ind w:firstLine="480"/>
              <w:rPr>
                <w:color w:val="auto"/>
              </w:rPr>
            </w:pPr>
            <w:r>
              <w:rPr>
                <w:color w:val="auto"/>
              </w:rPr>
              <w:t>对于本项目环境风险，本环评要求建设方开展以下防范措施：</w:t>
            </w:r>
          </w:p>
          <w:p>
            <w:pPr>
              <w:ind w:firstLine="480"/>
              <w:rPr>
                <w:color w:val="auto"/>
              </w:rPr>
            </w:pPr>
            <w:r>
              <w:rPr>
                <w:color w:val="auto"/>
              </w:rPr>
              <w:t>A、总图布置</w:t>
            </w:r>
          </w:p>
          <w:p>
            <w:pPr>
              <w:ind w:firstLine="480"/>
              <w:rPr>
                <w:color w:val="auto"/>
              </w:rPr>
            </w:pPr>
            <w:r>
              <w:rPr>
                <w:color w:val="auto"/>
              </w:rPr>
              <w:t>项目总图布置符合《工业企业总平面设计规范》和《建筑设计防火规范》合理布置，各生产和辅助装置按功能分别布置，并充分考虑安全防护距离、消防和疏散通道等问题。厂区应设消防环行通道并保证足够的路面净空高度，设置消火栓、灭火器，厂区和车间内显眼的地方设置相应的防火、防触电安全警示、标志。</w:t>
            </w:r>
          </w:p>
          <w:p>
            <w:pPr>
              <w:ind w:firstLine="480"/>
              <w:rPr>
                <w:color w:val="auto"/>
              </w:rPr>
            </w:pPr>
            <w:r>
              <w:rPr>
                <w:color w:val="auto"/>
              </w:rPr>
              <w:t>B、建筑结构</w:t>
            </w:r>
          </w:p>
          <w:p>
            <w:pPr>
              <w:ind w:firstLine="480"/>
              <w:rPr>
                <w:color w:val="auto"/>
              </w:rPr>
            </w:pPr>
            <w:r>
              <w:rPr>
                <w:color w:val="auto"/>
              </w:rPr>
              <w:t>按《建筑设计防火规范》（GB50016-2014）进行设计。建筑物内疏散走道通畅，安全出口和楼梯的数量、位置、宽度以及疏散距离等均按规范要求进行设计。</w:t>
            </w:r>
          </w:p>
          <w:p>
            <w:pPr>
              <w:ind w:firstLine="480"/>
              <w:rPr>
                <w:color w:val="auto"/>
              </w:rPr>
            </w:pPr>
            <w:r>
              <w:rPr>
                <w:color w:val="auto"/>
              </w:rPr>
              <w:t>C、消防及火灾报警系统</w:t>
            </w:r>
          </w:p>
          <w:p>
            <w:pPr>
              <w:ind w:firstLine="480"/>
              <w:rPr>
                <w:color w:val="auto"/>
              </w:rPr>
            </w:pPr>
            <w:r>
              <w:rPr>
                <w:color w:val="auto"/>
              </w:rPr>
              <w:t>消防系统：按规范要求在厂区设置消防栓、厂区设置足量的手提式和推车式干粉灭火器。</w:t>
            </w:r>
          </w:p>
          <w:p>
            <w:pPr>
              <w:ind w:firstLine="480"/>
              <w:rPr>
                <w:color w:val="auto"/>
              </w:rPr>
            </w:pPr>
            <w:r>
              <w:rPr>
                <w:color w:val="auto"/>
              </w:rPr>
              <w:t>火灾报警系统：全厂采用电话报警，报警至消防中队。厂内中心控制室与消防中队设置直通电话。根据需要在标准厂房、办公楼等处设置火灾自动报警装置。</w:t>
            </w:r>
          </w:p>
          <w:p>
            <w:pPr>
              <w:ind w:firstLine="480"/>
              <w:rPr>
                <w:color w:val="auto"/>
              </w:rPr>
            </w:pPr>
            <w:r>
              <w:rPr>
                <w:color w:val="auto"/>
              </w:rPr>
              <w:t>D、危险废物储存管理措施</w:t>
            </w:r>
          </w:p>
          <w:p>
            <w:pPr>
              <w:ind w:firstLine="480"/>
              <w:rPr>
                <w:color w:val="auto"/>
              </w:rPr>
            </w:pPr>
            <w:r>
              <w:rPr>
                <w:color w:val="auto"/>
              </w:rPr>
              <w:t>危废的收集应使用符合国家标准的专用容器，容器壁应贴有标签，详细标明危废的名称、重量、成分、特性以及发生泄漏、扩散污染事故时的应急措施和补救方法。危险废物暂存间需由专人负责收集并妥善储存，严禁随意丢弃、填埋。危废暂存间进行防风、防雨、防渗处理。防渗要求《危险废物贮存污染控制标准》（</w:t>
            </w:r>
            <w:r>
              <w:rPr>
                <w:rFonts w:hint="eastAsia"/>
                <w:color w:val="auto"/>
              </w:rPr>
              <w:t>GB18597-2023</w:t>
            </w:r>
            <w:r>
              <w:rPr>
                <w:color w:val="auto"/>
              </w:rPr>
              <w:t>）设计中重点防渗要求，防渗系数 K≤1×10</w:t>
            </w:r>
            <w:r>
              <w:rPr>
                <w:color w:val="auto"/>
                <w:vertAlign w:val="superscript"/>
              </w:rPr>
              <w:t>-10</w:t>
            </w:r>
            <w:r>
              <w:rPr>
                <w:color w:val="auto"/>
              </w:rPr>
              <w:t>cm/s。</w:t>
            </w:r>
          </w:p>
          <w:p>
            <w:pPr>
              <w:ind w:firstLine="480"/>
              <w:rPr>
                <w:color w:val="auto"/>
              </w:rPr>
            </w:pPr>
            <w:r>
              <w:rPr>
                <w:color w:val="auto"/>
              </w:rPr>
              <w:t>E、废气处理设施管理措施</w:t>
            </w:r>
          </w:p>
          <w:p>
            <w:pPr>
              <w:ind w:firstLine="480"/>
              <w:rPr>
                <w:color w:val="auto"/>
              </w:rPr>
            </w:pPr>
            <w:r>
              <w:rPr>
                <w:color w:val="auto"/>
              </w:rPr>
              <w:t>制定废气处理设施操作规程，按要求操作。</w:t>
            </w:r>
          </w:p>
          <w:p>
            <w:pPr>
              <w:ind w:firstLine="480"/>
              <w:rPr>
                <w:color w:val="auto"/>
              </w:rPr>
            </w:pPr>
            <w:r>
              <w:rPr>
                <w:color w:val="auto"/>
              </w:rPr>
              <w:t>建设单位应配备便携式监测设备，定期监测废气中污染物浓度，一旦超过标准限制的80%，即需更换活性炭。并将更换记录和联单</w:t>
            </w:r>
            <w:r>
              <w:rPr>
                <w:rFonts w:hint="eastAsia"/>
                <w:color w:val="auto"/>
              </w:rPr>
              <w:t>作为</w:t>
            </w:r>
            <w:r>
              <w:rPr>
                <w:color w:val="auto"/>
              </w:rPr>
              <w:t>管理内容，以确保活性炭装置的有效运行和废气的达标排放。</w:t>
            </w:r>
          </w:p>
          <w:p>
            <w:pPr>
              <w:ind w:firstLine="480"/>
              <w:rPr>
                <w:color w:val="auto"/>
              </w:rPr>
            </w:pPr>
            <w:r>
              <w:rPr>
                <w:color w:val="auto"/>
              </w:rPr>
              <w:t>F、其他防范措施</w:t>
            </w:r>
          </w:p>
          <w:p>
            <w:pPr>
              <w:ind w:firstLine="480"/>
              <w:rPr>
                <w:color w:val="auto"/>
              </w:rPr>
            </w:pPr>
            <w:r>
              <w:rPr>
                <w:color w:val="auto"/>
              </w:rPr>
              <w:t>严禁吸烟、携带火种进入易燃场所。</w:t>
            </w:r>
          </w:p>
          <w:p>
            <w:pPr>
              <w:ind w:firstLine="480"/>
              <w:rPr>
                <w:color w:val="auto"/>
              </w:rPr>
            </w:pPr>
            <w:r>
              <w:rPr>
                <w:color w:val="auto"/>
              </w:rPr>
              <w:t>机器设备要定期检查、检修、保证其完好状态。</w:t>
            </w:r>
          </w:p>
          <w:p>
            <w:pPr>
              <w:ind w:firstLine="480"/>
              <w:rPr>
                <w:color w:val="auto"/>
              </w:rPr>
            </w:pPr>
            <w:r>
              <w:rPr>
                <w:color w:val="auto"/>
              </w:rPr>
              <w:t>④、风险管理</w:t>
            </w:r>
          </w:p>
          <w:p>
            <w:pPr>
              <w:ind w:firstLine="480"/>
              <w:rPr>
                <w:color w:val="auto"/>
              </w:rPr>
            </w:pPr>
            <w:r>
              <w:rPr>
                <w:color w:val="auto"/>
              </w:rPr>
              <w:t>A、严格执行劳动部门有关安全生产条例。必须强调管理和安全监督工作对预防事故的重要作用，实行持证上岗，定期检测维修，及时更换腐蚀受损设备，岗位责任明确，定期培训职工，提高安全生产和管理能力。</w:t>
            </w:r>
          </w:p>
          <w:p>
            <w:pPr>
              <w:ind w:firstLine="480"/>
              <w:rPr>
                <w:color w:val="auto"/>
              </w:rPr>
            </w:pPr>
            <w:r>
              <w:rPr>
                <w:color w:val="auto"/>
              </w:rPr>
              <w:t>B、加强生产管理。严格按照操作规程作业，严格执行值班制度和巡回检查制度，及时发现并向有关部门通报，并及时解决不安全因素。</w:t>
            </w:r>
          </w:p>
          <w:p>
            <w:pPr>
              <w:ind w:firstLine="480"/>
              <w:rPr>
                <w:color w:val="auto"/>
              </w:rPr>
            </w:pPr>
            <w:r>
              <w:rPr>
                <w:color w:val="auto"/>
              </w:rPr>
              <w:t>C、加强操作人员的安全教育，严格按照操作规范进行生产。</w:t>
            </w:r>
          </w:p>
          <w:p>
            <w:pPr>
              <w:ind w:firstLine="480"/>
              <w:rPr>
                <w:color w:val="auto"/>
              </w:rPr>
            </w:pPr>
            <w:r>
              <w:rPr>
                <w:color w:val="auto"/>
              </w:rPr>
              <w:t>D、提高认识、完善制度、严格检查。</w:t>
            </w:r>
          </w:p>
          <w:p>
            <w:pPr>
              <w:ind w:firstLine="480"/>
              <w:rPr>
                <w:color w:val="auto"/>
              </w:rPr>
            </w:pPr>
            <w:r>
              <w:rPr>
                <w:color w:val="auto"/>
              </w:rPr>
              <w:t>（5）环境风险突发事故应急预案：</w:t>
            </w:r>
          </w:p>
          <w:p>
            <w:pPr>
              <w:ind w:firstLine="480"/>
              <w:rPr>
                <w:color w:val="auto"/>
              </w:rPr>
            </w:pPr>
            <w:r>
              <w:rPr>
                <w:color w:val="auto"/>
              </w:rPr>
              <w:t>本项目主要进行</w:t>
            </w:r>
            <w:r>
              <w:rPr>
                <w:rFonts w:hint="eastAsia"/>
                <w:color w:val="auto"/>
              </w:rPr>
              <w:t>C1353 肉制品及副产品加工</w:t>
            </w:r>
            <w:r>
              <w:rPr>
                <w:color w:val="auto"/>
              </w:rPr>
              <w:t>，其中参考《四川省突发环境事件应急预案备案行业名录（</w:t>
            </w:r>
            <w:r>
              <w:rPr>
                <w:rFonts w:hint="eastAsia"/>
                <w:color w:val="auto"/>
              </w:rPr>
              <w:t>2022年</w:t>
            </w:r>
            <w:r>
              <w:rPr>
                <w:color w:val="auto"/>
              </w:rPr>
              <w:t>）》（川环规</w:t>
            </w:r>
            <w:r>
              <w:rPr>
                <w:rFonts w:hint="eastAsia"/>
                <w:color w:val="auto"/>
              </w:rPr>
              <w:t>〔2022〕</w:t>
            </w:r>
            <w:r>
              <w:rPr>
                <w:color w:val="auto"/>
              </w:rPr>
              <w:t>5号）相关内容，本项目需完善</w:t>
            </w:r>
            <w:r>
              <w:rPr>
                <w:rFonts w:hint="eastAsia"/>
                <w:color w:val="auto"/>
              </w:rPr>
              <w:t>制定</w:t>
            </w:r>
            <w:r>
              <w:rPr>
                <w:color w:val="auto"/>
              </w:rPr>
              <w:t>相应风险事故应急预案。</w:t>
            </w:r>
            <w:r>
              <w:rPr>
                <w:rFonts w:hint="eastAsia"/>
                <w:color w:val="auto"/>
              </w:rPr>
              <w:t>制定</w:t>
            </w:r>
            <w:r>
              <w:rPr>
                <w:color w:val="auto"/>
              </w:rPr>
              <w:t>预案的目的是要迅速而有效地将事故损失减至最小，应急预案原则如下：</w:t>
            </w:r>
          </w:p>
          <w:p>
            <w:pPr>
              <w:ind w:firstLine="480"/>
              <w:rPr>
                <w:color w:val="auto"/>
              </w:rPr>
            </w:pPr>
            <w:r>
              <w:rPr>
                <w:color w:val="auto"/>
              </w:rPr>
              <w:t>①确定救援组织、队伍和联络方式。</w:t>
            </w:r>
          </w:p>
          <w:p>
            <w:pPr>
              <w:ind w:firstLine="480"/>
              <w:rPr>
                <w:color w:val="auto"/>
              </w:rPr>
            </w:pPr>
            <w:r>
              <w:rPr>
                <w:color w:val="auto"/>
              </w:rPr>
              <w:t>②制定事故类型、等级和相应的应急响应程序。</w:t>
            </w:r>
          </w:p>
          <w:p>
            <w:pPr>
              <w:ind w:firstLine="480"/>
              <w:rPr>
                <w:color w:val="auto"/>
              </w:rPr>
            </w:pPr>
            <w:r>
              <w:rPr>
                <w:color w:val="auto"/>
              </w:rPr>
              <w:t>③配备必要的救灾防毒器具及防护用品。</w:t>
            </w:r>
          </w:p>
          <w:p>
            <w:pPr>
              <w:ind w:firstLine="480"/>
              <w:rPr>
                <w:color w:val="auto"/>
              </w:rPr>
            </w:pPr>
            <w:r>
              <w:rPr>
                <w:color w:val="auto"/>
              </w:rPr>
              <w:t>④对生产系统制定应急状态切断终止或自动报警连锁保护程序。</w:t>
            </w:r>
          </w:p>
          <w:p>
            <w:pPr>
              <w:ind w:firstLine="480"/>
              <w:rPr>
                <w:color w:val="auto"/>
              </w:rPr>
            </w:pPr>
            <w:r>
              <w:rPr>
                <w:color w:val="auto"/>
              </w:rPr>
              <w:t>⑤岗位培训和演习，设置事故应急学习手册及报告、记录和评估。</w:t>
            </w:r>
          </w:p>
          <w:p>
            <w:pPr>
              <w:ind w:firstLine="480"/>
              <w:rPr>
                <w:color w:val="auto"/>
              </w:rPr>
            </w:pPr>
            <w:r>
              <w:rPr>
                <w:color w:val="auto"/>
              </w:rPr>
              <w:t>⑥制定区域防灾救援方案，厂外受影响人群的疏散、撤离方案，与当地政府、消防、环保和医疗救助等部门加强联系，以便风险事故发生时得到及时救援。</w:t>
            </w:r>
          </w:p>
          <w:p>
            <w:pPr>
              <w:ind w:firstLine="480"/>
              <w:rPr>
                <w:color w:val="auto"/>
              </w:rPr>
            </w:pPr>
            <w:r>
              <w:rPr>
                <w:color w:val="auto"/>
              </w:rPr>
              <w:t>根据本环境风险分析的结果，对于本项目可能造成环境风险的突发性事故制定应急预案纲要，供项目决策人参考。</w:t>
            </w:r>
          </w:p>
          <w:p>
            <w:pPr>
              <w:pStyle w:val="11"/>
              <w:jc w:val="center"/>
              <w:rPr>
                <w:b/>
                <w:bCs/>
                <w:color w:val="auto"/>
              </w:rPr>
            </w:pPr>
            <w:r>
              <w:rPr>
                <w:b/>
                <w:bCs/>
                <w:color w:val="auto"/>
              </w:rPr>
              <w:t>表4-1</w:t>
            </w:r>
            <w:r>
              <w:rPr>
                <w:rFonts w:hint="eastAsia"/>
                <w:b/>
                <w:bCs/>
                <w:color w:val="auto"/>
              </w:rPr>
              <w:t>5</w:t>
            </w:r>
            <w:r>
              <w:rPr>
                <w:b/>
                <w:bCs/>
                <w:color w:val="auto"/>
              </w:rPr>
              <w:t xml:space="preserve">  环境风险突发事故应急预案</w:t>
            </w:r>
          </w:p>
          <w:tbl>
            <w:tblPr>
              <w:tblStyle w:val="6"/>
              <w:tblW w:w="88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668"/>
              <w:gridCol w:w="5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blHeader/>
                <w:jc w:val="center"/>
              </w:trPr>
              <w:tc>
                <w:tcPr>
                  <w:tcW w:w="1380" w:type="dxa"/>
                  <w:vAlign w:val="center"/>
                </w:tcPr>
                <w:p>
                  <w:pPr>
                    <w:pStyle w:val="11"/>
                    <w:jc w:val="center"/>
                    <w:rPr>
                      <w:b/>
                      <w:bCs/>
                      <w:color w:val="auto"/>
                    </w:rPr>
                  </w:pPr>
                  <w:r>
                    <w:rPr>
                      <w:b/>
                      <w:bCs/>
                      <w:color w:val="auto"/>
                    </w:rPr>
                    <w:t>序号</w:t>
                  </w:r>
                </w:p>
              </w:tc>
              <w:tc>
                <w:tcPr>
                  <w:tcW w:w="1668" w:type="dxa"/>
                  <w:vAlign w:val="center"/>
                </w:tcPr>
                <w:p>
                  <w:pPr>
                    <w:pStyle w:val="11"/>
                    <w:jc w:val="center"/>
                    <w:rPr>
                      <w:b/>
                      <w:bCs/>
                      <w:color w:val="auto"/>
                    </w:rPr>
                  </w:pPr>
                  <w:r>
                    <w:rPr>
                      <w:b/>
                      <w:bCs/>
                      <w:color w:val="auto"/>
                    </w:rPr>
                    <w:t>项目</w:t>
                  </w:r>
                </w:p>
              </w:tc>
              <w:tc>
                <w:tcPr>
                  <w:tcW w:w="5808" w:type="dxa"/>
                  <w:vAlign w:val="center"/>
                </w:tcPr>
                <w:p>
                  <w:pPr>
                    <w:pStyle w:val="11"/>
                    <w:jc w:val="center"/>
                    <w:rPr>
                      <w:b/>
                      <w:bCs/>
                      <w:color w:val="auto"/>
                    </w:rPr>
                  </w:pPr>
                  <w:r>
                    <w:rPr>
                      <w:b/>
                      <w:bCs/>
                      <w:color w:val="auto"/>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color w:val="auto"/>
                    </w:rPr>
                  </w:pPr>
                  <w:r>
                    <w:rPr>
                      <w:color w:val="auto"/>
                    </w:rPr>
                    <w:t>1</w:t>
                  </w:r>
                </w:p>
              </w:tc>
              <w:tc>
                <w:tcPr>
                  <w:tcW w:w="1668" w:type="dxa"/>
                  <w:vAlign w:val="center"/>
                </w:tcPr>
                <w:p>
                  <w:pPr>
                    <w:pStyle w:val="11"/>
                    <w:jc w:val="center"/>
                    <w:rPr>
                      <w:color w:val="auto"/>
                    </w:rPr>
                  </w:pPr>
                  <w:r>
                    <w:rPr>
                      <w:color w:val="auto"/>
                    </w:rPr>
                    <w:t>危险源情况</w:t>
                  </w:r>
                </w:p>
              </w:tc>
              <w:tc>
                <w:tcPr>
                  <w:tcW w:w="5808" w:type="dxa"/>
                  <w:vAlign w:val="center"/>
                </w:tcPr>
                <w:p>
                  <w:pPr>
                    <w:pStyle w:val="11"/>
                    <w:rPr>
                      <w:color w:val="auto"/>
                    </w:rPr>
                  </w:pPr>
                  <w:r>
                    <w:rPr>
                      <w:color w:val="auto"/>
                    </w:rPr>
                    <w:t>详细说明危险源类型、数量、分布及其对环境的风险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color w:val="auto"/>
                    </w:rPr>
                  </w:pPr>
                  <w:r>
                    <w:rPr>
                      <w:color w:val="auto"/>
                    </w:rPr>
                    <w:t>2</w:t>
                  </w:r>
                </w:p>
              </w:tc>
              <w:tc>
                <w:tcPr>
                  <w:tcW w:w="1668" w:type="dxa"/>
                  <w:vAlign w:val="center"/>
                </w:tcPr>
                <w:p>
                  <w:pPr>
                    <w:pStyle w:val="11"/>
                    <w:jc w:val="center"/>
                    <w:rPr>
                      <w:color w:val="auto"/>
                    </w:rPr>
                  </w:pPr>
                  <w:r>
                    <w:rPr>
                      <w:color w:val="auto"/>
                    </w:rPr>
                    <w:t>应急计划区</w:t>
                  </w:r>
                </w:p>
              </w:tc>
              <w:tc>
                <w:tcPr>
                  <w:tcW w:w="5808" w:type="dxa"/>
                  <w:vAlign w:val="center"/>
                </w:tcPr>
                <w:p>
                  <w:pPr>
                    <w:pStyle w:val="11"/>
                    <w:rPr>
                      <w:color w:val="auto"/>
                    </w:rPr>
                  </w:pPr>
                  <w:r>
                    <w:rPr>
                      <w:color w:val="auto"/>
                    </w:rPr>
                    <w:t>办公区、生产区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color w:val="auto"/>
                    </w:rPr>
                  </w:pPr>
                  <w:r>
                    <w:rPr>
                      <w:color w:val="auto"/>
                    </w:rPr>
                    <w:t>3</w:t>
                  </w:r>
                </w:p>
              </w:tc>
              <w:tc>
                <w:tcPr>
                  <w:tcW w:w="1668" w:type="dxa"/>
                  <w:vAlign w:val="center"/>
                </w:tcPr>
                <w:p>
                  <w:pPr>
                    <w:pStyle w:val="11"/>
                    <w:jc w:val="center"/>
                    <w:rPr>
                      <w:color w:val="auto"/>
                    </w:rPr>
                  </w:pPr>
                  <w:r>
                    <w:rPr>
                      <w:color w:val="auto"/>
                    </w:rPr>
                    <w:t>应急组织</w:t>
                  </w:r>
                </w:p>
              </w:tc>
              <w:tc>
                <w:tcPr>
                  <w:tcW w:w="5808" w:type="dxa"/>
                  <w:vAlign w:val="center"/>
                </w:tcPr>
                <w:p>
                  <w:pPr>
                    <w:pStyle w:val="11"/>
                    <w:rPr>
                      <w:color w:val="auto"/>
                    </w:rPr>
                  </w:pPr>
                  <w:r>
                    <w:rPr>
                      <w:color w:val="auto"/>
                    </w:rPr>
                    <w:t>本项目内：成立应急指挥小组，由公司最高领导层担任小组长，负责现场全面指挥，专业救援队伍负责事故控制、救援和善后处理。</w:t>
                  </w:r>
                </w:p>
                <w:p>
                  <w:pPr>
                    <w:pStyle w:val="11"/>
                    <w:rPr>
                      <w:color w:val="auto"/>
                    </w:rPr>
                  </w:pPr>
                  <w:r>
                    <w:rPr>
                      <w:color w:val="auto"/>
                    </w:rPr>
                    <w:t>临近地区：地区指挥部负责企业附近地区全面指挥，救援，管制和疏散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color w:val="auto"/>
                    </w:rPr>
                  </w:pPr>
                  <w:r>
                    <w:rPr>
                      <w:color w:val="auto"/>
                    </w:rPr>
                    <w:t>4</w:t>
                  </w:r>
                </w:p>
              </w:tc>
              <w:tc>
                <w:tcPr>
                  <w:tcW w:w="1668" w:type="dxa"/>
                  <w:vAlign w:val="center"/>
                </w:tcPr>
                <w:p>
                  <w:pPr>
                    <w:pStyle w:val="11"/>
                    <w:jc w:val="center"/>
                    <w:rPr>
                      <w:color w:val="auto"/>
                    </w:rPr>
                  </w:pPr>
                  <w:r>
                    <w:rPr>
                      <w:color w:val="auto"/>
                    </w:rPr>
                    <w:t>应急状态分类应急响应程序</w:t>
                  </w:r>
                </w:p>
              </w:tc>
              <w:tc>
                <w:tcPr>
                  <w:tcW w:w="5808" w:type="dxa"/>
                  <w:vAlign w:val="center"/>
                </w:tcPr>
                <w:p>
                  <w:pPr>
                    <w:pStyle w:val="11"/>
                    <w:rPr>
                      <w:color w:val="auto"/>
                    </w:rPr>
                  </w:pPr>
                  <w:r>
                    <w:rPr>
                      <w:color w:val="auto"/>
                    </w:rPr>
                    <w:t>规定环境风险事故的级别及相应的应急状态分类，以此制定相应的应急响应程序。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color w:val="auto"/>
                    </w:rPr>
                  </w:pPr>
                  <w:r>
                    <w:rPr>
                      <w:color w:val="auto"/>
                    </w:rPr>
                    <w:t>5</w:t>
                  </w:r>
                </w:p>
              </w:tc>
              <w:tc>
                <w:tcPr>
                  <w:tcW w:w="1668" w:type="dxa"/>
                  <w:vAlign w:val="center"/>
                </w:tcPr>
                <w:p>
                  <w:pPr>
                    <w:pStyle w:val="11"/>
                    <w:jc w:val="center"/>
                    <w:rPr>
                      <w:color w:val="auto"/>
                    </w:rPr>
                  </w:pPr>
                  <w:r>
                    <w:rPr>
                      <w:color w:val="auto"/>
                    </w:rPr>
                    <w:t>应急设施设备与材料</w:t>
                  </w:r>
                </w:p>
              </w:tc>
              <w:tc>
                <w:tcPr>
                  <w:tcW w:w="5808" w:type="dxa"/>
                  <w:vAlign w:val="center"/>
                </w:tcPr>
                <w:p>
                  <w:pPr>
                    <w:pStyle w:val="11"/>
                    <w:rPr>
                      <w:color w:val="auto"/>
                    </w:rPr>
                  </w:pPr>
                  <w:r>
                    <w:rPr>
                      <w:color w:val="auto"/>
                    </w:rPr>
                    <w:t>办公区和生产区：防火设备与材料，主要为消防器材、消防服等；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color w:val="auto"/>
                    </w:rPr>
                  </w:pPr>
                  <w:r>
                    <w:rPr>
                      <w:color w:val="auto"/>
                    </w:rPr>
                    <w:t>6</w:t>
                  </w:r>
                </w:p>
              </w:tc>
              <w:tc>
                <w:tcPr>
                  <w:tcW w:w="1668" w:type="dxa"/>
                  <w:vAlign w:val="center"/>
                </w:tcPr>
                <w:p>
                  <w:pPr>
                    <w:pStyle w:val="11"/>
                    <w:jc w:val="center"/>
                    <w:rPr>
                      <w:color w:val="auto"/>
                    </w:rPr>
                  </w:pPr>
                  <w:r>
                    <w:rPr>
                      <w:color w:val="auto"/>
                    </w:rPr>
                    <w:t>应急通讯</w:t>
                  </w:r>
                </w:p>
                <w:p>
                  <w:pPr>
                    <w:pStyle w:val="11"/>
                    <w:jc w:val="center"/>
                    <w:rPr>
                      <w:color w:val="auto"/>
                    </w:rPr>
                  </w:pPr>
                  <w:r>
                    <w:rPr>
                      <w:color w:val="auto"/>
                    </w:rPr>
                    <w:t>通告与交通</w:t>
                  </w:r>
                </w:p>
              </w:tc>
              <w:tc>
                <w:tcPr>
                  <w:tcW w:w="5808" w:type="dxa"/>
                  <w:vAlign w:val="center"/>
                </w:tcPr>
                <w:p>
                  <w:pPr>
                    <w:pStyle w:val="11"/>
                    <w:rPr>
                      <w:color w:val="auto"/>
                    </w:rPr>
                  </w:pPr>
                  <w:r>
                    <w:rPr>
                      <w:color w:val="auto"/>
                    </w:rPr>
                    <w:t>规定应急状态下的通讯、通告方式和交通保障、管理等事项。可充分利用现代化的通信设施，如手机、固定电话、广播、电视等。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380" w:type="dxa"/>
                  <w:vAlign w:val="center"/>
                </w:tcPr>
                <w:p>
                  <w:pPr>
                    <w:pStyle w:val="11"/>
                    <w:jc w:val="center"/>
                    <w:rPr>
                      <w:color w:val="auto"/>
                    </w:rPr>
                  </w:pPr>
                  <w:r>
                    <w:rPr>
                      <w:color w:val="auto"/>
                    </w:rPr>
                    <w:t>7</w:t>
                  </w:r>
                </w:p>
              </w:tc>
              <w:tc>
                <w:tcPr>
                  <w:tcW w:w="1668" w:type="dxa"/>
                  <w:vAlign w:val="center"/>
                </w:tcPr>
                <w:p>
                  <w:pPr>
                    <w:pStyle w:val="11"/>
                    <w:jc w:val="center"/>
                    <w:rPr>
                      <w:color w:val="auto"/>
                    </w:rPr>
                  </w:pPr>
                  <w:r>
                    <w:rPr>
                      <w:color w:val="auto"/>
                    </w:rPr>
                    <w:t>应急环境监测及事故后评价</w:t>
                  </w:r>
                </w:p>
              </w:tc>
              <w:tc>
                <w:tcPr>
                  <w:tcW w:w="5808" w:type="dxa"/>
                  <w:vAlign w:val="center"/>
                </w:tcPr>
                <w:p>
                  <w:pPr>
                    <w:pStyle w:val="11"/>
                    <w:rPr>
                      <w:color w:val="auto"/>
                    </w:rPr>
                  </w:pPr>
                  <w:r>
                    <w:rPr>
                      <w:color w:val="auto"/>
                    </w:rPr>
                    <w:t>由专业人员对环境分析事故现场进行应急监测，对事故性质、严重程度均所造成的环境危害后果进行评估，吸取经验教训避免再次发生事故，为指挥部门提供决策依据。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0" w:hRule="atLeast"/>
                <w:jc w:val="center"/>
              </w:trPr>
              <w:tc>
                <w:tcPr>
                  <w:tcW w:w="1380" w:type="dxa"/>
                  <w:vAlign w:val="center"/>
                </w:tcPr>
                <w:p>
                  <w:pPr>
                    <w:pStyle w:val="11"/>
                    <w:jc w:val="center"/>
                    <w:rPr>
                      <w:color w:val="auto"/>
                    </w:rPr>
                  </w:pPr>
                  <w:r>
                    <w:rPr>
                      <w:color w:val="auto"/>
                    </w:rPr>
                    <w:t>8</w:t>
                  </w:r>
                </w:p>
              </w:tc>
              <w:tc>
                <w:tcPr>
                  <w:tcW w:w="1668" w:type="dxa"/>
                  <w:vAlign w:val="center"/>
                </w:tcPr>
                <w:p>
                  <w:pPr>
                    <w:pStyle w:val="11"/>
                    <w:jc w:val="center"/>
                    <w:rPr>
                      <w:color w:val="auto"/>
                    </w:rPr>
                  </w:pPr>
                  <w:r>
                    <w:rPr>
                      <w:color w:val="auto"/>
                    </w:rPr>
                    <w:t>应急防护措施</w:t>
                  </w:r>
                </w:p>
              </w:tc>
              <w:tc>
                <w:tcPr>
                  <w:tcW w:w="5808" w:type="dxa"/>
                  <w:vAlign w:val="center"/>
                </w:tcPr>
                <w:p>
                  <w:pPr>
                    <w:pStyle w:val="11"/>
                    <w:rPr>
                      <w:color w:val="auto"/>
                    </w:rPr>
                  </w:pPr>
                  <w:r>
                    <w:rPr>
                      <w:color w:val="auto"/>
                    </w:rPr>
                    <w:t>事故现场：控制事故发展，防止扩大、蔓延及连锁反应；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color w:val="auto"/>
                    </w:rPr>
                  </w:pPr>
                  <w:r>
                    <w:rPr>
                      <w:color w:val="auto"/>
                    </w:rPr>
                    <w:t>9</w:t>
                  </w:r>
                </w:p>
              </w:tc>
              <w:tc>
                <w:tcPr>
                  <w:tcW w:w="1668" w:type="dxa"/>
                  <w:vAlign w:val="center"/>
                </w:tcPr>
                <w:p>
                  <w:pPr>
                    <w:pStyle w:val="11"/>
                    <w:jc w:val="center"/>
                    <w:rPr>
                      <w:color w:val="auto"/>
                    </w:rPr>
                  </w:pPr>
                  <w:r>
                    <w:rPr>
                      <w:color w:val="auto"/>
                    </w:rPr>
                    <w:t>应急剂量控制撤离组织计划医疗救护与保护公众健康</w:t>
                  </w:r>
                </w:p>
              </w:tc>
              <w:tc>
                <w:tcPr>
                  <w:tcW w:w="5808" w:type="dxa"/>
                  <w:vAlign w:val="center"/>
                </w:tcPr>
                <w:p>
                  <w:pPr>
                    <w:pStyle w:val="11"/>
                    <w:rPr>
                      <w:color w:val="auto"/>
                    </w:rPr>
                  </w:pPr>
                  <w:r>
                    <w:rPr>
                      <w:color w:val="auto"/>
                    </w:rPr>
                    <w:t>事故现场：事故处理人员制定毒物的应急剂量、现场及临近装置人员的撤离组织计划和紧急救护方案；</w:t>
                  </w:r>
                </w:p>
                <w:p>
                  <w:pPr>
                    <w:pStyle w:val="11"/>
                    <w:rPr>
                      <w:color w:val="auto"/>
                    </w:rPr>
                  </w:pPr>
                  <w:r>
                    <w:rPr>
                      <w:color w:val="auto"/>
                    </w:rPr>
                    <w:t>临近地区：制定受事故影响的临近地区内人员的烧伤程度、公众的疏散组织计划和紧急救护方案。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1380" w:type="dxa"/>
                  <w:vAlign w:val="center"/>
                </w:tcPr>
                <w:p>
                  <w:pPr>
                    <w:pStyle w:val="11"/>
                    <w:jc w:val="center"/>
                    <w:rPr>
                      <w:color w:val="auto"/>
                    </w:rPr>
                  </w:pPr>
                  <w:r>
                    <w:rPr>
                      <w:color w:val="auto"/>
                    </w:rPr>
                    <w:t>10</w:t>
                  </w:r>
                </w:p>
              </w:tc>
              <w:tc>
                <w:tcPr>
                  <w:tcW w:w="1668" w:type="dxa"/>
                  <w:vAlign w:val="center"/>
                </w:tcPr>
                <w:p>
                  <w:pPr>
                    <w:pStyle w:val="11"/>
                    <w:jc w:val="center"/>
                    <w:rPr>
                      <w:color w:val="auto"/>
                    </w:rPr>
                  </w:pPr>
                  <w:r>
                    <w:rPr>
                      <w:color w:val="auto"/>
                    </w:rPr>
                    <w:t>应急状态中止恢复措施</w:t>
                  </w:r>
                </w:p>
              </w:tc>
              <w:tc>
                <w:tcPr>
                  <w:tcW w:w="5808" w:type="dxa"/>
                  <w:vAlign w:val="center"/>
                </w:tcPr>
                <w:p>
                  <w:pPr>
                    <w:pStyle w:val="11"/>
                    <w:rPr>
                      <w:color w:val="auto"/>
                    </w:rPr>
                  </w:pPr>
                  <w:r>
                    <w:rPr>
                      <w:color w:val="auto"/>
                    </w:rPr>
                    <w:t>事故现场：规定应急状态终止秩序；事故现场善后处理，回复生产措施；</w:t>
                  </w:r>
                </w:p>
                <w:p>
                  <w:pPr>
                    <w:pStyle w:val="11"/>
                    <w:rPr>
                      <w:color w:val="auto"/>
                    </w:rPr>
                  </w:pPr>
                  <w:r>
                    <w:rPr>
                      <w:color w:val="auto"/>
                    </w:rPr>
                    <w:t>临近地区：解除事故警戒，公众返回和善后回复措施。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80" w:type="dxa"/>
                  <w:vAlign w:val="center"/>
                </w:tcPr>
                <w:p>
                  <w:pPr>
                    <w:pStyle w:val="11"/>
                    <w:jc w:val="center"/>
                    <w:rPr>
                      <w:color w:val="auto"/>
                    </w:rPr>
                  </w:pPr>
                  <w:r>
                    <w:rPr>
                      <w:color w:val="auto"/>
                    </w:rPr>
                    <w:t>11</w:t>
                  </w:r>
                </w:p>
              </w:tc>
              <w:tc>
                <w:tcPr>
                  <w:tcW w:w="1668" w:type="dxa"/>
                  <w:vAlign w:val="center"/>
                </w:tcPr>
                <w:p>
                  <w:pPr>
                    <w:pStyle w:val="11"/>
                    <w:jc w:val="center"/>
                    <w:rPr>
                      <w:color w:val="auto"/>
                    </w:rPr>
                  </w:pPr>
                  <w:r>
                    <w:rPr>
                      <w:color w:val="auto"/>
                    </w:rPr>
                    <w:t>人员培训与演习</w:t>
                  </w:r>
                </w:p>
              </w:tc>
              <w:tc>
                <w:tcPr>
                  <w:tcW w:w="5808" w:type="dxa"/>
                  <w:vAlign w:val="center"/>
                </w:tcPr>
                <w:p>
                  <w:pPr>
                    <w:pStyle w:val="11"/>
                    <w:rPr>
                      <w:color w:val="auto"/>
                    </w:rPr>
                  </w:pPr>
                  <w:r>
                    <w:rPr>
                      <w:color w:val="auto"/>
                    </w:rPr>
                    <w:t>应急计划制定后，平时安排事故出路人员进行相关知识培训并进行事故应急处理演习；对工厂工人进行安全卫生教育。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3" w:hRule="atLeast"/>
                <w:jc w:val="center"/>
              </w:trPr>
              <w:tc>
                <w:tcPr>
                  <w:tcW w:w="1380" w:type="dxa"/>
                  <w:vAlign w:val="center"/>
                </w:tcPr>
                <w:p>
                  <w:pPr>
                    <w:pStyle w:val="11"/>
                    <w:jc w:val="center"/>
                    <w:rPr>
                      <w:color w:val="auto"/>
                    </w:rPr>
                  </w:pPr>
                  <w:r>
                    <w:rPr>
                      <w:color w:val="auto"/>
                    </w:rPr>
                    <w:t>12</w:t>
                  </w:r>
                </w:p>
              </w:tc>
              <w:tc>
                <w:tcPr>
                  <w:tcW w:w="1668" w:type="dxa"/>
                  <w:vAlign w:val="center"/>
                </w:tcPr>
                <w:p>
                  <w:pPr>
                    <w:pStyle w:val="11"/>
                    <w:jc w:val="center"/>
                    <w:rPr>
                      <w:color w:val="auto"/>
                    </w:rPr>
                  </w:pPr>
                  <w:r>
                    <w:rPr>
                      <w:color w:val="auto"/>
                    </w:rPr>
                    <w:t>公众教育信息发布</w:t>
                  </w:r>
                </w:p>
              </w:tc>
              <w:tc>
                <w:tcPr>
                  <w:tcW w:w="5808" w:type="dxa"/>
                  <w:vAlign w:val="center"/>
                </w:tcPr>
                <w:p>
                  <w:pPr>
                    <w:pStyle w:val="11"/>
                    <w:rPr>
                      <w:color w:val="auto"/>
                    </w:rPr>
                  </w:pPr>
                  <w:r>
                    <w:rPr>
                      <w:color w:val="auto"/>
                    </w:rPr>
                    <w:t>对工厂临近地区公众开展环境风险事故预防教育、应急知识培训并定期发布相关信息。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380" w:type="dxa"/>
                  <w:vAlign w:val="center"/>
                </w:tcPr>
                <w:p>
                  <w:pPr>
                    <w:pStyle w:val="11"/>
                    <w:jc w:val="center"/>
                    <w:rPr>
                      <w:color w:val="auto"/>
                    </w:rPr>
                  </w:pPr>
                  <w:r>
                    <w:rPr>
                      <w:color w:val="auto"/>
                    </w:rPr>
                    <w:t>13</w:t>
                  </w:r>
                </w:p>
              </w:tc>
              <w:tc>
                <w:tcPr>
                  <w:tcW w:w="1668" w:type="dxa"/>
                  <w:vAlign w:val="center"/>
                </w:tcPr>
                <w:p>
                  <w:pPr>
                    <w:pStyle w:val="11"/>
                    <w:jc w:val="center"/>
                    <w:rPr>
                      <w:color w:val="auto"/>
                    </w:rPr>
                  </w:pPr>
                  <w:r>
                    <w:rPr>
                      <w:color w:val="auto"/>
                    </w:rPr>
                    <w:t>记录和报告</w:t>
                  </w:r>
                </w:p>
              </w:tc>
              <w:tc>
                <w:tcPr>
                  <w:tcW w:w="5808" w:type="dxa"/>
                  <w:vAlign w:val="center"/>
                </w:tcPr>
                <w:p>
                  <w:pPr>
                    <w:pStyle w:val="11"/>
                    <w:rPr>
                      <w:color w:val="auto"/>
                    </w:rPr>
                  </w:pPr>
                  <w:r>
                    <w:rPr>
                      <w:color w:val="auto"/>
                    </w:rPr>
                    <w:t>设应急事故专门记录，建立档案和报告制度，设专门部门负责管理。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80" w:type="dxa"/>
                  <w:vAlign w:val="center"/>
                </w:tcPr>
                <w:p>
                  <w:pPr>
                    <w:pStyle w:val="11"/>
                    <w:jc w:val="center"/>
                    <w:rPr>
                      <w:color w:val="auto"/>
                    </w:rPr>
                  </w:pPr>
                  <w:r>
                    <w:rPr>
                      <w:color w:val="auto"/>
                    </w:rPr>
                    <w:t>14</w:t>
                  </w:r>
                </w:p>
              </w:tc>
              <w:tc>
                <w:tcPr>
                  <w:tcW w:w="1668" w:type="dxa"/>
                  <w:vAlign w:val="center"/>
                </w:tcPr>
                <w:p>
                  <w:pPr>
                    <w:pStyle w:val="11"/>
                    <w:jc w:val="center"/>
                    <w:rPr>
                      <w:color w:val="auto"/>
                    </w:rPr>
                  </w:pPr>
                  <w:r>
                    <w:rPr>
                      <w:color w:val="auto"/>
                    </w:rPr>
                    <w:t>附件</w:t>
                  </w:r>
                </w:p>
              </w:tc>
              <w:tc>
                <w:tcPr>
                  <w:tcW w:w="5808" w:type="dxa"/>
                  <w:vAlign w:val="center"/>
                </w:tcPr>
                <w:p>
                  <w:pPr>
                    <w:pStyle w:val="11"/>
                    <w:rPr>
                      <w:color w:val="auto"/>
                    </w:rPr>
                  </w:pPr>
                  <w:r>
                    <w:rPr>
                      <w:color w:val="auto"/>
                    </w:rPr>
                    <w:t>准备并形成环境风险事故应急处理有关的附件材料。</w:t>
                  </w:r>
                </w:p>
              </w:tc>
            </w:tr>
          </w:tbl>
          <w:p>
            <w:pPr>
              <w:ind w:firstLine="480"/>
              <w:rPr>
                <w:color w:val="auto"/>
              </w:rPr>
            </w:pPr>
            <w:r>
              <w:rPr>
                <w:color w:val="auto"/>
              </w:rPr>
              <w:t>（6）</w:t>
            </w:r>
            <w:r>
              <w:rPr>
                <w:color w:val="auto"/>
                <w:lang w:val="zh-CN"/>
              </w:rPr>
              <w:t>建设项目环境风险简单分析内容表</w:t>
            </w:r>
          </w:p>
          <w:p>
            <w:pPr>
              <w:pStyle w:val="11"/>
              <w:jc w:val="center"/>
              <w:rPr>
                <w:b/>
                <w:bCs/>
                <w:color w:val="auto"/>
                <w:lang w:val="zh-CN"/>
              </w:rPr>
            </w:pPr>
            <w:r>
              <w:rPr>
                <w:b/>
                <w:bCs/>
                <w:color w:val="auto"/>
              </w:rPr>
              <w:t>表4-1</w:t>
            </w:r>
            <w:r>
              <w:rPr>
                <w:rFonts w:hint="eastAsia"/>
                <w:b/>
                <w:bCs/>
                <w:color w:val="auto"/>
              </w:rPr>
              <w:t>6</w:t>
            </w:r>
            <w:r>
              <w:rPr>
                <w:b/>
                <w:bCs/>
                <w:color w:val="auto"/>
              </w:rPr>
              <w:t xml:space="preserve">  </w:t>
            </w:r>
            <w:r>
              <w:rPr>
                <w:b/>
                <w:bCs/>
                <w:color w:val="auto"/>
                <w:lang w:val="zh-CN"/>
              </w:rPr>
              <w:t>建设项目环境风险简单分析内容表</w:t>
            </w:r>
          </w:p>
          <w:tbl>
            <w:tblPr>
              <w:tblStyle w:val="6"/>
              <w:tblW w:w="89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011"/>
              <w:gridCol w:w="1977"/>
              <w:gridCol w:w="1749"/>
              <w:gridCol w:w="23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b/>
                      <w:bCs/>
                      <w:color w:val="auto"/>
                      <w:lang w:val="zh-CN"/>
                    </w:rPr>
                  </w:pPr>
                  <w:r>
                    <w:rPr>
                      <w:b/>
                      <w:bCs/>
                      <w:color w:val="auto"/>
                      <w:lang w:val="zh-CN"/>
                    </w:rPr>
                    <w:t>建设项目名称</w:t>
                  </w:r>
                </w:p>
              </w:tc>
              <w:tc>
                <w:tcPr>
                  <w:tcW w:w="7118" w:type="dxa"/>
                  <w:gridSpan w:val="4"/>
                </w:tcPr>
                <w:p>
                  <w:pPr>
                    <w:pStyle w:val="11"/>
                    <w:jc w:val="center"/>
                    <w:rPr>
                      <w:color w:val="auto"/>
                      <w:lang w:val="zh-CN"/>
                    </w:rPr>
                  </w:pPr>
                  <w:r>
                    <w:rPr>
                      <w:rFonts w:hint="eastAsia"/>
                      <w:color w:val="auto"/>
                    </w:rPr>
                    <w:t>川汉子肉制品精深加工项目（一期）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b/>
                      <w:bCs/>
                      <w:color w:val="auto"/>
                      <w:lang w:val="zh-CN"/>
                    </w:rPr>
                  </w:pPr>
                  <w:r>
                    <w:rPr>
                      <w:b/>
                      <w:bCs/>
                      <w:color w:val="auto"/>
                      <w:lang w:val="zh-CN"/>
                    </w:rPr>
                    <w:t>建设地点</w:t>
                  </w:r>
                </w:p>
              </w:tc>
              <w:tc>
                <w:tcPr>
                  <w:tcW w:w="1011" w:type="dxa"/>
                  <w:vAlign w:val="center"/>
                </w:tcPr>
                <w:p>
                  <w:pPr>
                    <w:pStyle w:val="11"/>
                    <w:jc w:val="center"/>
                    <w:rPr>
                      <w:color w:val="auto"/>
                      <w:lang w:val="zh-CN"/>
                    </w:rPr>
                  </w:pPr>
                  <w:r>
                    <w:rPr>
                      <w:color w:val="auto"/>
                      <w:lang w:val="zh-CN"/>
                    </w:rPr>
                    <w:t>四川省</w:t>
                  </w:r>
                </w:p>
              </w:tc>
              <w:tc>
                <w:tcPr>
                  <w:tcW w:w="1977" w:type="dxa"/>
                  <w:vAlign w:val="center"/>
                </w:tcPr>
                <w:p>
                  <w:pPr>
                    <w:pStyle w:val="11"/>
                    <w:jc w:val="center"/>
                    <w:rPr>
                      <w:color w:val="auto"/>
                    </w:rPr>
                  </w:pPr>
                  <w:r>
                    <w:rPr>
                      <w:color w:val="auto"/>
                    </w:rPr>
                    <w:t>达州市</w:t>
                  </w:r>
                </w:p>
              </w:tc>
              <w:tc>
                <w:tcPr>
                  <w:tcW w:w="1749" w:type="dxa"/>
                  <w:vAlign w:val="center"/>
                </w:tcPr>
                <w:p>
                  <w:pPr>
                    <w:pStyle w:val="11"/>
                    <w:jc w:val="center"/>
                    <w:rPr>
                      <w:color w:val="auto"/>
                    </w:rPr>
                  </w:pPr>
                  <w:r>
                    <w:rPr>
                      <w:rFonts w:hint="eastAsia"/>
                      <w:color w:val="auto"/>
                      <w:sz w:val="24"/>
                      <w:szCs w:val="24"/>
                    </w:rPr>
                    <w:t>通川区</w:t>
                  </w:r>
                </w:p>
              </w:tc>
              <w:tc>
                <w:tcPr>
                  <w:tcW w:w="2381" w:type="dxa"/>
                  <w:vAlign w:val="center"/>
                </w:tcPr>
                <w:p>
                  <w:pPr>
                    <w:pStyle w:val="11"/>
                    <w:jc w:val="center"/>
                    <w:rPr>
                      <w:color w:val="auto"/>
                    </w:rPr>
                  </w:pPr>
                  <w:r>
                    <w:rPr>
                      <w:rFonts w:hint="eastAsia"/>
                      <w:color w:val="auto"/>
                      <w:sz w:val="24"/>
                      <w:szCs w:val="24"/>
                    </w:rPr>
                    <w:t>工业集中区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b/>
                      <w:bCs/>
                      <w:color w:val="auto"/>
                      <w:lang w:val="zh-CN"/>
                    </w:rPr>
                  </w:pPr>
                  <w:r>
                    <w:rPr>
                      <w:b/>
                      <w:bCs/>
                      <w:color w:val="auto"/>
                      <w:lang w:val="zh-CN"/>
                    </w:rPr>
                    <w:t>地理坐标</w:t>
                  </w:r>
                </w:p>
              </w:tc>
              <w:tc>
                <w:tcPr>
                  <w:tcW w:w="1011" w:type="dxa"/>
                  <w:vAlign w:val="center"/>
                </w:tcPr>
                <w:p>
                  <w:pPr>
                    <w:pStyle w:val="11"/>
                    <w:jc w:val="center"/>
                    <w:rPr>
                      <w:color w:val="auto"/>
                      <w:lang w:val="zh-CN"/>
                    </w:rPr>
                  </w:pPr>
                  <w:r>
                    <w:rPr>
                      <w:color w:val="auto"/>
                      <w:lang w:val="zh-CN"/>
                    </w:rPr>
                    <w:t>经度</w:t>
                  </w:r>
                </w:p>
              </w:tc>
              <w:tc>
                <w:tcPr>
                  <w:tcW w:w="1977" w:type="dxa"/>
                  <w:vAlign w:val="center"/>
                </w:tcPr>
                <w:p>
                  <w:pPr>
                    <w:pStyle w:val="11"/>
                    <w:jc w:val="center"/>
                    <w:rPr>
                      <w:color w:val="auto"/>
                      <w:lang w:val="zh-CN"/>
                    </w:rPr>
                  </w:pPr>
                  <w:r>
                    <w:rPr>
                      <w:color w:val="auto"/>
                    </w:rPr>
                    <w:t>107°30′56.923″</w:t>
                  </w:r>
                </w:p>
              </w:tc>
              <w:tc>
                <w:tcPr>
                  <w:tcW w:w="1749" w:type="dxa"/>
                  <w:vAlign w:val="center"/>
                </w:tcPr>
                <w:p>
                  <w:pPr>
                    <w:pStyle w:val="11"/>
                    <w:jc w:val="center"/>
                    <w:rPr>
                      <w:color w:val="auto"/>
                      <w:lang w:val="zh-CN"/>
                    </w:rPr>
                  </w:pPr>
                  <w:r>
                    <w:rPr>
                      <w:color w:val="auto"/>
                      <w:lang w:val="zh-CN"/>
                    </w:rPr>
                    <w:t>纬度</w:t>
                  </w:r>
                </w:p>
              </w:tc>
              <w:tc>
                <w:tcPr>
                  <w:tcW w:w="2381" w:type="dxa"/>
                  <w:vAlign w:val="center"/>
                </w:tcPr>
                <w:p>
                  <w:pPr>
                    <w:pStyle w:val="11"/>
                    <w:jc w:val="center"/>
                    <w:rPr>
                      <w:color w:val="auto"/>
                      <w:lang w:val="zh-CN"/>
                    </w:rPr>
                  </w:pPr>
                  <w:r>
                    <w:rPr>
                      <w:color w:val="auto"/>
                    </w:rPr>
                    <w:t>31°21′25.132″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b/>
                      <w:bCs/>
                      <w:color w:val="auto"/>
                      <w:lang w:val="zh-CN"/>
                    </w:rPr>
                  </w:pPr>
                  <w:r>
                    <w:rPr>
                      <w:b/>
                      <w:bCs/>
                      <w:color w:val="auto"/>
                      <w:lang w:val="zh-CN"/>
                    </w:rPr>
                    <w:t>主要</w:t>
                  </w:r>
                  <w:r>
                    <w:rPr>
                      <w:b/>
                      <w:bCs/>
                      <w:color w:val="auto"/>
                    </w:rPr>
                    <w:t>风险</w:t>
                  </w:r>
                  <w:r>
                    <w:rPr>
                      <w:b/>
                      <w:bCs/>
                      <w:color w:val="auto"/>
                      <w:lang w:val="zh-CN"/>
                    </w:rPr>
                    <w:t>物质及分布</w:t>
                  </w:r>
                </w:p>
              </w:tc>
              <w:tc>
                <w:tcPr>
                  <w:tcW w:w="7118" w:type="dxa"/>
                  <w:gridSpan w:val="4"/>
                  <w:vAlign w:val="center"/>
                </w:tcPr>
                <w:p>
                  <w:pPr>
                    <w:pStyle w:val="11"/>
                    <w:jc w:val="center"/>
                    <w:rPr>
                      <w:color w:val="auto"/>
                      <w:lang w:val="zh-CN"/>
                    </w:rPr>
                  </w:pPr>
                  <w:r>
                    <w:rPr>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b/>
                      <w:bCs/>
                      <w:color w:val="auto"/>
                      <w:lang w:val="zh-CN"/>
                    </w:rPr>
                  </w:pPr>
                  <w:r>
                    <w:rPr>
                      <w:b/>
                      <w:bCs/>
                      <w:color w:val="auto"/>
                      <w:lang w:val="zh-CN"/>
                    </w:rPr>
                    <w:t>环境影响途径及危害后果</w:t>
                  </w:r>
                </w:p>
              </w:tc>
              <w:tc>
                <w:tcPr>
                  <w:tcW w:w="7118" w:type="dxa"/>
                  <w:gridSpan w:val="4"/>
                  <w:vAlign w:val="center"/>
                </w:tcPr>
                <w:p>
                  <w:pPr>
                    <w:pStyle w:val="11"/>
                    <w:rPr>
                      <w:color w:val="auto"/>
                    </w:rPr>
                  </w:pPr>
                  <w:r>
                    <w:rPr>
                      <w:color w:val="auto"/>
                    </w:rPr>
                    <w:t>①、生活污水收集管道泄漏，造成地下水污染等环境问题；②、废弃机油泄漏，造成地下水污染等环境问题；③有机废气设备发生故障，造成有机废气未经处理后排放。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b/>
                      <w:bCs/>
                      <w:color w:val="auto"/>
                      <w:lang w:val="zh-CN"/>
                    </w:rPr>
                  </w:pPr>
                  <w:r>
                    <w:rPr>
                      <w:b/>
                      <w:bCs/>
                      <w:color w:val="auto"/>
                      <w:lang w:val="zh-CN"/>
                    </w:rPr>
                    <w:t>风险防范措施</w:t>
                  </w:r>
                </w:p>
              </w:tc>
              <w:tc>
                <w:tcPr>
                  <w:tcW w:w="7118" w:type="dxa"/>
                  <w:gridSpan w:val="4"/>
                  <w:vAlign w:val="center"/>
                </w:tcPr>
                <w:p>
                  <w:pPr>
                    <w:pStyle w:val="11"/>
                    <w:jc w:val="both"/>
                    <w:rPr>
                      <w:color w:val="auto"/>
                    </w:rPr>
                  </w:pPr>
                  <w:r>
                    <w:rPr>
                      <w:color w:val="auto"/>
                    </w:rPr>
                    <w:t>预防措施：</w:t>
                  </w:r>
                </w:p>
                <w:p>
                  <w:pPr>
                    <w:pStyle w:val="11"/>
                    <w:jc w:val="both"/>
                    <w:rPr>
                      <w:color w:val="auto"/>
                    </w:rPr>
                  </w:pPr>
                  <w:r>
                    <w:rPr>
                      <w:color w:val="auto"/>
                    </w:rPr>
                    <w:t>①对建筑物、设备管线加设防雷、防静电接地装置；</w:t>
                  </w:r>
                </w:p>
                <w:p>
                  <w:pPr>
                    <w:pStyle w:val="11"/>
                    <w:jc w:val="both"/>
                    <w:rPr>
                      <w:color w:val="auto"/>
                    </w:rPr>
                  </w:pPr>
                  <w:r>
                    <w:rPr>
                      <w:color w:val="auto"/>
                    </w:rPr>
                    <w:t>②严格按照国家规范的要求设置的电气线路并按规范的要求保持足够的防火间距；</w:t>
                  </w:r>
                </w:p>
                <w:p>
                  <w:pPr>
                    <w:pStyle w:val="11"/>
                    <w:jc w:val="both"/>
                    <w:rPr>
                      <w:color w:val="auto"/>
                      <w:lang w:val="zh-CN"/>
                    </w:rPr>
                  </w:pPr>
                  <w:r>
                    <w:rPr>
                      <w:color w:val="auto"/>
                    </w:rPr>
                    <w:t>③加强管理，环评要求派专人对生产现场进行管理，落实各项规范制度。制定环境风险应急预案，防患于未然。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2" w:type="dxa"/>
                  <w:gridSpan w:val="5"/>
                  <w:vAlign w:val="center"/>
                </w:tcPr>
                <w:p>
                  <w:pPr>
                    <w:pStyle w:val="11"/>
                    <w:rPr>
                      <w:color w:val="auto"/>
                    </w:rPr>
                  </w:pPr>
                  <w:r>
                    <w:rPr>
                      <w:color w:val="auto"/>
                      <w:lang w:val="zh-CN"/>
                    </w:rPr>
                    <w:t>填表说明：</w:t>
                  </w:r>
                  <w:r>
                    <w:rPr>
                      <w:color w:val="auto"/>
                    </w:rPr>
                    <w:t>根据现场踏勘，项目生产过程中均不涉及有毒、有害等物质的存储、生产及使用，风险水平低，通过加强管理后，项目环境风险可接受。</w:t>
                  </w:r>
                </w:p>
              </w:tc>
            </w:tr>
          </w:tbl>
          <w:p>
            <w:pPr>
              <w:ind w:firstLine="480"/>
              <w:rPr>
                <w:color w:val="auto"/>
              </w:rPr>
            </w:pPr>
            <w:r>
              <w:rPr>
                <w:color w:val="auto"/>
              </w:rPr>
              <w:t>（7）风险评价结论：</w:t>
            </w:r>
          </w:p>
          <w:p>
            <w:pPr>
              <w:ind w:firstLine="480"/>
              <w:rPr>
                <w:color w:val="auto"/>
              </w:rPr>
            </w:pPr>
            <w:r>
              <w:rPr>
                <w:color w:val="auto"/>
              </w:rPr>
              <w:t>风险评价结论：在采取环评提出的防治措施后，本项目风险处于可接受水平，其风险管理措施有效、可靠，从环境风险角度而言是可行的。</w:t>
            </w:r>
          </w:p>
          <w:p>
            <w:pPr>
              <w:adjustRightInd w:val="0"/>
              <w:snapToGrid w:val="0"/>
              <w:ind w:firstLine="482"/>
              <w:rPr>
                <w:b/>
                <w:bCs/>
                <w:color w:val="auto"/>
              </w:rPr>
            </w:pPr>
            <w:r>
              <w:rPr>
                <w:b/>
                <w:bCs/>
                <w:color w:val="auto"/>
              </w:rPr>
              <w:t>（三）环境管理</w:t>
            </w:r>
          </w:p>
          <w:p>
            <w:pPr>
              <w:ind w:firstLine="480"/>
              <w:rPr>
                <w:color w:val="auto"/>
              </w:rPr>
            </w:pPr>
            <w:r>
              <w:rPr>
                <w:color w:val="auto"/>
              </w:rPr>
              <w:t>强化企业管理，建立较为完善的企业内部质量管理体系和一系列严密科学可行的管理程序和各项规章制度，做到专人负责，层层落实。</w:t>
            </w:r>
          </w:p>
          <w:p>
            <w:pPr>
              <w:ind w:firstLine="480"/>
              <w:rPr>
                <w:color w:val="auto"/>
              </w:rPr>
            </w:pPr>
            <w:r>
              <w:rPr>
                <w:color w:val="auto"/>
              </w:rPr>
              <w:t>为了执行国家有关环境保护的法律、法规，做好建设项目的环境保护工作，业主应设环保工作人员，负责组织、协调本工程的环境保护工作。</w:t>
            </w:r>
          </w:p>
          <w:p>
            <w:pPr>
              <w:ind w:firstLine="477" w:firstLineChars="198"/>
              <w:jc w:val="left"/>
              <w:rPr>
                <w:b/>
                <w:bCs/>
                <w:color w:val="auto"/>
              </w:rPr>
            </w:pPr>
            <w:r>
              <w:rPr>
                <w:b/>
                <w:bCs/>
                <w:color w:val="auto"/>
              </w:rPr>
              <w:t>1、项目环境管理机构与制度</w:t>
            </w:r>
          </w:p>
          <w:p>
            <w:pPr>
              <w:ind w:firstLine="480"/>
              <w:rPr>
                <w:color w:val="auto"/>
              </w:rPr>
            </w:pPr>
            <w:r>
              <w:rPr>
                <w:color w:val="auto"/>
              </w:rPr>
              <w:t>业主应全面负责项目内部的环境保护工作：</w:t>
            </w:r>
          </w:p>
          <w:p>
            <w:pPr>
              <w:tabs>
                <w:tab w:val="left" w:pos="0"/>
              </w:tabs>
              <w:ind w:firstLine="480"/>
              <w:jc w:val="left"/>
              <w:rPr>
                <w:color w:val="auto"/>
              </w:rPr>
            </w:pPr>
            <w:r>
              <w:rPr>
                <w:color w:val="auto"/>
              </w:rPr>
              <w:t>①加强区域内固废的管理，尤其是危险废物，其在暂存间集中收集后由具有危废处理资质的单位进行清运，并及时做好记录，落实固废“资源化、减量化、无害化”最终处置要求。</w:t>
            </w:r>
          </w:p>
          <w:p>
            <w:pPr>
              <w:ind w:firstLine="480"/>
              <w:jc w:val="left"/>
              <w:rPr>
                <w:color w:val="auto"/>
              </w:rPr>
            </w:pPr>
            <w:r>
              <w:rPr>
                <w:color w:val="auto"/>
              </w:rPr>
              <w:t>②实行环境监督管理，确保污染得到有效控制。</w:t>
            </w:r>
          </w:p>
          <w:p>
            <w:pPr>
              <w:ind w:firstLine="480"/>
              <w:jc w:val="left"/>
              <w:rPr>
                <w:color w:val="auto"/>
              </w:rPr>
            </w:pPr>
            <w:r>
              <w:rPr>
                <w:color w:val="auto"/>
              </w:rPr>
              <w:t>③监督污染物达标排放和总量控制。</w:t>
            </w:r>
          </w:p>
          <w:p>
            <w:pPr>
              <w:ind w:firstLine="480"/>
              <w:jc w:val="left"/>
              <w:rPr>
                <w:color w:val="auto"/>
              </w:rPr>
            </w:pPr>
            <w:r>
              <w:rPr>
                <w:color w:val="auto"/>
              </w:rPr>
              <w:t>④建立健全的企业污染源档案，并加强管理。</w:t>
            </w:r>
          </w:p>
          <w:p>
            <w:pPr>
              <w:ind w:firstLine="480"/>
              <w:jc w:val="left"/>
              <w:rPr>
                <w:color w:val="auto"/>
              </w:rPr>
            </w:pPr>
            <w:r>
              <w:rPr>
                <w:color w:val="auto"/>
              </w:rPr>
              <w:t>⑤加强对企业污染物治理的监督管理，并检测其执行情况。</w:t>
            </w:r>
          </w:p>
          <w:p>
            <w:pPr>
              <w:ind w:firstLine="480"/>
              <w:jc w:val="left"/>
              <w:rPr>
                <w:color w:val="auto"/>
              </w:rPr>
            </w:pPr>
            <w:r>
              <w:rPr>
                <w:color w:val="auto"/>
              </w:rPr>
              <w:t>⑥加强环境保护宣传教育，提高职工环保意识。</w:t>
            </w:r>
          </w:p>
          <w:p>
            <w:pPr>
              <w:ind w:firstLine="482"/>
              <w:jc w:val="left"/>
              <w:rPr>
                <w:b/>
                <w:bCs/>
                <w:color w:val="auto"/>
              </w:rPr>
            </w:pPr>
            <w:r>
              <w:rPr>
                <w:b/>
                <w:bCs/>
                <w:color w:val="auto"/>
              </w:rPr>
              <w:t>2、环境监测计划的建议</w:t>
            </w:r>
          </w:p>
          <w:p>
            <w:pPr>
              <w:ind w:firstLine="480"/>
              <w:jc w:val="left"/>
              <w:rPr>
                <w:color w:val="auto"/>
              </w:rPr>
            </w:pPr>
            <w:r>
              <w:rPr>
                <w:color w:val="auto"/>
              </w:rPr>
              <w:t>项目建成投入运营后，必须按照当地环境保护行政主管部门的要求，委托第三方检测机构对企业排污状况进行环境监测，以确定是否达到相应的排放标准。根据项目所在区域的环境状况和工程特点，参考《排污单位自行监测技术指南总则》（HJ733- 2017）相关内容，本项目运行期废气、噪声监测计划建议见</w:t>
            </w:r>
            <w:r>
              <w:rPr>
                <w:rFonts w:hint="eastAsia"/>
                <w:color w:val="auto"/>
              </w:rPr>
              <w:t>相关表格</w:t>
            </w:r>
            <w:r>
              <w:rPr>
                <w:color w:val="auto"/>
              </w:rPr>
              <w:t>。</w:t>
            </w:r>
          </w:p>
          <w:p>
            <w:pPr>
              <w:ind w:firstLine="482"/>
              <w:jc w:val="left"/>
              <w:rPr>
                <w:b/>
                <w:bCs/>
                <w:color w:val="auto"/>
              </w:rPr>
            </w:pPr>
            <w:r>
              <w:rPr>
                <w:rFonts w:hint="eastAsia"/>
                <w:b/>
                <w:bCs/>
                <w:color w:val="auto"/>
              </w:rPr>
              <w:t>3</w:t>
            </w:r>
            <w:r>
              <w:rPr>
                <w:b/>
                <w:bCs/>
                <w:color w:val="auto"/>
              </w:rPr>
              <w:t>、环境保护措施投资情况</w:t>
            </w:r>
          </w:p>
          <w:p>
            <w:pPr>
              <w:ind w:firstLine="480"/>
              <w:rPr>
                <w:color w:val="auto"/>
              </w:rPr>
            </w:pPr>
            <w:r>
              <w:rPr>
                <w:color w:val="auto"/>
              </w:rPr>
              <w:t>本项目环保投资</w:t>
            </w:r>
            <w:r>
              <w:rPr>
                <w:rFonts w:hint="eastAsia"/>
                <w:color w:val="auto"/>
              </w:rPr>
              <w:t>336</w:t>
            </w:r>
            <w:r>
              <w:rPr>
                <w:color w:val="auto"/>
              </w:rPr>
              <w:t>万元，占总投资的</w:t>
            </w:r>
            <w:r>
              <w:rPr>
                <w:rFonts w:hint="eastAsia"/>
                <w:color w:val="auto"/>
              </w:rPr>
              <w:t>3.7</w:t>
            </w:r>
            <w:r>
              <w:rPr>
                <w:color w:val="auto"/>
              </w:rPr>
              <w:t>%，具体情况见表下表。</w:t>
            </w:r>
          </w:p>
          <w:p>
            <w:pPr>
              <w:pStyle w:val="11"/>
              <w:jc w:val="center"/>
              <w:rPr>
                <w:b/>
                <w:bCs/>
                <w:color w:val="auto"/>
              </w:rPr>
            </w:pPr>
            <w:r>
              <w:rPr>
                <w:b/>
                <w:bCs/>
                <w:color w:val="auto"/>
              </w:rPr>
              <w:t>表4-</w:t>
            </w:r>
            <w:r>
              <w:rPr>
                <w:rFonts w:hint="eastAsia"/>
                <w:b/>
                <w:bCs/>
                <w:color w:val="auto"/>
              </w:rPr>
              <w:t>17</w:t>
            </w:r>
            <w:r>
              <w:rPr>
                <w:b/>
                <w:bCs/>
                <w:color w:val="auto"/>
              </w:rPr>
              <w:t xml:space="preserve">  环境保护措施清单及投资估算一览表  单位：万元</w:t>
            </w:r>
          </w:p>
          <w:tbl>
            <w:tblPr>
              <w:tblStyle w:val="6"/>
              <w:tblW w:w="872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6366"/>
              <w:gridCol w:w="11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b/>
                      <w:bCs/>
                      <w:color w:val="auto"/>
                    </w:rPr>
                  </w:pPr>
                  <w:r>
                    <w:rPr>
                      <w:b/>
                      <w:bCs/>
                      <w:color w:val="auto"/>
                    </w:rPr>
                    <w:t>项目</w:t>
                  </w:r>
                </w:p>
              </w:tc>
              <w:tc>
                <w:tcPr>
                  <w:tcW w:w="6366" w:type="dxa"/>
                  <w:vAlign w:val="center"/>
                </w:tcPr>
                <w:p>
                  <w:pPr>
                    <w:pStyle w:val="11"/>
                    <w:jc w:val="center"/>
                    <w:rPr>
                      <w:b/>
                      <w:bCs/>
                      <w:color w:val="auto"/>
                    </w:rPr>
                  </w:pPr>
                  <w:r>
                    <w:rPr>
                      <w:b/>
                      <w:bCs/>
                      <w:color w:val="auto"/>
                    </w:rPr>
                    <w:t>内容</w:t>
                  </w:r>
                </w:p>
              </w:tc>
              <w:tc>
                <w:tcPr>
                  <w:tcW w:w="1141" w:type="dxa"/>
                  <w:vAlign w:val="center"/>
                </w:tcPr>
                <w:p>
                  <w:pPr>
                    <w:pStyle w:val="11"/>
                    <w:jc w:val="center"/>
                    <w:rPr>
                      <w:b/>
                      <w:bCs/>
                      <w:color w:val="auto"/>
                    </w:rPr>
                  </w:pPr>
                  <w:r>
                    <w:rPr>
                      <w:b/>
                      <w:bCs/>
                      <w:color w:val="auto"/>
                    </w:rPr>
                    <w:t>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222" w:type="dxa"/>
                  <w:vMerge w:val="restart"/>
                  <w:vAlign w:val="center"/>
                </w:tcPr>
                <w:p>
                  <w:pPr>
                    <w:pStyle w:val="11"/>
                    <w:jc w:val="center"/>
                    <w:rPr>
                      <w:color w:val="auto"/>
                    </w:rPr>
                  </w:pPr>
                  <w:r>
                    <w:rPr>
                      <w:color w:val="auto"/>
                    </w:rPr>
                    <w:t>废气处理</w:t>
                  </w:r>
                </w:p>
              </w:tc>
              <w:tc>
                <w:tcPr>
                  <w:tcW w:w="6366" w:type="dxa"/>
                  <w:vAlign w:val="center"/>
                </w:tcPr>
                <w:p>
                  <w:pPr>
                    <w:pStyle w:val="11"/>
                    <w:rPr>
                      <w:color w:val="auto"/>
                    </w:rPr>
                  </w:pPr>
                  <w:r>
                    <w:rPr>
                      <w:rFonts w:hint="eastAsia"/>
                      <w:color w:val="auto"/>
                    </w:rPr>
                    <w:t>天然气燃烧废气：经低氮燃烧</w:t>
                  </w:r>
                  <w:r>
                    <w:rPr>
                      <w:rFonts w:hint="eastAsia"/>
                      <w:color w:val="auto"/>
                      <w:lang w:val="zh-TW" w:eastAsia="zh-TW"/>
                    </w:rPr>
                    <w:t>后</w:t>
                  </w:r>
                  <w:r>
                    <w:rPr>
                      <w:rFonts w:hint="eastAsia"/>
                      <w:color w:val="auto"/>
                      <w:lang w:val="zh-TW"/>
                    </w:rPr>
                    <w:t>，</w:t>
                  </w:r>
                  <w:r>
                    <w:rPr>
                      <w:rFonts w:hint="eastAsia"/>
                      <w:color w:val="auto"/>
                      <w:lang w:val="zh-TW" w:eastAsia="zh-TW"/>
                    </w:rPr>
                    <w:t>经直径为</w:t>
                  </w:r>
                  <w:r>
                    <w:rPr>
                      <w:color w:val="auto"/>
                    </w:rPr>
                    <w:t>0.</w:t>
                  </w:r>
                  <w:r>
                    <w:rPr>
                      <w:rFonts w:hint="eastAsia"/>
                      <w:color w:val="auto"/>
                    </w:rPr>
                    <w:t>3</w:t>
                  </w:r>
                  <w:r>
                    <w:rPr>
                      <w:color w:val="auto"/>
                    </w:rPr>
                    <w:t>m</w:t>
                  </w:r>
                  <w:r>
                    <w:rPr>
                      <w:rFonts w:hint="eastAsia"/>
                      <w:color w:val="auto"/>
                    </w:rPr>
                    <w:t>，</w:t>
                  </w:r>
                  <w:r>
                    <w:rPr>
                      <w:rFonts w:hint="eastAsia"/>
                      <w:color w:val="auto"/>
                      <w:lang w:val="zh-TW" w:eastAsia="zh-TW"/>
                    </w:rPr>
                    <w:t>高度为</w:t>
                  </w:r>
                  <w:r>
                    <w:rPr>
                      <w:rFonts w:hint="eastAsia"/>
                      <w:color w:val="auto"/>
                    </w:rPr>
                    <w:t>12.0</w:t>
                  </w:r>
                  <w:r>
                    <w:rPr>
                      <w:color w:val="auto"/>
                    </w:rPr>
                    <w:t>m</w:t>
                  </w:r>
                  <w:r>
                    <w:rPr>
                      <w:rFonts w:hint="eastAsia"/>
                      <w:color w:val="auto"/>
                      <w:lang w:val="zh-TW" w:eastAsia="zh-TW"/>
                    </w:rPr>
                    <w:t>的</w:t>
                  </w:r>
                  <w:r>
                    <w:rPr>
                      <w:rFonts w:hint="eastAsia"/>
                      <w:color w:val="auto"/>
                      <w:sz w:val="21"/>
                      <w:szCs w:val="21"/>
                      <w:lang w:val="en-US" w:eastAsia="zh-CN"/>
                    </w:rPr>
                    <w:t>排气筒</w:t>
                  </w:r>
                  <w:r>
                    <w:rPr>
                      <w:rFonts w:hint="eastAsia" w:cs="Times New Roman"/>
                      <w:color w:val="auto"/>
                      <w:lang w:eastAsia="zh-CN"/>
                    </w:rPr>
                    <w:t>（</w:t>
                  </w:r>
                  <w:r>
                    <w:rPr>
                      <w:rFonts w:hint="eastAsia" w:cs="Times New Roman"/>
                      <w:color w:val="auto"/>
                      <w:lang w:val="en-US" w:eastAsia="zh-CN"/>
                    </w:rPr>
                    <w:t>DA001</w:t>
                  </w:r>
                  <w:r>
                    <w:rPr>
                      <w:rFonts w:hint="eastAsia" w:cs="Times New Roman"/>
                      <w:color w:val="auto"/>
                      <w:lang w:eastAsia="zh-CN"/>
                    </w:rPr>
                    <w:t>）</w:t>
                  </w:r>
                  <w:r>
                    <w:rPr>
                      <w:rFonts w:hint="eastAsia"/>
                      <w:color w:val="auto"/>
                      <w:lang w:val="zh-TW" w:eastAsia="zh-TW"/>
                    </w:rPr>
                    <w:t>排放</w:t>
                  </w:r>
                  <w:r>
                    <w:rPr>
                      <w:rFonts w:hint="eastAsia"/>
                      <w:color w:val="auto"/>
                      <w:lang w:val="zh-TW"/>
                    </w:rPr>
                    <w:t>；</w:t>
                  </w:r>
                </w:p>
              </w:tc>
              <w:tc>
                <w:tcPr>
                  <w:tcW w:w="1141" w:type="dxa"/>
                  <w:vAlign w:val="center"/>
                </w:tcPr>
                <w:p>
                  <w:pPr>
                    <w:pStyle w:val="11"/>
                    <w:jc w:val="center"/>
                    <w:rPr>
                      <w:color w:val="auto"/>
                    </w:rPr>
                  </w:pPr>
                  <w:r>
                    <w:rPr>
                      <w:rFonts w:hint="eastAsia"/>
                      <w:color w:val="auto"/>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222" w:type="dxa"/>
                  <w:vMerge w:val="continue"/>
                  <w:vAlign w:val="center"/>
                </w:tcPr>
                <w:p>
                  <w:pPr>
                    <w:pStyle w:val="11"/>
                    <w:jc w:val="center"/>
                    <w:rPr>
                      <w:color w:val="auto"/>
                    </w:rPr>
                  </w:pPr>
                </w:p>
              </w:tc>
              <w:tc>
                <w:tcPr>
                  <w:tcW w:w="6366" w:type="dxa"/>
                  <w:vAlign w:val="center"/>
                </w:tcPr>
                <w:p>
                  <w:pPr>
                    <w:pStyle w:val="11"/>
                    <w:rPr>
                      <w:color w:val="auto"/>
                    </w:rPr>
                  </w:pPr>
                  <w:r>
                    <w:rPr>
                      <w:rFonts w:hint="eastAsia"/>
                      <w:color w:val="auto"/>
                      <w:sz w:val="21"/>
                      <w:szCs w:val="21"/>
                    </w:rPr>
                    <w:t>油炸油烟废气</w:t>
                  </w:r>
                  <w:r>
                    <w:rPr>
                      <w:rFonts w:hint="eastAsia"/>
                      <w:color w:val="auto"/>
                      <w:sz w:val="21"/>
                      <w:szCs w:val="21"/>
                      <w:lang w:eastAsia="zh-CN"/>
                    </w:rPr>
                    <w:t>（</w:t>
                  </w:r>
                  <w:r>
                    <w:rPr>
                      <w:rFonts w:hint="eastAsia"/>
                      <w:color w:val="auto"/>
                      <w:sz w:val="21"/>
                      <w:szCs w:val="21"/>
                      <w:lang w:val="en-US" w:eastAsia="zh-CN"/>
                    </w:rPr>
                    <w:t>红烧肉车间</w:t>
                  </w:r>
                  <w:r>
                    <w:rPr>
                      <w:rFonts w:hint="eastAsia"/>
                      <w:color w:val="auto"/>
                      <w:sz w:val="21"/>
                      <w:szCs w:val="21"/>
                      <w:lang w:eastAsia="zh-CN"/>
                    </w:rPr>
                    <w:t>）</w:t>
                  </w:r>
                  <w:r>
                    <w:rPr>
                      <w:rFonts w:hint="eastAsia"/>
                      <w:color w:val="auto"/>
                      <w:sz w:val="21"/>
                      <w:szCs w:val="21"/>
                    </w:rPr>
                    <w:t>：</w:t>
                  </w:r>
                  <w:r>
                    <w:rPr>
                      <w:color w:val="auto"/>
                      <w:sz w:val="21"/>
                      <w:szCs w:val="21"/>
                    </w:rPr>
                    <w:t>采用</w:t>
                  </w:r>
                  <w:r>
                    <w:rPr>
                      <w:rFonts w:hint="eastAsia"/>
                      <w:color w:val="auto"/>
                      <w:sz w:val="21"/>
                      <w:szCs w:val="21"/>
                      <w:lang w:val="en-US" w:eastAsia="zh-CN"/>
                    </w:rPr>
                    <w:t>1</w:t>
                  </w:r>
                  <w:r>
                    <w:rPr>
                      <w:color w:val="auto"/>
                      <w:sz w:val="21"/>
                      <w:szCs w:val="21"/>
                    </w:rPr>
                    <w:t>套“</w:t>
                  </w:r>
                  <w:r>
                    <w:rPr>
                      <w:rFonts w:hint="eastAsia"/>
                      <w:color w:val="auto"/>
                      <w:sz w:val="21"/>
                      <w:szCs w:val="21"/>
                    </w:rPr>
                    <w:t>高效静电除油净化装置</w:t>
                  </w:r>
                  <w:r>
                    <w:rPr>
                      <w:color w:val="auto"/>
                      <w:sz w:val="21"/>
                      <w:szCs w:val="21"/>
                    </w:rPr>
                    <w:t>”装置处理后</w:t>
                  </w:r>
                  <w:r>
                    <w:rPr>
                      <w:rFonts w:hint="eastAsia"/>
                      <w:color w:val="auto"/>
                      <w:sz w:val="21"/>
                      <w:szCs w:val="21"/>
                    </w:rPr>
                    <w:t>达标</w:t>
                  </w:r>
                  <w:r>
                    <w:rPr>
                      <w:color w:val="auto"/>
                      <w:sz w:val="21"/>
                      <w:szCs w:val="21"/>
                    </w:rPr>
                    <w:t>经</w:t>
                  </w:r>
                  <w:r>
                    <w:rPr>
                      <w:rFonts w:hint="eastAsia"/>
                      <w:color w:val="auto"/>
                      <w:sz w:val="21"/>
                      <w:szCs w:val="21"/>
                    </w:rPr>
                    <w:t>18m高</w:t>
                  </w:r>
                  <w:r>
                    <w:rPr>
                      <w:color w:val="auto"/>
                      <w:sz w:val="21"/>
                      <w:szCs w:val="21"/>
                    </w:rPr>
                    <w:t>排气筒</w:t>
                  </w:r>
                  <w:r>
                    <w:rPr>
                      <w:rFonts w:hint="eastAsia" w:cs="Times New Roman"/>
                      <w:color w:val="auto"/>
                      <w:lang w:eastAsia="zh-CN"/>
                    </w:rPr>
                    <w:t>（</w:t>
                  </w:r>
                  <w:r>
                    <w:rPr>
                      <w:rFonts w:hint="eastAsia" w:cs="Times New Roman"/>
                      <w:color w:val="auto"/>
                      <w:lang w:val="en-US" w:eastAsia="zh-CN"/>
                    </w:rPr>
                    <w:t>DA002</w:t>
                  </w:r>
                  <w:r>
                    <w:rPr>
                      <w:rFonts w:hint="eastAsia" w:cs="Times New Roman"/>
                      <w:color w:val="auto"/>
                      <w:lang w:eastAsia="zh-CN"/>
                    </w:rPr>
                    <w:t>）</w:t>
                  </w:r>
                  <w:r>
                    <w:rPr>
                      <w:color w:val="auto"/>
                      <w:sz w:val="21"/>
                      <w:szCs w:val="21"/>
                    </w:rPr>
                    <w:t>排放(风量按</w:t>
                  </w:r>
                  <w:r>
                    <w:rPr>
                      <w:rFonts w:hint="eastAsia"/>
                      <w:color w:val="auto"/>
                      <w:sz w:val="21"/>
                      <w:szCs w:val="21"/>
                    </w:rPr>
                    <w:t>20000m</w:t>
                  </w:r>
                  <w:r>
                    <w:rPr>
                      <w:color w:val="auto"/>
                      <w:sz w:val="21"/>
                      <w:szCs w:val="21"/>
                      <w:vertAlign w:val="superscript"/>
                    </w:rPr>
                    <w:t>3</w:t>
                  </w:r>
                  <w:r>
                    <w:rPr>
                      <w:color w:val="auto"/>
                      <w:sz w:val="21"/>
                      <w:szCs w:val="21"/>
                    </w:rPr>
                    <w:t>/h计算）</w:t>
                  </w:r>
                  <w:r>
                    <w:rPr>
                      <w:rFonts w:hint="eastAsia"/>
                      <w:color w:val="auto"/>
                      <w:sz w:val="21"/>
                      <w:szCs w:val="21"/>
                    </w:rPr>
                    <w:t>；</w:t>
                  </w:r>
                </w:p>
              </w:tc>
              <w:tc>
                <w:tcPr>
                  <w:tcW w:w="1141" w:type="dxa"/>
                  <w:vAlign w:val="center"/>
                </w:tcPr>
                <w:p>
                  <w:pPr>
                    <w:pStyle w:val="11"/>
                    <w:jc w:val="center"/>
                    <w:rPr>
                      <w:color w:val="auto"/>
                    </w:rPr>
                  </w:pPr>
                  <w:r>
                    <w:rPr>
                      <w:rFonts w:hint="eastAsia"/>
                      <w:color w:val="auto"/>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222" w:type="dxa"/>
                  <w:vMerge w:val="continue"/>
                  <w:vAlign w:val="center"/>
                </w:tcPr>
                <w:p>
                  <w:pPr>
                    <w:pStyle w:val="11"/>
                    <w:jc w:val="center"/>
                    <w:rPr>
                      <w:color w:val="auto"/>
                    </w:rPr>
                  </w:pPr>
                </w:p>
              </w:tc>
              <w:tc>
                <w:tcPr>
                  <w:tcW w:w="6366" w:type="dxa"/>
                  <w:vAlign w:val="center"/>
                </w:tcPr>
                <w:p>
                  <w:pPr>
                    <w:pStyle w:val="11"/>
                    <w:rPr>
                      <w:rFonts w:hint="eastAsia"/>
                      <w:color w:val="auto"/>
                    </w:rPr>
                  </w:pPr>
                  <w:r>
                    <w:rPr>
                      <w:rFonts w:hint="eastAsia"/>
                      <w:color w:val="auto"/>
                      <w:sz w:val="21"/>
                      <w:szCs w:val="21"/>
                    </w:rPr>
                    <w:t>油炸油烟废气</w:t>
                  </w:r>
                  <w:r>
                    <w:rPr>
                      <w:rFonts w:hint="eastAsia"/>
                      <w:color w:val="auto"/>
                      <w:sz w:val="21"/>
                      <w:szCs w:val="21"/>
                      <w:lang w:eastAsia="zh-CN"/>
                    </w:rPr>
                    <w:t>（</w:t>
                  </w:r>
                  <w:r>
                    <w:rPr>
                      <w:rFonts w:hint="eastAsia"/>
                      <w:color w:val="auto"/>
                      <w:sz w:val="21"/>
                      <w:szCs w:val="21"/>
                      <w:lang w:val="en-US" w:eastAsia="zh-CN"/>
                    </w:rPr>
                    <w:t>小酥肉车间</w:t>
                  </w:r>
                  <w:r>
                    <w:rPr>
                      <w:rFonts w:hint="eastAsia"/>
                      <w:color w:val="auto"/>
                      <w:sz w:val="21"/>
                      <w:szCs w:val="21"/>
                      <w:lang w:eastAsia="zh-CN"/>
                    </w:rPr>
                    <w:t>）</w:t>
                  </w:r>
                  <w:r>
                    <w:rPr>
                      <w:rFonts w:hint="eastAsia"/>
                      <w:color w:val="auto"/>
                      <w:sz w:val="21"/>
                      <w:szCs w:val="21"/>
                    </w:rPr>
                    <w:t>：</w:t>
                  </w:r>
                  <w:r>
                    <w:rPr>
                      <w:color w:val="auto"/>
                      <w:sz w:val="21"/>
                      <w:szCs w:val="21"/>
                    </w:rPr>
                    <w:t>采用</w:t>
                  </w:r>
                  <w:r>
                    <w:rPr>
                      <w:rFonts w:hint="eastAsia"/>
                      <w:color w:val="auto"/>
                      <w:sz w:val="21"/>
                      <w:szCs w:val="21"/>
                      <w:lang w:val="en-US" w:eastAsia="zh-CN"/>
                    </w:rPr>
                    <w:t>1</w:t>
                  </w:r>
                  <w:r>
                    <w:rPr>
                      <w:color w:val="auto"/>
                      <w:sz w:val="21"/>
                      <w:szCs w:val="21"/>
                    </w:rPr>
                    <w:t>套“</w:t>
                  </w:r>
                  <w:r>
                    <w:rPr>
                      <w:rFonts w:hint="eastAsia"/>
                      <w:color w:val="auto"/>
                      <w:sz w:val="21"/>
                      <w:szCs w:val="21"/>
                    </w:rPr>
                    <w:t>高效静电除油净化装置</w:t>
                  </w:r>
                  <w:r>
                    <w:rPr>
                      <w:color w:val="auto"/>
                      <w:sz w:val="21"/>
                      <w:szCs w:val="21"/>
                    </w:rPr>
                    <w:t>”装置处理后</w:t>
                  </w:r>
                  <w:r>
                    <w:rPr>
                      <w:rFonts w:hint="eastAsia"/>
                      <w:color w:val="auto"/>
                      <w:sz w:val="21"/>
                      <w:szCs w:val="21"/>
                    </w:rPr>
                    <w:t>达标</w:t>
                  </w:r>
                  <w:r>
                    <w:rPr>
                      <w:color w:val="auto"/>
                      <w:sz w:val="21"/>
                      <w:szCs w:val="21"/>
                    </w:rPr>
                    <w:t>经</w:t>
                  </w:r>
                  <w:r>
                    <w:rPr>
                      <w:rFonts w:hint="eastAsia"/>
                      <w:color w:val="auto"/>
                      <w:sz w:val="21"/>
                      <w:szCs w:val="21"/>
                    </w:rPr>
                    <w:t>18m高</w:t>
                  </w:r>
                  <w:r>
                    <w:rPr>
                      <w:color w:val="auto"/>
                      <w:sz w:val="21"/>
                      <w:szCs w:val="21"/>
                    </w:rPr>
                    <w:t>排气筒</w:t>
                  </w:r>
                  <w:r>
                    <w:rPr>
                      <w:rFonts w:hint="eastAsia" w:cs="Times New Roman"/>
                      <w:color w:val="auto"/>
                      <w:lang w:eastAsia="zh-CN"/>
                    </w:rPr>
                    <w:t>（</w:t>
                  </w:r>
                  <w:r>
                    <w:rPr>
                      <w:rFonts w:hint="eastAsia" w:cs="Times New Roman"/>
                      <w:color w:val="auto"/>
                      <w:lang w:val="en-US" w:eastAsia="zh-CN"/>
                    </w:rPr>
                    <w:t>DA003</w:t>
                  </w:r>
                  <w:r>
                    <w:rPr>
                      <w:rFonts w:hint="eastAsia" w:cs="Times New Roman"/>
                      <w:color w:val="auto"/>
                      <w:lang w:eastAsia="zh-CN"/>
                    </w:rPr>
                    <w:t>）</w:t>
                  </w:r>
                  <w:r>
                    <w:rPr>
                      <w:color w:val="auto"/>
                      <w:sz w:val="21"/>
                      <w:szCs w:val="21"/>
                    </w:rPr>
                    <w:t>排放(风量按</w:t>
                  </w:r>
                  <w:r>
                    <w:rPr>
                      <w:rFonts w:hint="eastAsia"/>
                      <w:color w:val="auto"/>
                      <w:sz w:val="21"/>
                      <w:szCs w:val="21"/>
                    </w:rPr>
                    <w:t>20000m</w:t>
                  </w:r>
                  <w:r>
                    <w:rPr>
                      <w:color w:val="auto"/>
                      <w:sz w:val="21"/>
                      <w:szCs w:val="21"/>
                      <w:vertAlign w:val="superscript"/>
                    </w:rPr>
                    <w:t>3</w:t>
                  </w:r>
                  <w:r>
                    <w:rPr>
                      <w:color w:val="auto"/>
                      <w:sz w:val="21"/>
                      <w:szCs w:val="21"/>
                    </w:rPr>
                    <w:t>/h计算）</w:t>
                  </w:r>
                  <w:r>
                    <w:rPr>
                      <w:rFonts w:hint="eastAsia"/>
                      <w:color w:val="auto"/>
                      <w:sz w:val="21"/>
                      <w:szCs w:val="21"/>
                    </w:rPr>
                    <w:t>；</w:t>
                  </w:r>
                </w:p>
              </w:tc>
              <w:tc>
                <w:tcPr>
                  <w:tcW w:w="1141" w:type="dxa"/>
                  <w:vAlign w:val="center"/>
                </w:tcPr>
                <w:p>
                  <w:pPr>
                    <w:pStyle w:val="11"/>
                    <w:jc w:val="center"/>
                    <w:rPr>
                      <w:rFonts w:hint="default" w:eastAsia="宋体"/>
                      <w:color w:val="auto"/>
                      <w:lang w:val="en-US" w:eastAsia="zh-CN"/>
                    </w:rPr>
                  </w:pPr>
                  <w:r>
                    <w:rPr>
                      <w:rFonts w:hint="eastAsia"/>
                      <w:color w:val="auto"/>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222" w:type="dxa"/>
                  <w:vMerge w:val="continue"/>
                  <w:vAlign w:val="center"/>
                </w:tcPr>
                <w:p>
                  <w:pPr>
                    <w:pStyle w:val="11"/>
                    <w:jc w:val="center"/>
                    <w:rPr>
                      <w:color w:val="auto"/>
                    </w:rPr>
                  </w:pPr>
                </w:p>
              </w:tc>
              <w:tc>
                <w:tcPr>
                  <w:tcW w:w="6366" w:type="dxa"/>
                  <w:vAlign w:val="center"/>
                </w:tcPr>
                <w:p>
                  <w:pPr>
                    <w:pStyle w:val="11"/>
                    <w:rPr>
                      <w:rFonts w:hint="eastAsia"/>
                      <w:color w:val="auto"/>
                      <w:sz w:val="21"/>
                      <w:szCs w:val="21"/>
                    </w:rPr>
                  </w:pPr>
                  <w:r>
                    <w:rPr>
                      <w:rFonts w:hint="default" w:eastAsia="宋体"/>
                      <w:color w:val="auto"/>
                      <w:sz w:val="21"/>
                      <w:szCs w:val="21"/>
                      <w:lang w:val="en-US" w:eastAsia="zh-CN"/>
                    </w:rPr>
                    <w:t>油烟废气（位于</w:t>
                  </w:r>
                  <w:r>
                    <w:rPr>
                      <w:rFonts w:hint="eastAsia"/>
                      <w:color w:val="auto"/>
                      <w:sz w:val="21"/>
                      <w:szCs w:val="21"/>
                      <w:lang w:val="en-US" w:eastAsia="zh-CN"/>
                    </w:rPr>
                    <w:t>灯影牛肉</w:t>
                  </w:r>
                  <w:r>
                    <w:rPr>
                      <w:rFonts w:hint="default" w:eastAsia="宋体"/>
                      <w:color w:val="auto"/>
                      <w:sz w:val="21"/>
                      <w:szCs w:val="21"/>
                      <w:lang w:val="en-US" w:eastAsia="zh-CN"/>
                    </w:rPr>
                    <w:t>生产车间）：采用1套“高效静电除油净化装置”装置处理后达标经18m高排气筒（DA00</w:t>
                  </w:r>
                  <w:r>
                    <w:rPr>
                      <w:rFonts w:hint="eastAsia"/>
                      <w:color w:val="auto"/>
                      <w:sz w:val="21"/>
                      <w:szCs w:val="21"/>
                      <w:lang w:val="en-US" w:eastAsia="zh-CN"/>
                    </w:rPr>
                    <w:t>4</w:t>
                  </w:r>
                  <w:r>
                    <w:rPr>
                      <w:rFonts w:hint="default" w:eastAsia="宋体"/>
                      <w:color w:val="auto"/>
                      <w:sz w:val="21"/>
                      <w:szCs w:val="21"/>
                      <w:lang w:val="en-US" w:eastAsia="zh-CN"/>
                    </w:rPr>
                    <w:t>）排放(风量按20000m</w:t>
                  </w:r>
                  <w:r>
                    <w:rPr>
                      <w:rFonts w:hint="default" w:eastAsia="宋体"/>
                      <w:color w:val="auto"/>
                      <w:sz w:val="21"/>
                      <w:szCs w:val="21"/>
                      <w:vertAlign w:val="superscript"/>
                      <w:lang w:val="en-US" w:eastAsia="zh-CN"/>
                    </w:rPr>
                    <w:t>3</w:t>
                  </w:r>
                  <w:r>
                    <w:rPr>
                      <w:rFonts w:hint="default" w:eastAsia="宋体"/>
                      <w:color w:val="auto"/>
                      <w:sz w:val="21"/>
                      <w:szCs w:val="21"/>
                      <w:lang w:val="en-US" w:eastAsia="zh-CN"/>
                    </w:rPr>
                    <w:t>/h计算）；</w:t>
                  </w:r>
                </w:p>
              </w:tc>
              <w:tc>
                <w:tcPr>
                  <w:tcW w:w="1141" w:type="dxa"/>
                  <w:vAlign w:val="center"/>
                </w:tcPr>
                <w:p>
                  <w:pPr>
                    <w:pStyle w:val="11"/>
                    <w:jc w:val="center"/>
                    <w:rPr>
                      <w:rFonts w:hint="default"/>
                      <w:color w:val="auto"/>
                      <w:lang w:val="en-US" w:eastAsia="zh-CN"/>
                    </w:rPr>
                  </w:pPr>
                  <w:r>
                    <w:rPr>
                      <w:rFonts w:hint="eastAsia"/>
                      <w:color w:val="auto"/>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222" w:type="dxa"/>
                  <w:vMerge w:val="continue"/>
                  <w:vAlign w:val="center"/>
                </w:tcPr>
                <w:p>
                  <w:pPr>
                    <w:pStyle w:val="11"/>
                    <w:jc w:val="center"/>
                    <w:rPr>
                      <w:color w:val="auto"/>
                    </w:rPr>
                  </w:pPr>
                </w:p>
              </w:tc>
              <w:tc>
                <w:tcPr>
                  <w:tcW w:w="6366" w:type="dxa"/>
                  <w:vAlign w:val="center"/>
                </w:tcPr>
                <w:p>
                  <w:pPr>
                    <w:pStyle w:val="11"/>
                    <w:rPr>
                      <w:rFonts w:hint="eastAsia"/>
                      <w:color w:val="auto"/>
                      <w:sz w:val="21"/>
                      <w:szCs w:val="21"/>
                    </w:rPr>
                  </w:pPr>
                  <w:r>
                    <w:rPr>
                      <w:rFonts w:hint="eastAsia"/>
                      <w:color w:val="auto"/>
                      <w:sz w:val="21"/>
                      <w:szCs w:val="21"/>
                    </w:rPr>
                    <w:t>油烟废气</w:t>
                  </w:r>
                  <w:r>
                    <w:rPr>
                      <w:rFonts w:hint="eastAsia"/>
                      <w:color w:val="auto"/>
                      <w:sz w:val="21"/>
                      <w:szCs w:val="21"/>
                      <w:lang w:eastAsia="zh-CN"/>
                    </w:rPr>
                    <w:t>（</w:t>
                  </w:r>
                  <w:r>
                    <w:rPr>
                      <w:rFonts w:hint="eastAsia"/>
                      <w:color w:val="auto"/>
                      <w:sz w:val="21"/>
                      <w:szCs w:val="21"/>
                      <w:lang w:val="en-US" w:eastAsia="zh-CN"/>
                    </w:rPr>
                    <w:t>位于牛肉干生产车间</w:t>
                  </w:r>
                  <w:r>
                    <w:rPr>
                      <w:rFonts w:hint="eastAsia"/>
                      <w:color w:val="auto"/>
                      <w:sz w:val="21"/>
                      <w:szCs w:val="21"/>
                      <w:lang w:eastAsia="zh-CN"/>
                    </w:rPr>
                    <w:t>）</w:t>
                  </w:r>
                  <w:r>
                    <w:rPr>
                      <w:rFonts w:hint="eastAsia"/>
                      <w:color w:val="auto"/>
                      <w:sz w:val="21"/>
                      <w:szCs w:val="21"/>
                    </w:rPr>
                    <w:t>：采用</w:t>
                  </w:r>
                  <w:r>
                    <w:rPr>
                      <w:rFonts w:hint="eastAsia"/>
                      <w:color w:val="auto"/>
                      <w:sz w:val="21"/>
                      <w:szCs w:val="21"/>
                      <w:lang w:val="en-US" w:eastAsia="zh-CN"/>
                    </w:rPr>
                    <w:t>1</w:t>
                  </w:r>
                  <w:r>
                    <w:rPr>
                      <w:rFonts w:hint="eastAsia"/>
                      <w:color w:val="auto"/>
                      <w:sz w:val="21"/>
                      <w:szCs w:val="21"/>
                    </w:rPr>
                    <w:t>套“高效静电除油净化装置”装置处理后达标经18m高排气筒</w:t>
                  </w:r>
                  <w:r>
                    <w:rPr>
                      <w:rFonts w:hint="eastAsia"/>
                      <w:color w:val="auto"/>
                      <w:sz w:val="21"/>
                      <w:szCs w:val="21"/>
                      <w:lang w:eastAsia="zh-CN"/>
                    </w:rPr>
                    <w:t>（</w:t>
                  </w:r>
                  <w:r>
                    <w:rPr>
                      <w:rFonts w:hint="eastAsia"/>
                      <w:color w:val="auto"/>
                      <w:sz w:val="21"/>
                      <w:szCs w:val="21"/>
                      <w:lang w:val="en-US" w:eastAsia="zh-CN"/>
                    </w:rPr>
                    <w:t>DA005</w:t>
                  </w:r>
                  <w:r>
                    <w:rPr>
                      <w:rFonts w:hint="eastAsia"/>
                      <w:color w:val="auto"/>
                      <w:sz w:val="21"/>
                      <w:szCs w:val="21"/>
                      <w:lang w:eastAsia="zh-CN"/>
                    </w:rPr>
                    <w:t>）</w:t>
                  </w:r>
                  <w:r>
                    <w:rPr>
                      <w:rFonts w:hint="eastAsia"/>
                      <w:color w:val="auto"/>
                      <w:sz w:val="21"/>
                      <w:szCs w:val="21"/>
                    </w:rPr>
                    <w:t>排放(风量按20000m</w:t>
                  </w:r>
                  <w:r>
                    <w:rPr>
                      <w:rFonts w:hint="eastAsia"/>
                      <w:color w:val="auto"/>
                      <w:sz w:val="21"/>
                      <w:szCs w:val="21"/>
                      <w:vertAlign w:val="superscript"/>
                    </w:rPr>
                    <w:t>3</w:t>
                  </w:r>
                  <w:r>
                    <w:rPr>
                      <w:rFonts w:hint="eastAsia"/>
                      <w:color w:val="auto"/>
                      <w:sz w:val="21"/>
                      <w:szCs w:val="21"/>
                    </w:rPr>
                    <w:t>/h计算）；</w:t>
                  </w:r>
                </w:p>
              </w:tc>
              <w:tc>
                <w:tcPr>
                  <w:tcW w:w="1141" w:type="dxa"/>
                  <w:vAlign w:val="center"/>
                </w:tcPr>
                <w:p>
                  <w:pPr>
                    <w:pStyle w:val="11"/>
                    <w:jc w:val="center"/>
                    <w:rPr>
                      <w:rFonts w:hint="default"/>
                      <w:color w:val="auto"/>
                      <w:lang w:val="en-US" w:eastAsia="zh-CN"/>
                    </w:rPr>
                  </w:pPr>
                  <w:r>
                    <w:rPr>
                      <w:rFonts w:hint="eastAsia"/>
                      <w:color w:val="auto"/>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222" w:type="dxa"/>
                  <w:vMerge w:val="continue"/>
                  <w:vAlign w:val="center"/>
                </w:tcPr>
                <w:p>
                  <w:pPr>
                    <w:pStyle w:val="11"/>
                    <w:jc w:val="center"/>
                    <w:rPr>
                      <w:color w:val="auto"/>
                    </w:rPr>
                  </w:pPr>
                </w:p>
              </w:tc>
              <w:tc>
                <w:tcPr>
                  <w:tcW w:w="6366" w:type="dxa"/>
                  <w:vAlign w:val="center"/>
                </w:tcPr>
                <w:p>
                  <w:pPr>
                    <w:pStyle w:val="11"/>
                    <w:rPr>
                      <w:color w:val="auto"/>
                    </w:rPr>
                  </w:pPr>
                  <w:r>
                    <w:rPr>
                      <w:rFonts w:hint="eastAsia"/>
                      <w:color w:val="auto"/>
                    </w:rPr>
                    <w:t>污水处理站恶臭气体：</w:t>
                  </w:r>
                  <w:r>
                    <w:rPr>
                      <w:color w:val="auto"/>
                    </w:rPr>
                    <w:t>恶臭气体</w:t>
                  </w:r>
                  <w:r>
                    <w:rPr>
                      <w:rFonts w:hint="eastAsia"/>
                      <w:color w:val="auto"/>
                    </w:rPr>
                    <w:t>经</w:t>
                  </w:r>
                  <w:r>
                    <w:rPr>
                      <w:color w:val="auto"/>
                    </w:rPr>
                    <w:t>专用管道引入地表</w:t>
                  </w:r>
                  <w:r>
                    <w:rPr>
                      <w:rFonts w:hint="eastAsia"/>
                      <w:color w:val="auto"/>
                    </w:rPr>
                    <w:t>绿化带</w:t>
                  </w:r>
                  <w:r>
                    <w:rPr>
                      <w:color w:val="auto"/>
                    </w:rPr>
                    <w:t>排放</w:t>
                  </w:r>
                  <w:r>
                    <w:rPr>
                      <w:rFonts w:hint="eastAsia"/>
                      <w:color w:val="auto"/>
                    </w:rPr>
                    <w:t>，</w:t>
                  </w:r>
                  <w:r>
                    <w:rPr>
                      <w:color w:val="auto"/>
                    </w:rPr>
                    <w:t>污水处理站周围种植</w:t>
                  </w:r>
                  <w:r>
                    <w:rPr>
                      <w:rFonts w:hint="eastAsia"/>
                      <w:color w:val="auto"/>
                    </w:rPr>
                    <w:t>低矮灌丛</w:t>
                  </w:r>
                  <w:r>
                    <w:rPr>
                      <w:color w:val="auto"/>
                    </w:rPr>
                    <w:t>吸收恶臭气体</w:t>
                  </w:r>
                  <w:r>
                    <w:rPr>
                      <w:rFonts w:hint="eastAsia"/>
                      <w:color w:val="auto"/>
                    </w:rPr>
                    <w:t>；</w:t>
                  </w:r>
                </w:p>
              </w:tc>
              <w:tc>
                <w:tcPr>
                  <w:tcW w:w="1141" w:type="dxa"/>
                  <w:vAlign w:val="center"/>
                </w:tcPr>
                <w:p>
                  <w:pPr>
                    <w:pStyle w:val="11"/>
                    <w:jc w:val="center"/>
                    <w:rPr>
                      <w:color w:val="auto"/>
                    </w:rPr>
                  </w:pPr>
                  <w:r>
                    <w:rPr>
                      <w:rFonts w:hint="eastAsia"/>
                      <w:color w:val="auto"/>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222" w:type="dxa"/>
                  <w:vMerge w:val="continue"/>
                  <w:vAlign w:val="center"/>
                </w:tcPr>
                <w:p>
                  <w:pPr>
                    <w:pStyle w:val="11"/>
                    <w:jc w:val="center"/>
                    <w:rPr>
                      <w:color w:val="auto"/>
                    </w:rPr>
                  </w:pPr>
                </w:p>
              </w:tc>
              <w:tc>
                <w:tcPr>
                  <w:tcW w:w="6366" w:type="dxa"/>
                  <w:vAlign w:val="center"/>
                </w:tcPr>
                <w:p>
                  <w:pPr>
                    <w:pStyle w:val="11"/>
                    <w:jc w:val="both"/>
                    <w:rPr>
                      <w:color w:val="auto"/>
                    </w:rPr>
                  </w:pPr>
                  <w:r>
                    <w:rPr>
                      <w:color w:val="auto"/>
                    </w:rPr>
                    <w:t>食堂油烟</w:t>
                  </w:r>
                  <w:r>
                    <w:rPr>
                      <w:rFonts w:hint="eastAsia"/>
                      <w:color w:val="auto"/>
                    </w:rPr>
                    <w:t>：经油烟净化器处理后引入通风管道后</w:t>
                  </w:r>
                  <w:r>
                    <w:rPr>
                      <w:rFonts w:hint="eastAsia"/>
                      <w:color w:val="auto"/>
                      <w:lang w:val="en-US" w:eastAsia="zh-CN"/>
                    </w:rPr>
                    <w:t>引至房顶</w:t>
                  </w:r>
                  <w:r>
                    <w:rPr>
                      <w:rFonts w:hint="eastAsia"/>
                      <w:color w:val="auto"/>
                    </w:rPr>
                    <w:t>排放</w:t>
                  </w:r>
                  <w:r>
                    <w:rPr>
                      <w:color w:val="auto"/>
                    </w:rPr>
                    <w:t>(</w:t>
                  </w:r>
                  <w:r>
                    <w:rPr>
                      <w:rFonts w:hint="eastAsia" w:cs="Times New Roman"/>
                      <w:color w:val="auto"/>
                      <w:lang w:val="en-US" w:eastAsia="zh-CN"/>
                    </w:rPr>
                    <w:t>DA006</w:t>
                  </w:r>
                  <w:r>
                    <w:rPr>
                      <w:rFonts w:hint="eastAsia" w:cs="Times New Roman"/>
                      <w:color w:val="auto"/>
                      <w:lang w:eastAsia="zh-CN"/>
                    </w:rPr>
                    <w:t>，</w:t>
                  </w:r>
                  <w:r>
                    <w:rPr>
                      <w:color w:val="auto"/>
                    </w:rPr>
                    <w:t>风量按</w:t>
                  </w:r>
                  <w:r>
                    <w:rPr>
                      <w:rFonts w:hint="eastAsia"/>
                      <w:color w:val="auto"/>
                    </w:rPr>
                    <w:t>5000m</w:t>
                  </w:r>
                  <w:r>
                    <w:rPr>
                      <w:color w:val="auto"/>
                      <w:vertAlign w:val="superscript"/>
                    </w:rPr>
                    <w:t>3</w:t>
                  </w:r>
                  <w:r>
                    <w:rPr>
                      <w:color w:val="auto"/>
                    </w:rPr>
                    <w:t>/h计算）</w:t>
                  </w:r>
                  <w:r>
                    <w:rPr>
                      <w:rFonts w:hint="eastAsia"/>
                      <w:color w:val="auto"/>
                    </w:rPr>
                    <w:t>；</w:t>
                  </w:r>
                </w:p>
              </w:tc>
              <w:tc>
                <w:tcPr>
                  <w:tcW w:w="1141" w:type="dxa"/>
                  <w:vAlign w:val="center"/>
                </w:tcPr>
                <w:p>
                  <w:pPr>
                    <w:pStyle w:val="11"/>
                    <w:jc w:val="center"/>
                    <w:rPr>
                      <w:color w:val="auto"/>
                    </w:rPr>
                  </w:pPr>
                  <w:r>
                    <w:rPr>
                      <w:rFonts w:hint="eastAsia"/>
                      <w:color w:val="auto"/>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Merge w:val="restart"/>
                  <w:vAlign w:val="center"/>
                </w:tcPr>
                <w:p>
                  <w:pPr>
                    <w:pStyle w:val="11"/>
                    <w:jc w:val="center"/>
                    <w:rPr>
                      <w:color w:val="auto"/>
                    </w:rPr>
                  </w:pPr>
                  <w:r>
                    <w:rPr>
                      <w:color w:val="auto"/>
                    </w:rPr>
                    <w:t>废水治理</w:t>
                  </w:r>
                </w:p>
              </w:tc>
              <w:tc>
                <w:tcPr>
                  <w:tcW w:w="6366" w:type="dxa"/>
                  <w:vAlign w:val="center"/>
                </w:tcPr>
                <w:p>
                  <w:pPr>
                    <w:pStyle w:val="11"/>
                    <w:jc w:val="both"/>
                    <w:rPr>
                      <w:color w:val="auto"/>
                    </w:rPr>
                  </w:pPr>
                  <w:r>
                    <w:rPr>
                      <w:color w:val="auto"/>
                    </w:rPr>
                    <w:t>生活污水：新建</w:t>
                  </w:r>
                  <w:r>
                    <w:rPr>
                      <w:rFonts w:hint="eastAsia"/>
                      <w:color w:val="auto"/>
                      <w:lang w:eastAsia="zh-CN"/>
                    </w:rPr>
                    <w:t>预处理池</w:t>
                  </w:r>
                  <w:r>
                    <w:rPr>
                      <w:color w:val="auto"/>
                    </w:rPr>
                    <w:t>，</w:t>
                  </w:r>
                  <w:r>
                    <w:rPr>
                      <w:rFonts w:hint="eastAsia"/>
                      <w:color w:val="auto"/>
                    </w:rPr>
                    <w:t>有效设计</w:t>
                  </w:r>
                  <w:r>
                    <w:rPr>
                      <w:color w:val="auto"/>
                    </w:rPr>
                    <w:t>容积50m³，经处理后排入厂区内污水处理站；</w:t>
                  </w:r>
                </w:p>
              </w:tc>
              <w:tc>
                <w:tcPr>
                  <w:tcW w:w="1141" w:type="dxa"/>
                  <w:vAlign w:val="center"/>
                </w:tcPr>
                <w:p>
                  <w:pPr>
                    <w:pStyle w:val="11"/>
                    <w:jc w:val="center"/>
                    <w:rPr>
                      <w:color w:val="auto"/>
                    </w:rPr>
                  </w:pPr>
                  <w:r>
                    <w:rPr>
                      <w:rFonts w:hint="eastAsia"/>
                      <w:color w:val="auto"/>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Merge w:val="continue"/>
                  <w:vAlign w:val="center"/>
                </w:tcPr>
                <w:p>
                  <w:pPr>
                    <w:pStyle w:val="11"/>
                    <w:jc w:val="center"/>
                    <w:rPr>
                      <w:color w:val="auto"/>
                    </w:rPr>
                  </w:pPr>
                </w:p>
              </w:tc>
              <w:tc>
                <w:tcPr>
                  <w:tcW w:w="6366" w:type="dxa"/>
                  <w:vAlign w:val="center"/>
                </w:tcPr>
                <w:p>
                  <w:pPr>
                    <w:pStyle w:val="11"/>
                    <w:jc w:val="both"/>
                    <w:rPr>
                      <w:color w:val="auto"/>
                    </w:rPr>
                  </w:pPr>
                  <w:r>
                    <w:rPr>
                      <w:color w:val="auto"/>
                    </w:rPr>
                    <w:t>蒸汽</w:t>
                  </w:r>
                  <w:r>
                    <w:rPr>
                      <w:rFonts w:hint="eastAsia"/>
                      <w:color w:val="auto"/>
                    </w:rPr>
                    <w:t>锅炉排放水：经厂区内冷却水池冷却后，再</w:t>
                  </w:r>
                  <w:r>
                    <w:rPr>
                      <w:rFonts w:hint="eastAsia"/>
                      <w:bCs/>
                      <w:color w:val="auto"/>
                    </w:rPr>
                    <w:t>经厂区污水处理站处理达标后排入园区污水管网，冷却水池</w:t>
                  </w:r>
                  <w:r>
                    <w:rPr>
                      <w:rFonts w:hint="eastAsia"/>
                      <w:color w:val="auto"/>
                    </w:rPr>
                    <w:t>有效设计</w:t>
                  </w:r>
                  <w:r>
                    <w:rPr>
                      <w:color w:val="auto"/>
                    </w:rPr>
                    <w:t>容积</w:t>
                  </w:r>
                  <w:r>
                    <w:rPr>
                      <w:rFonts w:hint="eastAsia"/>
                      <w:color w:val="auto"/>
                    </w:rPr>
                    <w:t>100</w:t>
                  </w:r>
                  <w:r>
                    <w:rPr>
                      <w:color w:val="auto"/>
                    </w:rPr>
                    <w:t>m³；</w:t>
                  </w:r>
                </w:p>
              </w:tc>
              <w:tc>
                <w:tcPr>
                  <w:tcW w:w="1141" w:type="dxa"/>
                  <w:vAlign w:val="center"/>
                </w:tcPr>
                <w:p>
                  <w:pPr>
                    <w:pStyle w:val="11"/>
                    <w:jc w:val="center"/>
                    <w:rPr>
                      <w:color w:val="auto"/>
                    </w:rPr>
                  </w:pPr>
                  <w:r>
                    <w:rPr>
                      <w:rFonts w:hint="eastAsia"/>
                      <w:color w:val="auto"/>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Merge w:val="continue"/>
                  <w:vAlign w:val="center"/>
                </w:tcPr>
                <w:p>
                  <w:pPr>
                    <w:pStyle w:val="11"/>
                    <w:jc w:val="center"/>
                    <w:rPr>
                      <w:color w:val="auto"/>
                    </w:rPr>
                  </w:pPr>
                </w:p>
              </w:tc>
              <w:tc>
                <w:tcPr>
                  <w:tcW w:w="6366" w:type="dxa"/>
                  <w:vAlign w:val="center"/>
                </w:tcPr>
                <w:p>
                  <w:pPr>
                    <w:pStyle w:val="11"/>
                    <w:jc w:val="both"/>
                    <w:rPr>
                      <w:color w:val="auto"/>
                    </w:rPr>
                  </w:pPr>
                  <w:r>
                    <w:rPr>
                      <w:rFonts w:hint="eastAsia"/>
                      <w:color w:val="auto"/>
                    </w:rPr>
                    <w:t>厂区废水</w:t>
                  </w:r>
                  <w:r>
                    <w:rPr>
                      <w:color w:val="auto"/>
                    </w:rPr>
                    <w:t>：</w:t>
                  </w:r>
                  <w:r>
                    <w:rPr>
                      <w:rFonts w:hint="eastAsia"/>
                      <w:color w:val="auto"/>
                    </w:rPr>
                    <w:t>厂区废水</w:t>
                  </w:r>
                  <w:r>
                    <w:rPr>
                      <w:color w:val="auto"/>
                    </w:rPr>
                    <w:t>经“格栅+沉淀+气浮+接触氧化+消毒”工艺处理后</w:t>
                  </w:r>
                  <w:r>
                    <w:rPr>
                      <w:rFonts w:hint="eastAsia"/>
                      <w:color w:val="auto"/>
                    </w:rPr>
                    <w:t>排入园区管网</w:t>
                  </w:r>
                  <w:r>
                    <w:rPr>
                      <w:color w:val="auto"/>
                    </w:rPr>
                    <w:t>，设计处理能力300m³/d；</w:t>
                  </w:r>
                </w:p>
              </w:tc>
              <w:tc>
                <w:tcPr>
                  <w:tcW w:w="1141" w:type="dxa"/>
                  <w:vAlign w:val="center"/>
                </w:tcPr>
                <w:p>
                  <w:pPr>
                    <w:pStyle w:val="11"/>
                    <w:jc w:val="center"/>
                    <w:rPr>
                      <w:color w:val="auto"/>
                    </w:rPr>
                  </w:pPr>
                  <w:r>
                    <w:rPr>
                      <w:rFonts w:hint="eastAsia"/>
                      <w:color w:val="auto"/>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color w:val="auto"/>
                    </w:rPr>
                  </w:pPr>
                  <w:r>
                    <w:rPr>
                      <w:color w:val="auto"/>
                    </w:rPr>
                    <w:t>噪声治理</w:t>
                  </w:r>
                </w:p>
              </w:tc>
              <w:tc>
                <w:tcPr>
                  <w:tcW w:w="6366" w:type="dxa"/>
                  <w:vAlign w:val="center"/>
                </w:tcPr>
                <w:p>
                  <w:pPr>
                    <w:pStyle w:val="11"/>
                    <w:rPr>
                      <w:color w:val="auto"/>
                    </w:rPr>
                  </w:pPr>
                  <w:r>
                    <w:rPr>
                      <w:color w:val="auto"/>
                    </w:rPr>
                    <w:t>各产噪设备采取隔震垫、采用低噪声设备、厂房隔声、合理布局。</w:t>
                  </w:r>
                </w:p>
              </w:tc>
              <w:tc>
                <w:tcPr>
                  <w:tcW w:w="1141" w:type="dxa"/>
                  <w:vAlign w:val="center"/>
                </w:tcPr>
                <w:p>
                  <w:pPr>
                    <w:pStyle w:val="11"/>
                    <w:jc w:val="center"/>
                    <w:rPr>
                      <w:color w:val="auto"/>
                    </w:rPr>
                  </w:pPr>
                  <w:r>
                    <w:rPr>
                      <w:rFonts w:hint="eastAsia"/>
                      <w:color w:val="auto"/>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222" w:type="dxa"/>
                  <w:vAlign w:val="center"/>
                </w:tcPr>
                <w:p>
                  <w:pPr>
                    <w:pStyle w:val="11"/>
                    <w:jc w:val="center"/>
                    <w:rPr>
                      <w:color w:val="auto"/>
                    </w:rPr>
                  </w:pPr>
                  <w:r>
                    <w:rPr>
                      <w:color w:val="auto"/>
                    </w:rPr>
                    <w:t>固废治理</w:t>
                  </w:r>
                </w:p>
              </w:tc>
              <w:tc>
                <w:tcPr>
                  <w:tcW w:w="6366" w:type="dxa"/>
                  <w:vAlign w:val="center"/>
                </w:tcPr>
                <w:p>
                  <w:pPr>
                    <w:pStyle w:val="11"/>
                    <w:rPr>
                      <w:color w:val="auto"/>
                    </w:rPr>
                  </w:pPr>
                  <w:r>
                    <w:rPr>
                      <w:color w:val="auto"/>
                    </w:rPr>
                    <w:t>设置固废储存区、垃圾箱，其中一般固废储存区面积约</w:t>
                  </w:r>
                  <w:r>
                    <w:rPr>
                      <w:rFonts w:hint="eastAsia"/>
                      <w:color w:val="auto"/>
                    </w:rPr>
                    <w:t>200m</w:t>
                  </w:r>
                  <w:r>
                    <w:rPr>
                      <w:color w:val="auto"/>
                      <w:vertAlign w:val="superscript"/>
                    </w:rPr>
                    <w:t>2</w:t>
                  </w:r>
                  <w:r>
                    <w:rPr>
                      <w:rFonts w:hint="eastAsia"/>
                      <w:color w:val="auto"/>
                    </w:rPr>
                    <w:t>，</w:t>
                  </w:r>
                  <w:r>
                    <w:rPr>
                      <w:color w:val="auto"/>
                    </w:rPr>
                    <w:t>位于</w:t>
                  </w:r>
                  <w:r>
                    <w:rPr>
                      <w:rFonts w:hint="eastAsia"/>
                      <w:color w:val="auto"/>
                    </w:rPr>
                    <w:t>4号</w:t>
                  </w:r>
                  <w:r>
                    <w:rPr>
                      <w:color w:val="auto"/>
                    </w:rPr>
                    <w:t>车间</w:t>
                  </w:r>
                  <w:r>
                    <w:rPr>
                      <w:rFonts w:hint="eastAsia"/>
                      <w:color w:val="auto"/>
                    </w:rPr>
                    <w:t>西南</w:t>
                  </w:r>
                  <w:r>
                    <w:rPr>
                      <w:color w:val="auto"/>
                    </w:rPr>
                    <w:t>侧；</w:t>
                  </w:r>
                </w:p>
              </w:tc>
              <w:tc>
                <w:tcPr>
                  <w:tcW w:w="1141" w:type="dxa"/>
                  <w:vAlign w:val="center"/>
                </w:tcPr>
                <w:p>
                  <w:pPr>
                    <w:pStyle w:val="11"/>
                    <w:jc w:val="center"/>
                    <w:rPr>
                      <w:color w:val="auto"/>
                    </w:rPr>
                  </w:pPr>
                  <w:r>
                    <w:rPr>
                      <w:rFonts w:hint="eastAsia"/>
                      <w:color w:val="auto"/>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color w:val="auto"/>
                    </w:rPr>
                  </w:pPr>
                  <w:r>
                    <w:rPr>
                      <w:color w:val="auto"/>
                    </w:rPr>
                    <w:t>危废暂存间</w:t>
                  </w:r>
                </w:p>
              </w:tc>
              <w:tc>
                <w:tcPr>
                  <w:tcW w:w="6366" w:type="dxa"/>
                  <w:vAlign w:val="center"/>
                </w:tcPr>
                <w:p>
                  <w:pPr>
                    <w:pStyle w:val="11"/>
                    <w:rPr>
                      <w:color w:val="auto"/>
                    </w:rPr>
                  </w:pPr>
                  <w:r>
                    <w:rPr>
                      <w:color w:val="auto"/>
                    </w:rPr>
                    <w:t>设置1个危废暂存间</w:t>
                  </w:r>
                  <w:r>
                    <w:rPr>
                      <w:color w:val="auto"/>
                      <w:kern w:val="2"/>
                    </w:rPr>
                    <w:t>，占地面积约</w:t>
                  </w:r>
                  <w:r>
                    <w:rPr>
                      <w:rFonts w:hint="eastAsia"/>
                      <w:color w:val="auto"/>
                      <w:kern w:val="2"/>
                    </w:rPr>
                    <w:t>2</w:t>
                  </w:r>
                  <w:r>
                    <w:rPr>
                      <w:color w:val="auto"/>
                      <w:kern w:val="2"/>
                    </w:rPr>
                    <w:t>0m</w:t>
                  </w:r>
                  <w:r>
                    <w:rPr>
                      <w:color w:val="auto"/>
                      <w:kern w:val="2"/>
                      <w:vertAlign w:val="superscript"/>
                    </w:rPr>
                    <w:t>2</w:t>
                  </w:r>
                  <w:r>
                    <w:rPr>
                      <w:color w:val="auto"/>
                      <w:kern w:val="2"/>
                    </w:rPr>
                    <w:t>，</w:t>
                  </w:r>
                  <w:r>
                    <w:rPr>
                      <w:color w:val="auto"/>
                    </w:rPr>
                    <w:t>位于</w:t>
                  </w:r>
                  <w:r>
                    <w:rPr>
                      <w:rFonts w:hint="eastAsia"/>
                      <w:color w:val="auto"/>
                    </w:rPr>
                    <w:t>机修</w:t>
                  </w:r>
                  <w:r>
                    <w:rPr>
                      <w:color w:val="auto"/>
                    </w:rPr>
                    <w:t>车间</w:t>
                  </w:r>
                  <w:r>
                    <w:rPr>
                      <w:rFonts w:hint="eastAsia"/>
                      <w:color w:val="auto"/>
                    </w:rPr>
                    <w:t>西南</w:t>
                  </w:r>
                  <w:r>
                    <w:rPr>
                      <w:color w:val="auto"/>
                    </w:rPr>
                    <w:t>侧</w:t>
                  </w:r>
                  <w:r>
                    <w:rPr>
                      <w:color w:val="auto"/>
                      <w:kern w:val="2"/>
                    </w:rPr>
                    <w:t>，</w:t>
                  </w:r>
                  <w:r>
                    <w:rPr>
                      <w:color w:val="auto"/>
                    </w:rPr>
                    <w:t>用于收集危险废物；</w:t>
                  </w:r>
                </w:p>
              </w:tc>
              <w:tc>
                <w:tcPr>
                  <w:tcW w:w="1141" w:type="dxa"/>
                  <w:vAlign w:val="center"/>
                </w:tcPr>
                <w:p>
                  <w:pPr>
                    <w:pStyle w:val="11"/>
                    <w:jc w:val="center"/>
                    <w:rPr>
                      <w:color w:val="auto"/>
                    </w:rPr>
                  </w:pPr>
                  <w:r>
                    <w:rPr>
                      <w:rFonts w:hint="eastAsia"/>
                      <w:color w:val="auto"/>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color w:val="auto"/>
                    </w:rPr>
                  </w:pPr>
                  <w:r>
                    <w:rPr>
                      <w:color w:val="auto"/>
                    </w:rPr>
                    <w:t>风险防范</w:t>
                  </w:r>
                </w:p>
              </w:tc>
              <w:tc>
                <w:tcPr>
                  <w:tcW w:w="6366" w:type="dxa"/>
                  <w:vAlign w:val="center"/>
                </w:tcPr>
                <w:p>
                  <w:pPr>
                    <w:pStyle w:val="11"/>
                    <w:jc w:val="both"/>
                    <w:rPr>
                      <w:rFonts w:hint="default" w:eastAsia="宋体"/>
                      <w:color w:val="auto"/>
                      <w:lang w:val="en-US" w:eastAsia="zh-CN"/>
                    </w:rPr>
                  </w:pPr>
                  <w:r>
                    <w:rPr>
                      <w:color w:val="auto"/>
                    </w:rPr>
                    <w:t>设消防环行通道并保证足够的路面净空高度，设置消火栓、灭火器；危险废物暂存间需由专人负责收集并妥善储存，严禁随意丢弃、填埋。危废暂存间进行防风、防雨、防渗处理；制定废气处理设施操作规程，按要求操作；严禁吸烟、携带火种进入易燃场所，机器设备要定期检查、检修、保证其完好状态；</w:t>
                  </w:r>
                  <w:r>
                    <w:rPr>
                      <w:rFonts w:hint="eastAsia"/>
                      <w:color w:val="auto"/>
                      <w:lang w:val="en-US" w:eastAsia="zh-CN"/>
                    </w:rPr>
                    <w:t>污水处理站设置事故调节池；</w:t>
                  </w:r>
                </w:p>
              </w:tc>
              <w:tc>
                <w:tcPr>
                  <w:tcW w:w="1141" w:type="dxa"/>
                  <w:vAlign w:val="center"/>
                </w:tcPr>
                <w:p>
                  <w:pPr>
                    <w:pStyle w:val="11"/>
                    <w:jc w:val="center"/>
                    <w:rPr>
                      <w:color w:val="auto"/>
                    </w:rPr>
                  </w:pPr>
                  <w:r>
                    <w:rPr>
                      <w:rFonts w:hint="eastAsia"/>
                      <w:color w:val="auto"/>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color w:val="auto"/>
                    </w:rPr>
                  </w:pPr>
                  <w:r>
                    <w:rPr>
                      <w:color w:val="auto"/>
                    </w:rPr>
                    <w:t>/</w:t>
                  </w:r>
                </w:p>
              </w:tc>
              <w:tc>
                <w:tcPr>
                  <w:tcW w:w="6366" w:type="dxa"/>
                  <w:vAlign w:val="center"/>
                </w:tcPr>
                <w:p>
                  <w:pPr>
                    <w:pStyle w:val="11"/>
                    <w:jc w:val="center"/>
                    <w:rPr>
                      <w:color w:val="auto"/>
                    </w:rPr>
                  </w:pPr>
                  <w:r>
                    <w:rPr>
                      <w:color w:val="auto"/>
                    </w:rPr>
                    <w:t>合计</w:t>
                  </w:r>
                </w:p>
              </w:tc>
              <w:tc>
                <w:tcPr>
                  <w:tcW w:w="1141" w:type="dxa"/>
                  <w:vAlign w:val="center"/>
                </w:tcPr>
                <w:p>
                  <w:pPr>
                    <w:pStyle w:val="11"/>
                    <w:jc w:val="center"/>
                    <w:rPr>
                      <w:color w:val="auto"/>
                    </w:rPr>
                  </w:pPr>
                  <w:r>
                    <w:rPr>
                      <w:rFonts w:hint="eastAsia"/>
                      <w:color w:val="auto"/>
                    </w:rPr>
                    <w:t>336</w:t>
                  </w:r>
                </w:p>
              </w:tc>
            </w:tr>
          </w:tbl>
          <w:p>
            <w:pPr>
              <w:ind w:firstLine="480"/>
              <w:jc w:val="left"/>
              <w:rPr>
                <w:color w:val="auto"/>
              </w:rPr>
            </w:pPr>
            <w:r>
              <w:rPr>
                <w:rFonts w:hint="eastAsia"/>
                <w:color w:val="auto"/>
              </w:rPr>
              <w:t>4</w:t>
            </w:r>
            <w:r>
              <w:rPr>
                <w:color w:val="auto"/>
              </w:rPr>
              <w:t>、环保设施自主验收情况</w:t>
            </w:r>
          </w:p>
          <w:p>
            <w:pPr>
              <w:ind w:firstLine="480"/>
              <w:rPr>
                <w:color w:val="auto"/>
              </w:rPr>
            </w:pPr>
            <w:r>
              <w:rPr>
                <w:color w:val="auto"/>
              </w:rPr>
              <w:t>根据</w:t>
            </w:r>
            <w:r>
              <w:rPr>
                <w:rFonts w:hint="eastAsia"/>
                <w:color w:val="auto"/>
              </w:rPr>
              <w:t>生态环境部</w:t>
            </w:r>
            <w:r>
              <w:rPr>
                <w:color w:val="auto"/>
              </w:rPr>
              <w:t>《建设项目竣工环境保护验收暂行办法》相关规定，因此，建设单位需对本次项目的污染防治措施进行自主开展环境保护验收，其中，环保设备自主验收情况见下表4-1</w:t>
            </w:r>
            <w:r>
              <w:rPr>
                <w:rFonts w:hint="eastAsia"/>
                <w:color w:val="auto"/>
              </w:rPr>
              <w:t>8</w:t>
            </w:r>
            <w:r>
              <w:rPr>
                <w:color w:val="auto"/>
              </w:rPr>
              <w:t>。</w:t>
            </w:r>
          </w:p>
          <w:p>
            <w:pPr>
              <w:pStyle w:val="11"/>
              <w:jc w:val="center"/>
              <w:rPr>
                <w:b/>
                <w:bCs/>
                <w:color w:val="auto"/>
              </w:rPr>
            </w:pPr>
            <w:r>
              <w:rPr>
                <w:b/>
                <w:bCs/>
                <w:color w:val="auto"/>
              </w:rPr>
              <w:t>表4-1</w:t>
            </w:r>
            <w:r>
              <w:rPr>
                <w:rFonts w:hint="eastAsia"/>
                <w:b/>
                <w:bCs/>
                <w:color w:val="auto"/>
              </w:rPr>
              <w:t>8</w:t>
            </w:r>
            <w:r>
              <w:rPr>
                <w:b/>
                <w:bCs/>
                <w:color w:val="auto"/>
              </w:rPr>
              <w:t xml:space="preserve">  环保设备自主验收一览表</w:t>
            </w:r>
          </w:p>
          <w:tbl>
            <w:tblPr>
              <w:tblStyle w:val="6"/>
              <w:tblW w:w="84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4056"/>
              <w:gridCol w:w="3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Align w:val="center"/>
                </w:tcPr>
                <w:p>
                  <w:pPr>
                    <w:pStyle w:val="11"/>
                    <w:jc w:val="center"/>
                    <w:rPr>
                      <w:b/>
                      <w:bCs/>
                      <w:color w:val="auto"/>
                    </w:rPr>
                  </w:pPr>
                  <w:r>
                    <w:rPr>
                      <w:b/>
                      <w:bCs/>
                      <w:color w:val="auto"/>
                    </w:rPr>
                    <w:t>项目</w:t>
                  </w:r>
                </w:p>
              </w:tc>
              <w:tc>
                <w:tcPr>
                  <w:tcW w:w="4056" w:type="dxa"/>
                  <w:vAlign w:val="center"/>
                </w:tcPr>
                <w:p>
                  <w:pPr>
                    <w:pStyle w:val="11"/>
                    <w:jc w:val="center"/>
                    <w:rPr>
                      <w:b/>
                      <w:bCs/>
                      <w:color w:val="auto"/>
                    </w:rPr>
                  </w:pPr>
                  <w:r>
                    <w:rPr>
                      <w:b/>
                      <w:bCs/>
                      <w:color w:val="auto"/>
                    </w:rPr>
                    <w:t>设施或者措施内容</w:t>
                  </w:r>
                </w:p>
              </w:tc>
              <w:tc>
                <w:tcPr>
                  <w:tcW w:w="3361" w:type="dxa"/>
                  <w:vAlign w:val="center"/>
                </w:tcPr>
                <w:p>
                  <w:pPr>
                    <w:pStyle w:val="11"/>
                    <w:jc w:val="center"/>
                    <w:rPr>
                      <w:b/>
                      <w:bCs/>
                      <w:color w:val="auto"/>
                    </w:rPr>
                  </w:pPr>
                  <w:r>
                    <w:rPr>
                      <w:b/>
                      <w:bCs/>
                      <w:color w:val="auto"/>
                    </w:rPr>
                    <w:t>执行标准或验收监测要求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Merge w:val="restart"/>
                  <w:vAlign w:val="center"/>
                </w:tcPr>
                <w:p>
                  <w:pPr>
                    <w:pStyle w:val="11"/>
                    <w:jc w:val="center"/>
                    <w:rPr>
                      <w:color w:val="auto"/>
                    </w:rPr>
                  </w:pPr>
                  <w:r>
                    <w:rPr>
                      <w:color w:val="auto"/>
                    </w:rPr>
                    <w:t>废水</w:t>
                  </w:r>
                </w:p>
                <w:p>
                  <w:pPr>
                    <w:pStyle w:val="11"/>
                    <w:jc w:val="center"/>
                    <w:rPr>
                      <w:color w:val="auto"/>
                    </w:rPr>
                  </w:pPr>
                  <w:r>
                    <w:rPr>
                      <w:color w:val="auto"/>
                    </w:rPr>
                    <w:t>处理措施</w:t>
                  </w:r>
                </w:p>
              </w:tc>
              <w:tc>
                <w:tcPr>
                  <w:tcW w:w="4056" w:type="dxa"/>
                  <w:vAlign w:val="center"/>
                </w:tcPr>
                <w:p>
                  <w:pPr>
                    <w:pStyle w:val="11"/>
                    <w:jc w:val="both"/>
                    <w:rPr>
                      <w:b/>
                      <w:bCs/>
                      <w:color w:val="auto"/>
                    </w:rPr>
                  </w:pPr>
                  <w:r>
                    <w:rPr>
                      <w:color w:val="auto"/>
                    </w:rPr>
                    <w:t>生活污水：新建</w:t>
                  </w:r>
                  <w:r>
                    <w:rPr>
                      <w:rFonts w:hint="eastAsia"/>
                      <w:color w:val="auto"/>
                      <w:lang w:eastAsia="zh-CN"/>
                    </w:rPr>
                    <w:t>预处理池</w:t>
                  </w:r>
                  <w:r>
                    <w:rPr>
                      <w:color w:val="auto"/>
                    </w:rPr>
                    <w:t>，</w:t>
                  </w:r>
                  <w:r>
                    <w:rPr>
                      <w:rFonts w:hint="eastAsia"/>
                      <w:color w:val="auto"/>
                    </w:rPr>
                    <w:t>有效设计</w:t>
                  </w:r>
                  <w:r>
                    <w:rPr>
                      <w:color w:val="auto"/>
                    </w:rPr>
                    <w:t>容积50m³，经处理后排入厂区内污水处理站；</w:t>
                  </w:r>
                </w:p>
              </w:tc>
              <w:tc>
                <w:tcPr>
                  <w:tcW w:w="3361" w:type="dxa"/>
                  <w:vMerge w:val="restart"/>
                  <w:vAlign w:val="center"/>
                </w:tcPr>
                <w:p>
                  <w:pPr>
                    <w:pStyle w:val="11"/>
                    <w:jc w:val="center"/>
                    <w:rPr>
                      <w:color w:val="auto"/>
                    </w:rPr>
                  </w:pPr>
                  <w:r>
                    <w:rPr>
                      <w:color w:val="auto"/>
                    </w:rPr>
                    <w:t>各项环保设施建设完成；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Merge w:val="continue"/>
                  <w:vAlign w:val="center"/>
                </w:tcPr>
                <w:p>
                  <w:pPr>
                    <w:pStyle w:val="11"/>
                    <w:jc w:val="center"/>
                    <w:rPr>
                      <w:color w:val="auto"/>
                    </w:rPr>
                  </w:pPr>
                </w:p>
              </w:tc>
              <w:tc>
                <w:tcPr>
                  <w:tcW w:w="4056" w:type="dxa"/>
                  <w:vAlign w:val="center"/>
                </w:tcPr>
                <w:p>
                  <w:pPr>
                    <w:pStyle w:val="11"/>
                    <w:jc w:val="both"/>
                    <w:rPr>
                      <w:color w:val="auto"/>
                    </w:rPr>
                  </w:pPr>
                  <w:r>
                    <w:rPr>
                      <w:color w:val="auto"/>
                    </w:rPr>
                    <w:t>蒸汽</w:t>
                  </w:r>
                  <w:r>
                    <w:rPr>
                      <w:rFonts w:hint="eastAsia"/>
                      <w:color w:val="auto"/>
                    </w:rPr>
                    <w:t>锅炉排放水：经厂区内冷却水池冷却后，再</w:t>
                  </w:r>
                  <w:r>
                    <w:rPr>
                      <w:rFonts w:hint="eastAsia"/>
                      <w:bCs/>
                      <w:color w:val="auto"/>
                    </w:rPr>
                    <w:t>经厂区污水处理站处理达标后排入园区污水管网，冷却水池</w:t>
                  </w:r>
                  <w:r>
                    <w:rPr>
                      <w:rFonts w:hint="eastAsia"/>
                      <w:color w:val="auto"/>
                    </w:rPr>
                    <w:t>有效设计</w:t>
                  </w:r>
                  <w:r>
                    <w:rPr>
                      <w:color w:val="auto"/>
                    </w:rPr>
                    <w:t>容积</w:t>
                  </w:r>
                  <w:r>
                    <w:rPr>
                      <w:rFonts w:hint="eastAsia"/>
                      <w:color w:val="auto"/>
                    </w:rPr>
                    <w:t>100</w:t>
                  </w:r>
                  <w:r>
                    <w:rPr>
                      <w:color w:val="auto"/>
                    </w:rPr>
                    <w:t>m³；</w:t>
                  </w:r>
                </w:p>
              </w:tc>
              <w:tc>
                <w:tcPr>
                  <w:tcW w:w="3361" w:type="dxa"/>
                  <w:vMerge w:val="continue"/>
                  <w:vAlign w:val="center"/>
                </w:tcPr>
                <w:p>
                  <w:pPr>
                    <w:pStyle w:val="11"/>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Merge w:val="continue"/>
                  <w:vAlign w:val="center"/>
                </w:tcPr>
                <w:p>
                  <w:pPr>
                    <w:pStyle w:val="11"/>
                    <w:jc w:val="center"/>
                    <w:rPr>
                      <w:color w:val="auto"/>
                    </w:rPr>
                  </w:pPr>
                </w:p>
              </w:tc>
              <w:tc>
                <w:tcPr>
                  <w:tcW w:w="4056" w:type="dxa"/>
                  <w:vAlign w:val="center"/>
                </w:tcPr>
                <w:p>
                  <w:pPr>
                    <w:pStyle w:val="11"/>
                    <w:jc w:val="both"/>
                    <w:rPr>
                      <w:b/>
                      <w:bCs/>
                      <w:color w:val="auto"/>
                    </w:rPr>
                  </w:pPr>
                  <w:r>
                    <w:rPr>
                      <w:rFonts w:hint="eastAsia"/>
                      <w:color w:val="auto"/>
                    </w:rPr>
                    <w:t>厂区废水</w:t>
                  </w:r>
                  <w:r>
                    <w:rPr>
                      <w:color w:val="auto"/>
                    </w:rPr>
                    <w:t>：</w:t>
                  </w:r>
                  <w:r>
                    <w:rPr>
                      <w:rFonts w:hint="eastAsia"/>
                      <w:color w:val="auto"/>
                    </w:rPr>
                    <w:t>厂区废水</w:t>
                  </w:r>
                  <w:r>
                    <w:rPr>
                      <w:color w:val="auto"/>
                    </w:rPr>
                    <w:t>经“格栅+沉淀+气浮+接触氧化+消毒”工艺处理后</w:t>
                  </w:r>
                  <w:r>
                    <w:rPr>
                      <w:rFonts w:hint="eastAsia"/>
                      <w:color w:val="auto"/>
                    </w:rPr>
                    <w:t>排入园区管网</w:t>
                  </w:r>
                  <w:r>
                    <w:rPr>
                      <w:color w:val="auto"/>
                    </w:rPr>
                    <w:t>，设计处理能力300m³/d；</w:t>
                  </w:r>
                </w:p>
              </w:tc>
              <w:tc>
                <w:tcPr>
                  <w:tcW w:w="3361" w:type="dxa"/>
                  <w:vMerge w:val="continue"/>
                  <w:vAlign w:val="center"/>
                </w:tcPr>
                <w:p>
                  <w:pPr>
                    <w:pStyle w:val="11"/>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6" w:hRule="atLeast"/>
                <w:jc w:val="center"/>
              </w:trPr>
              <w:tc>
                <w:tcPr>
                  <w:tcW w:w="1071" w:type="dxa"/>
                  <w:vMerge w:val="restart"/>
                  <w:vAlign w:val="center"/>
                </w:tcPr>
                <w:p>
                  <w:pPr>
                    <w:pStyle w:val="11"/>
                    <w:jc w:val="center"/>
                    <w:rPr>
                      <w:color w:val="auto"/>
                    </w:rPr>
                  </w:pPr>
                  <w:r>
                    <w:rPr>
                      <w:color w:val="auto"/>
                    </w:rPr>
                    <w:t>废气</w:t>
                  </w:r>
                </w:p>
                <w:p>
                  <w:pPr>
                    <w:pStyle w:val="11"/>
                    <w:jc w:val="center"/>
                    <w:rPr>
                      <w:color w:val="auto"/>
                    </w:rPr>
                  </w:pPr>
                  <w:r>
                    <w:rPr>
                      <w:color w:val="auto"/>
                    </w:rPr>
                    <w:t>处理措施</w:t>
                  </w:r>
                </w:p>
              </w:tc>
              <w:tc>
                <w:tcPr>
                  <w:tcW w:w="4056" w:type="dxa"/>
                  <w:vAlign w:val="center"/>
                </w:tcPr>
                <w:p>
                  <w:pPr>
                    <w:pStyle w:val="11"/>
                    <w:rPr>
                      <w:color w:val="auto"/>
                    </w:rPr>
                  </w:pPr>
                  <w:r>
                    <w:rPr>
                      <w:rFonts w:hint="eastAsia"/>
                      <w:color w:val="auto"/>
                    </w:rPr>
                    <w:t>天然气燃烧废气：经低氮燃烧</w:t>
                  </w:r>
                  <w:r>
                    <w:rPr>
                      <w:rFonts w:hint="eastAsia"/>
                      <w:color w:val="auto"/>
                      <w:lang w:val="zh-TW" w:eastAsia="zh-TW"/>
                    </w:rPr>
                    <w:t>后</w:t>
                  </w:r>
                  <w:r>
                    <w:rPr>
                      <w:rFonts w:hint="eastAsia"/>
                      <w:color w:val="auto"/>
                      <w:lang w:val="zh-TW"/>
                    </w:rPr>
                    <w:t>，</w:t>
                  </w:r>
                  <w:r>
                    <w:rPr>
                      <w:rFonts w:hint="eastAsia"/>
                      <w:color w:val="auto"/>
                      <w:lang w:val="zh-TW" w:eastAsia="zh-TW"/>
                    </w:rPr>
                    <w:t>经直径为</w:t>
                  </w:r>
                  <w:r>
                    <w:rPr>
                      <w:color w:val="auto"/>
                    </w:rPr>
                    <w:t>0.</w:t>
                  </w:r>
                  <w:r>
                    <w:rPr>
                      <w:rFonts w:hint="eastAsia"/>
                      <w:color w:val="auto"/>
                    </w:rPr>
                    <w:t>3</w:t>
                  </w:r>
                  <w:r>
                    <w:rPr>
                      <w:color w:val="auto"/>
                    </w:rPr>
                    <w:t>m</w:t>
                  </w:r>
                  <w:r>
                    <w:rPr>
                      <w:rFonts w:hint="eastAsia"/>
                      <w:color w:val="auto"/>
                    </w:rPr>
                    <w:t>，</w:t>
                  </w:r>
                  <w:r>
                    <w:rPr>
                      <w:rFonts w:hint="eastAsia"/>
                      <w:color w:val="auto"/>
                      <w:lang w:val="zh-TW" w:eastAsia="zh-TW"/>
                    </w:rPr>
                    <w:t>高度为</w:t>
                  </w:r>
                  <w:r>
                    <w:rPr>
                      <w:rFonts w:hint="eastAsia"/>
                      <w:color w:val="auto"/>
                    </w:rPr>
                    <w:t>12.0</w:t>
                  </w:r>
                  <w:r>
                    <w:rPr>
                      <w:color w:val="auto"/>
                    </w:rPr>
                    <w:t>m</w:t>
                  </w:r>
                  <w:r>
                    <w:rPr>
                      <w:rFonts w:hint="eastAsia"/>
                      <w:color w:val="auto"/>
                      <w:lang w:val="zh-TW" w:eastAsia="zh-TW"/>
                    </w:rPr>
                    <w:t>的烟囱排放</w:t>
                  </w:r>
                  <w:r>
                    <w:rPr>
                      <w:rFonts w:hint="eastAsia"/>
                      <w:color w:val="auto"/>
                      <w:lang w:val="zh-TW"/>
                    </w:rPr>
                    <w:t>；</w:t>
                  </w:r>
                </w:p>
              </w:tc>
              <w:tc>
                <w:tcPr>
                  <w:tcW w:w="3361" w:type="dxa"/>
                  <w:vMerge w:val="restart"/>
                  <w:vAlign w:val="center"/>
                </w:tcPr>
                <w:p>
                  <w:pPr>
                    <w:pStyle w:val="11"/>
                    <w:rPr>
                      <w:color w:val="auto"/>
                    </w:rPr>
                  </w:pPr>
                  <w:r>
                    <w:rPr>
                      <w:color w:val="auto"/>
                    </w:rPr>
                    <w:t>天然气燃烧废气执行《锅炉大气污染物排放标准》（GB13271-2014）中相关排放限值；油烟排放执行《饮食业油烟排放标准》（GB18483-2001）中表2要求。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71" w:type="dxa"/>
                  <w:vMerge w:val="continue"/>
                  <w:vAlign w:val="center"/>
                </w:tcPr>
                <w:p>
                  <w:pPr>
                    <w:pStyle w:val="11"/>
                    <w:jc w:val="both"/>
                    <w:rPr>
                      <w:color w:val="auto"/>
                    </w:rPr>
                  </w:pPr>
                </w:p>
              </w:tc>
              <w:tc>
                <w:tcPr>
                  <w:tcW w:w="4056" w:type="dxa"/>
                  <w:vAlign w:val="center"/>
                </w:tcPr>
                <w:p>
                  <w:pPr>
                    <w:pStyle w:val="11"/>
                    <w:rPr>
                      <w:color w:val="auto"/>
                    </w:rPr>
                  </w:pPr>
                  <w:r>
                    <w:rPr>
                      <w:rFonts w:hint="eastAsia"/>
                      <w:color w:val="auto"/>
                    </w:rPr>
                    <w:t>油炸油烟废气</w:t>
                  </w:r>
                  <w:r>
                    <w:rPr>
                      <w:rFonts w:hint="eastAsia"/>
                      <w:color w:val="auto"/>
                      <w:lang w:eastAsia="zh-CN"/>
                    </w:rPr>
                    <w:t>（</w:t>
                  </w:r>
                  <w:r>
                    <w:rPr>
                      <w:rFonts w:hint="eastAsia"/>
                      <w:color w:val="auto"/>
                      <w:lang w:val="en-US" w:eastAsia="zh-CN"/>
                    </w:rPr>
                    <w:t>红烧肉车间</w:t>
                  </w:r>
                  <w:r>
                    <w:rPr>
                      <w:rFonts w:hint="eastAsia"/>
                      <w:color w:val="auto"/>
                      <w:lang w:eastAsia="zh-CN"/>
                    </w:rPr>
                    <w:t>）</w:t>
                  </w:r>
                  <w:r>
                    <w:rPr>
                      <w:rFonts w:hint="eastAsia"/>
                      <w:color w:val="auto"/>
                    </w:rPr>
                    <w:t>：</w:t>
                  </w:r>
                  <w:r>
                    <w:rPr>
                      <w:color w:val="auto"/>
                    </w:rPr>
                    <w:t>采用</w:t>
                  </w:r>
                  <w:r>
                    <w:rPr>
                      <w:rFonts w:hint="eastAsia"/>
                      <w:color w:val="auto"/>
                      <w:lang w:val="en-US" w:eastAsia="zh-CN"/>
                    </w:rPr>
                    <w:t>1</w:t>
                  </w:r>
                  <w:r>
                    <w:rPr>
                      <w:color w:val="auto"/>
                    </w:rPr>
                    <w:t>套“</w:t>
                  </w:r>
                  <w:r>
                    <w:rPr>
                      <w:rFonts w:hint="eastAsia"/>
                      <w:color w:val="auto"/>
                    </w:rPr>
                    <w:t>高效静电除油净化装置</w:t>
                  </w:r>
                  <w:r>
                    <w:rPr>
                      <w:color w:val="auto"/>
                    </w:rPr>
                    <w:t>”装置处理后</w:t>
                  </w:r>
                  <w:r>
                    <w:rPr>
                      <w:rFonts w:hint="eastAsia"/>
                      <w:color w:val="auto"/>
                    </w:rPr>
                    <w:t>达标</w:t>
                  </w:r>
                  <w:r>
                    <w:rPr>
                      <w:color w:val="auto"/>
                    </w:rPr>
                    <w:t>经</w:t>
                  </w:r>
                  <w:r>
                    <w:rPr>
                      <w:rFonts w:hint="eastAsia"/>
                      <w:color w:val="auto"/>
                    </w:rPr>
                    <w:t>18m高</w:t>
                  </w:r>
                  <w:r>
                    <w:rPr>
                      <w:color w:val="auto"/>
                    </w:rPr>
                    <w:t>排气筒排放(风量按</w:t>
                  </w:r>
                  <w:r>
                    <w:rPr>
                      <w:rFonts w:hint="eastAsia"/>
                      <w:color w:val="auto"/>
                    </w:rPr>
                    <w:t>20000m</w:t>
                  </w:r>
                  <w:r>
                    <w:rPr>
                      <w:color w:val="auto"/>
                      <w:vertAlign w:val="superscript"/>
                    </w:rPr>
                    <w:t>3</w:t>
                  </w:r>
                  <w:r>
                    <w:rPr>
                      <w:color w:val="auto"/>
                    </w:rPr>
                    <w:t>/h计算）</w:t>
                  </w:r>
                  <w:r>
                    <w:rPr>
                      <w:rFonts w:hint="eastAsia"/>
                      <w:color w:val="auto"/>
                    </w:rPr>
                    <w:t>；</w:t>
                  </w:r>
                </w:p>
              </w:tc>
              <w:tc>
                <w:tcPr>
                  <w:tcW w:w="3361" w:type="dxa"/>
                  <w:vMerge w:val="continue"/>
                  <w:vAlign w:val="center"/>
                </w:tcPr>
                <w:p>
                  <w:pPr>
                    <w:pStyle w:val="11"/>
                    <w:jc w:val="both"/>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71" w:type="dxa"/>
                  <w:vMerge w:val="continue"/>
                  <w:vAlign w:val="center"/>
                </w:tcPr>
                <w:p>
                  <w:pPr>
                    <w:pStyle w:val="11"/>
                    <w:jc w:val="both"/>
                    <w:rPr>
                      <w:color w:val="auto"/>
                    </w:rPr>
                  </w:pPr>
                </w:p>
              </w:tc>
              <w:tc>
                <w:tcPr>
                  <w:tcW w:w="4056" w:type="dxa"/>
                  <w:vAlign w:val="center"/>
                </w:tcPr>
                <w:p>
                  <w:pPr>
                    <w:pStyle w:val="11"/>
                    <w:tabs>
                      <w:tab w:val="left" w:pos="641"/>
                    </w:tabs>
                    <w:rPr>
                      <w:rFonts w:hint="eastAsia" w:eastAsia="宋体"/>
                      <w:color w:val="auto"/>
                      <w:lang w:eastAsia="zh-CN"/>
                    </w:rPr>
                  </w:pPr>
                  <w:r>
                    <w:rPr>
                      <w:rFonts w:hint="eastAsia"/>
                      <w:color w:val="auto"/>
                      <w:lang w:eastAsia="zh-CN"/>
                    </w:rPr>
                    <w:t>油炸油烟废气（</w:t>
                  </w:r>
                  <w:r>
                    <w:rPr>
                      <w:rFonts w:hint="eastAsia"/>
                      <w:color w:val="auto"/>
                      <w:lang w:val="en-US" w:eastAsia="zh-CN"/>
                    </w:rPr>
                    <w:t>小酥肉车间</w:t>
                  </w:r>
                  <w:r>
                    <w:rPr>
                      <w:rFonts w:hint="eastAsia"/>
                      <w:color w:val="auto"/>
                      <w:lang w:eastAsia="zh-CN"/>
                    </w:rPr>
                    <w:t>）：采用</w:t>
                  </w:r>
                  <w:r>
                    <w:rPr>
                      <w:rFonts w:hint="eastAsia"/>
                      <w:color w:val="auto"/>
                      <w:lang w:val="en-US" w:eastAsia="zh-CN"/>
                    </w:rPr>
                    <w:t>1</w:t>
                  </w:r>
                  <w:r>
                    <w:rPr>
                      <w:rFonts w:hint="eastAsia"/>
                      <w:color w:val="auto"/>
                      <w:lang w:eastAsia="zh-CN"/>
                    </w:rPr>
                    <w:t>套“高效静电除油净化装置”装置处理后达标经18m高排气筒排放(风量按20000m3/h计算）；</w:t>
                  </w:r>
                </w:p>
              </w:tc>
              <w:tc>
                <w:tcPr>
                  <w:tcW w:w="3361" w:type="dxa"/>
                  <w:vMerge w:val="continue"/>
                  <w:vAlign w:val="center"/>
                </w:tcPr>
                <w:p>
                  <w:pPr>
                    <w:pStyle w:val="11"/>
                    <w:jc w:val="both"/>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71" w:type="dxa"/>
                  <w:vMerge w:val="continue"/>
                  <w:vAlign w:val="center"/>
                </w:tcPr>
                <w:p>
                  <w:pPr>
                    <w:pStyle w:val="11"/>
                    <w:jc w:val="both"/>
                    <w:rPr>
                      <w:color w:val="auto"/>
                    </w:rPr>
                  </w:pPr>
                </w:p>
              </w:tc>
              <w:tc>
                <w:tcPr>
                  <w:tcW w:w="4056" w:type="dxa"/>
                  <w:vAlign w:val="center"/>
                </w:tcPr>
                <w:p>
                  <w:pPr>
                    <w:pStyle w:val="11"/>
                    <w:rPr>
                      <w:rFonts w:hint="eastAsia"/>
                      <w:color w:val="auto"/>
                      <w:lang w:eastAsia="zh-CN"/>
                    </w:rPr>
                  </w:pPr>
                  <w:r>
                    <w:rPr>
                      <w:rFonts w:hint="default" w:eastAsia="宋体"/>
                      <w:color w:val="auto"/>
                      <w:sz w:val="21"/>
                      <w:szCs w:val="21"/>
                      <w:lang w:val="en-US" w:eastAsia="zh-CN"/>
                    </w:rPr>
                    <w:t>油烟废气（</w:t>
                  </w:r>
                  <w:r>
                    <w:rPr>
                      <w:rFonts w:hint="eastAsia"/>
                      <w:color w:val="auto"/>
                      <w:sz w:val="21"/>
                      <w:szCs w:val="21"/>
                      <w:lang w:val="en-US" w:eastAsia="zh-CN"/>
                    </w:rPr>
                    <w:t>灯影牛肉</w:t>
                  </w:r>
                  <w:r>
                    <w:rPr>
                      <w:rFonts w:hint="default" w:eastAsia="宋体"/>
                      <w:color w:val="auto"/>
                      <w:sz w:val="21"/>
                      <w:szCs w:val="21"/>
                      <w:lang w:val="en-US" w:eastAsia="zh-CN"/>
                    </w:rPr>
                    <w:t>生产车间）：采用1套“高效静电除油净化装置”装置处理后达标经18m高排气筒（DA00</w:t>
                  </w:r>
                  <w:r>
                    <w:rPr>
                      <w:rFonts w:hint="eastAsia"/>
                      <w:color w:val="auto"/>
                      <w:sz w:val="21"/>
                      <w:szCs w:val="21"/>
                      <w:lang w:val="en-US" w:eastAsia="zh-CN"/>
                    </w:rPr>
                    <w:t>4</w:t>
                  </w:r>
                  <w:r>
                    <w:rPr>
                      <w:rFonts w:hint="default" w:eastAsia="宋体"/>
                      <w:color w:val="auto"/>
                      <w:sz w:val="21"/>
                      <w:szCs w:val="21"/>
                      <w:lang w:val="en-US" w:eastAsia="zh-CN"/>
                    </w:rPr>
                    <w:t>）排放(风量按20000m</w:t>
                  </w:r>
                  <w:r>
                    <w:rPr>
                      <w:rFonts w:hint="default" w:eastAsia="宋体"/>
                      <w:color w:val="auto"/>
                      <w:sz w:val="21"/>
                      <w:szCs w:val="21"/>
                      <w:vertAlign w:val="superscript"/>
                      <w:lang w:val="en-US" w:eastAsia="zh-CN"/>
                    </w:rPr>
                    <w:t>3</w:t>
                  </w:r>
                  <w:r>
                    <w:rPr>
                      <w:rFonts w:hint="default" w:eastAsia="宋体"/>
                      <w:color w:val="auto"/>
                      <w:sz w:val="21"/>
                      <w:szCs w:val="21"/>
                      <w:lang w:val="en-US" w:eastAsia="zh-CN"/>
                    </w:rPr>
                    <w:t>/h计算）；</w:t>
                  </w:r>
                </w:p>
              </w:tc>
              <w:tc>
                <w:tcPr>
                  <w:tcW w:w="3361" w:type="dxa"/>
                  <w:vMerge w:val="continue"/>
                  <w:vAlign w:val="center"/>
                </w:tcPr>
                <w:p>
                  <w:pPr>
                    <w:pStyle w:val="11"/>
                    <w:jc w:val="both"/>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6" w:hRule="atLeast"/>
                <w:jc w:val="center"/>
              </w:trPr>
              <w:tc>
                <w:tcPr>
                  <w:tcW w:w="1071" w:type="dxa"/>
                  <w:vMerge w:val="continue"/>
                  <w:vAlign w:val="center"/>
                </w:tcPr>
                <w:p>
                  <w:pPr>
                    <w:pStyle w:val="11"/>
                    <w:jc w:val="both"/>
                    <w:rPr>
                      <w:color w:val="auto"/>
                    </w:rPr>
                  </w:pPr>
                </w:p>
              </w:tc>
              <w:tc>
                <w:tcPr>
                  <w:tcW w:w="4056" w:type="dxa"/>
                  <w:vAlign w:val="center"/>
                </w:tcPr>
                <w:p>
                  <w:pPr>
                    <w:pStyle w:val="11"/>
                    <w:rPr>
                      <w:rFonts w:hint="eastAsia"/>
                      <w:color w:val="auto"/>
                      <w:lang w:eastAsia="zh-CN"/>
                    </w:rPr>
                  </w:pPr>
                  <w:r>
                    <w:rPr>
                      <w:rFonts w:hint="eastAsia"/>
                      <w:color w:val="auto"/>
                      <w:sz w:val="21"/>
                      <w:szCs w:val="21"/>
                    </w:rPr>
                    <w:t>油烟废气</w:t>
                  </w:r>
                  <w:r>
                    <w:rPr>
                      <w:rFonts w:hint="eastAsia"/>
                      <w:color w:val="auto"/>
                      <w:sz w:val="21"/>
                      <w:szCs w:val="21"/>
                      <w:lang w:eastAsia="zh-CN"/>
                    </w:rPr>
                    <w:t>（</w:t>
                  </w:r>
                  <w:r>
                    <w:rPr>
                      <w:rFonts w:hint="eastAsia"/>
                      <w:color w:val="auto"/>
                      <w:sz w:val="21"/>
                      <w:szCs w:val="21"/>
                      <w:lang w:val="en-US" w:eastAsia="zh-CN"/>
                    </w:rPr>
                    <w:t>牛肉干生产车间</w:t>
                  </w:r>
                  <w:r>
                    <w:rPr>
                      <w:rFonts w:hint="eastAsia"/>
                      <w:color w:val="auto"/>
                      <w:sz w:val="21"/>
                      <w:szCs w:val="21"/>
                      <w:lang w:eastAsia="zh-CN"/>
                    </w:rPr>
                    <w:t>）</w:t>
                  </w:r>
                  <w:r>
                    <w:rPr>
                      <w:rFonts w:hint="eastAsia"/>
                      <w:color w:val="auto"/>
                      <w:sz w:val="21"/>
                      <w:szCs w:val="21"/>
                    </w:rPr>
                    <w:t>：采用</w:t>
                  </w:r>
                  <w:r>
                    <w:rPr>
                      <w:rFonts w:hint="eastAsia"/>
                      <w:color w:val="auto"/>
                      <w:sz w:val="21"/>
                      <w:szCs w:val="21"/>
                      <w:lang w:val="en-US" w:eastAsia="zh-CN"/>
                    </w:rPr>
                    <w:t>1</w:t>
                  </w:r>
                  <w:r>
                    <w:rPr>
                      <w:rFonts w:hint="eastAsia"/>
                      <w:color w:val="auto"/>
                      <w:sz w:val="21"/>
                      <w:szCs w:val="21"/>
                    </w:rPr>
                    <w:t>套“高效静电除油净化装置”装置处理后达标经18m高排气筒</w:t>
                  </w:r>
                  <w:r>
                    <w:rPr>
                      <w:rFonts w:hint="eastAsia"/>
                      <w:color w:val="auto"/>
                      <w:sz w:val="21"/>
                      <w:szCs w:val="21"/>
                      <w:lang w:eastAsia="zh-CN"/>
                    </w:rPr>
                    <w:t>（</w:t>
                  </w:r>
                  <w:r>
                    <w:rPr>
                      <w:rFonts w:hint="eastAsia"/>
                      <w:color w:val="auto"/>
                      <w:sz w:val="21"/>
                      <w:szCs w:val="21"/>
                      <w:lang w:val="en-US" w:eastAsia="zh-CN"/>
                    </w:rPr>
                    <w:t>DA005</w:t>
                  </w:r>
                  <w:r>
                    <w:rPr>
                      <w:rFonts w:hint="eastAsia"/>
                      <w:color w:val="auto"/>
                      <w:sz w:val="21"/>
                      <w:szCs w:val="21"/>
                      <w:lang w:eastAsia="zh-CN"/>
                    </w:rPr>
                    <w:t>）</w:t>
                  </w:r>
                  <w:r>
                    <w:rPr>
                      <w:rFonts w:hint="eastAsia"/>
                      <w:color w:val="auto"/>
                      <w:sz w:val="21"/>
                      <w:szCs w:val="21"/>
                    </w:rPr>
                    <w:t>排放(风量按20000m</w:t>
                  </w:r>
                  <w:r>
                    <w:rPr>
                      <w:rFonts w:hint="eastAsia"/>
                      <w:color w:val="auto"/>
                      <w:sz w:val="21"/>
                      <w:szCs w:val="21"/>
                      <w:vertAlign w:val="superscript"/>
                    </w:rPr>
                    <w:t>3</w:t>
                  </w:r>
                  <w:r>
                    <w:rPr>
                      <w:rFonts w:hint="eastAsia"/>
                      <w:color w:val="auto"/>
                      <w:sz w:val="21"/>
                      <w:szCs w:val="21"/>
                    </w:rPr>
                    <w:t>/h计算）；</w:t>
                  </w:r>
                </w:p>
              </w:tc>
              <w:tc>
                <w:tcPr>
                  <w:tcW w:w="3361" w:type="dxa"/>
                  <w:vMerge w:val="continue"/>
                  <w:vAlign w:val="center"/>
                </w:tcPr>
                <w:p>
                  <w:pPr>
                    <w:pStyle w:val="11"/>
                    <w:jc w:val="both"/>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71" w:type="dxa"/>
                  <w:vMerge w:val="continue"/>
                  <w:vAlign w:val="center"/>
                </w:tcPr>
                <w:p>
                  <w:pPr>
                    <w:pStyle w:val="11"/>
                    <w:jc w:val="both"/>
                    <w:rPr>
                      <w:color w:val="auto"/>
                    </w:rPr>
                  </w:pPr>
                </w:p>
              </w:tc>
              <w:tc>
                <w:tcPr>
                  <w:tcW w:w="4056" w:type="dxa"/>
                  <w:vAlign w:val="center"/>
                </w:tcPr>
                <w:p>
                  <w:pPr>
                    <w:pStyle w:val="11"/>
                    <w:rPr>
                      <w:color w:val="auto"/>
                    </w:rPr>
                  </w:pPr>
                  <w:r>
                    <w:rPr>
                      <w:rFonts w:hint="eastAsia"/>
                      <w:color w:val="auto"/>
                    </w:rPr>
                    <w:t>污水处理站恶臭气体：</w:t>
                  </w:r>
                  <w:r>
                    <w:rPr>
                      <w:color w:val="auto"/>
                    </w:rPr>
                    <w:t>恶臭气体</w:t>
                  </w:r>
                  <w:r>
                    <w:rPr>
                      <w:rFonts w:hint="eastAsia"/>
                      <w:color w:val="auto"/>
                    </w:rPr>
                    <w:t>经</w:t>
                  </w:r>
                  <w:r>
                    <w:rPr>
                      <w:color w:val="auto"/>
                    </w:rPr>
                    <w:t>专用管道引入地表</w:t>
                  </w:r>
                  <w:r>
                    <w:rPr>
                      <w:rFonts w:hint="eastAsia"/>
                      <w:color w:val="auto"/>
                    </w:rPr>
                    <w:t>绿化带</w:t>
                  </w:r>
                  <w:r>
                    <w:rPr>
                      <w:color w:val="auto"/>
                    </w:rPr>
                    <w:t>排放</w:t>
                  </w:r>
                  <w:r>
                    <w:rPr>
                      <w:rFonts w:hint="eastAsia"/>
                      <w:color w:val="auto"/>
                    </w:rPr>
                    <w:t>，</w:t>
                  </w:r>
                  <w:r>
                    <w:rPr>
                      <w:color w:val="auto"/>
                    </w:rPr>
                    <w:t>污水处理站周围种植</w:t>
                  </w:r>
                  <w:r>
                    <w:rPr>
                      <w:rFonts w:hint="eastAsia"/>
                      <w:color w:val="auto"/>
                    </w:rPr>
                    <w:t>低矮灌丛</w:t>
                  </w:r>
                  <w:r>
                    <w:rPr>
                      <w:color w:val="auto"/>
                    </w:rPr>
                    <w:t>吸收恶臭气体</w:t>
                  </w:r>
                  <w:r>
                    <w:rPr>
                      <w:rFonts w:hint="eastAsia"/>
                      <w:color w:val="auto"/>
                    </w:rPr>
                    <w:t>；</w:t>
                  </w:r>
                </w:p>
              </w:tc>
              <w:tc>
                <w:tcPr>
                  <w:tcW w:w="3361" w:type="dxa"/>
                  <w:vMerge w:val="continue"/>
                  <w:vAlign w:val="center"/>
                </w:tcPr>
                <w:p>
                  <w:pPr>
                    <w:pStyle w:val="11"/>
                    <w:jc w:val="both"/>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71" w:type="dxa"/>
                  <w:vMerge w:val="continue"/>
                  <w:vAlign w:val="center"/>
                </w:tcPr>
                <w:p>
                  <w:pPr>
                    <w:pStyle w:val="11"/>
                    <w:jc w:val="both"/>
                    <w:rPr>
                      <w:color w:val="auto"/>
                    </w:rPr>
                  </w:pPr>
                </w:p>
              </w:tc>
              <w:tc>
                <w:tcPr>
                  <w:tcW w:w="4056" w:type="dxa"/>
                  <w:vAlign w:val="center"/>
                </w:tcPr>
                <w:p>
                  <w:pPr>
                    <w:pStyle w:val="11"/>
                    <w:jc w:val="both"/>
                    <w:rPr>
                      <w:color w:val="auto"/>
                    </w:rPr>
                  </w:pPr>
                  <w:r>
                    <w:rPr>
                      <w:color w:val="auto"/>
                    </w:rPr>
                    <w:t>食堂油烟</w:t>
                  </w:r>
                  <w:r>
                    <w:rPr>
                      <w:rFonts w:hint="eastAsia"/>
                      <w:color w:val="auto"/>
                    </w:rPr>
                    <w:t>：经油烟净化器处理后引入通风管道后排放</w:t>
                  </w:r>
                  <w:r>
                    <w:rPr>
                      <w:color w:val="auto"/>
                    </w:rPr>
                    <w:t>(风量按</w:t>
                  </w:r>
                  <w:r>
                    <w:rPr>
                      <w:rFonts w:hint="eastAsia"/>
                      <w:color w:val="auto"/>
                    </w:rPr>
                    <w:t>5000m</w:t>
                  </w:r>
                  <w:r>
                    <w:rPr>
                      <w:color w:val="auto"/>
                      <w:vertAlign w:val="superscript"/>
                    </w:rPr>
                    <w:t>3</w:t>
                  </w:r>
                  <w:r>
                    <w:rPr>
                      <w:color w:val="auto"/>
                    </w:rPr>
                    <w:t>/h计算）</w:t>
                  </w:r>
                  <w:r>
                    <w:rPr>
                      <w:rFonts w:hint="eastAsia"/>
                      <w:color w:val="auto"/>
                    </w:rPr>
                    <w:t>；</w:t>
                  </w:r>
                </w:p>
              </w:tc>
              <w:tc>
                <w:tcPr>
                  <w:tcW w:w="3361" w:type="dxa"/>
                  <w:vMerge w:val="continue"/>
                  <w:vAlign w:val="center"/>
                </w:tcPr>
                <w:p>
                  <w:pPr>
                    <w:pStyle w:val="11"/>
                    <w:jc w:val="both"/>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Align w:val="center"/>
                </w:tcPr>
                <w:p>
                  <w:pPr>
                    <w:pStyle w:val="11"/>
                    <w:jc w:val="center"/>
                    <w:rPr>
                      <w:color w:val="auto"/>
                    </w:rPr>
                  </w:pPr>
                  <w:r>
                    <w:rPr>
                      <w:color w:val="auto"/>
                    </w:rPr>
                    <w:t>噪声</w:t>
                  </w:r>
                </w:p>
                <w:p>
                  <w:pPr>
                    <w:pStyle w:val="11"/>
                    <w:jc w:val="center"/>
                    <w:rPr>
                      <w:color w:val="auto"/>
                    </w:rPr>
                  </w:pPr>
                  <w:r>
                    <w:rPr>
                      <w:color w:val="auto"/>
                    </w:rPr>
                    <w:t>处理措施</w:t>
                  </w:r>
                </w:p>
              </w:tc>
              <w:tc>
                <w:tcPr>
                  <w:tcW w:w="4056" w:type="dxa"/>
                  <w:vAlign w:val="center"/>
                </w:tcPr>
                <w:p>
                  <w:pPr>
                    <w:pStyle w:val="11"/>
                    <w:jc w:val="both"/>
                    <w:rPr>
                      <w:color w:val="auto"/>
                    </w:rPr>
                  </w:pPr>
                  <w:r>
                    <w:rPr>
                      <w:color w:val="auto"/>
                    </w:rPr>
                    <w:t>设置减震、消声装置，加强管理，避免设备不正常运转；</w:t>
                  </w:r>
                </w:p>
              </w:tc>
              <w:tc>
                <w:tcPr>
                  <w:tcW w:w="3361" w:type="dxa"/>
                  <w:vAlign w:val="center"/>
                </w:tcPr>
                <w:p>
                  <w:pPr>
                    <w:pStyle w:val="11"/>
                    <w:rPr>
                      <w:color w:val="auto"/>
                    </w:rPr>
                  </w:pPr>
                  <w:r>
                    <w:rPr>
                      <w:color w:val="auto"/>
                    </w:rPr>
                    <w:t>营运期执行《工业企业厂界环境噪声排放标准》（GB12348- 2008）3类标准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Merge w:val="restart"/>
                  <w:vAlign w:val="center"/>
                </w:tcPr>
                <w:p>
                  <w:pPr>
                    <w:pStyle w:val="11"/>
                    <w:jc w:val="center"/>
                    <w:rPr>
                      <w:color w:val="auto"/>
                    </w:rPr>
                  </w:pPr>
                  <w:r>
                    <w:rPr>
                      <w:color w:val="auto"/>
                    </w:rPr>
                    <w:t>固体废物</w:t>
                  </w:r>
                </w:p>
                <w:p>
                  <w:pPr>
                    <w:pStyle w:val="11"/>
                    <w:jc w:val="center"/>
                    <w:rPr>
                      <w:color w:val="auto"/>
                    </w:rPr>
                  </w:pPr>
                  <w:r>
                    <w:rPr>
                      <w:color w:val="auto"/>
                    </w:rPr>
                    <w:t>处理措施</w:t>
                  </w:r>
                </w:p>
              </w:tc>
              <w:tc>
                <w:tcPr>
                  <w:tcW w:w="4056" w:type="dxa"/>
                  <w:vAlign w:val="center"/>
                </w:tcPr>
                <w:p>
                  <w:pPr>
                    <w:pStyle w:val="11"/>
                    <w:jc w:val="both"/>
                    <w:rPr>
                      <w:color w:val="auto"/>
                    </w:rPr>
                  </w:pPr>
                  <w:r>
                    <w:rPr>
                      <w:color w:val="auto"/>
                    </w:rPr>
                    <w:t>设置固废储存区，其中一般固废储存区面积约</w:t>
                  </w:r>
                  <w:r>
                    <w:rPr>
                      <w:rFonts w:hint="eastAsia"/>
                      <w:color w:val="auto"/>
                    </w:rPr>
                    <w:t>200</w:t>
                  </w:r>
                  <w:r>
                    <w:rPr>
                      <w:color w:val="auto"/>
                    </w:rPr>
                    <w:t>m</w:t>
                  </w:r>
                  <w:r>
                    <w:rPr>
                      <w:color w:val="auto"/>
                      <w:vertAlign w:val="superscript"/>
                    </w:rPr>
                    <w:t>2</w:t>
                  </w:r>
                  <w:r>
                    <w:rPr>
                      <w:color w:val="auto"/>
                    </w:rPr>
                    <w:t>，位于</w:t>
                  </w:r>
                  <w:r>
                    <w:rPr>
                      <w:rFonts w:hint="eastAsia"/>
                      <w:color w:val="auto"/>
                    </w:rPr>
                    <w:t>4号</w:t>
                  </w:r>
                  <w:r>
                    <w:rPr>
                      <w:color w:val="auto"/>
                    </w:rPr>
                    <w:t>车间</w:t>
                  </w:r>
                  <w:r>
                    <w:rPr>
                      <w:rFonts w:hint="eastAsia"/>
                      <w:color w:val="auto"/>
                    </w:rPr>
                    <w:t>西南</w:t>
                  </w:r>
                  <w:r>
                    <w:rPr>
                      <w:color w:val="auto"/>
                    </w:rPr>
                    <w:t>侧</w:t>
                  </w:r>
                  <w:r>
                    <w:rPr>
                      <w:rFonts w:hint="eastAsia"/>
                      <w:color w:val="auto"/>
                    </w:rPr>
                    <w:t>；</w:t>
                  </w:r>
                </w:p>
              </w:tc>
              <w:tc>
                <w:tcPr>
                  <w:tcW w:w="3361" w:type="dxa"/>
                  <w:vMerge w:val="restart"/>
                  <w:vAlign w:val="center"/>
                </w:tcPr>
                <w:p>
                  <w:pPr>
                    <w:pStyle w:val="11"/>
                    <w:rPr>
                      <w:color w:val="auto"/>
                    </w:rPr>
                  </w:pPr>
                  <w:r>
                    <w:rPr>
                      <w:color w:val="auto"/>
                    </w:rPr>
                    <w:t>一般固废执行《一般工业固体废物贮存和填埋污染控制标准》（GB18599-20</w:t>
                  </w:r>
                  <w:r>
                    <w:rPr>
                      <w:rFonts w:hint="eastAsia"/>
                      <w:color w:val="auto"/>
                    </w:rPr>
                    <w:t>20</w:t>
                  </w:r>
                  <w:r>
                    <w:rPr>
                      <w:color w:val="auto"/>
                    </w:rPr>
                    <w:t>）；危险废物执行《危险废物贮存污染控制标准》（</w:t>
                  </w:r>
                  <w:r>
                    <w:rPr>
                      <w:rFonts w:hint="eastAsia"/>
                      <w:color w:val="auto"/>
                    </w:rPr>
                    <w:t>GB18597-2023</w:t>
                  </w:r>
                  <w:r>
                    <w:rPr>
                      <w:color w:val="auto"/>
                    </w:rPr>
                    <w:t>）相关要求。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Merge w:val="continue"/>
                  <w:vAlign w:val="center"/>
                </w:tcPr>
                <w:p>
                  <w:pPr>
                    <w:pStyle w:val="11"/>
                    <w:jc w:val="center"/>
                    <w:rPr>
                      <w:color w:val="auto"/>
                    </w:rPr>
                  </w:pPr>
                </w:p>
              </w:tc>
              <w:tc>
                <w:tcPr>
                  <w:tcW w:w="4056" w:type="dxa"/>
                  <w:vAlign w:val="center"/>
                </w:tcPr>
                <w:p>
                  <w:pPr>
                    <w:pStyle w:val="11"/>
                    <w:jc w:val="both"/>
                    <w:rPr>
                      <w:color w:val="auto"/>
                    </w:rPr>
                  </w:pPr>
                  <w:r>
                    <w:rPr>
                      <w:rFonts w:hint="eastAsia"/>
                      <w:color w:val="auto"/>
                    </w:rPr>
                    <w:t>危废暂存间</w:t>
                  </w:r>
                  <w:r>
                    <w:rPr>
                      <w:color w:val="auto"/>
                    </w:rPr>
                    <w:t>面积约为</w:t>
                  </w:r>
                  <w:r>
                    <w:rPr>
                      <w:rFonts w:hint="eastAsia"/>
                      <w:color w:val="auto"/>
                    </w:rPr>
                    <w:t>2</w:t>
                  </w:r>
                  <w:r>
                    <w:rPr>
                      <w:color w:val="auto"/>
                    </w:rPr>
                    <w:t>0m</w:t>
                  </w:r>
                  <w:r>
                    <w:rPr>
                      <w:color w:val="auto"/>
                      <w:vertAlign w:val="superscript"/>
                    </w:rPr>
                    <w:t>2</w:t>
                  </w:r>
                  <w:r>
                    <w:rPr>
                      <w:color w:val="auto"/>
                    </w:rPr>
                    <w:t>，位于</w:t>
                  </w:r>
                  <w:r>
                    <w:rPr>
                      <w:rFonts w:hint="eastAsia"/>
                      <w:color w:val="auto"/>
                    </w:rPr>
                    <w:t>机修车间西南侧</w:t>
                  </w:r>
                  <w:r>
                    <w:rPr>
                      <w:color w:val="auto"/>
                    </w:rPr>
                    <w:t>，委托有资质的单位处置，要求按照《危险废物贮存污染控制标准》（GB18597）的规定，做好防风、防雨、防晒、防渗漏“四防”措施。</w:t>
                  </w:r>
                </w:p>
              </w:tc>
              <w:tc>
                <w:tcPr>
                  <w:tcW w:w="3361" w:type="dxa"/>
                  <w:vMerge w:val="continue"/>
                  <w:vAlign w:val="center"/>
                </w:tcPr>
                <w:p>
                  <w:pPr>
                    <w:pStyle w:val="11"/>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Merge w:val="continue"/>
                  <w:vAlign w:val="center"/>
                </w:tcPr>
                <w:p>
                  <w:pPr>
                    <w:pStyle w:val="11"/>
                    <w:jc w:val="both"/>
                    <w:rPr>
                      <w:color w:val="auto"/>
                    </w:rPr>
                  </w:pPr>
                </w:p>
              </w:tc>
              <w:tc>
                <w:tcPr>
                  <w:tcW w:w="4056" w:type="dxa"/>
                  <w:vAlign w:val="center"/>
                </w:tcPr>
                <w:p>
                  <w:pPr>
                    <w:pStyle w:val="11"/>
                    <w:jc w:val="both"/>
                    <w:rPr>
                      <w:color w:val="auto"/>
                    </w:rPr>
                  </w:pPr>
                  <w:r>
                    <w:rPr>
                      <w:color w:val="auto"/>
                    </w:rPr>
                    <w:t>车间</w:t>
                  </w:r>
                  <w:r>
                    <w:rPr>
                      <w:bCs/>
                      <w:color w:val="auto"/>
                      <w:spacing w:val="-10"/>
                    </w:rPr>
                    <w:t>废水循环回用处理系统定期处理清洗废水处理过程中产生的泥沙；</w:t>
                  </w:r>
                </w:p>
              </w:tc>
              <w:tc>
                <w:tcPr>
                  <w:tcW w:w="3361" w:type="dxa"/>
                  <w:vMerge w:val="continue"/>
                  <w:vAlign w:val="center"/>
                </w:tcPr>
                <w:p>
                  <w:pPr>
                    <w:pStyle w:val="11"/>
                    <w:jc w:val="both"/>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Align w:val="center"/>
                </w:tcPr>
                <w:p>
                  <w:pPr>
                    <w:pStyle w:val="11"/>
                    <w:jc w:val="center"/>
                    <w:rPr>
                      <w:color w:val="auto"/>
                    </w:rPr>
                  </w:pPr>
                  <w:r>
                    <w:rPr>
                      <w:color w:val="auto"/>
                    </w:rPr>
                    <w:t>环境风险</w:t>
                  </w:r>
                </w:p>
              </w:tc>
              <w:tc>
                <w:tcPr>
                  <w:tcW w:w="4056" w:type="dxa"/>
                  <w:vAlign w:val="center"/>
                </w:tcPr>
                <w:p>
                  <w:pPr>
                    <w:pStyle w:val="11"/>
                    <w:jc w:val="both"/>
                    <w:rPr>
                      <w:color w:val="auto"/>
                    </w:rPr>
                  </w:pPr>
                  <w:r>
                    <w:rPr>
                      <w:color w:val="auto"/>
                    </w:rPr>
                    <w:t>①要求企业强化风险意识②对各类原料的包装须定期进行检查。③要求厂区内设置危险废物贮存场所。④要求企业定期对企业雨污管道、生活污水治理设施、废气收集及处理设施等环保设施进行维护、修理。⑤要求企业重视安全措施建设</w:t>
                  </w:r>
                </w:p>
              </w:tc>
              <w:tc>
                <w:tcPr>
                  <w:tcW w:w="3361" w:type="dxa"/>
                  <w:vAlign w:val="center"/>
                </w:tcPr>
                <w:p>
                  <w:pPr>
                    <w:pStyle w:val="11"/>
                    <w:jc w:val="center"/>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dxa"/>
                  <w:vAlign w:val="center"/>
                </w:tcPr>
                <w:p>
                  <w:pPr>
                    <w:pStyle w:val="11"/>
                    <w:jc w:val="center"/>
                    <w:rPr>
                      <w:color w:val="auto"/>
                    </w:rPr>
                  </w:pPr>
                  <w:r>
                    <w:rPr>
                      <w:color w:val="auto"/>
                    </w:rPr>
                    <w:t>环境管理</w:t>
                  </w:r>
                </w:p>
              </w:tc>
              <w:tc>
                <w:tcPr>
                  <w:tcW w:w="4056" w:type="dxa"/>
                  <w:vAlign w:val="center"/>
                </w:tcPr>
                <w:p>
                  <w:pPr>
                    <w:pStyle w:val="11"/>
                    <w:jc w:val="both"/>
                    <w:rPr>
                      <w:color w:val="auto"/>
                    </w:rPr>
                  </w:pPr>
                  <w:r>
                    <w:rPr>
                      <w:color w:val="auto"/>
                    </w:rPr>
                    <w:t>加强管理后，安排工作人员定期检查</w:t>
                  </w:r>
                </w:p>
              </w:tc>
              <w:tc>
                <w:tcPr>
                  <w:tcW w:w="3361" w:type="dxa"/>
                  <w:vAlign w:val="center"/>
                </w:tcPr>
                <w:p>
                  <w:pPr>
                    <w:pStyle w:val="11"/>
                    <w:jc w:val="center"/>
                    <w:rPr>
                      <w:color w:val="auto"/>
                    </w:rPr>
                  </w:pPr>
                  <w:r>
                    <w:rPr>
                      <w:color w:val="auto"/>
                    </w:rPr>
                    <w:t>/</w:t>
                  </w: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tc>
      </w:tr>
    </w:tbl>
    <w:p>
      <w:pPr>
        <w:adjustRightInd w:val="0"/>
        <w:snapToGrid w:val="0"/>
        <w:rPr>
          <w:b/>
          <w:kern w:val="0"/>
          <w:sz w:val="28"/>
          <w:szCs w:val="28"/>
        </w:rPr>
        <w:sectPr>
          <w:pgSz w:w="11907" w:h="16840"/>
          <w:pgMar w:top="1440" w:right="1080" w:bottom="1440" w:left="1080" w:header="851" w:footer="851" w:gutter="0"/>
          <w:cols w:space="720" w:num="1"/>
          <w:docGrid w:linePitch="312" w:charSpace="0"/>
        </w:sectPr>
      </w:pPr>
    </w:p>
    <w:p>
      <w:pPr>
        <w:pStyle w:val="2"/>
        <w:ind w:firstLine="602"/>
        <w:rPr>
          <w:color w:val="auto"/>
        </w:rPr>
      </w:pPr>
      <w:bookmarkStart w:id="14" w:name="_Toc16308"/>
      <w:r>
        <w:rPr>
          <w:color w:val="auto"/>
        </w:rPr>
        <w:t>五、</w:t>
      </w:r>
      <w:bookmarkStart w:id="15" w:name="_Hlk54167917"/>
      <w:r>
        <w:rPr>
          <w:color w:val="auto"/>
        </w:rPr>
        <w:t>环境保护措施监督检查清单</w:t>
      </w:r>
      <w:bookmarkEnd w:id="14"/>
      <w:bookmarkEnd w:id="15"/>
    </w:p>
    <w:tbl>
      <w:tblPr>
        <w:tblStyle w:val="7"/>
        <w:tblW w:w="10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838"/>
        <w:gridCol w:w="1275"/>
        <w:gridCol w:w="2475"/>
        <w:gridCol w:w="3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tcBorders>
              <w:tl2br w:val="single" w:color="auto" w:sz="4" w:space="0"/>
            </w:tcBorders>
            <w:vAlign w:val="center"/>
          </w:tcPr>
          <w:p>
            <w:pPr>
              <w:spacing w:line="240" w:lineRule="auto"/>
              <w:ind w:firstLine="0" w:firstLineChars="0"/>
              <w:jc w:val="right"/>
              <w:rPr>
                <w:b/>
                <w:bCs/>
                <w:sz w:val="21"/>
                <w:szCs w:val="21"/>
              </w:rPr>
            </w:pPr>
            <w:r>
              <w:rPr>
                <w:b/>
                <w:bCs/>
                <w:sz w:val="21"/>
                <w:szCs w:val="21"/>
              </w:rPr>
              <w:t>内容</w:t>
            </w:r>
          </w:p>
          <w:p>
            <w:pPr>
              <w:spacing w:line="240" w:lineRule="auto"/>
              <w:ind w:firstLine="0" w:firstLineChars="0"/>
              <w:jc w:val="left"/>
              <w:rPr>
                <w:b/>
                <w:bCs/>
                <w:sz w:val="21"/>
                <w:szCs w:val="21"/>
              </w:rPr>
            </w:pPr>
            <w:r>
              <w:rPr>
                <w:b/>
                <w:bCs/>
                <w:sz w:val="21"/>
                <w:szCs w:val="21"/>
              </w:rPr>
              <w:t>要素</w:t>
            </w:r>
          </w:p>
        </w:tc>
        <w:tc>
          <w:tcPr>
            <w:tcW w:w="1838" w:type="dxa"/>
            <w:vAlign w:val="center"/>
          </w:tcPr>
          <w:p>
            <w:pPr>
              <w:spacing w:line="240" w:lineRule="auto"/>
              <w:ind w:firstLine="0" w:firstLineChars="0"/>
              <w:jc w:val="center"/>
              <w:rPr>
                <w:b/>
                <w:bCs/>
                <w:sz w:val="21"/>
                <w:szCs w:val="21"/>
              </w:rPr>
            </w:pPr>
            <w:r>
              <w:rPr>
                <w:b/>
                <w:bCs/>
                <w:sz w:val="21"/>
                <w:szCs w:val="21"/>
              </w:rPr>
              <w:t>排放口（编号</w:t>
            </w:r>
            <w:r>
              <w:rPr>
                <w:rFonts w:hint="eastAsia"/>
                <w:b/>
                <w:bCs/>
                <w:sz w:val="21"/>
                <w:szCs w:val="21"/>
              </w:rPr>
              <w:t>、</w:t>
            </w:r>
            <w:r>
              <w:rPr>
                <w:b/>
                <w:bCs/>
                <w:sz w:val="21"/>
                <w:szCs w:val="21"/>
              </w:rPr>
              <w:t>名称）</w:t>
            </w:r>
            <w:r>
              <w:rPr>
                <w:rFonts w:hint="eastAsia"/>
                <w:b/>
                <w:bCs/>
                <w:sz w:val="21"/>
                <w:szCs w:val="21"/>
              </w:rPr>
              <w:t>/</w:t>
            </w:r>
            <w:r>
              <w:rPr>
                <w:b/>
                <w:bCs/>
                <w:sz w:val="21"/>
                <w:szCs w:val="21"/>
              </w:rPr>
              <w:t>污染源</w:t>
            </w:r>
          </w:p>
        </w:tc>
        <w:tc>
          <w:tcPr>
            <w:tcW w:w="1275" w:type="dxa"/>
            <w:vAlign w:val="center"/>
          </w:tcPr>
          <w:p>
            <w:pPr>
              <w:spacing w:line="240" w:lineRule="auto"/>
              <w:ind w:firstLine="0" w:firstLineChars="0"/>
              <w:jc w:val="center"/>
              <w:rPr>
                <w:b/>
                <w:bCs/>
                <w:sz w:val="21"/>
                <w:szCs w:val="21"/>
              </w:rPr>
            </w:pPr>
            <w:r>
              <w:rPr>
                <w:b/>
                <w:bCs/>
                <w:sz w:val="21"/>
                <w:szCs w:val="21"/>
              </w:rPr>
              <w:t>污染物</w:t>
            </w:r>
          </w:p>
        </w:tc>
        <w:tc>
          <w:tcPr>
            <w:tcW w:w="2475" w:type="dxa"/>
            <w:vAlign w:val="center"/>
          </w:tcPr>
          <w:p>
            <w:pPr>
              <w:spacing w:line="240" w:lineRule="auto"/>
              <w:ind w:firstLine="0" w:firstLineChars="0"/>
              <w:jc w:val="center"/>
              <w:rPr>
                <w:b/>
                <w:bCs/>
                <w:sz w:val="21"/>
                <w:szCs w:val="21"/>
              </w:rPr>
            </w:pPr>
            <w:r>
              <w:rPr>
                <w:b/>
                <w:bCs/>
                <w:sz w:val="21"/>
                <w:szCs w:val="21"/>
              </w:rPr>
              <w:t>项目环境保护措施</w:t>
            </w:r>
          </w:p>
        </w:tc>
        <w:tc>
          <w:tcPr>
            <w:tcW w:w="3680" w:type="dxa"/>
            <w:vAlign w:val="center"/>
          </w:tcPr>
          <w:p>
            <w:pPr>
              <w:spacing w:line="240" w:lineRule="auto"/>
              <w:ind w:firstLine="0" w:firstLineChars="0"/>
              <w:jc w:val="center"/>
              <w:rPr>
                <w:b/>
                <w:bCs/>
                <w:sz w:val="21"/>
                <w:szCs w:val="21"/>
              </w:rPr>
            </w:pPr>
            <w:r>
              <w:rPr>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Merge w:val="restart"/>
            <w:vAlign w:val="center"/>
          </w:tcPr>
          <w:p>
            <w:pPr>
              <w:pStyle w:val="11"/>
            </w:pPr>
            <w:r>
              <w:t>大气环境</w:t>
            </w:r>
          </w:p>
        </w:tc>
        <w:tc>
          <w:tcPr>
            <w:tcW w:w="1838" w:type="dxa"/>
            <w:vAlign w:val="center"/>
          </w:tcPr>
          <w:p>
            <w:pPr>
              <w:pStyle w:val="11"/>
              <w:jc w:val="center"/>
            </w:pPr>
            <w:r>
              <w:rPr>
                <w:rFonts w:hint="eastAsia"/>
              </w:rPr>
              <w:t>天然气燃烧废气</w:t>
            </w:r>
          </w:p>
        </w:tc>
        <w:tc>
          <w:tcPr>
            <w:tcW w:w="1275" w:type="dxa"/>
            <w:vAlign w:val="center"/>
          </w:tcPr>
          <w:p>
            <w:pPr>
              <w:pStyle w:val="11"/>
              <w:jc w:val="center"/>
            </w:pPr>
            <w:r>
              <w:t>SO</w:t>
            </w:r>
            <w:r>
              <w:rPr>
                <w:vertAlign w:val="subscript"/>
              </w:rPr>
              <w:t>2</w:t>
            </w:r>
            <w:r>
              <w:rPr>
                <w:rFonts w:hint="eastAsia"/>
              </w:rPr>
              <w:t>、</w:t>
            </w:r>
            <w:r>
              <w:t>颗粒物</w:t>
            </w:r>
            <w:r>
              <w:rPr>
                <w:rFonts w:hint="eastAsia"/>
              </w:rPr>
              <w:t>、</w:t>
            </w:r>
            <w:r>
              <w:t>NO</w:t>
            </w:r>
            <w:r>
              <w:rPr>
                <w:vertAlign w:val="subscript"/>
              </w:rPr>
              <w:t>X</w:t>
            </w:r>
          </w:p>
        </w:tc>
        <w:tc>
          <w:tcPr>
            <w:tcW w:w="2475" w:type="dxa"/>
            <w:vAlign w:val="center"/>
          </w:tcPr>
          <w:p>
            <w:pPr>
              <w:pStyle w:val="11"/>
              <w:jc w:val="center"/>
            </w:pPr>
            <w:r>
              <w:rPr>
                <w:rFonts w:hint="eastAsia"/>
              </w:rPr>
              <w:t>锅炉配套低氮燃烧器+12m高</w:t>
            </w:r>
            <w:r>
              <w:t>排气筒</w:t>
            </w:r>
            <w:r>
              <w:rPr>
                <w:rFonts w:hint="eastAsia"/>
              </w:rPr>
              <w:t>；</w:t>
            </w:r>
          </w:p>
        </w:tc>
        <w:tc>
          <w:tcPr>
            <w:tcW w:w="3680" w:type="dxa"/>
            <w:vAlign w:val="center"/>
          </w:tcPr>
          <w:p>
            <w:pPr>
              <w:pStyle w:val="11"/>
              <w:jc w:val="center"/>
            </w:pPr>
            <w:r>
              <w:t>《锅炉大气污染物排放标准》（GB13271-2014）中相关排放限值</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Merge w:val="continue"/>
            <w:vAlign w:val="center"/>
          </w:tcPr>
          <w:p>
            <w:pPr>
              <w:pStyle w:val="11"/>
            </w:pPr>
          </w:p>
        </w:tc>
        <w:tc>
          <w:tcPr>
            <w:tcW w:w="1838" w:type="dxa"/>
            <w:vAlign w:val="center"/>
          </w:tcPr>
          <w:p>
            <w:pPr>
              <w:pStyle w:val="11"/>
              <w:jc w:val="center"/>
            </w:pPr>
            <w:r>
              <w:t>油炸油烟废气</w:t>
            </w:r>
          </w:p>
          <w:p>
            <w:pPr>
              <w:pStyle w:val="11"/>
              <w:jc w:val="center"/>
              <w:rPr>
                <w:rFonts w:hint="eastAsia" w:eastAsia="宋体"/>
                <w:lang w:eastAsia="zh-CN"/>
              </w:rPr>
            </w:pPr>
            <w:r>
              <w:rPr>
                <w:rFonts w:hint="eastAsia"/>
                <w:lang w:eastAsia="zh-CN"/>
              </w:rPr>
              <w:t>（</w:t>
            </w:r>
            <w:r>
              <w:rPr>
                <w:rFonts w:hint="eastAsia"/>
                <w:lang w:val="en-US" w:eastAsia="zh-CN"/>
              </w:rPr>
              <w:t>红烧肉车间</w:t>
            </w:r>
            <w:r>
              <w:rPr>
                <w:rFonts w:hint="eastAsia"/>
                <w:lang w:eastAsia="zh-CN"/>
              </w:rPr>
              <w:t>）</w:t>
            </w:r>
          </w:p>
        </w:tc>
        <w:tc>
          <w:tcPr>
            <w:tcW w:w="1275" w:type="dxa"/>
            <w:vAlign w:val="center"/>
          </w:tcPr>
          <w:p>
            <w:pPr>
              <w:pStyle w:val="11"/>
              <w:jc w:val="center"/>
            </w:pPr>
            <w:r>
              <w:rPr>
                <w:rFonts w:hint="eastAsia"/>
              </w:rPr>
              <w:t>油烟</w:t>
            </w:r>
          </w:p>
        </w:tc>
        <w:tc>
          <w:tcPr>
            <w:tcW w:w="2475" w:type="dxa"/>
            <w:vAlign w:val="center"/>
          </w:tcPr>
          <w:p>
            <w:pPr>
              <w:pStyle w:val="11"/>
              <w:jc w:val="center"/>
            </w:pPr>
            <w:r>
              <w:t>集气罩+</w:t>
            </w:r>
            <w:r>
              <w:rPr>
                <w:rFonts w:hint="eastAsia"/>
              </w:rPr>
              <w:t>高效静电除油净化装置</w:t>
            </w:r>
            <w:r>
              <w:t>+</w:t>
            </w:r>
            <w:r>
              <w:rPr>
                <w:rFonts w:hint="eastAsia"/>
              </w:rPr>
              <w:t>18m高</w:t>
            </w:r>
            <w:r>
              <w:t>排气筒</w:t>
            </w:r>
            <w:r>
              <w:rPr>
                <w:rFonts w:hint="eastAsia"/>
              </w:rPr>
              <w:t>；</w:t>
            </w:r>
          </w:p>
        </w:tc>
        <w:tc>
          <w:tcPr>
            <w:tcW w:w="3680" w:type="dxa"/>
            <w:vMerge w:val="restart"/>
            <w:vAlign w:val="center"/>
          </w:tcPr>
          <w:p>
            <w:pPr>
              <w:pStyle w:val="11"/>
              <w:jc w:val="center"/>
            </w:pPr>
            <w:r>
              <w:rPr>
                <w:rFonts w:hint="eastAsia"/>
              </w:rPr>
              <w:t>《</w:t>
            </w:r>
            <w:r>
              <w:t>饮食业油烟排放标准</w:t>
            </w:r>
            <w:r>
              <w:rPr>
                <w:rFonts w:hint="eastAsia"/>
              </w:rPr>
              <w:t>》</w:t>
            </w:r>
            <w:r>
              <w:t>（GB18483-2001）表2中最高允许排放限值</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Merge w:val="continue"/>
            <w:vAlign w:val="center"/>
          </w:tcPr>
          <w:p>
            <w:pPr>
              <w:pStyle w:val="11"/>
            </w:pPr>
          </w:p>
        </w:tc>
        <w:tc>
          <w:tcPr>
            <w:tcW w:w="1838" w:type="dxa"/>
            <w:vAlign w:val="center"/>
          </w:tcPr>
          <w:p>
            <w:pPr>
              <w:pStyle w:val="11"/>
              <w:jc w:val="center"/>
            </w:pPr>
            <w:r>
              <w:t>油炸油烟废气</w:t>
            </w:r>
          </w:p>
          <w:p>
            <w:pPr>
              <w:pStyle w:val="11"/>
              <w:jc w:val="center"/>
            </w:pPr>
            <w:r>
              <w:rPr>
                <w:rFonts w:hint="eastAsia"/>
                <w:lang w:eastAsia="zh-CN"/>
              </w:rPr>
              <w:t>（</w:t>
            </w:r>
            <w:r>
              <w:rPr>
                <w:rFonts w:hint="eastAsia"/>
                <w:lang w:val="en-US" w:eastAsia="zh-CN"/>
              </w:rPr>
              <w:t>小酥肉车间</w:t>
            </w:r>
            <w:r>
              <w:rPr>
                <w:rFonts w:hint="eastAsia"/>
                <w:lang w:eastAsia="zh-CN"/>
              </w:rPr>
              <w:t>）</w:t>
            </w:r>
          </w:p>
        </w:tc>
        <w:tc>
          <w:tcPr>
            <w:tcW w:w="1275" w:type="dxa"/>
            <w:vAlign w:val="center"/>
          </w:tcPr>
          <w:p>
            <w:pPr>
              <w:pStyle w:val="11"/>
              <w:jc w:val="center"/>
              <w:rPr>
                <w:rFonts w:hint="eastAsia"/>
              </w:rPr>
            </w:pPr>
            <w:r>
              <w:rPr>
                <w:rFonts w:hint="eastAsia"/>
              </w:rPr>
              <w:t>油烟</w:t>
            </w:r>
          </w:p>
        </w:tc>
        <w:tc>
          <w:tcPr>
            <w:tcW w:w="2475" w:type="dxa"/>
            <w:vAlign w:val="center"/>
          </w:tcPr>
          <w:p>
            <w:pPr>
              <w:pStyle w:val="11"/>
              <w:jc w:val="center"/>
            </w:pPr>
            <w:r>
              <w:t>集气罩+</w:t>
            </w:r>
            <w:r>
              <w:rPr>
                <w:rFonts w:hint="eastAsia"/>
              </w:rPr>
              <w:t>高效静电除油净化装置</w:t>
            </w:r>
            <w:r>
              <w:t>+</w:t>
            </w:r>
            <w:r>
              <w:rPr>
                <w:rFonts w:hint="eastAsia"/>
              </w:rPr>
              <w:t>18m高</w:t>
            </w:r>
            <w:r>
              <w:t>排气筒</w:t>
            </w:r>
            <w:r>
              <w:rPr>
                <w:rFonts w:hint="eastAsia"/>
              </w:rPr>
              <w:t>；</w:t>
            </w:r>
          </w:p>
        </w:tc>
        <w:tc>
          <w:tcPr>
            <w:tcW w:w="3680" w:type="dxa"/>
            <w:vMerge w:val="continue"/>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Merge w:val="continue"/>
            <w:vAlign w:val="center"/>
          </w:tcPr>
          <w:p>
            <w:pPr>
              <w:pStyle w:val="11"/>
            </w:pPr>
          </w:p>
        </w:tc>
        <w:tc>
          <w:tcPr>
            <w:tcW w:w="1838" w:type="dxa"/>
            <w:vAlign w:val="center"/>
          </w:tcPr>
          <w:p>
            <w:pPr>
              <w:pStyle w:val="11"/>
              <w:jc w:val="center"/>
            </w:pPr>
            <w:r>
              <w:rPr>
                <w:rFonts w:hint="eastAsia"/>
                <w:lang w:val="en-US" w:eastAsia="zh-CN"/>
              </w:rPr>
              <w:t>烘烤</w:t>
            </w:r>
            <w:r>
              <w:t>油烟废气</w:t>
            </w:r>
          </w:p>
          <w:p>
            <w:pPr>
              <w:pStyle w:val="11"/>
              <w:jc w:val="center"/>
              <w:rPr>
                <w:rFonts w:hint="default"/>
                <w:lang w:val="en-US" w:eastAsia="zh-CN"/>
              </w:rPr>
            </w:pPr>
            <w:r>
              <w:rPr>
                <w:rFonts w:hint="eastAsia"/>
                <w:lang w:val="en-US" w:eastAsia="zh-CN"/>
              </w:rPr>
              <w:t>（灯影牛肉车间）</w:t>
            </w:r>
          </w:p>
        </w:tc>
        <w:tc>
          <w:tcPr>
            <w:tcW w:w="1275" w:type="dxa"/>
            <w:vAlign w:val="center"/>
          </w:tcPr>
          <w:p>
            <w:pPr>
              <w:pStyle w:val="11"/>
              <w:jc w:val="center"/>
              <w:rPr>
                <w:rFonts w:hint="eastAsia" w:ascii="Times New Roman" w:hAnsi="Times New Roman" w:eastAsia="宋体" w:cs="Times New Roman"/>
                <w:sz w:val="21"/>
                <w:szCs w:val="21"/>
                <w:lang w:val="en-US" w:eastAsia="zh-CN" w:bidi="ar-SA"/>
              </w:rPr>
            </w:pPr>
            <w:r>
              <w:rPr>
                <w:rFonts w:hint="eastAsia"/>
              </w:rPr>
              <w:t>油烟</w:t>
            </w:r>
          </w:p>
        </w:tc>
        <w:tc>
          <w:tcPr>
            <w:tcW w:w="2475" w:type="dxa"/>
            <w:vAlign w:val="center"/>
          </w:tcPr>
          <w:p>
            <w:pPr>
              <w:pStyle w:val="11"/>
              <w:jc w:val="center"/>
            </w:pPr>
            <w:r>
              <w:t>集气罩+</w:t>
            </w:r>
            <w:r>
              <w:rPr>
                <w:rFonts w:hint="eastAsia"/>
              </w:rPr>
              <w:t>高效静电除油净化装置</w:t>
            </w:r>
            <w:r>
              <w:t>+</w:t>
            </w:r>
            <w:r>
              <w:rPr>
                <w:rFonts w:hint="eastAsia"/>
              </w:rPr>
              <w:t>18m高</w:t>
            </w:r>
            <w:r>
              <w:t>排气筒</w:t>
            </w:r>
            <w:r>
              <w:rPr>
                <w:rFonts w:hint="eastAsia"/>
              </w:rPr>
              <w:t>；</w:t>
            </w:r>
          </w:p>
        </w:tc>
        <w:tc>
          <w:tcPr>
            <w:tcW w:w="3680" w:type="dxa"/>
            <w:vMerge w:val="continue"/>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Merge w:val="continue"/>
            <w:vAlign w:val="center"/>
          </w:tcPr>
          <w:p>
            <w:pPr>
              <w:pStyle w:val="11"/>
            </w:pPr>
          </w:p>
        </w:tc>
        <w:tc>
          <w:tcPr>
            <w:tcW w:w="1838" w:type="dxa"/>
            <w:vAlign w:val="center"/>
          </w:tcPr>
          <w:p>
            <w:pPr>
              <w:pStyle w:val="11"/>
              <w:jc w:val="center"/>
              <w:rPr>
                <w:rFonts w:hint="eastAsia"/>
                <w:lang w:eastAsia="zh-CN"/>
              </w:rPr>
            </w:pPr>
            <w:r>
              <w:rPr>
                <w:rFonts w:hint="eastAsia"/>
                <w:lang w:val="en-US" w:eastAsia="zh-CN"/>
              </w:rPr>
              <w:t>炒制、烘烤</w:t>
            </w:r>
            <w:r>
              <w:t>油烟废气</w:t>
            </w:r>
            <w:r>
              <w:rPr>
                <w:rFonts w:hint="eastAsia"/>
                <w:lang w:val="en-US" w:eastAsia="zh-CN"/>
              </w:rPr>
              <w:t>（牛肉干车间）</w:t>
            </w:r>
          </w:p>
        </w:tc>
        <w:tc>
          <w:tcPr>
            <w:tcW w:w="1275" w:type="dxa"/>
            <w:vAlign w:val="center"/>
          </w:tcPr>
          <w:p>
            <w:pPr>
              <w:pStyle w:val="11"/>
              <w:jc w:val="center"/>
              <w:rPr>
                <w:rFonts w:hint="eastAsia" w:ascii="Times New Roman" w:hAnsi="Times New Roman" w:eastAsia="宋体" w:cs="Times New Roman"/>
                <w:sz w:val="21"/>
                <w:szCs w:val="21"/>
                <w:lang w:val="en-US" w:eastAsia="zh-CN" w:bidi="ar-SA"/>
              </w:rPr>
            </w:pPr>
            <w:r>
              <w:rPr>
                <w:rFonts w:hint="eastAsia"/>
              </w:rPr>
              <w:t>油烟</w:t>
            </w:r>
          </w:p>
        </w:tc>
        <w:tc>
          <w:tcPr>
            <w:tcW w:w="2475" w:type="dxa"/>
            <w:vAlign w:val="center"/>
          </w:tcPr>
          <w:p>
            <w:pPr>
              <w:pStyle w:val="11"/>
              <w:jc w:val="center"/>
            </w:pPr>
            <w:r>
              <w:t>集气罩+</w:t>
            </w:r>
            <w:r>
              <w:rPr>
                <w:rFonts w:hint="eastAsia"/>
              </w:rPr>
              <w:t>高效静电除油净化装置</w:t>
            </w:r>
            <w:r>
              <w:t>+</w:t>
            </w:r>
            <w:r>
              <w:rPr>
                <w:rFonts w:hint="eastAsia"/>
              </w:rPr>
              <w:t>18m高</w:t>
            </w:r>
            <w:r>
              <w:t>排气筒</w:t>
            </w:r>
            <w:r>
              <w:rPr>
                <w:rFonts w:hint="eastAsia"/>
              </w:rPr>
              <w:t>；</w:t>
            </w:r>
          </w:p>
        </w:tc>
        <w:tc>
          <w:tcPr>
            <w:tcW w:w="3680" w:type="dxa"/>
            <w:vMerge w:val="continue"/>
            <w:vAlign w:val="center"/>
          </w:tcPr>
          <w:p>
            <w:pPr>
              <w:pStyle w:val="11"/>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Merge w:val="continue"/>
            <w:vAlign w:val="center"/>
          </w:tcPr>
          <w:p>
            <w:pPr>
              <w:pStyle w:val="11"/>
            </w:pPr>
          </w:p>
        </w:tc>
        <w:tc>
          <w:tcPr>
            <w:tcW w:w="1838" w:type="dxa"/>
            <w:vAlign w:val="center"/>
          </w:tcPr>
          <w:p>
            <w:pPr>
              <w:pStyle w:val="11"/>
              <w:jc w:val="center"/>
            </w:pPr>
            <w:r>
              <w:t>污水处理站恶臭气体</w:t>
            </w:r>
          </w:p>
        </w:tc>
        <w:tc>
          <w:tcPr>
            <w:tcW w:w="1275" w:type="dxa"/>
            <w:vAlign w:val="center"/>
          </w:tcPr>
          <w:p>
            <w:pPr>
              <w:pStyle w:val="11"/>
              <w:jc w:val="center"/>
            </w:pPr>
            <w:r>
              <w:rPr>
                <w:rFonts w:hint="eastAsia"/>
              </w:rPr>
              <w:t>H</w:t>
            </w:r>
            <w:r>
              <w:rPr>
                <w:rFonts w:hint="eastAsia"/>
                <w:vertAlign w:val="subscript"/>
              </w:rPr>
              <w:t>2</w:t>
            </w:r>
            <w:r>
              <w:rPr>
                <w:rFonts w:hint="eastAsia"/>
              </w:rPr>
              <w:t>S、NH</w:t>
            </w:r>
            <w:r>
              <w:rPr>
                <w:rFonts w:hint="eastAsia"/>
                <w:vertAlign w:val="subscript"/>
              </w:rPr>
              <w:t>3</w:t>
            </w:r>
          </w:p>
        </w:tc>
        <w:tc>
          <w:tcPr>
            <w:tcW w:w="2475" w:type="dxa"/>
            <w:vAlign w:val="center"/>
          </w:tcPr>
          <w:p>
            <w:pPr>
              <w:pStyle w:val="11"/>
              <w:jc w:val="center"/>
            </w:pPr>
            <w:r>
              <w:rPr>
                <w:rFonts w:hint="eastAsia"/>
              </w:rPr>
              <w:t>定期清理栅渣、污泥，污水处理构筑物全封闭式，污水处理站周围种植低矮灌丛吸收臭气，加强对污水处理站的管理；</w:t>
            </w:r>
          </w:p>
        </w:tc>
        <w:tc>
          <w:tcPr>
            <w:tcW w:w="3680" w:type="dxa"/>
            <w:vAlign w:val="center"/>
          </w:tcPr>
          <w:p>
            <w:pPr>
              <w:pStyle w:val="11"/>
              <w:jc w:val="center"/>
            </w:pPr>
            <w:r>
              <w:rPr>
                <w:rFonts w:hint="eastAsia"/>
              </w:rPr>
              <w:t>《恶臭污染物排放标准》</w:t>
            </w:r>
          </w:p>
          <w:p>
            <w:pPr>
              <w:pStyle w:val="11"/>
              <w:jc w:val="center"/>
            </w:pPr>
            <w:r>
              <w:rPr>
                <w:rFonts w:hint="eastAsia"/>
              </w:rPr>
              <w:t>（GB14554-93）</w:t>
            </w:r>
            <w:r>
              <w:t>中相关排放限值</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Merge w:val="continue"/>
            <w:vAlign w:val="center"/>
          </w:tcPr>
          <w:p>
            <w:pPr>
              <w:pStyle w:val="11"/>
            </w:pPr>
          </w:p>
        </w:tc>
        <w:tc>
          <w:tcPr>
            <w:tcW w:w="1838" w:type="dxa"/>
            <w:vAlign w:val="center"/>
          </w:tcPr>
          <w:p>
            <w:pPr>
              <w:pStyle w:val="11"/>
              <w:jc w:val="center"/>
            </w:pPr>
            <w:r>
              <w:rPr>
                <w:rFonts w:hint="eastAsia"/>
              </w:rPr>
              <w:t>食堂油烟</w:t>
            </w:r>
          </w:p>
        </w:tc>
        <w:tc>
          <w:tcPr>
            <w:tcW w:w="1275" w:type="dxa"/>
            <w:vAlign w:val="center"/>
          </w:tcPr>
          <w:p>
            <w:pPr>
              <w:pStyle w:val="11"/>
              <w:jc w:val="center"/>
            </w:pPr>
            <w:r>
              <w:rPr>
                <w:rFonts w:hint="eastAsia"/>
              </w:rPr>
              <w:t>油烟</w:t>
            </w:r>
          </w:p>
        </w:tc>
        <w:tc>
          <w:tcPr>
            <w:tcW w:w="2475" w:type="dxa"/>
            <w:vAlign w:val="center"/>
          </w:tcPr>
          <w:p>
            <w:pPr>
              <w:pStyle w:val="11"/>
              <w:jc w:val="center"/>
            </w:pPr>
            <w:r>
              <w:rPr>
                <w:rFonts w:hint="eastAsia"/>
              </w:rPr>
              <w:t>经油烟净化器处理后引入通风管道后排放</w:t>
            </w:r>
          </w:p>
        </w:tc>
        <w:tc>
          <w:tcPr>
            <w:tcW w:w="3680" w:type="dxa"/>
            <w:vAlign w:val="center"/>
          </w:tcPr>
          <w:p>
            <w:pPr>
              <w:pStyle w:val="11"/>
              <w:jc w:val="center"/>
            </w:pPr>
            <w:r>
              <w:rPr>
                <w:rFonts w:hint="eastAsia"/>
              </w:rPr>
              <w:t>《</w:t>
            </w:r>
            <w:r>
              <w:t>饮食业油烟排放标准</w:t>
            </w:r>
            <w:r>
              <w:rPr>
                <w:rFonts w:hint="eastAsia"/>
              </w:rPr>
              <w:t>》</w:t>
            </w:r>
            <w:r>
              <w:t>（GB18483-2001）表2中最高允许排放限值</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Merge w:val="restart"/>
            <w:vAlign w:val="center"/>
          </w:tcPr>
          <w:p>
            <w:pPr>
              <w:pStyle w:val="11"/>
            </w:pPr>
            <w:r>
              <w:t>地表水</w:t>
            </w:r>
          </w:p>
          <w:p>
            <w:pPr>
              <w:pStyle w:val="11"/>
            </w:pPr>
            <w:r>
              <w:t>环境</w:t>
            </w:r>
          </w:p>
        </w:tc>
        <w:tc>
          <w:tcPr>
            <w:tcW w:w="1838" w:type="dxa"/>
            <w:vAlign w:val="center"/>
          </w:tcPr>
          <w:p>
            <w:pPr>
              <w:pStyle w:val="11"/>
              <w:jc w:val="center"/>
            </w:pPr>
            <w:r>
              <w:t>生活污水</w:t>
            </w:r>
          </w:p>
        </w:tc>
        <w:tc>
          <w:tcPr>
            <w:tcW w:w="1275" w:type="dxa"/>
            <w:vMerge w:val="restart"/>
            <w:vAlign w:val="center"/>
          </w:tcPr>
          <w:p>
            <w:pPr>
              <w:pStyle w:val="11"/>
              <w:jc w:val="center"/>
            </w:pPr>
            <w:r>
              <w:t>pH</w:t>
            </w:r>
            <w:r>
              <w:rPr>
                <w:rFonts w:hint="eastAsia"/>
              </w:rPr>
              <w:t>、</w:t>
            </w:r>
            <w:r>
              <w:t>COD</w:t>
            </w:r>
            <w:r>
              <w:rPr>
                <w:rFonts w:hint="eastAsia"/>
              </w:rPr>
              <w:t>、</w:t>
            </w:r>
            <w:r>
              <w:t>BOD</w:t>
            </w:r>
            <w:r>
              <w:rPr>
                <w:vertAlign w:val="subscript"/>
              </w:rPr>
              <w:t>5</w:t>
            </w:r>
            <w:r>
              <w:rPr>
                <w:rFonts w:hint="eastAsia"/>
              </w:rPr>
              <w:t>、</w:t>
            </w:r>
            <w:r>
              <w:t>SS</w:t>
            </w:r>
            <w:r>
              <w:rPr>
                <w:rFonts w:hint="eastAsia"/>
              </w:rPr>
              <w:t>、</w:t>
            </w:r>
            <w:r>
              <w:t>NH</w:t>
            </w:r>
            <w:r>
              <w:rPr>
                <w:vertAlign w:val="subscript"/>
              </w:rPr>
              <w:t>3</w:t>
            </w:r>
            <w:r>
              <w:t>-N</w:t>
            </w:r>
            <w:r>
              <w:rPr>
                <w:rFonts w:hint="eastAsia"/>
              </w:rPr>
              <w:t>、</w:t>
            </w:r>
            <w:r>
              <w:t>流量</w:t>
            </w:r>
            <w:r>
              <w:rPr>
                <w:rFonts w:hint="eastAsia"/>
              </w:rPr>
              <w:t>、</w:t>
            </w:r>
            <w:r>
              <w:t>总磷</w:t>
            </w:r>
            <w:r>
              <w:rPr>
                <w:rFonts w:hint="eastAsia"/>
              </w:rPr>
              <w:t>、</w:t>
            </w:r>
            <w:r>
              <w:t>总氮</w:t>
            </w:r>
            <w:r>
              <w:rPr>
                <w:rFonts w:hint="eastAsia"/>
              </w:rPr>
              <w:t>、</w:t>
            </w:r>
            <w:r>
              <w:t>动植物油</w:t>
            </w:r>
            <w:r>
              <w:rPr>
                <w:rFonts w:hint="eastAsia"/>
              </w:rPr>
              <w:t>等</w:t>
            </w:r>
          </w:p>
        </w:tc>
        <w:tc>
          <w:tcPr>
            <w:tcW w:w="2475" w:type="dxa"/>
            <w:vAlign w:val="center"/>
          </w:tcPr>
          <w:p>
            <w:pPr>
              <w:pStyle w:val="11"/>
              <w:jc w:val="center"/>
            </w:pPr>
            <w:r>
              <w:rPr>
                <w:rFonts w:hint="eastAsia"/>
              </w:rPr>
              <w:t>经</w:t>
            </w:r>
            <w:r>
              <w:rPr>
                <w:rFonts w:hint="eastAsia"/>
                <w:lang w:eastAsia="zh-CN"/>
              </w:rPr>
              <w:t>预处理池</w:t>
            </w:r>
            <w:r>
              <w:rPr>
                <w:rFonts w:hint="eastAsia"/>
              </w:rPr>
              <w:t>收集</w:t>
            </w:r>
            <w:r>
              <w:t>处理后经处理后排入厂区内污水处理站</w:t>
            </w:r>
            <w:r>
              <w:rPr>
                <w:rFonts w:hint="eastAsia"/>
              </w:rPr>
              <w:t>；</w:t>
            </w:r>
          </w:p>
        </w:tc>
        <w:tc>
          <w:tcPr>
            <w:tcW w:w="3680" w:type="dxa"/>
            <w:vMerge w:val="restart"/>
            <w:vAlign w:val="center"/>
          </w:tcPr>
          <w:p>
            <w:pPr>
              <w:pStyle w:val="11"/>
              <w:jc w:val="center"/>
            </w:pPr>
            <w:r>
              <w:t>执行《肉类加工工业水污染物排放标准》（GB13457-1992）表3中的三级标准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Merge w:val="continue"/>
            <w:vAlign w:val="center"/>
          </w:tcPr>
          <w:p>
            <w:pPr>
              <w:pStyle w:val="11"/>
            </w:pPr>
          </w:p>
        </w:tc>
        <w:tc>
          <w:tcPr>
            <w:tcW w:w="1838" w:type="dxa"/>
            <w:vAlign w:val="center"/>
          </w:tcPr>
          <w:p>
            <w:pPr>
              <w:pStyle w:val="11"/>
              <w:jc w:val="center"/>
            </w:pPr>
            <w:r>
              <w:rPr>
                <w:rFonts w:hint="eastAsia"/>
              </w:rPr>
              <w:t>工艺废水</w:t>
            </w:r>
          </w:p>
        </w:tc>
        <w:tc>
          <w:tcPr>
            <w:tcW w:w="1275" w:type="dxa"/>
            <w:vMerge w:val="continue"/>
            <w:vAlign w:val="center"/>
          </w:tcPr>
          <w:p>
            <w:pPr>
              <w:pStyle w:val="11"/>
              <w:jc w:val="center"/>
            </w:pPr>
          </w:p>
        </w:tc>
        <w:tc>
          <w:tcPr>
            <w:tcW w:w="2475" w:type="dxa"/>
            <w:vMerge w:val="restart"/>
            <w:vAlign w:val="center"/>
          </w:tcPr>
          <w:p>
            <w:pPr>
              <w:pStyle w:val="11"/>
              <w:jc w:val="center"/>
            </w:pPr>
            <w:r>
              <w:rPr>
                <w:rFonts w:hint="eastAsia"/>
              </w:rPr>
              <w:t>经厂区内管网收集后进入厂区内的污水处理站处理达标排入市政污水管网；</w:t>
            </w:r>
          </w:p>
        </w:tc>
        <w:tc>
          <w:tcPr>
            <w:tcW w:w="3680" w:type="dxa"/>
            <w:vMerge w:val="continue"/>
            <w:vAlign w:val="center"/>
          </w:tcPr>
          <w:p>
            <w:pPr>
              <w:pStyle w:val="1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066" w:type="dxa"/>
            <w:vMerge w:val="continue"/>
            <w:vAlign w:val="center"/>
          </w:tcPr>
          <w:p>
            <w:pPr>
              <w:pStyle w:val="11"/>
            </w:pPr>
          </w:p>
        </w:tc>
        <w:tc>
          <w:tcPr>
            <w:tcW w:w="1838" w:type="dxa"/>
            <w:vAlign w:val="center"/>
          </w:tcPr>
          <w:p>
            <w:pPr>
              <w:pStyle w:val="11"/>
              <w:jc w:val="center"/>
            </w:pPr>
            <w:r>
              <w:rPr>
                <w:rFonts w:hint="eastAsia"/>
                <w:lang w:eastAsia="zh-CN"/>
              </w:rPr>
              <w:t>实罐清洗</w:t>
            </w:r>
            <w:r>
              <w:rPr>
                <w:rFonts w:hint="eastAsia"/>
              </w:rPr>
              <w:t>废水</w:t>
            </w:r>
          </w:p>
        </w:tc>
        <w:tc>
          <w:tcPr>
            <w:tcW w:w="1275" w:type="dxa"/>
            <w:vMerge w:val="continue"/>
            <w:vAlign w:val="center"/>
          </w:tcPr>
          <w:p>
            <w:pPr>
              <w:pStyle w:val="11"/>
              <w:jc w:val="center"/>
            </w:pPr>
          </w:p>
        </w:tc>
        <w:tc>
          <w:tcPr>
            <w:tcW w:w="2475" w:type="dxa"/>
            <w:vMerge w:val="continue"/>
            <w:vAlign w:val="center"/>
          </w:tcPr>
          <w:p>
            <w:pPr>
              <w:pStyle w:val="11"/>
              <w:jc w:val="center"/>
            </w:pPr>
          </w:p>
        </w:tc>
        <w:tc>
          <w:tcPr>
            <w:tcW w:w="3680" w:type="dxa"/>
            <w:vMerge w:val="continue"/>
            <w:vAlign w:val="center"/>
          </w:tcPr>
          <w:p>
            <w:pPr>
              <w:pStyle w:val="1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066" w:type="dxa"/>
            <w:vMerge w:val="continue"/>
            <w:vAlign w:val="center"/>
          </w:tcPr>
          <w:p>
            <w:pPr>
              <w:pStyle w:val="11"/>
            </w:pPr>
          </w:p>
        </w:tc>
        <w:tc>
          <w:tcPr>
            <w:tcW w:w="1838" w:type="dxa"/>
            <w:vAlign w:val="center"/>
          </w:tcPr>
          <w:p>
            <w:pPr>
              <w:pStyle w:val="11"/>
              <w:jc w:val="center"/>
            </w:pPr>
            <w:r>
              <w:rPr>
                <w:rFonts w:hint="eastAsia"/>
              </w:rPr>
              <w:t>设备清洁废水</w:t>
            </w:r>
          </w:p>
        </w:tc>
        <w:tc>
          <w:tcPr>
            <w:tcW w:w="1275" w:type="dxa"/>
            <w:vMerge w:val="continue"/>
            <w:vAlign w:val="center"/>
          </w:tcPr>
          <w:p>
            <w:pPr>
              <w:pStyle w:val="11"/>
              <w:jc w:val="center"/>
            </w:pPr>
          </w:p>
        </w:tc>
        <w:tc>
          <w:tcPr>
            <w:tcW w:w="2475" w:type="dxa"/>
            <w:vMerge w:val="continue"/>
            <w:vAlign w:val="center"/>
          </w:tcPr>
          <w:p>
            <w:pPr>
              <w:pStyle w:val="11"/>
              <w:jc w:val="center"/>
            </w:pPr>
          </w:p>
        </w:tc>
        <w:tc>
          <w:tcPr>
            <w:tcW w:w="3680" w:type="dxa"/>
            <w:vMerge w:val="continue"/>
            <w:vAlign w:val="center"/>
          </w:tcPr>
          <w:p>
            <w:pPr>
              <w:pStyle w:val="1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066" w:type="dxa"/>
            <w:vMerge w:val="continue"/>
            <w:vAlign w:val="center"/>
          </w:tcPr>
          <w:p>
            <w:pPr>
              <w:pStyle w:val="11"/>
            </w:pPr>
          </w:p>
        </w:tc>
        <w:tc>
          <w:tcPr>
            <w:tcW w:w="1838" w:type="dxa"/>
            <w:vAlign w:val="center"/>
          </w:tcPr>
          <w:p>
            <w:pPr>
              <w:pStyle w:val="11"/>
              <w:jc w:val="center"/>
            </w:pPr>
            <w:r>
              <w:rPr>
                <w:rFonts w:hint="eastAsia"/>
              </w:rPr>
              <w:t>地面清洁废水</w:t>
            </w:r>
          </w:p>
        </w:tc>
        <w:tc>
          <w:tcPr>
            <w:tcW w:w="1275" w:type="dxa"/>
            <w:vMerge w:val="continue"/>
            <w:vAlign w:val="center"/>
          </w:tcPr>
          <w:p>
            <w:pPr>
              <w:pStyle w:val="11"/>
              <w:jc w:val="center"/>
            </w:pPr>
          </w:p>
        </w:tc>
        <w:tc>
          <w:tcPr>
            <w:tcW w:w="2475" w:type="dxa"/>
            <w:vMerge w:val="continue"/>
            <w:vAlign w:val="center"/>
          </w:tcPr>
          <w:p>
            <w:pPr>
              <w:pStyle w:val="11"/>
              <w:jc w:val="center"/>
            </w:pPr>
          </w:p>
        </w:tc>
        <w:tc>
          <w:tcPr>
            <w:tcW w:w="3680" w:type="dxa"/>
            <w:vMerge w:val="continue"/>
            <w:vAlign w:val="center"/>
          </w:tcPr>
          <w:p>
            <w:pPr>
              <w:pStyle w:val="1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066" w:type="dxa"/>
            <w:vMerge w:val="continue"/>
            <w:vAlign w:val="center"/>
          </w:tcPr>
          <w:p>
            <w:pPr>
              <w:pStyle w:val="11"/>
            </w:pPr>
          </w:p>
        </w:tc>
        <w:tc>
          <w:tcPr>
            <w:tcW w:w="1838" w:type="dxa"/>
            <w:vAlign w:val="center"/>
          </w:tcPr>
          <w:p>
            <w:pPr>
              <w:pStyle w:val="11"/>
              <w:jc w:val="center"/>
            </w:pPr>
            <w:r>
              <w:rPr>
                <w:rFonts w:hint="eastAsia"/>
              </w:rPr>
              <w:t>锅炉排水</w:t>
            </w:r>
          </w:p>
        </w:tc>
        <w:tc>
          <w:tcPr>
            <w:tcW w:w="1275" w:type="dxa"/>
            <w:vAlign w:val="center"/>
          </w:tcPr>
          <w:p>
            <w:pPr>
              <w:pStyle w:val="11"/>
              <w:jc w:val="center"/>
            </w:pPr>
            <w:r>
              <w:rPr>
                <w:rFonts w:hint="eastAsia"/>
              </w:rPr>
              <w:t>SS</w:t>
            </w:r>
          </w:p>
        </w:tc>
        <w:tc>
          <w:tcPr>
            <w:tcW w:w="2475" w:type="dxa"/>
            <w:vAlign w:val="center"/>
          </w:tcPr>
          <w:p>
            <w:pPr>
              <w:pStyle w:val="11"/>
              <w:jc w:val="center"/>
            </w:pPr>
            <w:r>
              <w:rPr>
                <w:rFonts w:hint="eastAsia"/>
              </w:rPr>
              <w:t>经厂区内冷却水池冷却后，再</w:t>
            </w:r>
            <w:r>
              <w:rPr>
                <w:rFonts w:hint="eastAsia"/>
                <w:bCs/>
              </w:rPr>
              <w:t>经厂区污水处理站处理达标后排入园区污水管网</w:t>
            </w:r>
          </w:p>
        </w:tc>
        <w:tc>
          <w:tcPr>
            <w:tcW w:w="3680" w:type="dxa"/>
            <w:vMerge w:val="continue"/>
            <w:vAlign w:val="center"/>
          </w:tcPr>
          <w:p>
            <w:pPr>
              <w:pStyle w:val="1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Align w:val="center"/>
          </w:tcPr>
          <w:p>
            <w:pPr>
              <w:pStyle w:val="11"/>
            </w:pPr>
            <w:r>
              <w:t>声环境</w:t>
            </w:r>
          </w:p>
        </w:tc>
        <w:tc>
          <w:tcPr>
            <w:tcW w:w="1838" w:type="dxa"/>
            <w:vAlign w:val="center"/>
          </w:tcPr>
          <w:p>
            <w:pPr>
              <w:pStyle w:val="11"/>
              <w:jc w:val="center"/>
            </w:pPr>
            <w:r>
              <w:t>设备噪声</w:t>
            </w:r>
          </w:p>
        </w:tc>
        <w:tc>
          <w:tcPr>
            <w:tcW w:w="1275" w:type="dxa"/>
            <w:vAlign w:val="center"/>
          </w:tcPr>
          <w:p>
            <w:pPr>
              <w:pStyle w:val="11"/>
              <w:jc w:val="center"/>
            </w:pPr>
            <w:r>
              <w:t>噪声</w:t>
            </w:r>
          </w:p>
        </w:tc>
        <w:tc>
          <w:tcPr>
            <w:tcW w:w="2475" w:type="dxa"/>
            <w:vAlign w:val="center"/>
          </w:tcPr>
          <w:p>
            <w:pPr>
              <w:pStyle w:val="11"/>
              <w:jc w:val="center"/>
            </w:pPr>
            <w:r>
              <w:t>合理布置产噪设备</w:t>
            </w:r>
            <w:r>
              <w:rPr>
                <w:rFonts w:hint="eastAsia"/>
              </w:rPr>
              <w:t>，</w:t>
            </w:r>
            <w:r>
              <w:t>优化设备选型</w:t>
            </w:r>
            <w:r>
              <w:rPr>
                <w:rFonts w:hint="eastAsia"/>
              </w:rPr>
              <w:t>，</w:t>
            </w:r>
            <w:r>
              <w:t>设置基础减震</w:t>
            </w:r>
            <w:r>
              <w:rPr>
                <w:rFonts w:hint="eastAsia"/>
              </w:rPr>
              <w:t>，</w:t>
            </w:r>
            <w:r>
              <w:t>加强设备的检修和维护等</w:t>
            </w:r>
            <w:r>
              <w:rPr>
                <w:rFonts w:hint="eastAsia"/>
              </w:rPr>
              <w:t>；</w:t>
            </w:r>
          </w:p>
        </w:tc>
        <w:tc>
          <w:tcPr>
            <w:tcW w:w="3680" w:type="dxa"/>
            <w:vAlign w:val="center"/>
          </w:tcPr>
          <w:p>
            <w:pPr>
              <w:pStyle w:val="11"/>
              <w:jc w:val="center"/>
            </w:pPr>
            <w:r>
              <w:t>《工业企业厂界环境噪声排放标准》（GB12348-2008）中3类标准限值</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Align w:val="center"/>
          </w:tcPr>
          <w:p>
            <w:pPr>
              <w:pStyle w:val="11"/>
            </w:pPr>
            <w:r>
              <w:t>电磁辐射</w:t>
            </w:r>
          </w:p>
        </w:tc>
        <w:tc>
          <w:tcPr>
            <w:tcW w:w="1838" w:type="dxa"/>
            <w:vAlign w:val="center"/>
          </w:tcPr>
          <w:p>
            <w:pPr>
              <w:pStyle w:val="11"/>
              <w:jc w:val="center"/>
            </w:pPr>
            <w:r>
              <w:t>/</w:t>
            </w:r>
          </w:p>
        </w:tc>
        <w:tc>
          <w:tcPr>
            <w:tcW w:w="1275" w:type="dxa"/>
            <w:vAlign w:val="center"/>
          </w:tcPr>
          <w:p>
            <w:pPr>
              <w:pStyle w:val="11"/>
              <w:jc w:val="center"/>
            </w:pPr>
            <w:r>
              <w:t>/</w:t>
            </w:r>
          </w:p>
        </w:tc>
        <w:tc>
          <w:tcPr>
            <w:tcW w:w="2475" w:type="dxa"/>
            <w:vAlign w:val="center"/>
          </w:tcPr>
          <w:p>
            <w:pPr>
              <w:pStyle w:val="11"/>
              <w:jc w:val="center"/>
            </w:pPr>
            <w:r>
              <w:t>/</w:t>
            </w:r>
          </w:p>
        </w:tc>
        <w:tc>
          <w:tcPr>
            <w:tcW w:w="3680" w:type="dxa"/>
            <w:vAlign w:val="center"/>
          </w:tcPr>
          <w:p>
            <w:pPr>
              <w:pStyle w:val="11"/>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Align w:val="center"/>
          </w:tcPr>
          <w:p>
            <w:pPr>
              <w:pStyle w:val="11"/>
            </w:pPr>
            <w:r>
              <w:t>固体废物</w:t>
            </w:r>
          </w:p>
        </w:tc>
        <w:tc>
          <w:tcPr>
            <w:tcW w:w="9268" w:type="dxa"/>
            <w:gridSpan w:val="4"/>
            <w:vAlign w:val="center"/>
          </w:tcPr>
          <w:p>
            <w:pPr>
              <w:pStyle w:val="11"/>
            </w:pPr>
            <w:r>
              <w:t>生活垃圾经垃圾桶收集后，由环卫部门清运处理；分选肉渣边角料</w:t>
            </w:r>
            <w:r>
              <w:rPr>
                <w:rFonts w:hint="eastAsia"/>
              </w:rPr>
              <w:t>、</w:t>
            </w:r>
            <w:r>
              <w:t>不合格罐头</w:t>
            </w:r>
            <w:r>
              <w:rPr>
                <w:rFonts w:hint="eastAsia"/>
              </w:rPr>
              <w:t>、</w:t>
            </w:r>
            <w:r>
              <w:t>隔油池油渣</w:t>
            </w:r>
            <w:r>
              <w:rPr>
                <w:rFonts w:hint="eastAsia"/>
              </w:rPr>
              <w:t>、</w:t>
            </w:r>
            <w:r>
              <w:t>油烟净化器收集的废油集中收集，采用专用容器存放于生产厂房固废存放区，定期交由餐厨垃圾处理单位回收处置</w:t>
            </w:r>
            <w:r>
              <w:rPr>
                <w:rFonts w:hint="eastAsia"/>
              </w:rPr>
              <w:t>；废弃包装物收集后外售物资回收单位综合利用；废食用油采用专用料桶存放，定期委托有资质的废油脂回收机构统一收集处理；污水处理站污泥定期清掏，委托环卫部门定期统一清运处理</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Align w:val="center"/>
          </w:tcPr>
          <w:p>
            <w:pPr>
              <w:pStyle w:val="11"/>
            </w:pPr>
            <w:r>
              <w:t>土壤及地下水污染防治措施</w:t>
            </w:r>
          </w:p>
        </w:tc>
        <w:tc>
          <w:tcPr>
            <w:tcW w:w="9268" w:type="dxa"/>
            <w:gridSpan w:val="4"/>
            <w:vAlign w:val="center"/>
          </w:tcPr>
          <w:p>
            <w:pPr>
              <w:pStyle w:val="11"/>
              <w:jc w:val="both"/>
            </w:pPr>
            <w:r>
              <w:t>污水处理站区域</w:t>
            </w:r>
            <w:r>
              <w:rPr>
                <w:rFonts w:hint="eastAsia"/>
              </w:rPr>
              <w:t>、</w:t>
            </w:r>
            <w:r>
              <w:t>生活污水预处理池在防渗混凝土基础上，设置2mm厚HDPE，确保渗透系数K≤1×10</w:t>
            </w:r>
            <w:r>
              <w:rPr>
                <w:vertAlign w:val="superscript"/>
              </w:rPr>
              <w:t>-10</w:t>
            </w:r>
            <w:r>
              <w:t>cm/s；生产车间内除重点防渗区以外的其他生产区域采用防渗混凝土硬化进行一般防渗</w:t>
            </w:r>
            <w:r>
              <w:rPr>
                <w:rFonts w:hint="eastAsia"/>
              </w:rPr>
              <w:t>，</w:t>
            </w:r>
            <w:r>
              <w:t>满足等效黏土防渗层Mb≥1.5m</w:t>
            </w:r>
            <w:r>
              <w:rPr>
                <w:rFonts w:hint="eastAsia"/>
              </w:rPr>
              <w:t>，</w:t>
            </w:r>
            <w:r>
              <w:t>渗透系数K≤1×10</w:t>
            </w:r>
            <w:r>
              <w:rPr>
                <w:vertAlign w:val="superscript"/>
              </w:rPr>
              <w:t>-7</w:t>
            </w:r>
            <w:r>
              <w:t>cm/s；简单防渗区：办公区采用防渗混凝土硬化进行简单防渗</w:t>
            </w:r>
            <w:r>
              <w:rPr>
                <w:rFonts w:hint="eastAsia"/>
              </w:rPr>
              <w:t>，</w:t>
            </w:r>
            <w:r>
              <w:t>满足一般地面硬化</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Align w:val="center"/>
          </w:tcPr>
          <w:p>
            <w:pPr>
              <w:pStyle w:val="11"/>
            </w:pPr>
            <w:r>
              <w:t>生态保护措施</w:t>
            </w:r>
          </w:p>
        </w:tc>
        <w:tc>
          <w:tcPr>
            <w:tcW w:w="9268" w:type="dxa"/>
            <w:gridSpan w:val="4"/>
            <w:vAlign w:val="center"/>
          </w:tcPr>
          <w:p>
            <w:pPr>
              <w:pStyle w:val="11"/>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Align w:val="center"/>
          </w:tcPr>
          <w:p>
            <w:pPr>
              <w:pStyle w:val="11"/>
            </w:pPr>
            <w:r>
              <w:t>环境风险防范措施</w:t>
            </w:r>
          </w:p>
        </w:tc>
        <w:tc>
          <w:tcPr>
            <w:tcW w:w="9268" w:type="dxa"/>
            <w:gridSpan w:val="4"/>
            <w:vAlign w:val="center"/>
          </w:tcPr>
          <w:p>
            <w:pPr>
              <w:pStyle w:val="11"/>
              <w:jc w:val="both"/>
            </w:pPr>
            <w:r>
              <w:t>①要求企业强化风险意识、加强安全管理，进行广泛系统的培训，使所有操作人员熟悉自己的岗位，树立严谨规范的操作作风，并且在任何紧急状况下都能随时对工艺装置进行控制，并及时、独立、正确地实施相关应急措施。</w:t>
            </w:r>
          </w:p>
          <w:p>
            <w:pPr>
              <w:pStyle w:val="11"/>
              <w:jc w:val="both"/>
            </w:pPr>
            <w:r>
              <w:t>②对各类原料的包装须定期进行检查。</w:t>
            </w:r>
          </w:p>
          <w:p>
            <w:pPr>
              <w:pStyle w:val="11"/>
              <w:jc w:val="both"/>
            </w:pPr>
            <w:r>
              <w:t>③要求厂区内设置危险废物贮存场所，并按照《危险废物贮存污染控制标准》的规定做好防雨淋、防渗漏、防流失措施，各类危险废物平时收集后妥善贮存于危废贮存场所，液态危险废物贮存于密闭容器中，定期委托有资质单位处置。同时，建设单位在危险废物转移过程中须严格执行转移联单制度，并做好记录台账，防止危险废物在转移过程中发生遗失事故。</w:t>
            </w:r>
          </w:p>
          <w:p>
            <w:pPr>
              <w:pStyle w:val="11"/>
              <w:jc w:val="both"/>
            </w:pPr>
            <w:r>
              <w:t>④要求企业定期对企业雨污管道、生活污水治理设施、废气收集及处理设施等环保设施进行维护、修理，使其处于正常运转状态，杜绝事故性排放；一旦发现废水处理设施出现故障，须立即停止生产，待故障排除完毕、治理设施正常运行后方可恢复生产。</w:t>
            </w:r>
          </w:p>
          <w:p>
            <w:pPr>
              <w:pStyle w:val="11"/>
            </w:pPr>
            <w:r>
              <w:t>⑤要求企业重视安全措施建设，除了配备必要的消防应急措施外，还应加强车间的通风设施建设，保证车间内良好通风。同时，车间内应杜绝明火，车间墙壁张贴相应警告标志，平时加强对生产设备的维护、检修，确保设备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066" w:type="dxa"/>
            <w:vAlign w:val="center"/>
          </w:tcPr>
          <w:p>
            <w:pPr>
              <w:pStyle w:val="11"/>
            </w:pPr>
            <w:r>
              <w:t>其他环境管理要求</w:t>
            </w:r>
          </w:p>
        </w:tc>
        <w:tc>
          <w:tcPr>
            <w:tcW w:w="9268" w:type="dxa"/>
            <w:gridSpan w:val="4"/>
            <w:vAlign w:val="center"/>
          </w:tcPr>
          <w:p>
            <w:pPr>
              <w:pStyle w:val="11"/>
              <w:spacing w:line="600" w:lineRule="auto"/>
              <w:jc w:val="both"/>
            </w:pPr>
            <w:r>
              <w:t>制定自行监测方案</w:t>
            </w:r>
            <w:r>
              <w:rPr>
                <w:rFonts w:hint="eastAsia"/>
              </w:rPr>
              <w:t>，</w:t>
            </w:r>
            <w:r>
              <w:t>定期开展污染源监测</w:t>
            </w:r>
            <w:r>
              <w:rPr>
                <w:rFonts w:hint="eastAsia"/>
              </w:rPr>
              <w:t>；</w:t>
            </w:r>
          </w:p>
          <w:p>
            <w:pPr>
              <w:pStyle w:val="11"/>
              <w:spacing w:line="600" w:lineRule="auto"/>
              <w:jc w:val="both"/>
            </w:pPr>
            <w:r>
              <w:t>①按本环评提出的各项要求严格落实污染治理设施和措施。</w:t>
            </w:r>
          </w:p>
          <w:p>
            <w:pPr>
              <w:pStyle w:val="11"/>
              <w:spacing w:line="600" w:lineRule="auto"/>
              <w:jc w:val="both"/>
            </w:pPr>
            <w:r>
              <w:t>②及时完成本项目环保“三同时”验收。</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tc>
      </w:tr>
    </w:tbl>
    <w:p>
      <w:pPr>
        <w:ind w:firstLine="0" w:firstLineChars="0"/>
        <w:jc w:val="center"/>
        <w:outlineLvl w:val="0"/>
        <w:rPr>
          <w:rFonts w:eastAsia="黑体"/>
          <w:b/>
          <w:bCs/>
          <w:snapToGrid w:val="0"/>
          <w:sz w:val="30"/>
          <w:szCs w:val="30"/>
        </w:rPr>
      </w:pPr>
      <w:r>
        <w:rPr>
          <w:snapToGrid w:val="0"/>
        </w:rPr>
        <w:br w:type="page"/>
      </w:r>
      <w:bookmarkStart w:id="16" w:name="_Toc7128"/>
      <w:r>
        <w:rPr>
          <w:rFonts w:eastAsia="黑体"/>
          <w:b/>
          <w:bCs/>
          <w:snapToGrid w:val="0"/>
          <w:sz w:val="30"/>
          <w:szCs w:val="30"/>
        </w:rPr>
        <w:t>六、结论</w:t>
      </w:r>
      <w:bookmarkEnd w:id="16"/>
    </w:p>
    <w:tbl>
      <w:tblPr>
        <w:tblStyle w:val="6"/>
        <w:tblW w:w="99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977" w:type="dxa"/>
            <w:vAlign w:val="center"/>
          </w:tcPr>
          <w:p>
            <w:pPr>
              <w:ind w:firstLine="480"/>
            </w:pPr>
          </w:p>
          <w:p>
            <w:pPr>
              <w:ind w:firstLine="480"/>
            </w:pPr>
          </w:p>
          <w:p>
            <w:pPr>
              <w:ind w:firstLine="480"/>
            </w:pPr>
          </w:p>
          <w:p>
            <w:pPr>
              <w:ind w:firstLine="480"/>
            </w:pPr>
          </w:p>
          <w:p>
            <w:pPr>
              <w:ind w:firstLine="480"/>
            </w:pPr>
          </w:p>
          <w:p>
            <w:pPr>
              <w:ind w:firstLine="480"/>
            </w:pPr>
          </w:p>
          <w:p>
            <w:pPr>
              <w:ind w:firstLine="480"/>
            </w:pPr>
            <w:r>
              <w:rPr>
                <w:rFonts w:hint="eastAsia"/>
              </w:rPr>
              <w:t>四川省川汉子食品实业有限公司的川汉子肉制品精深加工项目（一期）</w:t>
            </w:r>
            <w:r>
              <w:t>符合国家产业政策，符合当地产业发展导向，选址符合当地政府规划。项目所在区域内无重大环境制约要素，环境质量现状较好。项目贯彻了“总量控制”和“达标排放”原则，采取的污染物治理方案均技术可行，措施有效。工程实施后对环境影响小，基本维持当地环境质量现状级别。只要落实本报告表提出的环保对策措施，本项目建设从环境保护角度而言是可行的。</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tc>
      </w:tr>
    </w:tbl>
    <w:p>
      <w:pPr>
        <w:ind w:firstLine="480"/>
        <w:sectPr>
          <w:pgSz w:w="11906" w:h="16838"/>
          <w:pgMar w:top="1440" w:right="1080" w:bottom="1440" w:left="1080" w:header="851" w:footer="851" w:gutter="0"/>
          <w:cols w:space="720" w:num="1"/>
          <w:docGrid w:linePitch="312" w:charSpace="0"/>
        </w:sectPr>
      </w:pPr>
    </w:p>
    <w:p>
      <w:pPr>
        <w:spacing w:line="240" w:lineRule="auto"/>
        <w:ind w:firstLine="0" w:firstLineChars="0"/>
        <w:rPr>
          <w:b/>
          <w:bCs/>
          <w:sz w:val="32"/>
          <w:szCs w:val="32"/>
        </w:rPr>
      </w:pPr>
      <w:bookmarkStart w:id="17" w:name="_Toc1285"/>
      <w:r>
        <w:rPr>
          <w:b/>
          <w:bCs/>
          <w:sz w:val="32"/>
          <w:szCs w:val="32"/>
        </w:rPr>
        <w:t>附表</w:t>
      </w:r>
      <w:bookmarkEnd w:id="17"/>
    </w:p>
    <w:p>
      <w:pPr>
        <w:spacing w:line="240" w:lineRule="auto"/>
        <w:ind w:firstLine="643"/>
        <w:jc w:val="center"/>
        <w:rPr>
          <w:b/>
          <w:bCs/>
          <w:sz w:val="32"/>
          <w:szCs w:val="32"/>
        </w:rPr>
      </w:pPr>
      <w:bookmarkStart w:id="18" w:name="_Toc4453"/>
      <w:r>
        <w:rPr>
          <w:b/>
          <w:bCs/>
          <w:sz w:val="32"/>
          <w:szCs w:val="32"/>
        </w:rPr>
        <w:t>建设项目污染物排放量汇总表</w:t>
      </w:r>
      <w:bookmarkEnd w:id="18"/>
    </w:p>
    <w:tbl>
      <w:tblPr>
        <w:tblStyle w:val="6"/>
        <w:tblW w:w="145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305"/>
        <w:gridCol w:w="1701"/>
        <w:gridCol w:w="1276"/>
        <w:gridCol w:w="1701"/>
        <w:gridCol w:w="1559"/>
        <w:gridCol w:w="1761"/>
        <w:gridCol w:w="1959"/>
        <w:gridCol w:w="12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tcBorders>
              <w:tl2br w:val="single" w:color="auto" w:sz="4" w:space="0"/>
            </w:tcBorders>
            <w:tcMar>
              <w:left w:w="28" w:type="dxa"/>
              <w:right w:w="28" w:type="dxa"/>
            </w:tcMar>
            <w:vAlign w:val="center"/>
          </w:tcPr>
          <w:p>
            <w:pPr>
              <w:pStyle w:val="11"/>
              <w:jc w:val="right"/>
              <w:rPr>
                <w:b/>
                <w:bCs/>
              </w:rPr>
            </w:pPr>
            <w:r>
              <w:rPr>
                <w:b/>
                <w:bCs/>
              </w:rPr>
              <w:t>项目</w:t>
            </w:r>
          </w:p>
          <w:p>
            <w:pPr>
              <w:pStyle w:val="11"/>
              <w:rPr>
                <w:b/>
                <w:bCs/>
              </w:rPr>
            </w:pPr>
            <w:r>
              <w:rPr>
                <w:b/>
                <w:bCs/>
              </w:rPr>
              <w:t>分类</w:t>
            </w:r>
          </w:p>
        </w:tc>
        <w:tc>
          <w:tcPr>
            <w:tcW w:w="2305" w:type="dxa"/>
            <w:tcMar>
              <w:left w:w="28" w:type="dxa"/>
              <w:right w:w="28" w:type="dxa"/>
            </w:tcMar>
            <w:vAlign w:val="center"/>
          </w:tcPr>
          <w:p>
            <w:pPr>
              <w:pStyle w:val="11"/>
              <w:jc w:val="center"/>
              <w:rPr>
                <w:b/>
                <w:bCs/>
              </w:rPr>
            </w:pPr>
            <w:r>
              <w:rPr>
                <w:b/>
                <w:bCs/>
              </w:rPr>
              <w:t>污染物名称</w:t>
            </w:r>
          </w:p>
        </w:tc>
        <w:tc>
          <w:tcPr>
            <w:tcW w:w="1701" w:type="dxa"/>
            <w:tcMar>
              <w:left w:w="28" w:type="dxa"/>
              <w:right w:w="28" w:type="dxa"/>
            </w:tcMar>
            <w:vAlign w:val="center"/>
          </w:tcPr>
          <w:p>
            <w:pPr>
              <w:pStyle w:val="11"/>
              <w:jc w:val="center"/>
              <w:rPr>
                <w:b/>
                <w:bCs/>
              </w:rPr>
            </w:pPr>
            <w:r>
              <w:rPr>
                <w:b/>
                <w:bCs/>
              </w:rPr>
              <w:t>现有工程</w:t>
            </w:r>
          </w:p>
          <w:p>
            <w:pPr>
              <w:pStyle w:val="11"/>
              <w:jc w:val="center"/>
              <w:rPr>
                <w:b/>
                <w:bCs/>
              </w:rPr>
            </w:pPr>
            <w:r>
              <w:rPr>
                <w:b/>
                <w:bCs/>
              </w:rPr>
              <w:t>排放量（固体废物产生量）</w:t>
            </w:r>
            <w:r>
              <w:rPr>
                <w:b/>
                <w:bCs/>
              </w:rPr>
              <w:fldChar w:fldCharType="begin"/>
            </w:r>
            <w:r>
              <w:rPr>
                <w:b/>
                <w:bCs/>
              </w:rPr>
              <w:instrText xml:space="preserve"> = 1 \* GB3 \* MERGEFORMAT </w:instrText>
            </w:r>
            <w:r>
              <w:rPr>
                <w:b/>
                <w:bCs/>
              </w:rPr>
              <w:fldChar w:fldCharType="separate"/>
            </w:r>
            <w:r>
              <w:rPr>
                <w:b/>
                <w:bCs/>
              </w:rPr>
              <w:t>①</w:t>
            </w:r>
            <w:r>
              <w:rPr>
                <w:b/>
                <w:bCs/>
              </w:rPr>
              <w:fldChar w:fldCharType="end"/>
            </w:r>
          </w:p>
        </w:tc>
        <w:tc>
          <w:tcPr>
            <w:tcW w:w="1276" w:type="dxa"/>
            <w:tcMar>
              <w:left w:w="28" w:type="dxa"/>
              <w:right w:w="28" w:type="dxa"/>
            </w:tcMar>
            <w:vAlign w:val="center"/>
          </w:tcPr>
          <w:p>
            <w:pPr>
              <w:pStyle w:val="11"/>
              <w:jc w:val="center"/>
              <w:rPr>
                <w:b/>
                <w:bCs/>
              </w:rPr>
            </w:pPr>
            <w:r>
              <w:rPr>
                <w:b/>
                <w:bCs/>
              </w:rPr>
              <w:t>现有工程</w:t>
            </w:r>
          </w:p>
          <w:p>
            <w:pPr>
              <w:pStyle w:val="11"/>
              <w:jc w:val="center"/>
              <w:rPr>
                <w:b/>
                <w:bCs/>
              </w:rPr>
            </w:pPr>
            <w:r>
              <w:rPr>
                <w:b/>
                <w:bCs/>
              </w:rPr>
              <w:t>许可排放量</w:t>
            </w:r>
          </w:p>
          <w:p>
            <w:pPr>
              <w:pStyle w:val="11"/>
              <w:jc w:val="center"/>
              <w:rPr>
                <w:b/>
                <w:bCs/>
              </w:rPr>
            </w:pPr>
            <w:r>
              <w:rPr>
                <w:b/>
                <w:bCs/>
              </w:rPr>
              <w:fldChar w:fldCharType="begin"/>
            </w:r>
            <w:r>
              <w:rPr>
                <w:b/>
                <w:bCs/>
              </w:rPr>
              <w:instrText xml:space="preserve"> = 2 \* GB3 \* MERGEFORMAT </w:instrText>
            </w:r>
            <w:r>
              <w:rPr>
                <w:b/>
                <w:bCs/>
              </w:rPr>
              <w:fldChar w:fldCharType="separate"/>
            </w:r>
            <w:r>
              <w:rPr>
                <w:b/>
                <w:bCs/>
              </w:rPr>
              <w:t>②</w:t>
            </w:r>
            <w:r>
              <w:rPr>
                <w:b/>
                <w:bCs/>
              </w:rPr>
              <w:fldChar w:fldCharType="end"/>
            </w:r>
          </w:p>
        </w:tc>
        <w:tc>
          <w:tcPr>
            <w:tcW w:w="1701" w:type="dxa"/>
            <w:tcMar>
              <w:left w:w="28" w:type="dxa"/>
              <w:right w:w="28" w:type="dxa"/>
            </w:tcMar>
            <w:vAlign w:val="center"/>
          </w:tcPr>
          <w:p>
            <w:pPr>
              <w:pStyle w:val="11"/>
              <w:jc w:val="center"/>
              <w:rPr>
                <w:b/>
                <w:bCs/>
              </w:rPr>
            </w:pPr>
            <w:r>
              <w:rPr>
                <w:b/>
                <w:bCs/>
              </w:rPr>
              <w:t>在建工程</w:t>
            </w:r>
          </w:p>
          <w:p>
            <w:pPr>
              <w:pStyle w:val="11"/>
              <w:jc w:val="center"/>
              <w:rPr>
                <w:b/>
                <w:bCs/>
              </w:rPr>
            </w:pPr>
            <w:r>
              <w:rPr>
                <w:b/>
                <w:bCs/>
              </w:rPr>
              <w:t>排放量（固体废物产生量）</w:t>
            </w:r>
            <w:r>
              <w:rPr>
                <w:b/>
                <w:bCs/>
              </w:rPr>
              <w:fldChar w:fldCharType="begin"/>
            </w:r>
            <w:r>
              <w:rPr>
                <w:b/>
                <w:bCs/>
              </w:rPr>
              <w:instrText xml:space="preserve"> = 3 \* GB3 \* MERGEFORMAT </w:instrText>
            </w:r>
            <w:r>
              <w:rPr>
                <w:b/>
                <w:bCs/>
              </w:rPr>
              <w:fldChar w:fldCharType="separate"/>
            </w:r>
            <w:r>
              <w:rPr>
                <w:b/>
                <w:bCs/>
              </w:rPr>
              <w:t>③</w:t>
            </w:r>
            <w:r>
              <w:rPr>
                <w:b/>
                <w:bCs/>
              </w:rPr>
              <w:fldChar w:fldCharType="end"/>
            </w:r>
          </w:p>
        </w:tc>
        <w:tc>
          <w:tcPr>
            <w:tcW w:w="1559" w:type="dxa"/>
            <w:tcMar>
              <w:left w:w="28" w:type="dxa"/>
              <w:right w:w="28" w:type="dxa"/>
            </w:tcMar>
            <w:vAlign w:val="center"/>
          </w:tcPr>
          <w:p>
            <w:pPr>
              <w:pStyle w:val="11"/>
              <w:jc w:val="center"/>
              <w:rPr>
                <w:b/>
                <w:bCs/>
              </w:rPr>
            </w:pPr>
            <w:r>
              <w:rPr>
                <w:b/>
                <w:bCs/>
              </w:rPr>
              <w:t>本项目</w:t>
            </w:r>
          </w:p>
          <w:p>
            <w:pPr>
              <w:pStyle w:val="11"/>
              <w:jc w:val="center"/>
              <w:rPr>
                <w:b/>
                <w:bCs/>
              </w:rPr>
            </w:pPr>
            <w:r>
              <w:rPr>
                <w:b/>
                <w:bCs/>
              </w:rPr>
              <w:t>排放量（固体废物产生量）</w:t>
            </w:r>
            <w:r>
              <w:rPr>
                <w:b/>
                <w:bCs/>
              </w:rPr>
              <w:fldChar w:fldCharType="begin"/>
            </w:r>
            <w:r>
              <w:rPr>
                <w:b/>
                <w:bCs/>
              </w:rPr>
              <w:instrText xml:space="preserve"> = 4 \* GB3 \* MERGEFORMAT </w:instrText>
            </w:r>
            <w:r>
              <w:rPr>
                <w:b/>
                <w:bCs/>
              </w:rPr>
              <w:fldChar w:fldCharType="separate"/>
            </w:r>
            <w:r>
              <w:rPr>
                <w:b/>
                <w:bCs/>
              </w:rPr>
              <w:t>④</w:t>
            </w:r>
            <w:r>
              <w:rPr>
                <w:b/>
                <w:bCs/>
              </w:rPr>
              <w:fldChar w:fldCharType="end"/>
            </w:r>
          </w:p>
        </w:tc>
        <w:tc>
          <w:tcPr>
            <w:tcW w:w="1761" w:type="dxa"/>
            <w:tcMar>
              <w:left w:w="28" w:type="dxa"/>
              <w:right w:w="28" w:type="dxa"/>
            </w:tcMar>
            <w:vAlign w:val="center"/>
          </w:tcPr>
          <w:p>
            <w:pPr>
              <w:pStyle w:val="11"/>
              <w:jc w:val="center"/>
              <w:rPr>
                <w:b/>
                <w:bCs/>
              </w:rPr>
            </w:pPr>
            <w:r>
              <w:rPr>
                <w:b/>
                <w:bCs/>
              </w:rPr>
              <w:t>以新带老削减量</w:t>
            </w:r>
          </w:p>
          <w:p>
            <w:pPr>
              <w:pStyle w:val="11"/>
              <w:jc w:val="center"/>
              <w:rPr>
                <w:b/>
                <w:bCs/>
              </w:rPr>
            </w:pPr>
            <w:r>
              <w:rPr>
                <w:b/>
                <w:bCs/>
              </w:rPr>
              <w:t>（新建项目不填）</w:t>
            </w:r>
            <w:r>
              <w:rPr>
                <w:b/>
                <w:bCs/>
              </w:rPr>
              <w:fldChar w:fldCharType="begin"/>
            </w:r>
            <w:r>
              <w:rPr>
                <w:b/>
                <w:bCs/>
              </w:rPr>
              <w:instrText xml:space="preserve"> = 5 \* GB3 \* MERGEFORMAT </w:instrText>
            </w:r>
            <w:r>
              <w:rPr>
                <w:b/>
                <w:bCs/>
              </w:rPr>
              <w:fldChar w:fldCharType="separate"/>
            </w:r>
            <w:r>
              <w:rPr>
                <w:b/>
                <w:bCs/>
              </w:rPr>
              <w:t>⑤</w:t>
            </w:r>
            <w:r>
              <w:rPr>
                <w:b/>
                <w:bCs/>
              </w:rPr>
              <w:fldChar w:fldCharType="end"/>
            </w:r>
          </w:p>
        </w:tc>
        <w:tc>
          <w:tcPr>
            <w:tcW w:w="1959" w:type="dxa"/>
            <w:tcMar>
              <w:left w:w="28" w:type="dxa"/>
              <w:right w:w="28" w:type="dxa"/>
            </w:tcMar>
            <w:vAlign w:val="center"/>
          </w:tcPr>
          <w:p>
            <w:pPr>
              <w:pStyle w:val="11"/>
              <w:jc w:val="center"/>
              <w:rPr>
                <w:b/>
                <w:bCs/>
              </w:rPr>
            </w:pPr>
            <w:r>
              <w:rPr>
                <w:b/>
                <w:bCs/>
              </w:rPr>
              <w:t>本项目建成后</w:t>
            </w:r>
          </w:p>
          <w:p>
            <w:pPr>
              <w:pStyle w:val="11"/>
              <w:jc w:val="center"/>
              <w:rPr>
                <w:b/>
                <w:bCs/>
              </w:rPr>
            </w:pPr>
            <w:r>
              <w:rPr>
                <w:b/>
                <w:bCs/>
              </w:rPr>
              <w:t>全厂排放量（固体废物产生量）</w:t>
            </w:r>
            <w:r>
              <w:rPr>
                <w:b/>
                <w:bCs/>
              </w:rPr>
              <w:fldChar w:fldCharType="begin"/>
            </w:r>
            <w:r>
              <w:rPr>
                <w:b/>
                <w:bCs/>
              </w:rPr>
              <w:instrText xml:space="preserve"> = 6 \* GB3 \* MERGEFORMAT </w:instrText>
            </w:r>
            <w:r>
              <w:rPr>
                <w:b/>
                <w:bCs/>
              </w:rPr>
              <w:fldChar w:fldCharType="separate"/>
            </w:r>
            <w:r>
              <w:rPr>
                <w:b/>
                <w:bCs/>
              </w:rPr>
              <w:t>⑥</w:t>
            </w:r>
            <w:r>
              <w:rPr>
                <w:b/>
                <w:bCs/>
              </w:rPr>
              <w:fldChar w:fldCharType="end"/>
            </w:r>
          </w:p>
        </w:tc>
        <w:tc>
          <w:tcPr>
            <w:tcW w:w="1234" w:type="dxa"/>
            <w:tcMar>
              <w:left w:w="28" w:type="dxa"/>
              <w:right w:w="28" w:type="dxa"/>
            </w:tcMar>
            <w:vAlign w:val="center"/>
          </w:tcPr>
          <w:p>
            <w:pPr>
              <w:pStyle w:val="11"/>
              <w:jc w:val="center"/>
              <w:rPr>
                <w:b/>
                <w:bCs/>
              </w:rPr>
            </w:pPr>
            <w:r>
              <w:rPr>
                <w:b/>
                <w:bCs/>
              </w:rPr>
              <w:t>变化量</w:t>
            </w:r>
          </w:p>
          <w:p>
            <w:pPr>
              <w:pStyle w:val="11"/>
              <w:jc w:val="center"/>
              <w:rPr>
                <w:b/>
                <w:bCs/>
              </w:rPr>
            </w:pPr>
            <w:r>
              <w:rPr>
                <w:b/>
                <w:bCs/>
              </w:rPr>
              <w:fldChar w:fldCharType="begin"/>
            </w:r>
            <w:r>
              <w:rPr>
                <w:b/>
                <w:bCs/>
              </w:rPr>
              <w:instrText xml:space="preserve"> = 7 \* GB3 \* MERGEFORMAT </w:instrText>
            </w:r>
            <w:r>
              <w:rPr>
                <w:b/>
                <w:bCs/>
              </w:rPr>
              <w:fldChar w:fldCharType="separate"/>
            </w:r>
            <w:r>
              <w:rPr>
                <w:b/>
                <w:bCs/>
              </w:rPr>
              <w:t>⑦</w:t>
            </w:r>
            <w:r>
              <w:rPr>
                <w:b/>
                <w:bC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restart"/>
            <w:vAlign w:val="center"/>
          </w:tcPr>
          <w:p>
            <w:pPr>
              <w:pStyle w:val="11"/>
              <w:spacing w:line="360" w:lineRule="auto"/>
              <w:jc w:val="center"/>
              <w:rPr>
                <w:b/>
                <w:bCs/>
              </w:rPr>
            </w:pPr>
            <w:r>
              <w:rPr>
                <w:b/>
                <w:bCs/>
              </w:rPr>
              <w:t>废气</w:t>
            </w:r>
          </w:p>
        </w:tc>
        <w:tc>
          <w:tcPr>
            <w:tcW w:w="2305" w:type="dxa"/>
            <w:vAlign w:val="center"/>
          </w:tcPr>
          <w:p>
            <w:pPr>
              <w:pStyle w:val="11"/>
              <w:spacing w:line="360" w:lineRule="auto"/>
              <w:jc w:val="center"/>
            </w:pPr>
            <w:r>
              <w:t>NO</w:t>
            </w:r>
            <w:r>
              <w:rPr>
                <w:vertAlign w:val="subscript"/>
              </w:rPr>
              <w:t>x</w:t>
            </w:r>
          </w:p>
        </w:tc>
        <w:tc>
          <w:tcPr>
            <w:tcW w:w="1701" w:type="dxa"/>
            <w:vAlign w:val="center"/>
          </w:tcPr>
          <w:p>
            <w:pPr>
              <w:pStyle w:val="11"/>
              <w:spacing w:line="360" w:lineRule="auto"/>
              <w:jc w:val="both"/>
            </w:pPr>
          </w:p>
        </w:tc>
        <w:tc>
          <w:tcPr>
            <w:tcW w:w="1276" w:type="dxa"/>
            <w:vAlign w:val="center"/>
          </w:tcPr>
          <w:p>
            <w:pPr>
              <w:pStyle w:val="11"/>
              <w:spacing w:line="360" w:lineRule="auto"/>
              <w:jc w:val="both"/>
            </w:pPr>
          </w:p>
        </w:tc>
        <w:tc>
          <w:tcPr>
            <w:tcW w:w="1701" w:type="dxa"/>
            <w:vAlign w:val="center"/>
          </w:tcPr>
          <w:p>
            <w:pPr>
              <w:pStyle w:val="11"/>
              <w:spacing w:line="360" w:lineRule="auto"/>
              <w:jc w:val="both"/>
            </w:pPr>
          </w:p>
        </w:tc>
        <w:tc>
          <w:tcPr>
            <w:tcW w:w="1559" w:type="dxa"/>
            <w:vAlign w:val="center"/>
          </w:tcPr>
          <w:p>
            <w:pPr>
              <w:pStyle w:val="11"/>
              <w:spacing w:line="360" w:lineRule="auto"/>
              <w:jc w:val="center"/>
            </w:pPr>
            <w:r>
              <w:rPr>
                <w:rFonts w:hint="eastAsia"/>
              </w:rPr>
              <w:t>1.74</w:t>
            </w:r>
            <w:r>
              <w:t>t/a</w:t>
            </w:r>
          </w:p>
        </w:tc>
        <w:tc>
          <w:tcPr>
            <w:tcW w:w="1761" w:type="dxa"/>
            <w:vAlign w:val="center"/>
          </w:tcPr>
          <w:p>
            <w:pPr>
              <w:pStyle w:val="11"/>
              <w:spacing w:line="360" w:lineRule="auto"/>
              <w:jc w:val="both"/>
            </w:pPr>
          </w:p>
        </w:tc>
        <w:tc>
          <w:tcPr>
            <w:tcW w:w="1959" w:type="dxa"/>
            <w:vAlign w:val="center"/>
          </w:tcPr>
          <w:p>
            <w:pPr>
              <w:pStyle w:val="11"/>
              <w:spacing w:line="360" w:lineRule="auto"/>
              <w:jc w:val="center"/>
            </w:pPr>
            <w:r>
              <w:rPr>
                <w:rFonts w:hint="eastAsia"/>
              </w:rPr>
              <w:t>1.74</w:t>
            </w:r>
            <w:r>
              <w:t>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r>
              <w:t>S</w:t>
            </w:r>
            <w:r>
              <w:rPr>
                <w:rFonts w:hint="eastAsia"/>
              </w:rPr>
              <w:t>O</w:t>
            </w:r>
            <w:r>
              <w:rPr>
                <w:vertAlign w:val="subscript"/>
              </w:rPr>
              <w:t>2</w:t>
            </w:r>
          </w:p>
        </w:tc>
        <w:tc>
          <w:tcPr>
            <w:tcW w:w="1701" w:type="dxa"/>
            <w:vAlign w:val="center"/>
          </w:tcPr>
          <w:p>
            <w:pPr>
              <w:pStyle w:val="11"/>
              <w:spacing w:line="360" w:lineRule="auto"/>
              <w:jc w:val="both"/>
            </w:pPr>
          </w:p>
        </w:tc>
        <w:tc>
          <w:tcPr>
            <w:tcW w:w="1276" w:type="dxa"/>
            <w:vAlign w:val="center"/>
          </w:tcPr>
          <w:p>
            <w:pPr>
              <w:pStyle w:val="11"/>
              <w:spacing w:line="360" w:lineRule="auto"/>
              <w:jc w:val="both"/>
            </w:pPr>
          </w:p>
        </w:tc>
        <w:tc>
          <w:tcPr>
            <w:tcW w:w="1701" w:type="dxa"/>
            <w:vAlign w:val="center"/>
          </w:tcPr>
          <w:p>
            <w:pPr>
              <w:pStyle w:val="11"/>
              <w:spacing w:line="360" w:lineRule="auto"/>
              <w:jc w:val="both"/>
            </w:pPr>
          </w:p>
        </w:tc>
        <w:tc>
          <w:tcPr>
            <w:tcW w:w="1559" w:type="dxa"/>
            <w:vAlign w:val="center"/>
          </w:tcPr>
          <w:p>
            <w:pPr>
              <w:pStyle w:val="11"/>
              <w:spacing w:line="360" w:lineRule="auto"/>
              <w:jc w:val="center"/>
            </w:pPr>
            <w:r>
              <w:t>0.</w:t>
            </w:r>
            <w:r>
              <w:rPr>
                <w:rFonts w:hint="eastAsia"/>
              </w:rPr>
              <w:t>30</w:t>
            </w:r>
            <w:r>
              <w:t>t/a</w:t>
            </w:r>
          </w:p>
        </w:tc>
        <w:tc>
          <w:tcPr>
            <w:tcW w:w="1761" w:type="dxa"/>
            <w:vAlign w:val="center"/>
          </w:tcPr>
          <w:p>
            <w:pPr>
              <w:pStyle w:val="11"/>
              <w:spacing w:line="360" w:lineRule="auto"/>
              <w:jc w:val="both"/>
            </w:pPr>
          </w:p>
        </w:tc>
        <w:tc>
          <w:tcPr>
            <w:tcW w:w="1959" w:type="dxa"/>
            <w:vAlign w:val="center"/>
          </w:tcPr>
          <w:p>
            <w:pPr>
              <w:pStyle w:val="11"/>
              <w:spacing w:line="360" w:lineRule="auto"/>
              <w:jc w:val="center"/>
            </w:pPr>
            <w:r>
              <w:t>0.</w:t>
            </w:r>
            <w:r>
              <w:rPr>
                <w:rFonts w:hint="eastAsia"/>
              </w:rPr>
              <w:t>30</w:t>
            </w:r>
            <w:r>
              <w:t>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restart"/>
            <w:vAlign w:val="center"/>
          </w:tcPr>
          <w:p>
            <w:pPr>
              <w:pStyle w:val="11"/>
              <w:spacing w:line="360" w:lineRule="auto"/>
              <w:jc w:val="center"/>
              <w:rPr>
                <w:b/>
                <w:bCs/>
              </w:rPr>
            </w:pPr>
            <w:r>
              <w:rPr>
                <w:b/>
                <w:bCs/>
              </w:rPr>
              <w:t>废水</w:t>
            </w:r>
          </w:p>
        </w:tc>
        <w:tc>
          <w:tcPr>
            <w:tcW w:w="2305" w:type="dxa"/>
            <w:vAlign w:val="center"/>
          </w:tcPr>
          <w:p>
            <w:pPr>
              <w:pStyle w:val="11"/>
              <w:spacing w:line="360" w:lineRule="auto"/>
              <w:jc w:val="center"/>
            </w:pPr>
            <w:r>
              <w:t>氨氮</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rPr>
                <w:rFonts w:hint="eastAsia"/>
              </w:rPr>
              <w:t>0.341</w:t>
            </w:r>
            <w:r>
              <w:t>t</w:t>
            </w:r>
          </w:p>
        </w:tc>
        <w:tc>
          <w:tcPr>
            <w:tcW w:w="1761" w:type="dxa"/>
            <w:vAlign w:val="center"/>
          </w:tcPr>
          <w:p>
            <w:pPr>
              <w:pStyle w:val="11"/>
              <w:jc w:val="center"/>
            </w:pPr>
          </w:p>
        </w:tc>
        <w:tc>
          <w:tcPr>
            <w:tcW w:w="1959" w:type="dxa"/>
            <w:vAlign w:val="center"/>
          </w:tcPr>
          <w:p>
            <w:pPr>
              <w:pStyle w:val="11"/>
              <w:jc w:val="center"/>
            </w:pPr>
            <w:r>
              <w:rPr>
                <w:rFonts w:hint="eastAsia"/>
              </w:rPr>
              <w:t>0.341</w:t>
            </w:r>
            <w:r>
              <w:t>t</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r>
              <w:t>总磷</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rPr>
                <w:rFonts w:hint="eastAsia"/>
              </w:rPr>
              <w:t>0.061t</w:t>
            </w:r>
          </w:p>
        </w:tc>
        <w:tc>
          <w:tcPr>
            <w:tcW w:w="1761" w:type="dxa"/>
            <w:vAlign w:val="center"/>
          </w:tcPr>
          <w:p>
            <w:pPr>
              <w:pStyle w:val="11"/>
              <w:jc w:val="center"/>
            </w:pPr>
          </w:p>
        </w:tc>
        <w:tc>
          <w:tcPr>
            <w:tcW w:w="1959" w:type="dxa"/>
            <w:vAlign w:val="center"/>
          </w:tcPr>
          <w:p>
            <w:pPr>
              <w:pStyle w:val="11"/>
              <w:jc w:val="center"/>
            </w:pPr>
            <w:r>
              <w:rPr>
                <w:rFonts w:hint="eastAsia"/>
              </w:rPr>
              <w:t>0.061t</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r>
              <w:t>总氮</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t>0.</w:t>
            </w:r>
            <w:r>
              <w:rPr>
                <w:rFonts w:hint="eastAsia"/>
              </w:rPr>
              <w:t>530</w:t>
            </w:r>
            <w:r>
              <w:t>t</w:t>
            </w:r>
          </w:p>
        </w:tc>
        <w:tc>
          <w:tcPr>
            <w:tcW w:w="1761" w:type="dxa"/>
            <w:vAlign w:val="center"/>
          </w:tcPr>
          <w:p>
            <w:pPr>
              <w:pStyle w:val="11"/>
              <w:jc w:val="center"/>
            </w:pPr>
          </w:p>
        </w:tc>
        <w:tc>
          <w:tcPr>
            <w:tcW w:w="1959" w:type="dxa"/>
            <w:vAlign w:val="center"/>
          </w:tcPr>
          <w:p>
            <w:pPr>
              <w:pStyle w:val="11"/>
              <w:jc w:val="center"/>
            </w:pPr>
            <w:r>
              <w:t>0.</w:t>
            </w:r>
            <w:r>
              <w:rPr>
                <w:rFonts w:hint="eastAsia"/>
              </w:rPr>
              <w:t>530</w:t>
            </w:r>
            <w:r>
              <w:t>t</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restart"/>
            <w:vAlign w:val="center"/>
          </w:tcPr>
          <w:p>
            <w:pPr>
              <w:pStyle w:val="11"/>
              <w:spacing w:line="360" w:lineRule="auto"/>
              <w:jc w:val="center"/>
              <w:rPr>
                <w:b/>
                <w:bCs/>
              </w:rPr>
            </w:pPr>
            <w:r>
              <w:rPr>
                <w:b/>
                <w:bCs/>
              </w:rPr>
              <w:t>一般工业</w:t>
            </w:r>
          </w:p>
          <w:p>
            <w:pPr>
              <w:pStyle w:val="11"/>
              <w:spacing w:line="360" w:lineRule="auto"/>
              <w:jc w:val="center"/>
              <w:rPr>
                <w:b/>
                <w:bCs/>
              </w:rPr>
            </w:pPr>
            <w:r>
              <w:rPr>
                <w:b/>
                <w:bCs/>
              </w:rPr>
              <w:t>固体废物</w:t>
            </w:r>
          </w:p>
        </w:tc>
        <w:tc>
          <w:tcPr>
            <w:tcW w:w="2305" w:type="dxa"/>
            <w:vAlign w:val="center"/>
          </w:tcPr>
          <w:p>
            <w:pPr>
              <w:pStyle w:val="11"/>
              <w:spacing w:line="360" w:lineRule="auto"/>
              <w:jc w:val="center"/>
            </w:pPr>
            <w:r>
              <w:t>生活垃圾</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rPr>
                <w:rFonts w:hint="eastAsia"/>
              </w:rPr>
              <w:t>24.0</w:t>
            </w:r>
            <w:r>
              <w:t>t/a</w:t>
            </w:r>
          </w:p>
        </w:tc>
        <w:tc>
          <w:tcPr>
            <w:tcW w:w="1761" w:type="dxa"/>
            <w:vAlign w:val="center"/>
          </w:tcPr>
          <w:p>
            <w:pPr>
              <w:pStyle w:val="11"/>
              <w:jc w:val="center"/>
            </w:pPr>
          </w:p>
        </w:tc>
        <w:tc>
          <w:tcPr>
            <w:tcW w:w="1959" w:type="dxa"/>
            <w:vAlign w:val="center"/>
          </w:tcPr>
          <w:p>
            <w:pPr>
              <w:pStyle w:val="11"/>
              <w:jc w:val="center"/>
            </w:pPr>
            <w:r>
              <w:rPr>
                <w:rFonts w:hint="eastAsia"/>
              </w:rPr>
              <w:t>24.0</w:t>
            </w:r>
            <w:r>
              <w:t>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r>
              <w:rPr>
                <w:rFonts w:hint="eastAsia"/>
              </w:rPr>
              <w:t>不可利用的边角料</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rPr>
                <w:rFonts w:hint="eastAsia"/>
              </w:rPr>
              <w:t>400t/a</w:t>
            </w:r>
          </w:p>
        </w:tc>
        <w:tc>
          <w:tcPr>
            <w:tcW w:w="1761" w:type="dxa"/>
            <w:vAlign w:val="center"/>
          </w:tcPr>
          <w:p>
            <w:pPr>
              <w:pStyle w:val="11"/>
              <w:jc w:val="center"/>
            </w:pPr>
          </w:p>
        </w:tc>
        <w:tc>
          <w:tcPr>
            <w:tcW w:w="1959" w:type="dxa"/>
            <w:vAlign w:val="center"/>
          </w:tcPr>
          <w:p>
            <w:pPr>
              <w:pStyle w:val="11"/>
              <w:jc w:val="center"/>
            </w:pPr>
            <w:r>
              <w:rPr>
                <w:rFonts w:hint="eastAsia"/>
              </w:rPr>
              <w:t>400t/a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r>
              <w:rPr>
                <w:rFonts w:hint="eastAsia"/>
              </w:rPr>
              <w:t>不合格产品</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rPr>
                <w:rFonts w:hint="eastAsia"/>
              </w:rPr>
              <w:t>100</w:t>
            </w:r>
            <w:r>
              <w:t>t/a</w:t>
            </w:r>
          </w:p>
        </w:tc>
        <w:tc>
          <w:tcPr>
            <w:tcW w:w="1761" w:type="dxa"/>
            <w:vAlign w:val="center"/>
          </w:tcPr>
          <w:p>
            <w:pPr>
              <w:pStyle w:val="11"/>
              <w:jc w:val="center"/>
            </w:pPr>
          </w:p>
        </w:tc>
        <w:tc>
          <w:tcPr>
            <w:tcW w:w="1959" w:type="dxa"/>
            <w:vAlign w:val="center"/>
          </w:tcPr>
          <w:p>
            <w:pPr>
              <w:pStyle w:val="11"/>
              <w:jc w:val="center"/>
            </w:pPr>
            <w:r>
              <w:rPr>
                <w:rFonts w:hint="eastAsia"/>
              </w:rPr>
              <w:t>100</w:t>
            </w:r>
            <w:r>
              <w:t>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r>
              <w:rPr>
                <w:rFonts w:hint="eastAsia"/>
              </w:rPr>
              <w:t>废弃食用油</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t>0.</w:t>
            </w:r>
            <w:r>
              <w:rPr>
                <w:rFonts w:hint="eastAsia"/>
              </w:rPr>
              <w:t>95</w:t>
            </w:r>
            <w:r>
              <w:t>t/a</w:t>
            </w:r>
          </w:p>
        </w:tc>
        <w:tc>
          <w:tcPr>
            <w:tcW w:w="1761" w:type="dxa"/>
            <w:vAlign w:val="center"/>
          </w:tcPr>
          <w:p>
            <w:pPr>
              <w:pStyle w:val="11"/>
              <w:jc w:val="center"/>
            </w:pPr>
          </w:p>
        </w:tc>
        <w:tc>
          <w:tcPr>
            <w:tcW w:w="1959" w:type="dxa"/>
            <w:vAlign w:val="center"/>
          </w:tcPr>
          <w:p>
            <w:pPr>
              <w:pStyle w:val="11"/>
              <w:jc w:val="center"/>
            </w:pPr>
            <w:r>
              <w:t>0.</w:t>
            </w:r>
            <w:r>
              <w:rPr>
                <w:rFonts w:hint="eastAsia"/>
              </w:rPr>
              <w:t>95</w:t>
            </w:r>
            <w:r>
              <w:t>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r>
              <w:rPr>
                <w:rFonts w:hint="eastAsia"/>
              </w:rPr>
              <w:t>废弃包装材料</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rPr>
                <w:rFonts w:hint="eastAsia"/>
              </w:rPr>
              <w:t>150</w:t>
            </w:r>
            <w:r>
              <w:t>t/a</w:t>
            </w:r>
          </w:p>
        </w:tc>
        <w:tc>
          <w:tcPr>
            <w:tcW w:w="1761" w:type="dxa"/>
            <w:vAlign w:val="center"/>
          </w:tcPr>
          <w:p>
            <w:pPr>
              <w:pStyle w:val="11"/>
              <w:jc w:val="center"/>
            </w:pPr>
          </w:p>
        </w:tc>
        <w:tc>
          <w:tcPr>
            <w:tcW w:w="1959" w:type="dxa"/>
            <w:vAlign w:val="center"/>
          </w:tcPr>
          <w:p>
            <w:pPr>
              <w:pStyle w:val="11"/>
              <w:jc w:val="center"/>
            </w:pPr>
            <w:r>
              <w:rPr>
                <w:rFonts w:hint="eastAsia"/>
              </w:rPr>
              <w:t>150</w:t>
            </w:r>
            <w:r>
              <w:t>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restart"/>
            <w:vAlign w:val="center"/>
          </w:tcPr>
          <w:p>
            <w:pPr>
              <w:pStyle w:val="11"/>
              <w:spacing w:line="360" w:lineRule="auto"/>
              <w:jc w:val="center"/>
              <w:rPr>
                <w:b/>
                <w:bCs/>
              </w:rPr>
            </w:pPr>
            <w:r>
              <w:rPr>
                <w:b/>
                <w:bCs/>
              </w:rPr>
              <w:t>危险废物</w:t>
            </w:r>
          </w:p>
        </w:tc>
        <w:tc>
          <w:tcPr>
            <w:tcW w:w="2305" w:type="dxa"/>
            <w:vAlign w:val="center"/>
          </w:tcPr>
          <w:p>
            <w:pPr>
              <w:pStyle w:val="11"/>
              <w:spacing w:line="360" w:lineRule="auto"/>
              <w:jc w:val="center"/>
            </w:pPr>
            <w:r>
              <w:t>废机油</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t>0.10t/a</w:t>
            </w:r>
          </w:p>
        </w:tc>
        <w:tc>
          <w:tcPr>
            <w:tcW w:w="1761" w:type="dxa"/>
            <w:vAlign w:val="center"/>
          </w:tcPr>
          <w:p>
            <w:pPr>
              <w:pStyle w:val="11"/>
              <w:jc w:val="center"/>
            </w:pPr>
          </w:p>
        </w:tc>
        <w:tc>
          <w:tcPr>
            <w:tcW w:w="1959" w:type="dxa"/>
            <w:vAlign w:val="center"/>
          </w:tcPr>
          <w:p>
            <w:pPr>
              <w:pStyle w:val="11"/>
              <w:jc w:val="center"/>
            </w:pPr>
            <w:r>
              <w:t>0.10t/a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r>
              <w:t>废液压油</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t>0.05t/a</w:t>
            </w:r>
          </w:p>
        </w:tc>
        <w:tc>
          <w:tcPr>
            <w:tcW w:w="1761" w:type="dxa"/>
            <w:vAlign w:val="center"/>
          </w:tcPr>
          <w:p>
            <w:pPr>
              <w:pStyle w:val="11"/>
              <w:jc w:val="center"/>
            </w:pPr>
          </w:p>
        </w:tc>
        <w:tc>
          <w:tcPr>
            <w:tcW w:w="1959" w:type="dxa"/>
            <w:vAlign w:val="center"/>
          </w:tcPr>
          <w:p>
            <w:pPr>
              <w:pStyle w:val="11"/>
              <w:jc w:val="center"/>
            </w:pPr>
            <w:r>
              <w:t>0.05t/a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r>
              <w:t>废机油、液压油桶</w:t>
            </w: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r>
              <w:t>0.05t/a</w:t>
            </w:r>
          </w:p>
        </w:tc>
        <w:tc>
          <w:tcPr>
            <w:tcW w:w="1761" w:type="dxa"/>
            <w:vAlign w:val="center"/>
          </w:tcPr>
          <w:p>
            <w:pPr>
              <w:pStyle w:val="11"/>
              <w:jc w:val="center"/>
            </w:pPr>
          </w:p>
        </w:tc>
        <w:tc>
          <w:tcPr>
            <w:tcW w:w="1959" w:type="dxa"/>
            <w:vAlign w:val="center"/>
          </w:tcPr>
          <w:p>
            <w:pPr>
              <w:pStyle w:val="11"/>
              <w:jc w:val="center"/>
            </w:pPr>
            <w:r>
              <w:t>0.05t/a</w:t>
            </w:r>
          </w:p>
        </w:tc>
        <w:tc>
          <w:tcPr>
            <w:tcW w:w="1234" w:type="dxa"/>
            <w:vAlign w:val="center"/>
          </w:tcPr>
          <w:p>
            <w:pPr>
              <w:pStyle w:val="11"/>
              <w:spacing w:line="360" w:lineRule="auto"/>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rPr>
            </w:pPr>
          </w:p>
        </w:tc>
        <w:tc>
          <w:tcPr>
            <w:tcW w:w="2305" w:type="dxa"/>
            <w:vAlign w:val="center"/>
          </w:tcPr>
          <w:p>
            <w:pPr>
              <w:pStyle w:val="11"/>
              <w:spacing w:line="360" w:lineRule="auto"/>
              <w:jc w:val="center"/>
            </w:pPr>
          </w:p>
        </w:tc>
        <w:tc>
          <w:tcPr>
            <w:tcW w:w="1701" w:type="dxa"/>
            <w:vAlign w:val="center"/>
          </w:tcPr>
          <w:p>
            <w:pPr>
              <w:pStyle w:val="11"/>
              <w:spacing w:line="360" w:lineRule="auto"/>
              <w:jc w:val="center"/>
            </w:pPr>
          </w:p>
        </w:tc>
        <w:tc>
          <w:tcPr>
            <w:tcW w:w="1276" w:type="dxa"/>
            <w:vAlign w:val="center"/>
          </w:tcPr>
          <w:p>
            <w:pPr>
              <w:pStyle w:val="11"/>
              <w:jc w:val="center"/>
            </w:pPr>
          </w:p>
        </w:tc>
        <w:tc>
          <w:tcPr>
            <w:tcW w:w="1701" w:type="dxa"/>
            <w:vAlign w:val="center"/>
          </w:tcPr>
          <w:p>
            <w:pPr>
              <w:pStyle w:val="11"/>
              <w:jc w:val="center"/>
            </w:pPr>
          </w:p>
        </w:tc>
        <w:tc>
          <w:tcPr>
            <w:tcW w:w="1559" w:type="dxa"/>
            <w:vAlign w:val="center"/>
          </w:tcPr>
          <w:p>
            <w:pPr>
              <w:pStyle w:val="11"/>
              <w:jc w:val="center"/>
            </w:pPr>
          </w:p>
        </w:tc>
        <w:tc>
          <w:tcPr>
            <w:tcW w:w="1761" w:type="dxa"/>
            <w:vAlign w:val="center"/>
          </w:tcPr>
          <w:p>
            <w:pPr>
              <w:pStyle w:val="11"/>
              <w:jc w:val="center"/>
            </w:pPr>
          </w:p>
        </w:tc>
        <w:tc>
          <w:tcPr>
            <w:tcW w:w="1959" w:type="dxa"/>
            <w:vAlign w:val="center"/>
          </w:tcPr>
          <w:p>
            <w:pPr>
              <w:pStyle w:val="11"/>
              <w:jc w:val="center"/>
            </w:pPr>
          </w:p>
        </w:tc>
        <w:tc>
          <w:tcPr>
            <w:tcW w:w="1234" w:type="dxa"/>
            <w:vAlign w:val="center"/>
          </w:tcPr>
          <w:p>
            <w:pPr>
              <w:pStyle w:val="11"/>
              <w:spacing w:line="360" w:lineRule="auto"/>
              <w:jc w:val="center"/>
            </w:pPr>
          </w:p>
        </w:tc>
      </w:tr>
    </w:tbl>
    <w:p>
      <w:pPr>
        <w:ind w:firstLine="480"/>
      </w:pPr>
    </w:p>
    <w:p>
      <w:pPr>
        <w:ind w:firstLine="480"/>
      </w:pPr>
      <w:r>
        <w:t>注：</w:t>
      </w:r>
      <w:r>
        <w:fldChar w:fldCharType="begin"/>
      </w:r>
      <w:r>
        <w:instrText xml:space="preserve"> = 6 \* GB3 \* MERGEFORMAT </w:instrText>
      </w:r>
      <w:r>
        <w:fldChar w:fldCharType="separate"/>
      </w:r>
      <w:r>
        <w:t>⑥</w:t>
      </w:r>
      <w:r>
        <w:fldChar w:fldCharType="end"/>
      </w:r>
      <w:r>
        <w:t>=</w:t>
      </w:r>
      <w:r>
        <w:fldChar w:fldCharType="begin"/>
      </w:r>
      <w:r>
        <w:instrText xml:space="preserve"> = 1 \* GB3 \* MERGEFORMAT </w:instrText>
      </w:r>
      <w:r>
        <w:fldChar w:fldCharType="separate"/>
      </w:r>
      <w:r>
        <w:t>①</w:t>
      </w:r>
      <w:r>
        <w:fldChar w:fldCharType="end"/>
      </w:r>
      <w:r>
        <w:t>+</w:t>
      </w:r>
      <w:r>
        <w:fldChar w:fldCharType="begin"/>
      </w:r>
      <w:r>
        <w:instrText xml:space="preserve"> = 3 \* GB3 \* MERGEFORMAT </w:instrText>
      </w:r>
      <w:r>
        <w:fldChar w:fldCharType="separate"/>
      </w:r>
      <w:r>
        <w:t>③</w:t>
      </w:r>
      <w:r>
        <w:fldChar w:fldCharType="end"/>
      </w:r>
      <w:r>
        <w:t>+</w:t>
      </w:r>
      <w:r>
        <w:fldChar w:fldCharType="begin"/>
      </w:r>
      <w:r>
        <w:instrText xml:space="preserve"> = 4 \* GB3 \* MERGEFORMAT </w:instrText>
      </w:r>
      <w:r>
        <w:fldChar w:fldCharType="separate"/>
      </w:r>
      <w:r>
        <w:t>④</w:t>
      </w:r>
      <w:r>
        <w:fldChar w:fldCharType="end"/>
      </w:r>
      <w:r>
        <w:t>-</w:t>
      </w:r>
      <w:r>
        <w:fldChar w:fldCharType="begin"/>
      </w:r>
      <w:r>
        <w:instrText xml:space="preserve"> = 5 \* GB3 \* MERGEFORMAT </w:instrText>
      </w:r>
      <w:r>
        <w:fldChar w:fldCharType="separate"/>
      </w:r>
      <w:r>
        <w:t>⑤</w:t>
      </w:r>
      <w:r>
        <w:fldChar w:fldCharType="end"/>
      </w:r>
      <w:r>
        <w:t>；</w:t>
      </w:r>
      <w:r>
        <w:fldChar w:fldCharType="begin"/>
      </w:r>
      <w:r>
        <w:instrText xml:space="preserve"> = 7 \* GB3 \* MERGEFORMAT </w:instrText>
      </w:r>
      <w:r>
        <w:fldChar w:fldCharType="separate"/>
      </w:r>
      <w:r>
        <w:t>⑦</w:t>
      </w:r>
      <w:r>
        <w:fldChar w:fldCharType="end"/>
      </w:r>
      <w:r>
        <w:t>=</w:t>
      </w:r>
      <w:r>
        <w:fldChar w:fldCharType="begin"/>
      </w:r>
      <w:r>
        <w:instrText xml:space="preserve"> = 6 \* GB3 \* MERGEFORMAT </w:instrText>
      </w:r>
      <w:r>
        <w:fldChar w:fldCharType="separate"/>
      </w:r>
      <w:r>
        <w:t>⑥</w:t>
      </w:r>
      <w:r>
        <w:fldChar w:fldCharType="end"/>
      </w:r>
      <w:r>
        <w:t>-</w:t>
      </w:r>
      <w:r>
        <w:fldChar w:fldCharType="begin"/>
      </w:r>
      <w:r>
        <w:instrText xml:space="preserve"> = 1 \* GB3 \* MERGEFORMAT </w:instrText>
      </w:r>
      <w:r>
        <w:fldChar w:fldCharType="separate"/>
      </w:r>
      <w:r>
        <w:t>①</w:t>
      </w:r>
      <w:r>
        <w:fldChar w:fldCharType="end"/>
      </w:r>
    </w:p>
    <w:sectPr>
      <w:footerReference r:id="rId13" w:type="default"/>
      <w:pgSz w:w="16838" w:h="11906" w:orient="landscape"/>
      <w:pgMar w:top="1440" w:right="1080" w:bottom="1440" w:left="1080"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1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ind w:firstLine="480"/>
    </w:pPr>
    <w:r>
      <w:fldChar w:fldCharType="begin"/>
    </w:r>
    <w:r>
      <w:instrText xml:space="preserve">PAGE  </w:instrText>
    </w:r>
    <w:r>
      <w:fldChar w:fldCharType="end"/>
    </w:r>
  </w:p>
  <w:p>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ind w:firstLine="0" w:firstLineChars="0"/>
                          </w:pPr>
                          <w:r>
                            <w:fldChar w:fldCharType="begin"/>
                          </w:r>
                          <w:r>
                            <w:instrText xml:space="preserve"> PAGE  \* MERGEFORMAT </w:instrText>
                          </w:r>
                          <w:r>
                            <w:fldChar w:fldCharType="separate"/>
                          </w:r>
                          <w:r>
                            <w:t>II</w:t>
                          </w:r>
                          <w:r>
                            <w:fldChar w:fldCharType="end"/>
                          </w:r>
                        </w:p>
                      </w:txbxContent>
                    </wps:txbx>
                    <wps:bodyPr vert="horz" wrap="none" lIns="0" tIns="0" rIns="0" bIns="0" anchor="t" anchorCtr="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pilrNkBAAC2AwAADgAAAAAAAAABACAA&#10;AAAeAQAAZHJzL2Uyb0RvYy54bWxQSwUGAAAAAAYABgBZAQAAaQUAAAAA&#10;">
              <v:fill on="f" focussize="0,0"/>
              <v:stroke on="f"/>
              <v:imagedata o:title=""/>
              <o:lock v:ext="edit" aspectratio="f"/>
              <v:textbox inset="0mm,0mm,0mm,0mm" style="mso-fit-shape-to-text:t;">
                <w:txbxContent>
                  <w:p>
                    <w:pPr>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ind w:firstLine="0" w:firstLineChars="0"/>
                          </w:pPr>
                          <w:r>
                            <w:fldChar w:fldCharType="begin"/>
                          </w:r>
                          <w:r>
                            <w:instrText xml:space="preserve"> PAGE  \* MERGEFORMAT </w:instrText>
                          </w:r>
                          <w:r>
                            <w:fldChar w:fldCharType="separate"/>
                          </w:r>
                          <w:r>
                            <w:t>17</w:t>
                          </w:r>
                          <w:r>
                            <w:fldChar w:fldCharType="end"/>
                          </w:r>
                        </w:p>
                      </w:txbxContent>
                    </wps:txbx>
                    <wps:bodyPr vert="horz" wrap="none" lIns="0" tIns="0" rIns="0" bIns="0" anchor="t" anchorCtr="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HQ2AB9kBAAC2AwAADgAAAAAAAAABACAA&#10;AAAeAQAAZHJzL2Uyb0RvYy54bWxQSwUGAAAAAAYABgBZAQAAaQUAAAAA&#10;">
              <v:fill on="f" focussize="0,0"/>
              <v:stroke on="f"/>
              <v:imagedata o:title=""/>
              <o:lock v:ext="edit" aspectratio="f"/>
              <v:textbox inset="0mm,0mm,0mm,0mm" style="mso-fit-shape-to-text:t;">
                <w:txbxContent>
                  <w:p>
                    <w:pPr>
                      <w:ind w:firstLine="0" w:firstLineChars="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172A27"/>
    <w:rsid w:val="000060B3"/>
    <w:rsid w:val="0001080F"/>
    <w:rsid w:val="0003624B"/>
    <w:rsid w:val="0004364B"/>
    <w:rsid w:val="00061B1F"/>
    <w:rsid w:val="000733C4"/>
    <w:rsid w:val="00074783"/>
    <w:rsid w:val="0008070B"/>
    <w:rsid w:val="000810AC"/>
    <w:rsid w:val="00081A02"/>
    <w:rsid w:val="00081AED"/>
    <w:rsid w:val="00082231"/>
    <w:rsid w:val="00092D38"/>
    <w:rsid w:val="0009377B"/>
    <w:rsid w:val="000947BF"/>
    <w:rsid w:val="000A20C9"/>
    <w:rsid w:val="000A2C51"/>
    <w:rsid w:val="000B058F"/>
    <w:rsid w:val="000B3C9B"/>
    <w:rsid w:val="000B4467"/>
    <w:rsid w:val="000B4DB9"/>
    <w:rsid w:val="000C09AC"/>
    <w:rsid w:val="000C5A73"/>
    <w:rsid w:val="000C767F"/>
    <w:rsid w:val="000D5A44"/>
    <w:rsid w:val="000E3ED2"/>
    <w:rsid w:val="00115777"/>
    <w:rsid w:val="00125344"/>
    <w:rsid w:val="00131F42"/>
    <w:rsid w:val="001357F1"/>
    <w:rsid w:val="00140FA8"/>
    <w:rsid w:val="00142FEB"/>
    <w:rsid w:val="00143A2D"/>
    <w:rsid w:val="00145A41"/>
    <w:rsid w:val="00151675"/>
    <w:rsid w:val="00152C53"/>
    <w:rsid w:val="00157435"/>
    <w:rsid w:val="00172A27"/>
    <w:rsid w:val="00172C4E"/>
    <w:rsid w:val="0017504D"/>
    <w:rsid w:val="00175969"/>
    <w:rsid w:val="0017671A"/>
    <w:rsid w:val="00177422"/>
    <w:rsid w:val="00184590"/>
    <w:rsid w:val="001870D1"/>
    <w:rsid w:val="0018781E"/>
    <w:rsid w:val="00191E24"/>
    <w:rsid w:val="0019262D"/>
    <w:rsid w:val="001A1B35"/>
    <w:rsid w:val="001A48A2"/>
    <w:rsid w:val="001A6F61"/>
    <w:rsid w:val="001B3DBF"/>
    <w:rsid w:val="001B72B8"/>
    <w:rsid w:val="001B7BDA"/>
    <w:rsid w:val="001C69B3"/>
    <w:rsid w:val="001D3C77"/>
    <w:rsid w:val="001D5595"/>
    <w:rsid w:val="001D7874"/>
    <w:rsid w:val="001D7F22"/>
    <w:rsid w:val="001F0F17"/>
    <w:rsid w:val="001F3347"/>
    <w:rsid w:val="001F69E4"/>
    <w:rsid w:val="002125B4"/>
    <w:rsid w:val="002126B6"/>
    <w:rsid w:val="002155B8"/>
    <w:rsid w:val="0022181C"/>
    <w:rsid w:val="00224839"/>
    <w:rsid w:val="002249B2"/>
    <w:rsid w:val="00226574"/>
    <w:rsid w:val="002278EC"/>
    <w:rsid w:val="00230675"/>
    <w:rsid w:val="002307E1"/>
    <w:rsid w:val="0023280E"/>
    <w:rsid w:val="002377D1"/>
    <w:rsid w:val="002506BC"/>
    <w:rsid w:val="00254345"/>
    <w:rsid w:val="00260C26"/>
    <w:rsid w:val="0026169A"/>
    <w:rsid w:val="00264557"/>
    <w:rsid w:val="002805AB"/>
    <w:rsid w:val="00284204"/>
    <w:rsid w:val="00291773"/>
    <w:rsid w:val="002933B0"/>
    <w:rsid w:val="002A168C"/>
    <w:rsid w:val="002A241E"/>
    <w:rsid w:val="002A3DC7"/>
    <w:rsid w:val="002B49E2"/>
    <w:rsid w:val="002B73BA"/>
    <w:rsid w:val="002B7B00"/>
    <w:rsid w:val="002B7C44"/>
    <w:rsid w:val="002C2B17"/>
    <w:rsid w:val="002C3B66"/>
    <w:rsid w:val="002D3DD0"/>
    <w:rsid w:val="002E1C62"/>
    <w:rsid w:val="002E1F3A"/>
    <w:rsid w:val="002E298A"/>
    <w:rsid w:val="00301978"/>
    <w:rsid w:val="0030332C"/>
    <w:rsid w:val="00304624"/>
    <w:rsid w:val="003051C2"/>
    <w:rsid w:val="00312296"/>
    <w:rsid w:val="00314998"/>
    <w:rsid w:val="003149B1"/>
    <w:rsid w:val="00314F0E"/>
    <w:rsid w:val="00321D8E"/>
    <w:rsid w:val="00325928"/>
    <w:rsid w:val="00327182"/>
    <w:rsid w:val="00331CA8"/>
    <w:rsid w:val="00332863"/>
    <w:rsid w:val="0033684D"/>
    <w:rsid w:val="00337B42"/>
    <w:rsid w:val="00341B42"/>
    <w:rsid w:val="0034348F"/>
    <w:rsid w:val="00356653"/>
    <w:rsid w:val="0035743F"/>
    <w:rsid w:val="00357BE2"/>
    <w:rsid w:val="0036170C"/>
    <w:rsid w:val="00361C8D"/>
    <w:rsid w:val="00366E0F"/>
    <w:rsid w:val="0037164D"/>
    <w:rsid w:val="00381A72"/>
    <w:rsid w:val="0038321D"/>
    <w:rsid w:val="00384676"/>
    <w:rsid w:val="00390857"/>
    <w:rsid w:val="003A4BF3"/>
    <w:rsid w:val="003B420D"/>
    <w:rsid w:val="003C2C06"/>
    <w:rsid w:val="003C6C16"/>
    <w:rsid w:val="003D794D"/>
    <w:rsid w:val="003E3058"/>
    <w:rsid w:val="003E62AB"/>
    <w:rsid w:val="003E76A9"/>
    <w:rsid w:val="003F0809"/>
    <w:rsid w:val="003F192C"/>
    <w:rsid w:val="003F6A8C"/>
    <w:rsid w:val="003F755C"/>
    <w:rsid w:val="00406F01"/>
    <w:rsid w:val="0041306A"/>
    <w:rsid w:val="00416D50"/>
    <w:rsid w:val="00416FD5"/>
    <w:rsid w:val="00417772"/>
    <w:rsid w:val="00420E6A"/>
    <w:rsid w:val="00425A9E"/>
    <w:rsid w:val="00425FEE"/>
    <w:rsid w:val="004262CB"/>
    <w:rsid w:val="00426D6B"/>
    <w:rsid w:val="00431E6C"/>
    <w:rsid w:val="00433CE7"/>
    <w:rsid w:val="00451CA7"/>
    <w:rsid w:val="00452738"/>
    <w:rsid w:val="00456091"/>
    <w:rsid w:val="00466321"/>
    <w:rsid w:val="00484B9B"/>
    <w:rsid w:val="00485368"/>
    <w:rsid w:val="004855F6"/>
    <w:rsid w:val="0048661E"/>
    <w:rsid w:val="00494670"/>
    <w:rsid w:val="004A3823"/>
    <w:rsid w:val="004B69CA"/>
    <w:rsid w:val="004C63E3"/>
    <w:rsid w:val="004E04E5"/>
    <w:rsid w:val="004E0F84"/>
    <w:rsid w:val="004E3740"/>
    <w:rsid w:val="004E6946"/>
    <w:rsid w:val="004F19EE"/>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4B6F"/>
    <w:rsid w:val="00545424"/>
    <w:rsid w:val="00554A7B"/>
    <w:rsid w:val="0055572C"/>
    <w:rsid w:val="0056106A"/>
    <w:rsid w:val="005720AE"/>
    <w:rsid w:val="00577240"/>
    <w:rsid w:val="00593D61"/>
    <w:rsid w:val="00594D77"/>
    <w:rsid w:val="005969E4"/>
    <w:rsid w:val="005A06B7"/>
    <w:rsid w:val="005A1759"/>
    <w:rsid w:val="005A68A7"/>
    <w:rsid w:val="005B0EAD"/>
    <w:rsid w:val="005B1877"/>
    <w:rsid w:val="005D2C46"/>
    <w:rsid w:val="005D36AB"/>
    <w:rsid w:val="00615DDA"/>
    <w:rsid w:val="00617CC3"/>
    <w:rsid w:val="006377A6"/>
    <w:rsid w:val="00637A3D"/>
    <w:rsid w:val="006411EF"/>
    <w:rsid w:val="006455AD"/>
    <w:rsid w:val="0065634F"/>
    <w:rsid w:val="006748B8"/>
    <w:rsid w:val="006775C3"/>
    <w:rsid w:val="0069290A"/>
    <w:rsid w:val="00695167"/>
    <w:rsid w:val="0069775A"/>
    <w:rsid w:val="00697813"/>
    <w:rsid w:val="006A13E8"/>
    <w:rsid w:val="006A3EE8"/>
    <w:rsid w:val="006A72BF"/>
    <w:rsid w:val="006B03F2"/>
    <w:rsid w:val="006B37DC"/>
    <w:rsid w:val="006B46A2"/>
    <w:rsid w:val="006B4F68"/>
    <w:rsid w:val="006C0592"/>
    <w:rsid w:val="006C272E"/>
    <w:rsid w:val="006C5479"/>
    <w:rsid w:val="006D13B5"/>
    <w:rsid w:val="006D2EB1"/>
    <w:rsid w:val="006E12FF"/>
    <w:rsid w:val="006E607E"/>
    <w:rsid w:val="00706C5D"/>
    <w:rsid w:val="0071217F"/>
    <w:rsid w:val="00732922"/>
    <w:rsid w:val="0073628A"/>
    <w:rsid w:val="00743F5C"/>
    <w:rsid w:val="0075162E"/>
    <w:rsid w:val="00754034"/>
    <w:rsid w:val="00756556"/>
    <w:rsid w:val="007618C4"/>
    <w:rsid w:val="00764D09"/>
    <w:rsid w:val="00767980"/>
    <w:rsid w:val="00770B19"/>
    <w:rsid w:val="0077463F"/>
    <w:rsid w:val="00777306"/>
    <w:rsid w:val="00777AA9"/>
    <w:rsid w:val="007836EA"/>
    <w:rsid w:val="00784CDA"/>
    <w:rsid w:val="007906C4"/>
    <w:rsid w:val="00791E47"/>
    <w:rsid w:val="00793087"/>
    <w:rsid w:val="007940EA"/>
    <w:rsid w:val="007967E8"/>
    <w:rsid w:val="007A2170"/>
    <w:rsid w:val="007A22BF"/>
    <w:rsid w:val="007A3323"/>
    <w:rsid w:val="007A6D35"/>
    <w:rsid w:val="007B72B8"/>
    <w:rsid w:val="007B7A58"/>
    <w:rsid w:val="007C0F2D"/>
    <w:rsid w:val="007C21B5"/>
    <w:rsid w:val="007D4809"/>
    <w:rsid w:val="007E4BD2"/>
    <w:rsid w:val="00801393"/>
    <w:rsid w:val="008024A6"/>
    <w:rsid w:val="00802F88"/>
    <w:rsid w:val="0080584C"/>
    <w:rsid w:val="00805928"/>
    <w:rsid w:val="0081293E"/>
    <w:rsid w:val="00815465"/>
    <w:rsid w:val="00817E9A"/>
    <w:rsid w:val="008306BD"/>
    <w:rsid w:val="00831A80"/>
    <w:rsid w:val="00833743"/>
    <w:rsid w:val="008340A4"/>
    <w:rsid w:val="0086457D"/>
    <w:rsid w:val="0087135F"/>
    <w:rsid w:val="00872D94"/>
    <w:rsid w:val="00880364"/>
    <w:rsid w:val="00886593"/>
    <w:rsid w:val="008878BD"/>
    <w:rsid w:val="00891592"/>
    <w:rsid w:val="00891E9E"/>
    <w:rsid w:val="008945DA"/>
    <w:rsid w:val="008954A6"/>
    <w:rsid w:val="008A090D"/>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8F7B9B"/>
    <w:rsid w:val="00902727"/>
    <w:rsid w:val="0090312B"/>
    <w:rsid w:val="009164DB"/>
    <w:rsid w:val="0091736D"/>
    <w:rsid w:val="0093037A"/>
    <w:rsid w:val="0094154D"/>
    <w:rsid w:val="0095155F"/>
    <w:rsid w:val="00954429"/>
    <w:rsid w:val="009563CE"/>
    <w:rsid w:val="0097265E"/>
    <w:rsid w:val="00976328"/>
    <w:rsid w:val="0097680D"/>
    <w:rsid w:val="00982438"/>
    <w:rsid w:val="0098404C"/>
    <w:rsid w:val="00985283"/>
    <w:rsid w:val="00995992"/>
    <w:rsid w:val="009A03E5"/>
    <w:rsid w:val="009A063D"/>
    <w:rsid w:val="009A0F3B"/>
    <w:rsid w:val="009A1BB4"/>
    <w:rsid w:val="009A2628"/>
    <w:rsid w:val="009A3200"/>
    <w:rsid w:val="009B0897"/>
    <w:rsid w:val="009B7BD9"/>
    <w:rsid w:val="009C7DD5"/>
    <w:rsid w:val="009E227D"/>
    <w:rsid w:val="009E5019"/>
    <w:rsid w:val="009F2201"/>
    <w:rsid w:val="009F39AF"/>
    <w:rsid w:val="00A02AA9"/>
    <w:rsid w:val="00A04F1B"/>
    <w:rsid w:val="00A0501B"/>
    <w:rsid w:val="00A14947"/>
    <w:rsid w:val="00A204EF"/>
    <w:rsid w:val="00A32A83"/>
    <w:rsid w:val="00A368DB"/>
    <w:rsid w:val="00A423AA"/>
    <w:rsid w:val="00A53EC6"/>
    <w:rsid w:val="00A55C0F"/>
    <w:rsid w:val="00A76A2D"/>
    <w:rsid w:val="00A8713F"/>
    <w:rsid w:val="00A90BA1"/>
    <w:rsid w:val="00A97A9A"/>
    <w:rsid w:val="00AA0671"/>
    <w:rsid w:val="00AA2531"/>
    <w:rsid w:val="00AB1E09"/>
    <w:rsid w:val="00AB1EBF"/>
    <w:rsid w:val="00AB225C"/>
    <w:rsid w:val="00AB5330"/>
    <w:rsid w:val="00AB5EA6"/>
    <w:rsid w:val="00AB7747"/>
    <w:rsid w:val="00AC14CE"/>
    <w:rsid w:val="00AC2A56"/>
    <w:rsid w:val="00AD055E"/>
    <w:rsid w:val="00AD22B9"/>
    <w:rsid w:val="00AD44A1"/>
    <w:rsid w:val="00AD45F9"/>
    <w:rsid w:val="00AD47A7"/>
    <w:rsid w:val="00AF0CBF"/>
    <w:rsid w:val="00AF257F"/>
    <w:rsid w:val="00AF2787"/>
    <w:rsid w:val="00AF33CF"/>
    <w:rsid w:val="00AF4D50"/>
    <w:rsid w:val="00AF6179"/>
    <w:rsid w:val="00B1074B"/>
    <w:rsid w:val="00B1295A"/>
    <w:rsid w:val="00B17D7E"/>
    <w:rsid w:val="00B20A45"/>
    <w:rsid w:val="00B22C5C"/>
    <w:rsid w:val="00B24F30"/>
    <w:rsid w:val="00B30791"/>
    <w:rsid w:val="00B30F67"/>
    <w:rsid w:val="00B31456"/>
    <w:rsid w:val="00B31ABF"/>
    <w:rsid w:val="00B33BE3"/>
    <w:rsid w:val="00B53B5D"/>
    <w:rsid w:val="00B6055E"/>
    <w:rsid w:val="00B6317D"/>
    <w:rsid w:val="00B65CC1"/>
    <w:rsid w:val="00B7723F"/>
    <w:rsid w:val="00B80534"/>
    <w:rsid w:val="00B8433C"/>
    <w:rsid w:val="00B86184"/>
    <w:rsid w:val="00B87491"/>
    <w:rsid w:val="00B95335"/>
    <w:rsid w:val="00BA29E9"/>
    <w:rsid w:val="00BA7142"/>
    <w:rsid w:val="00BB237C"/>
    <w:rsid w:val="00BB41A3"/>
    <w:rsid w:val="00BC261C"/>
    <w:rsid w:val="00BC32DC"/>
    <w:rsid w:val="00BC35B6"/>
    <w:rsid w:val="00BD0DE4"/>
    <w:rsid w:val="00BD1B51"/>
    <w:rsid w:val="00BD3139"/>
    <w:rsid w:val="00BD4596"/>
    <w:rsid w:val="00BE1405"/>
    <w:rsid w:val="00BE312D"/>
    <w:rsid w:val="00BF1C20"/>
    <w:rsid w:val="00C007AB"/>
    <w:rsid w:val="00C042D6"/>
    <w:rsid w:val="00C10578"/>
    <w:rsid w:val="00C135BC"/>
    <w:rsid w:val="00C15C95"/>
    <w:rsid w:val="00C24C00"/>
    <w:rsid w:val="00C2596A"/>
    <w:rsid w:val="00C27537"/>
    <w:rsid w:val="00C328FE"/>
    <w:rsid w:val="00C33507"/>
    <w:rsid w:val="00C340FC"/>
    <w:rsid w:val="00C4409D"/>
    <w:rsid w:val="00C44E72"/>
    <w:rsid w:val="00C45A06"/>
    <w:rsid w:val="00C47E5B"/>
    <w:rsid w:val="00C57889"/>
    <w:rsid w:val="00C61E4B"/>
    <w:rsid w:val="00C621A8"/>
    <w:rsid w:val="00C64261"/>
    <w:rsid w:val="00C6466D"/>
    <w:rsid w:val="00C64BFF"/>
    <w:rsid w:val="00C704E9"/>
    <w:rsid w:val="00C763C9"/>
    <w:rsid w:val="00C80057"/>
    <w:rsid w:val="00C82232"/>
    <w:rsid w:val="00C82913"/>
    <w:rsid w:val="00C972B1"/>
    <w:rsid w:val="00CA2CCE"/>
    <w:rsid w:val="00CA43FD"/>
    <w:rsid w:val="00CA4C47"/>
    <w:rsid w:val="00CA613C"/>
    <w:rsid w:val="00CA7EF8"/>
    <w:rsid w:val="00CB0543"/>
    <w:rsid w:val="00CB48DF"/>
    <w:rsid w:val="00CC489B"/>
    <w:rsid w:val="00CD2BCD"/>
    <w:rsid w:val="00CD3A4C"/>
    <w:rsid w:val="00CE10E9"/>
    <w:rsid w:val="00CE17A0"/>
    <w:rsid w:val="00CE2910"/>
    <w:rsid w:val="00CE5393"/>
    <w:rsid w:val="00CF0B29"/>
    <w:rsid w:val="00CF36BE"/>
    <w:rsid w:val="00CF6000"/>
    <w:rsid w:val="00D003F3"/>
    <w:rsid w:val="00D02C69"/>
    <w:rsid w:val="00D0364F"/>
    <w:rsid w:val="00D06834"/>
    <w:rsid w:val="00D20A09"/>
    <w:rsid w:val="00D308ED"/>
    <w:rsid w:val="00D36D86"/>
    <w:rsid w:val="00D428AA"/>
    <w:rsid w:val="00D42950"/>
    <w:rsid w:val="00D50A34"/>
    <w:rsid w:val="00D53EFA"/>
    <w:rsid w:val="00D62C82"/>
    <w:rsid w:val="00D70E20"/>
    <w:rsid w:val="00D75336"/>
    <w:rsid w:val="00D80676"/>
    <w:rsid w:val="00D82436"/>
    <w:rsid w:val="00D94A7C"/>
    <w:rsid w:val="00D95896"/>
    <w:rsid w:val="00DB2983"/>
    <w:rsid w:val="00DC1257"/>
    <w:rsid w:val="00DC3DC0"/>
    <w:rsid w:val="00DC5B2B"/>
    <w:rsid w:val="00DC6BB5"/>
    <w:rsid w:val="00DD318D"/>
    <w:rsid w:val="00DE55D3"/>
    <w:rsid w:val="00DF2E12"/>
    <w:rsid w:val="00DF514A"/>
    <w:rsid w:val="00DF6690"/>
    <w:rsid w:val="00DF6804"/>
    <w:rsid w:val="00E0358D"/>
    <w:rsid w:val="00E04323"/>
    <w:rsid w:val="00E070A2"/>
    <w:rsid w:val="00E256E2"/>
    <w:rsid w:val="00E2656A"/>
    <w:rsid w:val="00E412D0"/>
    <w:rsid w:val="00E457F5"/>
    <w:rsid w:val="00E45EBF"/>
    <w:rsid w:val="00E56322"/>
    <w:rsid w:val="00E56441"/>
    <w:rsid w:val="00E60982"/>
    <w:rsid w:val="00E62C62"/>
    <w:rsid w:val="00E654C1"/>
    <w:rsid w:val="00E65D97"/>
    <w:rsid w:val="00E72A5A"/>
    <w:rsid w:val="00E73354"/>
    <w:rsid w:val="00E76F33"/>
    <w:rsid w:val="00E817E5"/>
    <w:rsid w:val="00E9242D"/>
    <w:rsid w:val="00E93724"/>
    <w:rsid w:val="00E94908"/>
    <w:rsid w:val="00E9528D"/>
    <w:rsid w:val="00EA14B8"/>
    <w:rsid w:val="00EB5255"/>
    <w:rsid w:val="00EB5C47"/>
    <w:rsid w:val="00EC7D71"/>
    <w:rsid w:val="00ED0639"/>
    <w:rsid w:val="00EE78FE"/>
    <w:rsid w:val="00EF4755"/>
    <w:rsid w:val="00EF70BC"/>
    <w:rsid w:val="00EF7135"/>
    <w:rsid w:val="00EF7950"/>
    <w:rsid w:val="00F027DB"/>
    <w:rsid w:val="00F14A7A"/>
    <w:rsid w:val="00F22985"/>
    <w:rsid w:val="00F266EE"/>
    <w:rsid w:val="00F336F0"/>
    <w:rsid w:val="00F3383E"/>
    <w:rsid w:val="00F432B8"/>
    <w:rsid w:val="00F465A7"/>
    <w:rsid w:val="00F50B7C"/>
    <w:rsid w:val="00F550E6"/>
    <w:rsid w:val="00F615B6"/>
    <w:rsid w:val="00F74345"/>
    <w:rsid w:val="00F80A0A"/>
    <w:rsid w:val="00F82B19"/>
    <w:rsid w:val="00F9212D"/>
    <w:rsid w:val="00F965DA"/>
    <w:rsid w:val="00F97C4F"/>
    <w:rsid w:val="00FA406A"/>
    <w:rsid w:val="00FA5D65"/>
    <w:rsid w:val="00FB4665"/>
    <w:rsid w:val="00FB503A"/>
    <w:rsid w:val="00FB516C"/>
    <w:rsid w:val="00FD0236"/>
    <w:rsid w:val="00FD18F4"/>
    <w:rsid w:val="00FD54DB"/>
    <w:rsid w:val="00FD619F"/>
    <w:rsid w:val="00FD6DC2"/>
    <w:rsid w:val="00FE2B68"/>
    <w:rsid w:val="00FE2F7D"/>
    <w:rsid w:val="00FE4037"/>
    <w:rsid w:val="00FE6923"/>
    <w:rsid w:val="0108144E"/>
    <w:rsid w:val="010A6538"/>
    <w:rsid w:val="01175DE7"/>
    <w:rsid w:val="01176EA7"/>
    <w:rsid w:val="011F393D"/>
    <w:rsid w:val="01253372"/>
    <w:rsid w:val="0127048B"/>
    <w:rsid w:val="0127533C"/>
    <w:rsid w:val="01290F7E"/>
    <w:rsid w:val="013167DB"/>
    <w:rsid w:val="014370EA"/>
    <w:rsid w:val="014579B1"/>
    <w:rsid w:val="01552E6A"/>
    <w:rsid w:val="015D1E09"/>
    <w:rsid w:val="01663508"/>
    <w:rsid w:val="016A3C8F"/>
    <w:rsid w:val="01723229"/>
    <w:rsid w:val="017947DB"/>
    <w:rsid w:val="019457C4"/>
    <w:rsid w:val="019460D1"/>
    <w:rsid w:val="0196601E"/>
    <w:rsid w:val="01A32CDC"/>
    <w:rsid w:val="01AE0F0E"/>
    <w:rsid w:val="01BE1295"/>
    <w:rsid w:val="01DA20AA"/>
    <w:rsid w:val="01E76AED"/>
    <w:rsid w:val="01F33470"/>
    <w:rsid w:val="01F3694F"/>
    <w:rsid w:val="01F571E8"/>
    <w:rsid w:val="01F61D66"/>
    <w:rsid w:val="01F65C3C"/>
    <w:rsid w:val="01FE29A1"/>
    <w:rsid w:val="021653B1"/>
    <w:rsid w:val="02174D5E"/>
    <w:rsid w:val="02273530"/>
    <w:rsid w:val="02331C17"/>
    <w:rsid w:val="0237624F"/>
    <w:rsid w:val="024535A0"/>
    <w:rsid w:val="025217CB"/>
    <w:rsid w:val="0256569B"/>
    <w:rsid w:val="02671768"/>
    <w:rsid w:val="02697903"/>
    <w:rsid w:val="02834FF2"/>
    <w:rsid w:val="02887C6F"/>
    <w:rsid w:val="02954528"/>
    <w:rsid w:val="0295646F"/>
    <w:rsid w:val="029D3556"/>
    <w:rsid w:val="02A06393"/>
    <w:rsid w:val="02AD71B3"/>
    <w:rsid w:val="02B06F97"/>
    <w:rsid w:val="02B56F1E"/>
    <w:rsid w:val="02BA5D3C"/>
    <w:rsid w:val="02CD3D39"/>
    <w:rsid w:val="02CE3596"/>
    <w:rsid w:val="02CF2E9E"/>
    <w:rsid w:val="02E62FD5"/>
    <w:rsid w:val="02E64983"/>
    <w:rsid w:val="02F456F2"/>
    <w:rsid w:val="02F71E79"/>
    <w:rsid w:val="02F96569"/>
    <w:rsid w:val="02FF1DA7"/>
    <w:rsid w:val="03040C21"/>
    <w:rsid w:val="030513D7"/>
    <w:rsid w:val="03101E00"/>
    <w:rsid w:val="03141AF6"/>
    <w:rsid w:val="0324467D"/>
    <w:rsid w:val="033750BB"/>
    <w:rsid w:val="03621178"/>
    <w:rsid w:val="03675BF2"/>
    <w:rsid w:val="0368362D"/>
    <w:rsid w:val="036B62CA"/>
    <w:rsid w:val="03807C96"/>
    <w:rsid w:val="03886AB7"/>
    <w:rsid w:val="038A1FAA"/>
    <w:rsid w:val="039B791C"/>
    <w:rsid w:val="03A129F7"/>
    <w:rsid w:val="03A1750B"/>
    <w:rsid w:val="03A22816"/>
    <w:rsid w:val="03B81CC3"/>
    <w:rsid w:val="03BC413F"/>
    <w:rsid w:val="03C24D40"/>
    <w:rsid w:val="03CC5D27"/>
    <w:rsid w:val="03CE1E00"/>
    <w:rsid w:val="03CF0ED0"/>
    <w:rsid w:val="03E6134A"/>
    <w:rsid w:val="03E73DE4"/>
    <w:rsid w:val="03EA7B21"/>
    <w:rsid w:val="03F03B68"/>
    <w:rsid w:val="03FD4168"/>
    <w:rsid w:val="04015370"/>
    <w:rsid w:val="04041965"/>
    <w:rsid w:val="04050DFA"/>
    <w:rsid w:val="0405748B"/>
    <w:rsid w:val="041B59CE"/>
    <w:rsid w:val="041D729F"/>
    <w:rsid w:val="04205F59"/>
    <w:rsid w:val="04251287"/>
    <w:rsid w:val="04334681"/>
    <w:rsid w:val="043F00B2"/>
    <w:rsid w:val="04481347"/>
    <w:rsid w:val="04565DE3"/>
    <w:rsid w:val="04683BF2"/>
    <w:rsid w:val="04683DFE"/>
    <w:rsid w:val="0470479E"/>
    <w:rsid w:val="047168CE"/>
    <w:rsid w:val="047A1540"/>
    <w:rsid w:val="047E1FF4"/>
    <w:rsid w:val="0486237A"/>
    <w:rsid w:val="049C7DEF"/>
    <w:rsid w:val="049D409D"/>
    <w:rsid w:val="049E65AB"/>
    <w:rsid w:val="04AD4233"/>
    <w:rsid w:val="04AF1467"/>
    <w:rsid w:val="04BE1481"/>
    <w:rsid w:val="04C907A4"/>
    <w:rsid w:val="04CC1D57"/>
    <w:rsid w:val="04D01FBE"/>
    <w:rsid w:val="04E50456"/>
    <w:rsid w:val="04E90B5B"/>
    <w:rsid w:val="04FC74F6"/>
    <w:rsid w:val="050039E5"/>
    <w:rsid w:val="05014E32"/>
    <w:rsid w:val="050D5709"/>
    <w:rsid w:val="052F6EDC"/>
    <w:rsid w:val="054E7EAC"/>
    <w:rsid w:val="055C757F"/>
    <w:rsid w:val="055D3305"/>
    <w:rsid w:val="05615A10"/>
    <w:rsid w:val="056D2675"/>
    <w:rsid w:val="057169DB"/>
    <w:rsid w:val="05791EDF"/>
    <w:rsid w:val="057B3913"/>
    <w:rsid w:val="058C1873"/>
    <w:rsid w:val="05AC5C43"/>
    <w:rsid w:val="05B537F8"/>
    <w:rsid w:val="05C23338"/>
    <w:rsid w:val="05C375FE"/>
    <w:rsid w:val="05D26895"/>
    <w:rsid w:val="05D956BA"/>
    <w:rsid w:val="05DB7EF5"/>
    <w:rsid w:val="05E76E48"/>
    <w:rsid w:val="05F83EAE"/>
    <w:rsid w:val="05FE4E74"/>
    <w:rsid w:val="05FE71E6"/>
    <w:rsid w:val="060431E1"/>
    <w:rsid w:val="0607573C"/>
    <w:rsid w:val="061816F7"/>
    <w:rsid w:val="061D6D0E"/>
    <w:rsid w:val="061F2A86"/>
    <w:rsid w:val="062277B0"/>
    <w:rsid w:val="06233BF8"/>
    <w:rsid w:val="06396C90"/>
    <w:rsid w:val="063D2496"/>
    <w:rsid w:val="063E7D85"/>
    <w:rsid w:val="064E58BC"/>
    <w:rsid w:val="06564C91"/>
    <w:rsid w:val="0659586C"/>
    <w:rsid w:val="066248D2"/>
    <w:rsid w:val="06663C48"/>
    <w:rsid w:val="06823015"/>
    <w:rsid w:val="06872EAD"/>
    <w:rsid w:val="06976AC0"/>
    <w:rsid w:val="069F5975"/>
    <w:rsid w:val="06A905A2"/>
    <w:rsid w:val="06A92D9C"/>
    <w:rsid w:val="06B75EE8"/>
    <w:rsid w:val="06B84C89"/>
    <w:rsid w:val="06BA25C5"/>
    <w:rsid w:val="06C62F02"/>
    <w:rsid w:val="06CA7211"/>
    <w:rsid w:val="06D46C16"/>
    <w:rsid w:val="06E822A2"/>
    <w:rsid w:val="06E91363"/>
    <w:rsid w:val="06F31702"/>
    <w:rsid w:val="06FA011B"/>
    <w:rsid w:val="06FD1DB9"/>
    <w:rsid w:val="07005D6D"/>
    <w:rsid w:val="07027B3B"/>
    <w:rsid w:val="070F5A7A"/>
    <w:rsid w:val="071A2D6C"/>
    <w:rsid w:val="071A324D"/>
    <w:rsid w:val="07293586"/>
    <w:rsid w:val="07295285"/>
    <w:rsid w:val="073128F1"/>
    <w:rsid w:val="074107DA"/>
    <w:rsid w:val="0742301C"/>
    <w:rsid w:val="07426560"/>
    <w:rsid w:val="07454116"/>
    <w:rsid w:val="074D0FF3"/>
    <w:rsid w:val="075071F7"/>
    <w:rsid w:val="075E4EF4"/>
    <w:rsid w:val="075F5104"/>
    <w:rsid w:val="07636392"/>
    <w:rsid w:val="076E0496"/>
    <w:rsid w:val="07770C56"/>
    <w:rsid w:val="0779747E"/>
    <w:rsid w:val="07891F6B"/>
    <w:rsid w:val="07994C48"/>
    <w:rsid w:val="07AA45D1"/>
    <w:rsid w:val="07AF3886"/>
    <w:rsid w:val="07B04F69"/>
    <w:rsid w:val="07B56526"/>
    <w:rsid w:val="07B74F40"/>
    <w:rsid w:val="07BB137C"/>
    <w:rsid w:val="07BC4C25"/>
    <w:rsid w:val="07CC0430"/>
    <w:rsid w:val="07D4681D"/>
    <w:rsid w:val="07FC2953"/>
    <w:rsid w:val="08014B1E"/>
    <w:rsid w:val="08221119"/>
    <w:rsid w:val="084438CD"/>
    <w:rsid w:val="0845254C"/>
    <w:rsid w:val="084A08F5"/>
    <w:rsid w:val="084C1971"/>
    <w:rsid w:val="08545B61"/>
    <w:rsid w:val="08732C15"/>
    <w:rsid w:val="087C5487"/>
    <w:rsid w:val="08805332"/>
    <w:rsid w:val="08856302"/>
    <w:rsid w:val="088766C0"/>
    <w:rsid w:val="088A7F5F"/>
    <w:rsid w:val="089D21F9"/>
    <w:rsid w:val="089E7D74"/>
    <w:rsid w:val="08A059D4"/>
    <w:rsid w:val="08A52C48"/>
    <w:rsid w:val="08AC03C9"/>
    <w:rsid w:val="08AC35B4"/>
    <w:rsid w:val="08D3760F"/>
    <w:rsid w:val="08D742C3"/>
    <w:rsid w:val="08DA2C94"/>
    <w:rsid w:val="08E50D18"/>
    <w:rsid w:val="09095535"/>
    <w:rsid w:val="09150170"/>
    <w:rsid w:val="09157221"/>
    <w:rsid w:val="091837BC"/>
    <w:rsid w:val="092217DD"/>
    <w:rsid w:val="09282EFB"/>
    <w:rsid w:val="09300B06"/>
    <w:rsid w:val="09306C21"/>
    <w:rsid w:val="09395E1A"/>
    <w:rsid w:val="093A7294"/>
    <w:rsid w:val="093C56FD"/>
    <w:rsid w:val="094A0C64"/>
    <w:rsid w:val="094E128F"/>
    <w:rsid w:val="0952109C"/>
    <w:rsid w:val="095552CC"/>
    <w:rsid w:val="09567E25"/>
    <w:rsid w:val="096C3298"/>
    <w:rsid w:val="098F5893"/>
    <w:rsid w:val="0994134E"/>
    <w:rsid w:val="099E251D"/>
    <w:rsid w:val="09A03EDE"/>
    <w:rsid w:val="09A909AA"/>
    <w:rsid w:val="09AD2157"/>
    <w:rsid w:val="09AE2B94"/>
    <w:rsid w:val="09B2718F"/>
    <w:rsid w:val="09B6498C"/>
    <w:rsid w:val="09C000DC"/>
    <w:rsid w:val="09C34750"/>
    <w:rsid w:val="09C55D7F"/>
    <w:rsid w:val="09D111AA"/>
    <w:rsid w:val="09DF2D06"/>
    <w:rsid w:val="09E244F6"/>
    <w:rsid w:val="09E751CF"/>
    <w:rsid w:val="09F87D04"/>
    <w:rsid w:val="09FB416E"/>
    <w:rsid w:val="09FD2B35"/>
    <w:rsid w:val="0A027C67"/>
    <w:rsid w:val="0A0A1357"/>
    <w:rsid w:val="0A1506D3"/>
    <w:rsid w:val="0A187F18"/>
    <w:rsid w:val="0A262BE1"/>
    <w:rsid w:val="0A263993"/>
    <w:rsid w:val="0A2D3AC2"/>
    <w:rsid w:val="0A303E35"/>
    <w:rsid w:val="0A314E36"/>
    <w:rsid w:val="0A374116"/>
    <w:rsid w:val="0A494281"/>
    <w:rsid w:val="0A4959AC"/>
    <w:rsid w:val="0A501E88"/>
    <w:rsid w:val="0A531420"/>
    <w:rsid w:val="0A5759D8"/>
    <w:rsid w:val="0A5F254C"/>
    <w:rsid w:val="0A6765C4"/>
    <w:rsid w:val="0A6A44EC"/>
    <w:rsid w:val="0A7D6513"/>
    <w:rsid w:val="0A832B9A"/>
    <w:rsid w:val="0A912C8D"/>
    <w:rsid w:val="0A950E07"/>
    <w:rsid w:val="0A995B11"/>
    <w:rsid w:val="0AA7129C"/>
    <w:rsid w:val="0AA755DF"/>
    <w:rsid w:val="0ABA1813"/>
    <w:rsid w:val="0AD63C41"/>
    <w:rsid w:val="0B015613"/>
    <w:rsid w:val="0B022976"/>
    <w:rsid w:val="0B0A077C"/>
    <w:rsid w:val="0B120D44"/>
    <w:rsid w:val="0B1526A9"/>
    <w:rsid w:val="0B16398F"/>
    <w:rsid w:val="0B1F67D0"/>
    <w:rsid w:val="0B216C34"/>
    <w:rsid w:val="0B280DA2"/>
    <w:rsid w:val="0B2B5A29"/>
    <w:rsid w:val="0B2E1F20"/>
    <w:rsid w:val="0B2E7CEB"/>
    <w:rsid w:val="0B380146"/>
    <w:rsid w:val="0B487818"/>
    <w:rsid w:val="0B50653C"/>
    <w:rsid w:val="0B5E5B43"/>
    <w:rsid w:val="0B5F6258"/>
    <w:rsid w:val="0B7218AA"/>
    <w:rsid w:val="0B742839"/>
    <w:rsid w:val="0B770C6E"/>
    <w:rsid w:val="0B8468C0"/>
    <w:rsid w:val="0B8C03E3"/>
    <w:rsid w:val="0B96019A"/>
    <w:rsid w:val="0BA304D3"/>
    <w:rsid w:val="0BB377CC"/>
    <w:rsid w:val="0BB601B8"/>
    <w:rsid w:val="0BB7550F"/>
    <w:rsid w:val="0BCC069F"/>
    <w:rsid w:val="0BD27BF6"/>
    <w:rsid w:val="0BE63462"/>
    <w:rsid w:val="0BF11918"/>
    <w:rsid w:val="0BF2218B"/>
    <w:rsid w:val="0C087EE8"/>
    <w:rsid w:val="0C0D68EE"/>
    <w:rsid w:val="0C1567CE"/>
    <w:rsid w:val="0C1C6299"/>
    <w:rsid w:val="0C1F54F9"/>
    <w:rsid w:val="0C2407AB"/>
    <w:rsid w:val="0C2C1F0D"/>
    <w:rsid w:val="0C374503"/>
    <w:rsid w:val="0C38140B"/>
    <w:rsid w:val="0C3B3C7D"/>
    <w:rsid w:val="0C4B4DB0"/>
    <w:rsid w:val="0C4F1BEB"/>
    <w:rsid w:val="0C5A6E6F"/>
    <w:rsid w:val="0C6555BA"/>
    <w:rsid w:val="0C6744E2"/>
    <w:rsid w:val="0C6A5825"/>
    <w:rsid w:val="0C6A7729"/>
    <w:rsid w:val="0C6D2071"/>
    <w:rsid w:val="0C8342CB"/>
    <w:rsid w:val="0C876168"/>
    <w:rsid w:val="0C887271"/>
    <w:rsid w:val="0CA0491D"/>
    <w:rsid w:val="0CA67A14"/>
    <w:rsid w:val="0CAB2EAE"/>
    <w:rsid w:val="0CB23C55"/>
    <w:rsid w:val="0CB44BFC"/>
    <w:rsid w:val="0CBB186B"/>
    <w:rsid w:val="0CC57E71"/>
    <w:rsid w:val="0CD40F58"/>
    <w:rsid w:val="0CD67C16"/>
    <w:rsid w:val="0CDB347F"/>
    <w:rsid w:val="0CE560AB"/>
    <w:rsid w:val="0D0C39BD"/>
    <w:rsid w:val="0D0D0AF1"/>
    <w:rsid w:val="0D185B8C"/>
    <w:rsid w:val="0D2157E1"/>
    <w:rsid w:val="0D2833CD"/>
    <w:rsid w:val="0D2E1801"/>
    <w:rsid w:val="0D384AE5"/>
    <w:rsid w:val="0D487431"/>
    <w:rsid w:val="0D4C23E4"/>
    <w:rsid w:val="0D4C456F"/>
    <w:rsid w:val="0D523621"/>
    <w:rsid w:val="0D5E46FD"/>
    <w:rsid w:val="0D621C7D"/>
    <w:rsid w:val="0D6B6FFD"/>
    <w:rsid w:val="0D7A4D61"/>
    <w:rsid w:val="0D7B5F88"/>
    <w:rsid w:val="0D8924EA"/>
    <w:rsid w:val="0D8958C7"/>
    <w:rsid w:val="0D8E04F1"/>
    <w:rsid w:val="0D906017"/>
    <w:rsid w:val="0D9A2563"/>
    <w:rsid w:val="0DAD0605"/>
    <w:rsid w:val="0DB04355"/>
    <w:rsid w:val="0DBE02F8"/>
    <w:rsid w:val="0DC3019B"/>
    <w:rsid w:val="0DD03F18"/>
    <w:rsid w:val="0DD17CE0"/>
    <w:rsid w:val="0DD91058"/>
    <w:rsid w:val="0DE157FA"/>
    <w:rsid w:val="0DE819AF"/>
    <w:rsid w:val="0DEE57D7"/>
    <w:rsid w:val="0DF46E8E"/>
    <w:rsid w:val="0DFE5AD6"/>
    <w:rsid w:val="0E066535"/>
    <w:rsid w:val="0E283A1E"/>
    <w:rsid w:val="0E3015A8"/>
    <w:rsid w:val="0E3A4317"/>
    <w:rsid w:val="0E466FDF"/>
    <w:rsid w:val="0E4C1F50"/>
    <w:rsid w:val="0E535265"/>
    <w:rsid w:val="0E5377AA"/>
    <w:rsid w:val="0E59727F"/>
    <w:rsid w:val="0E5B3C6A"/>
    <w:rsid w:val="0E6014B1"/>
    <w:rsid w:val="0E616DD5"/>
    <w:rsid w:val="0E693476"/>
    <w:rsid w:val="0E6A23D2"/>
    <w:rsid w:val="0E73034D"/>
    <w:rsid w:val="0E734B51"/>
    <w:rsid w:val="0E7D6EDB"/>
    <w:rsid w:val="0E8813E4"/>
    <w:rsid w:val="0E9503CA"/>
    <w:rsid w:val="0E966124"/>
    <w:rsid w:val="0E9F5094"/>
    <w:rsid w:val="0EA36CE2"/>
    <w:rsid w:val="0EA469DC"/>
    <w:rsid w:val="0EAA61D3"/>
    <w:rsid w:val="0EB57B69"/>
    <w:rsid w:val="0EB64DAA"/>
    <w:rsid w:val="0EBE7516"/>
    <w:rsid w:val="0EC44971"/>
    <w:rsid w:val="0EC65E95"/>
    <w:rsid w:val="0EC81D77"/>
    <w:rsid w:val="0ECB7CCC"/>
    <w:rsid w:val="0EDD5B43"/>
    <w:rsid w:val="0EFC2350"/>
    <w:rsid w:val="0EFC789E"/>
    <w:rsid w:val="0F065ABD"/>
    <w:rsid w:val="0F104F12"/>
    <w:rsid w:val="0F1217BA"/>
    <w:rsid w:val="0F13775A"/>
    <w:rsid w:val="0F1D1CBF"/>
    <w:rsid w:val="0F205C72"/>
    <w:rsid w:val="0F310E21"/>
    <w:rsid w:val="0F317386"/>
    <w:rsid w:val="0F335631"/>
    <w:rsid w:val="0F427144"/>
    <w:rsid w:val="0F4C5F6E"/>
    <w:rsid w:val="0F5F45FE"/>
    <w:rsid w:val="0F6115F4"/>
    <w:rsid w:val="0F6B527E"/>
    <w:rsid w:val="0F6C4862"/>
    <w:rsid w:val="0F6D523B"/>
    <w:rsid w:val="0F7151EB"/>
    <w:rsid w:val="0F855338"/>
    <w:rsid w:val="0F895B11"/>
    <w:rsid w:val="0F95738E"/>
    <w:rsid w:val="0F9A112B"/>
    <w:rsid w:val="0FA41C18"/>
    <w:rsid w:val="0FA607A8"/>
    <w:rsid w:val="0FA7589A"/>
    <w:rsid w:val="0FB81855"/>
    <w:rsid w:val="0FB91159"/>
    <w:rsid w:val="0FBB52E6"/>
    <w:rsid w:val="0FBF56D8"/>
    <w:rsid w:val="0FCB577D"/>
    <w:rsid w:val="0FDE0260"/>
    <w:rsid w:val="0FE94232"/>
    <w:rsid w:val="0FF37602"/>
    <w:rsid w:val="0FF852E7"/>
    <w:rsid w:val="0FFD6F01"/>
    <w:rsid w:val="10007BDE"/>
    <w:rsid w:val="10021CE0"/>
    <w:rsid w:val="10024CD2"/>
    <w:rsid w:val="100E24D4"/>
    <w:rsid w:val="10132E27"/>
    <w:rsid w:val="102A5583"/>
    <w:rsid w:val="102B21AE"/>
    <w:rsid w:val="103F0670"/>
    <w:rsid w:val="104650B3"/>
    <w:rsid w:val="104F11F2"/>
    <w:rsid w:val="10500078"/>
    <w:rsid w:val="105519AE"/>
    <w:rsid w:val="105E68FB"/>
    <w:rsid w:val="10612087"/>
    <w:rsid w:val="106D2F64"/>
    <w:rsid w:val="106E48C8"/>
    <w:rsid w:val="107422DF"/>
    <w:rsid w:val="1087767D"/>
    <w:rsid w:val="109F5592"/>
    <w:rsid w:val="10B3028E"/>
    <w:rsid w:val="10B4201D"/>
    <w:rsid w:val="10B63710"/>
    <w:rsid w:val="10C37F75"/>
    <w:rsid w:val="10CB61D2"/>
    <w:rsid w:val="10DE3FCF"/>
    <w:rsid w:val="10DE78B7"/>
    <w:rsid w:val="10E13F0B"/>
    <w:rsid w:val="10E57E83"/>
    <w:rsid w:val="10F10820"/>
    <w:rsid w:val="10FB587F"/>
    <w:rsid w:val="11022F0D"/>
    <w:rsid w:val="111568B2"/>
    <w:rsid w:val="11185811"/>
    <w:rsid w:val="111C2F7A"/>
    <w:rsid w:val="111D52BF"/>
    <w:rsid w:val="112B7416"/>
    <w:rsid w:val="112E1DCF"/>
    <w:rsid w:val="113028E2"/>
    <w:rsid w:val="11357601"/>
    <w:rsid w:val="113C7ED8"/>
    <w:rsid w:val="113D3674"/>
    <w:rsid w:val="113F4382"/>
    <w:rsid w:val="1140470E"/>
    <w:rsid w:val="11444322"/>
    <w:rsid w:val="11447845"/>
    <w:rsid w:val="11453790"/>
    <w:rsid w:val="11562809"/>
    <w:rsid w:val="115D6768"/>
    <w:rsid w:val="11624305"/>
    <w:rsid w:val="116457F1"/>
    <w:rsid w:val="11665CA1"/>
    <w:rsid w:val="116710E5"/>
    <w:rsid w:val="116752E1"/>
    <w:rsid w:val="1168677D"/>
    <w:rsid w:val="11713EF6"/>
    <w:rsid w:val="117F514D"/>
    <w:rsid w:val="11820A9A"/>
    <w:rsid w:val="11847C41"/>
    <w:rsid w:val="11872970"/>
    <w:rsid w:val="118B5AB4"/>
    <w:rsid w:val="118C11EC"/>
    <w:rsid w:val="119114EB"/>
    <w:rsid w:val="11B70482"/>
    <w:rsid w:val="11B82621"/>
    <w:rsid w:val="11C31D1C"/>
    <w:rsid w:val="11C53FAE"/>
    <w:rsid w:val="11CE6188"/>
    <w:rsid w:val="11D02E86"/>
    <w:rsid w:val="11D10977"/>
    <w:rsid w:val="11F736F5"/>
    <w:rsid w:val="12062F66"/>
    <w:rsid w:val="12064AFA"/>
    <w:rsid w:val="12086B5C"/>
    <w:rsid w:val="12094FE5"/>
    <w:rsid w:val="12125011"/>
    <w:rsid w:val="12274A70"/>
    <w:rsid w:val="1227630D"/>
    <w:rsid w:val="12300039"/>
    <w:rsid w:val="124A2031"/>
    <w:rsid w:val="125462A8"/>
    <w:rsid w:val="12562985"/>
    <w:rsid w:val="125D13F7"/>
    <w:rsid w:val="126333F2"/>
    <w:rsid w:val="12696E37"/>
    <w:rsid w:val="126F08F1"/>
    <w:rsid w:val="12824A0E"/>
    <w:rsid w:val="12B05A56"/>
    <w:rsid w:val="12B91B6C"/>
    <w:rsid w:val="12D22C2E"/>
    <w:rsid w:val="12D42538"/>
    <w:rsid w:val="12DC2168"/>
    <w:rsid w:val="12DC3AAD"/>
    <w:rsid w:val="12E73517"/>
    <w:rsid w:val="12EA2F48"/>
    <w:rsid w:val="12FD4233"/>
    <w:rsid w:val="12FE634E"/>
    <w:rsid w:val="12FF0AE7"/>
    <w:rsid w:val="12FF220B"/>
    <w:rsid w:val="130A3246"/>
    <w:rsid w:val="130F35F8"/>
    <w:rsid w:val="13160D6D"/>
    <w:rsid w:val="13262209"/>
    <w:rsid w:val="13286CF2"/>
    <w:rsid w:val="132C71E6"/>
    <w:rsid w:val="13373B93"/>
    <w:rsid w:val="13381619"/>
    <w:rsid w:val="13396746"/>
    <w:rsid w:val="134F1DF4"/>
    <w:rsid w:val="13507A9C"/>
    <w:rsid w:val="13533D6F"/>
    <w:rsid w:val="135A76D2"/>
    <w:rsid w:val="135E7E4D"/>
    <w:rsid w:val="13645F2E"/>
    <w:rsid w:val="13734F7B"/>
    <w:rsid w:val="137708CD"/>
    <w:rsid w:val="137912FC"/>
    <w:rsid w:val="137D49D6"/>
    <w:rsid w:val="138A347F"/>
    <w:rsid w:val="13923A6C"/>
    <w:rsid w:val="13951726"/>
    <w:rsid w:val="139974C9"/>
    <w:rsid w:val="13A51B3A"/>
    <w:rsid w:val="13A64843"/>
    <w:rsid w:val="13B5532C"/>
    <w:rsid w:val="13C311C7"/>
    <w:rsid w:val="13C61AF2"/>
    <w:rsid w:val="13C72B32"/>
    <w:rsid w:val="13CC2991"/>
    <w:rsid w:val="13DE4AE1"/>
    <w:rsid w:val="13E729A1"/>
    <w:rsid w:val="14043D65"/>
    <w:rsid w:val="14095BDD"/>
    <w:rsid w:val="140D65AD"/>
    <w:rsid w:val="140F5AB0"/>
    <w:rsid w:val="14135B26"/>
    <w:rsid w:val="14171F90"/>
    <w:rsid w:val="141A2568"/>
    <w:rsid w:val="142257E9"/>
    <w:rsid w:val="14283371"/>
    <w:rsid w:val="142E381C"/>
    <w:rsid w:val="14353FF9"/>
    <w:rsid w:val="14396509"/>
    <w:rsid w:val="144511D2"/>
    <w:rsid w:val="14490B01"/>
    <w:rsid w:val="14565951"/>
    <w:rsid w:val="147D0B9B"/>
    <w:rsid w:val="14936352"/>
    <w:rsid w:val="149728B8"/>
    <w:rsid w:val="14AD74AF"/>
    <w:rsid w:val="14AE626A"/>
    <w:rsid w:val="14B06F9F"/>
    <w:rsid w:val="14CC4F79"/>
    <w:rsid w:val="14CF33D4"/>
    <w:rsid w:val="14D25167"/>
    <w:rsid w:val="14D665DC"/>
    <w:rsid w:val="14DD2C3C"/>
    <w:rsid w:val="14E05AD6"/>
    <w:rsid w:val="14E54E9B"/>
    <w:rsid w:val="14E6377A"/>
    <w:rsid w:val="14F9476E"/>
    <w:rsid w:val="14F97C48"/>
    <w:rsid w:val="14FA4E51"/>
    <w:rsid w:val="151461D1"/>
    <w:rsid w:val="1516514B"/>
    <w:rsid w:val="151D2F3F"/>
    <w:rsid w:val="151F5CD6"/>
    <w:rsid w:val="152F4CF6"/>
    <w:rsid w:val="154B6492"/>
    <w:rsid w:val="15562BC7"/>
    <w:rsid w:val="155A2FC7"/>
    <w:rsid w:val="155F0AA6"/>
    <w:rsid w:val="15602773"/>
    <w:rsid w:val="156264EB"/>
    <w:rsid w:val="156F5B9B"/>
    <w:rsid w:val="1578258A"/>
    <w:rsid w:val="15800815"/>
    <w:rsid w:val="15831E8A"/>
    <w:rsid w:val="158829F9"/>
    <w:rsid w:val="159C340F"/>
    <w:rsid w:val="15A07F29"/>
    <w:rsid w:val="15AB3355"/>
    <w:rsid w:val="15AE34DE"/>
    <w:rsid w:val="15B077ED"/>
    <w:rsid w:val="15BC461A"/>
    <w:rsid w:val="15CB300D"/>
    <w:rsid w:val="15CE3B81"/>
    <w:rsid w:val="15E16465"/>
    <w:rsid w:val="15E45152"/>
    <w:rsid w:val="15E50ECA"/>
    <w:rsid w:val="15ED1529"/>
    <w:rsid w:val="15ED4AC0"/>
    <w:rsid w:val="15F15C66"/>
    <w:rsid w:val="15F72D2D"/>
    <w:rsid w:val="15FA088E"/>
    <w:rsid w:val="160534C6"/>
    <w:rsid w:val="16087E1D"/>
    <w:rsid w:val="16144A8D"/>
    <w:rsid w:val="16170A33"/>
    <w:rsid w:val="161F4837"/>
    <w:rsid w:val="16326782"/>
    <w:rsid w:val="1633133F"/>
    <w:rsid w:val="1638198E"/>
    <w:rsid w:val="16421CA4"/>
    <w:rsid w:val="16425C19"/>
    <w:rsid w:val="164F1927"/>
    <w:rsid w:val="16507558"/>
    <w:rsid w:val="165817BC"/>
    <w:rsid w:val="165F63FA"/>
    <w:rsid w:val="166401D7"/>
    <w:rsid w:val="166921C4"/>
    <w:rsid w:val="166D1E8E"/>
    <w:rsid w:val="16704C38"/>
    <w:rsid w:val="16756E8F"/>
    <w:rsid w:val="169E2643"/>
    <w:rsid w:val="169F2CD7"/>
    <w:rsid w:val="16B14441"/>
    <w:rsid w:val="16B62681"/>
    <w:rsid w:val="16B9712D"/>
    <w:rsid w:val="16CC55D2"/>
    <w:rsid w:val="16D10953"/>
    <w:rsid w:val="16DA07C9"/>
    <w:rsid w:val="16EC368E"/>
    <w:rsid w:val="16F467D2"/>
    <w:rsid w:val="17030DFD"/>
    <w:rsid w:val="17115724"/>
    <w:rsid w:val="17147CB9"/>
    <w:rsid w:val="17280439"/>
    <w:rsid w:val="1736542A"/>
    <w:rsid w:val="17384938"/>
    <w:rsid w:val="173B4FAC"/>
    <w:rsid w:val="17461AE9"/>
    <w:rsid w:val="17464D99"/>
    <w:rsid w:val="174F6F43"/>
    <w:rsid w:val="17524D0D"/>
    <w:rsid w:val="176D28C4"/>
    <w:rsid w:val="176D5FB9"/>
    <w:rsid w:val="176E2494"/>
    <w:rsid w:val="17701D14"/>
    <w:rsid w:val="17735226"/>
    <w:rsid w:val="178564C1"/>
    <w:rsid w:val="178B5EB3"/>
    <w:rsid w:val="178F5592"/>
    <w:rsid w:val="17A3271E"/>
    <w:rsid w:val="17AB1339"/>
    <w:rsid w:val="17AC762E"/>
    <w:rsid w:val="17B35259"/>
    <w:rsid w:val="17B412FD"/>
    <w:rsid w:val="17C23271"/>
    <w:rsid w:val="17C26585"/>
    <w:rsid w:val="17C82725"/>
    <w:rsid w:val="17CC4866"/>
    <w:rsid w:val="17CF3BE0"/>
    <w:rsid w:val="17E13E9C"/>
    <w:rsid w:val="17F4289D"/>
    <w:rsid w:val="17F90A0F"/>
    <w:rsid w:val="18010269"/>
    <w:rsid w:val="18010C38"/>
    <w:rsid w:val="180E4708"/>
    <w:rsid w:val="182F051F"/>
    <w:rsid w:val="18300B23"/>
    <w:rsid w:val="18344CC5"/>
    <w:rsid w:val="18396A89"/>
    <w:rsid w:val="183F48C2"/>
    <w:rsid w:val="1840086B"/>
    <w:rsid w:val="184225B5"/>
    <w:rsid w:val="18452495"/>
    <w:rsid w:val="18495740"/>
    <w:rsid w:val="18496C72"/>
    <w:rsid w:val="18586850"/>
    <w:rsid w:val="18624A54"/>
    <w:rsid w:val="18663113"/>
    <w:rsid w:val="186749BA"/>
    <w:rsid w:val="1869193F"/>
    <w:rsid w:val="18703313"/>
    <w:rsid w:val="18720CCA"/>
    <w:rsid w:val="1878612C"/>
    <w:rsid w:val="18952734"/>
    <w:rsid w:val="18972950"/>
    <w:rsid w:val="1899763E"/>
    <w:rsid w:val="189F624C"/>
    <w:rsid w:val="18A03E51"/>
    <w:rsid w:val="18A21A2D"/>
    <w:rsid w:val="18A50E86"/>
    <w:rsid w:val="18AA2C88"/>
    <w:rsid w:val="18B35B7D"/>
    <w:rsid w:val="18C02B8E"/>
    <w:rsid w:val="18C04D61"/>
    <w:rsid w:val="18C1177B"/>
    <w:rsid w:val="18C928CE"/>
    <w:rsid w:val="18CA3A9C"/>
    <w:rsid w:val="18CA554E"/>
    <w:rsid w:val="18DC4807"/>
    <w:rsid w:val="18F46042"/>
    <w:rsid w:val="19011550"/>
    <w:rsid w:val="190D2DAD"/>
    <w:rsid w:val="190D5F52"/>
    <w:rsid w:val="19116B06"/>
    <w:rsid w:val="19140C7B"/>
    <w:rsid w:val="191915B7"/>
    <w:rsid w:val="193803F7"/>
    <w:rsid w:val="195D1C99"/>
    <w:rsid w:val="195E16BF"/>
    <w:rsid w:val="19660810"/>
    <w:rsid w:val="19834C82"/>
    <w:rsid w:val="198976DB"/>
    <w:rsid w:val="1996103A"/>
    <w:rsid w:val="1996213F"/>
    <w:rsid w:val="19982EFA"/>
    <w:rsid w:val="199944A6"/>
    <w:rsid w:val="19BE5CBA"/>
    <w:rsid w:val="19C534ED"/>
    <w:rsid w:val="19D171ED"/>
    <w:rsid w:val="19E27C7A"/>
    <w:rsid w:val="19E528A1"/>
    <w:rsid w:val="19E962F6"/>
    <w:rsid w:val="19EB676A"/>
    <w:rsid w:val="19EF7E1D"/>
    <w:rsid w:val="19F752F6"/>
    <w:rsid w:val="19FF5ACB"/>
    <w:rsid w:val="1A0D716D"/>
    <w:rsid w:val="1A121F48"/>
    <w:rsid w:val="1A1237C6"/>
    <w:rsid w:val="1A1C66C0"/>
    <w:rsid w:val="1A20619E"/>
    <w:rsid w:val="1A310DA8"/>
    <w:rsid w:val="1A3413A4"/>
    <w:rsid w:val="1A3A39F7"/>
    <w:rsid w:val="1A3F6DFB"/>
    <w:rsid w:val="1A42393B"/>
    <w:rsid w:val="1A4F533A"/>
    <w:rsid w:val="1A50725A"/>
    <w:rsid w:val="1A607278"/>
    <w:rsid w:val="1A634A7F"/>
    <w:rsid w:val="1A644AB4"/>
    <w:rsid w:val="1A676333"/>
    <w:rsid w:val="1A6F27E0"/>
    <w:rsid w:val="1A8632D4"/>
    <w:rsid w:val="1A88796E"/>
    <w:rsid w:val="1A8B4DD7"/>
    <w:rsid w:val="1A9B4B52"/>
    <w:rsid w:val="1AA325A8"/>
    <w:rsid w:val="1AA55BED"/>
    <w:rsid w:val="1AAD45DE"/>
    <w:rsid w:val="1AAF1499"/>
    <w:rsid w:val="1AB32372"/>
    <w:rsid w:val="1ACC3AB1"/>
    <w:rsid w:val="1AD24DA0"/>
    <w:rsid w:val="1AD85233"/>
    <w:rsid w:val="1AD90340"/>
    <w:rsid w:val="1ADC289C"/>
    <w:rsid w:val="1AE87493"/>
    <w:rsid w:val="1AEC6857"/>
    <w:rsid w:val="1AED7C45"/>
    <w:rsid w:val="1AFB18F5"/>
    <w:rsid w:val="1B041DF3"/>
    <w:rsid w:val="1B046F80"/>
    <w:rsid w:val="1B2A12C0"/>
    <w:rsid w:val="1B3267B5"/>
    <w:rsid w:val="1B326960"/>
    <w:rsid w:val="1B3A3C5E"/>
    <w:rsid w:val="1B40161D"/>
    <w:rsid w:val="1B441859"/>
    <w:rsid w:val="1B444886"/>
    <w:rsid w:val="1B551FD8"/>
    <w:rsid w:val="1B574618"/>
    <w:rsid w:val="1B5C1C2F"/>
    <w:rsid w:val="1B6606B1"/>
    <w:rsid w:val="1B742AD4"/>
    <w:rsid w:val="1B75684C"/>
    <w:rsid w:val="1B76791E"/>
    <w:rsid w:val="1B856B54"/>
    <w:rsid w:val="1B8A4174"/>
    <w:rsid w:val="1B8B66A4"/>
    <w:rsid w:val="1B944F36"/>
    <w:rsid w:val="1BA01071"/>
    <w:rsid w:val="1BAF2E2B"/>
    <w:rsid w:val="1BB11EDB"/>
    <w:rsid w:val="1BB44600"/>
    <w:rsid w:val="1BCF68E1"/>
    <w:rsid w:val="1BD27A95"/>
    <w:rsid w:val="1BDF7652"/>
    <w:rsid w:val="1BE67576"/>
    <w:rsid w:val="1BEA723A"/>
    <w:rsid w:val="1BEC449D"/>
    <w:rsid w:val="1BF105C9"/>
    <w:rsid w:val="1C167019"/>
    <w:rsid w:val="1C2B31F4"/>
    <w:rsid w:val="1C2C7853"/>
    <w:rsid w:val="1C2D7073"/>
    <w:rsid w:val="1C330BCB"/>
    <w:rsid w:val="1C332E5D"/>
    <w:rsid w:val="1C366FF9"/>
    <w:rsid w:val="1C377EFF"/>
    <w:rsid w:val="1C534316"/>
    <w:rsid w:val="1C555547"/>
    <w:rsid w:val="1C586631"/>
    <w:rsid w:val="1C5D12C5"/>
    <w:rsid w:val="1C5E7925"/>
    <w:rsid w:val="1C680DF4"/>
    <w:rsid w:val="1C723211"/>
    <w:rsid w:val="1C7D3FF2"/>
    <w:rsid w:val="1C8621E7"/>
    <w:rsid w:val="1C884062"/>
    <w:rsid w:val="1C8A6A8C"/>
    <w:rsid w:val="1C905BCE"/>
    <w:rsid w:val="1C9176B6"/>
    <w:rsid w:val="1C9249BA"/>
    <w:rsid w:val="1CA07754"/>
    <w:rsid w:val="1CB34A49"/>
    <w:rsid w:val="1CBE44AA"/>
    <w:rsid w:val="1CBF2152"/>
    <w:rsid w:val="1CC84781"/>
    <w:rsid w:val="1CC900D9"/>
    <w:rsid w:val="1CCC42D8"/>
    <w:rsid w:val="1CCD557A"/>
    <w:rsid w:val="1CDA2E0B"/>
    <w:rsid w:val="1CDE1C3D"/>
    <w:rsid w:val="1CEC3628"/>
    <w:rsid w:val="1CFD070F"/>
    <w:rsid w:val="1D13631D"/>
    <w:rsid w:val="1D552DD9"/>
    <w:rsid w:val="1D5F6196"/>
    <w:rsid w:val="1D6132A5"/>
    <w:rsid w:val="1D6B102B"/>
    <w:rsid w:val="1D6D3C7F"/>
    <w:rsid w:val="1D745CED"/>
    <w:rsid w:val="1D7C3A58"/>
    <w:rsid w:val="1D8170ED"/>
    <w:rsid w:val="1D8E56D5"/>
    <w:rsid w:val="1D925BF4"/>
    <w:rsid w:val="1DA0658B"/>
    <w:rsid w:val="1DA8115B"/>
    <w:rsid w:val="1DB22221"/>
    <w:rsid w:val="1DB47B00"/>
    <w:rsid w:val="1DB47C8D"/>
    <w:rsid w:val="1DC1221D"/>
    <w:rsid w:val="1DC92C25"/>
    <w:rsid w:val="1DC95479"/>
    <w:rsid w:val="1DCD0BC2"/>
    <w:rsid w:val="1DD243C0"/>
    <w:rsid w:val="1DD34B61"/>
    <w:rsid w:val="1DDC1F9E"/>
    <w:rsid w:val="1DF306C1"/>
    <w:rsid w:val="1E067C30"/>
    <w:rsid w:val="1E087E4C"/>
    <w:rsid w:val="1E122CC6"/>
    <w:rsid w:val="1E182E21"/>
    <w:rsid w:val="1E1F308C"/>
    <w:rsid w:val="1E2E5AC9"/>
    <w:rsid w:val="1E303CBE"/>
    <w:rsid w:val="1E3173A3"/>
    <w:rsid w:val="1E321019"/>
    <w:rsid w:val="1E357184"/>
    <w:rsid w:val="1E446C36"/>
    <w:rsid w:val="1E477D2C"/>
    <w:rsid w:val="1E496FEB"/>
    <w:rsid w:val="1E4B4B5A"/>
    <w:rsid w:val="1E523043"/>
    <w:rsid w:val="1E5831B2"/>
    <w:rsid w:val="1E5C0FA0"/>
    <w:rsid w:val="1E676920"/>
    <w:rsid w:val="1E6E3680"/>
    <w:rsid w:val="1E6E5F01"/>
    <w:rsid w:val="1E730C13"/>
    <w:rsid w:val="1E7552D0"/>
    <w:rsid w:val="1E7A43DA"/>
    <w:rsid w:val="1E83132C"/>
    <w:rsid w:val="1E8562FD"/>
    <w:rsid w:val="1E935967"/>
    <w:rsid w:val="1E982F7E"/>
    <w:rsid w:val="1EA15953"/>
    <w:rsid w:val="1EA83BBB"/>
    <w:rsid w:val="1EAA1A19"/>
    <w:rsid w:val="1EAB405A"/>
    <w:rsid w:val="1EAD34D2"/>
    <w:rsid w:val="1EC03560"/>
    <w:rsid w:val="1ECB33B4"/>
    <w:rsid w:val="1ECC70CB"/>
    <w:rsid w:val="1ECE38CC"/>
    <w:rsid w:val="1ED85A70"/>
    <w:rsid w:val="1EDA0E63"/>
    <w:rsid w:val="1EDA5104"/>
    <w:rsid w:val="1EDE60D4"/>
    <w:rsid w:val="1EE05281"/>
    <w:rsid w:val="1EE33016"/>
    <w:rsid w:val="1EFD67A2"/>
    <w:rsid w:val="1EFF163B"/>
    <w:rsid w:val="1F02489B"/>
    <w:rsid w:val="1F0471E6"/>
    <w:rsid w:val="1F086472"/>
    <w:rsid w:val="1F0D246D"/>
    <w:rsid w:val="1F101AB6"/>
    <w:rsid w:val="1F132A6B"/>
    <w:rsid w:val="1F277B85"/>
    <w:rsid w:val="1F2C2C9E"/>
    <w:rsid w:val="1F334A54"/>
    <w:rsid w:val="1F3A5DE3"/>
    <w:rsid w:val="1F4B2751"/>
    <w:rsid w:val="1F4D1E1D"/>
    <w:rsid w:val="1F4D2FDA"/>
    <w:rsid w:val="1F686DF4"/>
    <w:rsid w:val="1F6B283A"/>
    <w:rsid w:val="1F757A5A"/>
    <w:rsid w:val="1F923E32"/>
    <w:rsid w:val="1F9A2D26"/>
    <w:rsid w:val="1F9D458E"/>
    <w:rsid w:val="1F9F20EA"/>
    <w:rsid w:val="1FA025B1"/>
    <w:rsid w:val="1FB16B20"/>
    <w:rsid w:val="1FC21E1F"/>
    <w:rsid w:val="1FC2452C"/>
    <w:rsid w:val="1FC35DD8"/>
    <w:rsid w:val="1FDE4317"/>
    <w:rsid w:val="1FE40455"/>
    <w:rsid w:val="1FE7539E"/>
    <w:rsid w:val="1FF24910"/>
    <w:rsid w:val="1FF2718A"/>
    <w:rsid w:val="1FF42436"/>
    <w:rsid w:val="200211C3"/>
    <w:rsid w:val="2003693F"/>
    <w:rsid w:val="200C2F94"/>
    <w:rsid w:val="200F3EAF"/>
    <w:rsid w:val="2010009E"/>
    <w:rsid w:val="20136252"/>
    <w:rsid w:val="20151B7B"/>
    <w:rsid w:val="201817FB"/>
    <w:rsid w:val="202513C5"/>
    <w:rsid w:val="202A2D2D"/>
    <w:rsid w:val="20472ECD"/>
    <w:rsid w:val="20484530"/>
    <w:rsid w:val="204C2272"/>
    <w:rsid w:val="20597457"/>
    <w:rsid w:val="205F6FE8"/>
    <w:rsid w:val="20671BE0"/>
    <w:rsid w:val="208B2155"/>
    <w:rsid w:val="208D41D2"/>
    <w:rsid w:val="208F06F5"/>
    <w:rsid w:val="209041A4"/>
    <w:rsid w:val="20963CB8"/>
    <w:rsid w:val="2098452F"/>
    <w:rsid w:val="209C4C12"/>
    <w:rsid w:val="20A81A1B"/>
    <w:rsid w:val="20AA6F98"/>
    <w:rsid w:val="20B07FB6"/>
    <w:rsid w:val="20B646FB"/>
    <w:rsid w:val="20B9014C"/>
    <w:rsid w:val="20CA2AFB"/>
    <w:rsid w:val="20CF3331"/>
    <w:rsid w:val="20D53AB5"/>
    <w:rsid w:val="20E06E5E"/>
    <w:rsid w:val="20E418C1"/>
    <w:rsid w:val="20E74247"/>
    <w:rsid w:val="20E95D13"/>
    <w:rsid w:val="20EB1A8B"/>
    <w:rsid w:val="20F55F8C"/>
    <w:rsid w:val="20F7141D"/>
    <w:rsid w:val="210378DB"/>
    <w:rsid w:val="210B1C2A"/>
    <w:rsid w:val="210C3137"/>
    <w:rsid w:val="210D2203"/>
    <w:rsid w:val="210D3CD7"/>
    <w:rsid w:val="21117017"/>
    <w:rsid w:val="213B74B1"/>
    <w:rsid w:val="215A2310"/>
    <w:rsid w:val="215D70C0"/>
    <w:rsid w:val="2163106E"/>
    <w:rsid w:val="21640117"/>
    <w:rsid w:val="21682E44"/>
    <w:rsid w:val="216D5DDE"/>
    <w:rsid w:val="217038B5"/>
    <w:rsid w:val="2175369A"/>
    <w:rsid w:val="218407DF"/>
    <w:rsid w:val="218B67FD"/>
    <w:rsid w:val="2190442A"/>
    <w:rsid w:val="21983404"/>
    <w:rsid w:val="219D5CF4"/>
    <w:rsid w:val="21AD2CD3"/>
    <w:rsid w:val="21AE43C0"/>
    <w:rsid w:val="21B856E5"/>
    <w:rsid w:val="21BC6F83"/>
    <w:rsid w:val="21DE318A"/>
    <w:rsid w:val="21DF0EC4"/>
    <w:rsid w:val="21E02DB4"/>
    <w:rsid w:val="21E538CA"/>
    <w:rsid w:val="21EF5B80"/>
    <w:rsid w:val="21F26EE5"/>
    <w:rsid w:val="220B1F8B"/>
    <w:rsid w:val="22122FE0"/>
    <w:rsid w:val="221C2118"/>
    <w:rsid w:val="222A739D"/>
    <w:rsid w:val="222C2765"/>
    <w:rsid w:val="2236569B"/>
    <w:rsid w:val="22391E2B"/>
    <w:rsid w:val="223F57F7"/>
    <w:rsid w:val="22431452"/>
    <w:rsid w:val="224623B3"/>
    <w:rsid w:val="224F3AF6"/>
    <w:rsid w:val="22576990"/>
    <w:rsid w:val="22607F7A"/>
    <w:rsid w:val="22713CDC"/>
    <w:rsid w:val="22803731"/>
    <w:rsid w:val="228D1C60"/>
    <w:rsid w:val="228E5B83"/>
    <w:rsid w:val="2291668E"/>
    <w:rsid w:val="22A335D8"/>
    <w:rsid w:val="22A963ED"/>
    <w:rsid w:val="22AE0EB4"/>
    <w:rsid w:val="22AF206E"/>
    <w:rsid w:val="22B56515"/>
    <w:rsid w:val="22C203C0"/>
    <w:rsid w:val="22C40E29"/>
    <w:rsid w:val="22C63C28"/>
    <w:rsid w:val="22CA0F2E"/>
    <w:rsid w:val="22F22B4C"/>
    <w:rsid w:val="22F259F6"/>
    <w:rsid w:val="22F47480"/>
    <w:rsid w:val="22F664C5"/>
    <w:rsid w:val="22FA2BE2"/>
    <w:rsid w:val="22FB70A8"/>
    <w:rsid w:val="22FD2099"/>
    <w:rsid w:val="22FE11E8"/>
    <w:rsid w:val="230B2EA9"/>
    <w:rsid w:val="23122559"/>
    <w:rsid w:val="23143FDA"/>
    <w:rsid w:val="23152DEF"/>
    <w:rsid w:val="23250BC2"/>
    <w:rsid w:val="232551EF"/>
    <w:rsid w:val="23264FFC"/>
    <w:rsid w:val="232A50C7"/>
    <w:rsid w:val="233226C0"/>
    <w:rsid w:val="2336009A"/>
    <w:rsid w:val="233E2A6C"/>
    <w:rsid w:val="234A390D"/>
    <w:rsid w:val="235A6A54"/>
    <w:rsid w:val="23612532"/>
    <w:rsid w:val="23626A1D"/>
    <w:rsid w:val="236500EA"/>
    <w:rsid w:val="23651495"/>
    <w:rsid w:val="23796302"/>
    <w:rsid w:val="237C67AF"/>
    <w:rsid w:val="23810484"/>
    <w:rsid w:val="238B4E5F"/>
    <w:rsid w:val="2392186F"/>
    <w:rsid w:val="23A10440"/>
    <w:rsid w:val="23AD7D53"/>
    <w:rsid w:val="23AE6D9F"/>
    <w:rsid w:val="23B031E1"/>
    <w:rsid w:val="23B045A6"/>
    <w:rsid w:val="23BA1018"/>
    <w:rsid w:val="23C748EB"/>
    <w:rsid w:val="23C81C42"/>
    <w:rsid w:val="23C84DE9"/>
    <w:rsid w:val="23CD52D2"/>
    <w:rsid w:val="23DE1C48"/>
    <w:rsid w:val="23E94A7C"/>
    <w:rsid w:val="23F01D1C"/>
    <w:rsid w:val="23FD6613"/>
    <w:rsid w:val="240210CD"/>
    <w:rsid w:val="24044E19"/>
    <w:rsid w:val="240D6701"/>
    <w:rsid w:val="24130C88"/>
    <w:rsid w:val="2418420C"/>
    <w:rsid w:val="2425112A"/>
    <w:rsid w:val="2435126F"/>
    <w:rsid w:val="243C3722"/>
    <w:rsid w:val="24483433"/>
    <w:rsid w:val="244D11A3"/>
    <w:rsid w:val="245556F9"/>
    <w:rsid w:val="245726FE"/>
    <w:rsid w:val="246050C9"/>
    <w:rsid w:val="246D3F02"/>
    <w:rsid w:val="247B1F1B"/>
    <w:rsid w:val="247B3B7B"/>
    <w:rsid w:val="24817DFC"/>
    <w:rsid w:val="248762B2"/>
    <w:rsid w:val="248D4C07"/>
    <w:rsid w:val="249661B1"/>
    <w:rsid w:val="249D336F"/>
    <w:rsid w:val="24A93658"/>
    <w:rsid w:val="24B93C4E"/>
    <w:rsid w:val="24BB46D0"/>
    <w:rsid w:val="24BF09F7"/>
    <w:rsid w:val="24C7636B"/>
    <w:rsid w:val="24CB39E1"/>
    <w:rsid w:val="24D031D9"/>
    <w:rsid w:val="24DB224F"/>
    <w:rsid w:val="24F2253C"/>
    <w:rsid w:val="250745CC"/>
    <w:rsid w:val="250810CB"/>
    <w:rsid w:val="251175E6"/>
    <w:rsid w:val="2517136E"/>
    <w:rsid w:val="251D5F8B"/>
    <w:rsid w:val="251E1D03"/>
    <w:rsid w:val="252603A1"/>
    <w:rsid w:val="252D53FE"/>
    <w:rsid w:val="25311187"/>
    <w:rsid w:val="25497BF7"/>
    <w:rsid w:val="254A3361"/>
    <w:rsid w:val="25514269"/>
    <w:rsid w:val="25537442"/>
    <w:rsid w:val="2554491A"/>
    <w:rsid w:val="25693610"/>
    <w:rsid w:val="256C7CE8"/>
    <w:rsid w:val="256F1FE0"/>
    <w:rsid w:val="25752B3D"/>
    <w:rsid w:val="257760D2"/>
    <w:rsid w:val="25977435"/>
    <w:rsid w:val="25A128B8"/>
    <w:rsid w:val="25A20311"/>
    <w:rsid w:val="25A20B86"/>
    <w:rsid w:val="25AF4EDF"/>
    <w:rsid w:val="25C2328F"/>
    <w:rsid w:val="25CC2570"/>
    <w:rsid w:val="25D074A1"/>
    <w:rsid w:val="25D46DE1"/>
    <w:rsid w:val="25D51F9C"/>
    <w:rsid w:val="25D64199"/>
    <w:rsid w:val="25DD093B"/>
    <w:rsid w:val="25DF1993"/>
    <w:rsid w:val="25EC2D81"/>
    <w:rsid w:val="25FB35AA"/>
    <w:rsid w:val="260158AC"/>
    <w:rsid w:val="260D06F7"/>
    <w:rsid w:val="261263BB"/>
    <w:rsid w:val="261E1141"/>
    <w:rsid w:val="261E31A6"/>
    <w:rsid w:val="26202D49"/>
    <w:rsid w:val="262B0B7B"/>
    <w:rsid w:val="262B2929"/>
    <w:rsid w:val="262F48E8"/>
    <w:rsid w:val="26401EFE"/>
    <w:rsid w:val="26420C3F"/>
    <w:rsid w:val="26447D24"/>
    <w:rsid w:val="26500990"/>
    <w:rsid w:val="265858BD"/>
    <w:rsid w:val="265B2103"/>
    <w:rsid w:val="265C2AE3"/>
    <w:rsid w:val="26706801"/>
    <w:rsid w:val="26747E2C"/>
    <w:rsid w:val="267A225A"/>
    <w:rsid w:val="268338A4"/>
    <w:rsid w:val="269008BD"/>
    <w:rsid w:val="26A0037D"/>
    <w:rsid w:val="26A5652B"/>
    <w:rsid w:val="26A61D3D"/>
    <w:rsid w:val="26A67EE3"/>
    <w:rsid w:val="26A94E85"/>
    <w:rsid w:val="26B5049F"/>
    <w:rsid w:val="26B548EC"/>
    <w:rsid w:val="26D5357B"/>
    <w:rsid w:val="26E8081A"/>
    <w:rsid w:val="26F56361"/>
    <w:rsid w:val="26FA07FC"/>
    <w:rsid w:val="27161E01"/>
    <w:rsid w:val="271E08FB"/>
    <w:rsid w:val="2720769D"/>
    <w:rsid w:val="272A3567"/>
    <w:rsid w:val="272A498F"/>
    <w:rsid w:val="273406C0"/>
    <w:rsid w:val="27407D24"/>
    <w:rsid w:val="274B1B9E"/>
    <w:rsid w:val="274F2647"/>
    <w:rsid w:val="27515D9C"/>
    <w:rsid w:val="27592805"/>
    <w:rsid w:val="275E288B"/>
    <w:rsid w:val="277057A2"/>
    <w:rsid w:val="277420AE"/>
    <w:rsid w:val="2775172B"/>
    <w:rsid w:val="2776247D"/>
    <w:rsid w:val="277E71B3"/>
    <w:rsid w:val="278F6B69"/>
    <w:rsid w:val="279A56C8"/>
    <w:rsid w:val="279D7FAF"/>
    <w:rsid w:val="27A02EA3"/>
    <w:rsid w:val="27A74232"/>
    <w:rsid w:val="27B32BD6"/>
    <w:rsid w:val="27BF6D79"/>
    <w:rsid w:val="27C02877"/>
    <w:rsid w:val="27CF7A36"/>
    <w:rsid w:val="27E60CAF"/>
    <w:rsid w:val="27F45D65"/>
    <w:rsid w:val="27FD02F5"/>
    <w:rsid w:val="27FF77F8"/>
    <w:rsid w:val="280451E0"/>
    <w:rsid w:val="28136142"/>
    <w:rsid w:val="28142218"/>
    <w:rsid w:val="281968B1"/>
    <w:rsid w:val="28292387"/>
    <w:rsid w:val="282B2A5F"/>
    <w:rsid w:val="284A0044"/>
    <w:rsid w:val="284F3E71"/>
    <w:rsid w:val="28530403"/>
    <w:rsid w:val="28584810"/>
    <w:rsid w:val="28587F8D"/>
    <w:rsid w:val="285F360F"/>
    <w:rsid w:val="286839C1"/>
    <w:rsid w:val="28731E79"/>
    <w:rsid w:val="28742969"/>
    <w:rsid w:val="287A47A7"/>
    <w:rsid w:val="28800E11"/>
    <w:rsid w:val="28810F26"/>
    <w:rsid w:val="288412F1"/>
    <w:rsid w:val="28905503"/>
    <w:rsid w:val="28916E8B"/>
    <w:rsid w:val="28924C1A"/>
    <w:rsid w:val="289406EB"/>
    <w:rsid w:val="28993A08"/>
    <w:rsid w:val="28993C12"/>
    <w:rsid w:val="28A00367"/>
    <w:rsid w:val="28A05722"/>
    <w:rsid w:val="28A414CC"/>
    <w:rsid w:val="28A55FE4"/>
    <w:rsid w:val="28AC1C11"/>
    <w:rsid w:val="28B543C7"/>
    <w:rsid w:val="28B80896"/>
    <w:rsid w:val="28C262EA"/>
    <w:rsid w:val="28C64B8B"/>
    <w:rsid w:val="28CC5DCF"/>
    <w:rsid w:val="28D420CF"/>
    <w:rsid w:val="28DC17E6"/>
    <w:rsid w:val="28DD56BD"/>
    <w:rsid w:val="28E75BE0"/>
    <w:rsid w:val="28FC2D0A"/>
    <w:rsid w:val="29023E15"/>
    <w:rsid w:val="290556B4"/>
    <w:rsid w:val="291B2ADC"/>
    <w:rsid w:val="291B51CA"/>
    <w:rsid w:val="291D26C5"/>
    <w:rsid w:val="29206EB8"/>
    <w:rsid w:val="29233D8C"/>
    <w:rsid w:val="29357C6B"/>
    <w:rsid w:val="29385A89"/>
    <w:rsid w:val="293B7327"/>
    <w:rsid w:val="29595666"/>
    <w:rsid w:val="295D104C"/>
    <w:rsid w:val="295D5BEA"/>
    <w:rsid w:val="295E3016"/>
    <w:rsid w:val="29635E57"/>
    <w:rsid w:val="296F0AAE"/>
    <w:rsid w:val="29820015"/>
    <w:rsid w:val="29874881"/>
    <w:rsid w:val="298D2957"/>
    <w:rsid w:val="29981DC6"/>
    <w:rsid w:val="29986F54"/>
    <w:rsid w:val="299A22A0"/>
    <w:rsid w:val="299C0CA3"/>
    <w:rsid w:val="29AB625B"/>
    <w:rsid w:val="29B06CCC"/>
    <w:rsid w:val="29B81AE0"/>
    <w:rsid w:val="29CE1F49"/>
    <w:rsid w:val="29CF0653"/>
    <w:rsid w:val="29D15596"/>
    <w:rsid w:val="29D17877"/>
    <w:rsid w:val="29D551AF"/>
    <w:rsid w:val="29DF22EF"/>
    <w:rsid w:val="29E325E0"/>
    <w:rsid w:val="29F179E6"/>
    <w:rsid w:val="29F3428B"/>
    <w:rsid w:val="29F92552"/>
    <w:rsid w:val="29FA27CA"/>
    <w:rsid w:val="2A0400F8"/>
    <w:rsid w:val="2A056934"/>
    <w:rsid w:val="2A0C2A72"/>
    <w:rsid w:val="2A0F1C27"/>
    <w:rsid w:val="2A135BAE"/>
    <w:rsid w:val="2A157BF5"/>
    <w:rsid w:val="2A3254AD"/>
    <w:rsid w:val="2A37403F"/>
    <w:rsid w:val="2A452503"/>
    <w:rsid w:val="2A454252"/>
    <w:rsid w:val="2A482E16"/>
    <w:rsid w:val="2A5B4D7D"/>
    <w:rsid w:val="2A5E1EAF"/>
    <w:rsid w:val="2A6015BB"/>
    <w:rsid w:val="2A632133"/>
    <w:rsid w:val="2A6F054F"/>
    <w:rsid w:val="2A724727"/>
    <w:rsid w:val="2A7A5C2D"/>
    <w:rsid w:val="2A8C091A"/>
    <w:rsid w:val="2A915482"/>
    <w:rsid w:val="2A9D5364"/>
    <w:rsid w:val="2AA5611A"/>
    <w:rsid w:val="2AB12B97"/>
    <w:rsid w:val="2AB6770F"/>
    <w:rsid w:val="2AB70C30"/>
    <w:rsid w:val="2ACA729C"/>
    <w:rsid w:val="2ACD4471"/>
    <w:rsid w:val="2ACE05AB"/>
    <w:rsid w:val="2AD13FE4"/>
    <w:rsid w:val="2AD1624A"/>
    <w:rsid w:val="2AD662DD"/>
    <w:rsid w:val="2ADB2019"/>
    <w:rsid w:val="2AE9690F"/>
    <w:rsid w:val="2AEC271E"/>
    <w:rsid w:val="2AF07C9E"/>
    <w:rsid w:val="2AFD022D"/>
    <w:rsid w:val="2AFE23BA"/>
    <w:rsid w:val="2B0B17FE"/>
    <w:rsid w:val="2B0B4F30"/>
    <w:rsid w:val="2B141BDE"/>
    <w:rsid w:val="2B1A4D1A"/>
    <w:rsid w:val="2B2654FC"/>
    <w:rsid w:val="2B4634F6"/>
    <w:rsid w:val="2B464915"/>
    <w:rsid w:val="2B503F21"/>
    <w:rsid w:val="2B514BE0"/>
    <w:rsid w:val="2B5678F1"/>
    <w:rsid w:val="2B5D4A1D"/>
    <w:rsid w:val="2B73723A"/>
    <w:rsid w:val="2B7A2D23"/>
    <w:rsid w:val="2B7A4B5A"/>
    <w:rsid w:val="2B824D9A"/>
    <w:rsid w:val="2B8C5C18"/>
    <w:rsid w:val="2B8E762A"/>
    <w:rsid w:val="2B920D55"/>
    <w:rsid w:val="2B976CF5"/>
    <w:rsid w:val="2B996FE3"/>
    <w:rsid w:val="2BA936A8"/>
    <w:rsid w:val="2BAE64DD"/>
    <w:rsid w:val="2BAF6A3F"/>
    <w:rsid w:val="2BB62E40"/>
    <w:rsid w:val="2BB844BD"/>
    <w:rsid w:val="2BC058C2"/>
    <w:rsid w:val="2BCB1F9B"/>
    <w:rsid w:val="2BD872CA"/>
    <w:rsid w:val="2BDC5A87"/>
    <w:rsid w:val="2BE06F7E"/>
    <w:rsid w:val="2BE6660F"/>
    <w:rsid w:val="2BF043F9"/>
    <w:rsid w:val="2BFC5015"/>
    <w:rsid w:val="2C011B6F"/>
    <w:rsid w:val="2C092240"/>
    <w:rsid w:val="2C1A13E9"/>
    <w:rsid w:val="2C2B6E7C"/>
    <w:rsid w:val="2C2E0A7D"/>
    <w:rsid w:val="2C315A5A"/>
    <w:rsid w:val="2C336AA4"/>
    <w:rsid w:val="2C4666AC"/>
    <w:rsid w:val="2C47560B"/>
    <w:rsid w:val="2C4A157B"/>
    <w:rsid w:val="2C4B1C25"/>
    <w:rsid w:val="2C521827"/>
    <w:rsid w:val="2C783532"/>
    <w:rsid w:val="2C803EDB"/>
    <w:rsid w:val="2C866549"/>
    <w:rsid w:val="2C8D45D3"/>
    <w:rsid w:val="2C9E3E55"/>
    <w:rsid w:val="2CA970CB"/>
    <w:rsid w:val="2CAA0192"/>
    <w:rsid w:val="2CB44EAA"/>
    <w:rsid w:val="2CC75451"/>
    <w:rsid w:val="2CD57086"/>
    <w:rsid w:val="2CDB0B61"/>
    <w:rsid w:val="2CDC4517"/>
    <w:rsid w:val="2CE02E7F"/>
    <w:rsid w:val="2CE2110E"/>
    <w:rsid w:val="2CE37ABA"/>
    <w:rsid w:val="2CF9552F"/>
    <w:rsid w:val="2CFE48F4"/>
    <w:rsid w:val="2D0465C5"/>
    <w:rsid w:val="2D0F6B01"/>
    <w:rsid w:val="2D14258E"/>
    <w:rsid w:val="2D217935"/>
    <w:rsid w:val="2D271D5E"/>
    <w:rsid w:val="2D2C64E3"/>
    <w:rsid w:val="2D3B275C"/>
    <w:rsid w:val="2D547E3F"/>
    <w:rsid w:val="2D59037A"/>
    <w:rsid w:val="2D5A6E02"/>
    <w:rsid w:val="2D611067"/>
    <w:rsid w:val="2D732991"/>
    <w:rsid w:val="2D88744E"/>
    <w:rsid w:val="2D984D48"/>
    <w:rsid w:val="2D9E1E24"/>
    <w:rsid w:val="2D9E56F5"/>
    <w:rsid w:val="2DA82AB1"/>
    <w:rsid w:val="2DC22DEA"/>
    <w:rsid w:val="2DCB4ECE"/>
    <w:rsid w:val="2DD03F61"/>
    <w:rsid w:val="2DD72CD9"/>
    <w:rsid w:val="2DD90923"/>
    <w:rsid w:val="2DDA7B1D"/>
    <w:rsid w:val="2DE159F5"/>
    <w:rsid w:val="2DE27D71"/>
    <w:rsid w:val="2DE66F94"/>
    <w:rsid w:val="2E132621"/>
    <w:rsid w:val="2E1818FD"/>
    <w:rsid w:val="2E182697"/>
    <w:rsid w:val="2E3053A4"/>
    <w:rsid w:val="2E33681F"/>
    <w:rsid w:val="2E4D59DA"/>
    <w:rsid w:val="2E4E257F"/>
    <w:rsid w:val="2E5C5AC0"/>
    <w:rsid w:val="2E66565E"/>
    <w:rsid w:val="2E667F96"/>
    <w:rsid w:val="2E7E7DC6"/>
    <w:rsid w:val="2E7F1A64"/>
    <w:rsid w:val="2E8226AB"/>
    <w:rsid w:val="2E907846"/>
    <w:rsid w:val="2E976DAE"/>
    <w:rsid w:val="2E9A5D03"/>
    <w:rsid w:val="2EA35084"/>
    <w:rsid w:val="2EAC6D51"/>
    <w:rsid w:val="2EAE0880"/>
    <w:rsid w:val="2EB47734"/>
    <w:rsid w:val="2EBC4A66"/>
    <w:rsid w:val="2ED31EF0"/>
    <w:rsid w:val="2EDA4EED"/>
    <w:rsid w:val="2EE874B8"/>
    <w:rsid w:val="2EEB6541"/>
    <w:rsid w:val="2EEB7482"/>
    <w:rsid w:val="2EF77606"/>
    <w:rsid w:val="2EF830C6"/>
    <w:rsid w:val="2EFC1239"/>
    <w:rsid w:val="2F0B3B38"/>
    <w:rsid w:val="2F0F49D9"/>
    <w:rsid w:val="2F164660"/>
    <w:rsid w:val="2F1D427D"/>
    <w:rsid w:val="2F246A44"/>
    <w:rsid w:val="2F25085E"/>
    <w:rsid w:val="2F3223CC"/>
    <w:rsid w:val="2F3A3B1A"/>
    <w:rsid w:val="2F3B6D07"/>
    <w:rsid w:val="2F3D3B1D"/>
    <w:rsid w:val="2F42668B"/>
    <w:rsid w:val="2F4D1B62"/>
    <w:rsid w:val="2F546A4D"/>
    <w:rsid w:val="2F564DF5"/>
    <w:rsid w:val="2F693FAA"/>
    <w:rsid w:val="2F726557"/>
    <w:rsid w:val="2F78198B"/>
    <w:rsid w:val="2F7C6285"/>
    <w:rsid w:val="2F7F6117"/>
    <w:rsid w:val="2F8D6403"/>
    <w:rsid w:val="2F9502B7"/>
    <w:rsid w:val="2F986395"/>
    <w:rsid w:val="2F9D4E18"/>
    <w:rsid w:val="2FA42696"/>
    <w:rsid w:val="2FA64655"/>
    <w:rsid w:val="2FAA0D63"/>
    <w:rsid w:val="2FAF3D59"/>
    <w:rsid w:val="2FB46457"/>
    <w:rsid w:val="2FBA0ACE"/>
    <w:rsid w:val="2FC67810"/>
    <w:rsid w:val="2FC94381"/>
    <w:rsid w:val="2FCC676A"/>
    <w:rsid w:val="2FD04D90"/>
    <w:rsid w:val="2FD065E6"/>
    <w:rsid w:val="2FD20736"/>
    <w:rsid w:val="2FD24C89"/>
    <w:rsid w:val="2FD847E6"/>
    <w:rsid w:val="2FD96870"/>
    <w:rsid w:val="2FDA7E82"/>
    <w:rsid w:val="2FE5513E"/>
    <w:rsid w:val="2FEF0BC4"/>
    <w:rsid w:val="2FEF7BAF"/>
    <w:rsid w:val="2FF355C0"/>
    <w:rsid w:val="30001D2D"/>
    <w:rsid w:val="3014224E"/>
    <w:rsid w:val="30155912"/>
    <w:rsid w:val="30217D46"/>
    <w:rsid w:val="30304E1E"/>
    <w:rsid w:val="303509CA"/>
    <w:rsid w:val="304457DF"/>
    <w:rsid w:val="30462016"/>
    <w:rsid w:val="304B69E5"/>
    <w:rsid w:val="304E58B4"/>
    <w:rsid w:val="3055748A"/>
    <w:rsid w:val="30580BC9"/>
    <w:rsid w:val="30583D9F"/>
    <w:rsid w:val="305A7CDF"/>
    <w:rsid w:val="305E3E71"/>
    <w:rsid w:val="30670A02"/>
    <w:rsid w:val="3069477A"/>
    <w:rsid w:val="306C4BB2"/>
    <w:rsid w:val="307F5D4C"/>
    <w:rsid w:val="308819B0"/>
    <w:rsid w:val="308F19E9"/>
    <w:rsid w:val="309057B4"/>
    <w:rsid w:val="309335A5"/>
    <w:rsid w:val="3096540F"/>
    <w:rsid w:val="30AC4667"/>
    <w:rsid w:val="30BB6015"/>
    <w:rsid w:val="30C61284"/>
    <w:rsid w:val="30DC0219"/>
    <w:rsid w:val="30DE4599"/>
    <w:rsid w:val="30DE6937"/>
    <w:rsid w:val="30EB452B"/>
    <w:rsid w:val="30F13FEF"/>
    <w:rsid w:val="30F1626C"/>
    <w:rsid w:val="30F571F0"/>
    <w:rsid w:val="310315B7"/>
    <w:rsid w:val="310442EA"/>
    <w:rsid w:val="310461B3"/>
    <w:rsid w:val="310E5321"/>
    <w:rsid w:val="310F7AFB"/>
    <w:rsid w:val="31143E67"/>
    <w:rsid w:val="31157881"/>
    <w:rsid w:val="311E2ED7"/>
    <w:rsid w:val="311F12DD"/>
    <w:rsid w:val="312B0213"/>
    <w:rsid w:val="312D57A8"/>
    <w:rsid w:val="313844C5"/>
    <w:rsid w:val="31490108"/>
    <w:rsid w:val="315619EE"/>
    <w:rsid w:val="315C449C"/>
    <w:rsid w:val="3165529B"/>
    <w:rsid w:val="316723F9"/>
    <w:rsid w:val="3170172A"/>
    <w:rsid w:val="31734D60"/>
    <w:rsid w:val="317B2811"/>
    <w:rsid w:val="317C6896"/>
    <w:rsid w:val="31814F9F"/>
    <w:rsid w:val="319B1D6E"/>
    <w:rsid w:val="319C0B7F"/>
    <w:rsid w:val="31A1011D"/>
    <w:rsid w:val="31AE2251"/>
    <w:rsid w:val="31B64987"/>
    <w:rsid w:val="31B81BE5"/>
    <w:rsid w:val="31B82709"/>
    <w:rsid w:val="31BA2024"/>
    <w:rsid w:val="31BE4652"/>
    <w:rsid w:val="31C50377"/>
    <w:rsid w:val="31D05482"/>
    <w:rsid w:val="31D11CC9"/>
    <w:rsid w:val="31E367AE"/>
    <w:rsid w:val="31EB11BF"/>
    <w:rsid w:val="31F745C9"/>
    <w:rsid w:val="32034221"/>
    <w:rsid w:val="320A672A"/>
    <w:rsid w:val="320F196B"/>
    <w:rsid w:val="320F30FF"/>
    <w:rsid w:val="320F4CE1"/>
    <w:rsid w:val="320F7D1F"/>
    <w:rsid w:val="32216876"/>
    <w:rsid w:val="32261822"/>
    <w:rsid w:val="32272714"/>
    <w:rsid w:val="323F13D0"/>
    <w:rsid w:val="32400B34"/>
    <w:rsid w:val="3243139D"/>
    <w:rsid w:val="324B465A"/>
    <w:rsid w:val="32575BB8"/>
    <w:rsid w:val="325823B4"/>
    <w:rsid w:val="326604B8"/>
    <w:rsid w:val="32787927"/>
    <w:rsid w:val="328A6C2A"/>
    <w:rsid w:val="329A6E6D"/>
    <w:rsid w:val="329E6876"/>
    <w:rsid w:val="32A314EE"/>
    <w:rsid w:val="32A36527"/>
    <w:rsid w:val="32AC094E"/>
    <w:rsid w:val="32B45CFA"/>
    <w:rsid w:val="32C830F1"/>
    <w:rsid w:val="32D56359"/>
    <w:rsid w:val="32DB0C08"/>
    <w:rsid w:val="32DB597E"/>
    <w:rsid w:val="32DE7621"/>
    <w:rsid w:val="32E4506B"/>
    <w:rsid w:val="32E71A40"/>
    <w:rsid w:val="32F02F31"/>
    <w:rsid w:val="32F15B31"/>
    <w:rsid w:val="330B2BE8"/>
    <w:rsid w:val="330B38C7"/>
    <w:rsid w:val="33150A6D"/>
    <w:rsid w:val="33157C43"/>
    <w:rsid w:val="331718E2"/>
    <w:rsid w:val="33186085"/>
    <w:rsid w:val="331C5628"/>
    <w:rsid w:val="331C7682"/>
    <w:rsid w:val="332350B4"/>
    <w:rsid w:val="332A1E79"/>
    <w:rsid w:val="332A6E19"/>
    <w:rsid w:val="333015F2"/>
    <w:rsid w:val="33386686"/>
    <w:rsid w:val="333A0650"/>
    <w:rsid w:val="333A7377"/>
    <w:rsid w:val="333B75B5"/>
    <w:rsid w:val="333F6177"/>
    <w:rsid w:val="33435474"/>
    <w:rsid w:val="3345419A"/>
    <w:rsid w:val="33471033"/>
    <w:rsid w:val="334B6320"/>
    <w:rsid w:val="33564EB3"/>
    <w:rsid w:val="33693FB2"/>
    <w:rsid w:val="336C1E57"/>
    <w:rsid w:val="337033D4"/>
    <w:rsid w:val="33AB2AE6"/>
    <w:rsid w:val="33B6534C"/>
    <w:rsid w:val="33BA60C8"/>
    <w:rsid w:val="33BD2704"/>
    <w:rsid w:val="33C1613D"/>
    <w:rsid w:val="33CD537E"/>
    <w:rsid w:val="33D11D2C"/>
    <w:rsid w:val="33D313E6"/>
    <w:rsid w:val="33D934D4"/>
    <w:rsid w:val="33E510BC"/>
    <w:rsid w:val="33EB7BD5"/>
    <w:rsid w:val="33F029A0"/>
    <w:rsid w:val="33F1158D"/>
    <w:rsid w:val="33F30946"/>
    <w:rsid w:val="33F97BC3"/>
    <w:rsid w:val="33FE2F6A"/>
    <w:rsid w:val="34000F51"/>
    <w:rsid w:val="340C5322"/>
    <w:rsid w:val="340E07E5"/>
    <w:rsid w:val="340F73E6"/>
    <w:rsid w:val="341243C8"/>
    <w:rsid w:val="341E5AE0"/>
    <w:rsid w:val="34235BF7"/>
    <w:rsid w:val="342804A8"/>
    <w:rsid w:val="34296069"/>
    <w:rsid w:val="342E5EF5"/>
    <w:rsid w:val="34341E4E"/>
    <w:rsid w:val="343432F1"/>
    <w:rsid w:val="34420100"/>
    <w:rsid w:val="344C7494"/>
    <w:rsid w:val="344F72F7"/>
    <w:rsid w:val="345474EF"/>
    <w:rsid w:val="345A690F"/>
    <w:rsid w:val="34612C4D"/>
    <w:rsid w:val="34643435"/>
    <w:rsid w:val="34816377"/>
    <w:rsid w:val="34857D29"/>
    <w:rsid w:val="34A43FD3"/>
    <w:rsid w:val="34AF11BB"/>
    <w:rsid w:val="34BD6E42"/>
    <w:rsid w:val="34C3443D"/>
    <w:rsid w:val="34C91C8B"/>
    <w:rsid w:val="34CD749A"/>
    <w:rsid w:val="34D253A4"/>
    <w:rsid w:val="34DA79F4"/>
    <w:rsid w:val="34E868DA"/>
    <w:rsid w:val="34F02BB2"/>
    <w:rsid w:val="34F9113F"/>
    <w:rsid w:val="34FA1019"/>
    <w:rsid w:val="34FC3E0F"/>
    <w:rsid w:val="350F7D2D"/>
    <w:rsid w:val="3515557E"/>
    <w:rsid w:val="351849C1"/>
    <w:rsid w:val="35234C75"/>
    <w:rsid w:val="352719B0"/>
    <w:rsid w:val="352A4856"/>
    <w:rsid w:val="35300A69"/>
    <w:rsid w:val="35322552"/>
    <w:rsid w:val="353973DC"/>
    <w:rsid w:val="353C1662"/>
    <w:rsid w:val="353D7F83"/>
    <w:rsid w:val="35576C7F"/>
    <w:rsid w:val="356011AB"/>
    <w:rsid w:val="3566482E"/>
    <w:rsid w:val="35803815"/>
    <w:rsid w:val="3582776C"/>
    <w:rsid w:val="358C5FA8"/>
    <w:rsid w:val="35952ADB"/>
    <w:rsid w:val="359E033D"/>
    <w:rsid w:val="359F297B"/>
    <w:rsid w:val="35A42122"/>
    <w:rsid w:val="35A629EA"/>
    <w:rsid w:val="35A85694"/>
    <w:rsid w:val="35AA60A9"/>
    <w:rsid w:val="35B405C2"/>
    <w:rsid w:val="35BC1338"/>
    <w:rsid w:val="35C15DF1"/>
    <w:rsid w:val="35C525B7"/>
    <w:rsid w:val="35D74B01"/>
    <w:rsid w:val="35D7713F"/>
    <w:rsid w:val="35DE7D00"/>
    <w:rsid w:val="35E0631F"/>
    <w:rsid w:val="35F37046"/>
    <w:rsid w:val="35F569DF"/>
    <w:rsid w:val="36074A7F"/>
    <w:rsid w:val="3637733A"/>
    <w:rsid w:val="36383AD0"/>
    <w:rsid w:val="3643781B"/>
    <w:rsid w:val="365C3AFA"/>
    <w:rsid w:val="36663550"/>
    <w:rsid w:val="366D00B4"/>
    <w:rsid w:val="36714388"/>
    <w:rsid w:val="367222F9"/>
    <w:rsid w:val="368C61B0"/>
    <w:rsid w:val="36923549"/>
    <w:rsid w:val="36940077"/>
    <w:rsid w:val="36992D93"/>
    <w:rsid w:val="369A255E"/>
    <w:rsid w:val="369A7953"/>
    <w:rsid w:val="369F3CD4"/>
    <w:rsid w:val="36B3674F"/>
    <w:rsid w:val="36B75FBF"/>
    <w:rsid w:val="36BD0C45"/>
    <w:rsid w:val="36C432BD"/>
    <w:rsid w:val="36C8268B"/>
    <w:rsid w:val="36D402E7"/>
    <w:rsid w:val="36DF7544"/>
    <w:rsid w:val="36F34D9D"/>
    <w:rsid w:val="36FB00F6"/>
    <w:rsid w:val="3700570C"/>
    <w:rsid w:val="37021484"/>
    <w:rsid w:val="37054AD1"/>
    <w:rsid w:val="370933FE"/>
    <w:rsid w:val="37096DA9"/>
    <w:rsid w:val="3715597C"/>
    <w:rsid w:val="371B152F"/>
    <w:rsid w:val="37221BAC"/>
    <w:rsid w:val="372431A9"/>
    <w:rsid w:val="37333025"/>
    <w:rsid w:val="37337890"/>
    <w:rsid w:val="37354910"/>
    <w:rsid w:val="37371B9F"/>
    <w:rsid w:val="373C0FA3"/>
    <w:rsid w:val="37490888"/>
    <w:rsid w:val="37517D16"/>
    <w:rsid w:val="375622BD"/>
    <w:rsid w:val="375B3FD0"/>
    <w:rsid w:val="375D2B5F"/>
    <w:rsid w:val="375D41E8"/>
    <w:rsid w:val="37604154"/>
    <w:rsid w:val="376448D2"/>
    <w:rsid w:val="376D7696"/>
    <w:rsid w:val="37866434"/>
    <w:rsid w:val="37AB1B1C"/>
    <w:rsid w:val="37BA1119"/>
    <w:rsid w:val="37DA7D0B"/>
    <w:rsid w:val="37E00298"/>
    <w:rsid w:val="37E24438"/>
    <w:rsid w:val="37EC1976"/>
    <w:rsid w:val="37F14C7A"/>
    <w:rsid w:val="380134EA"/>
    <w:rsid w:val="38021D36"/>
    <w:rsid w:val="38025370"/>
    <w:rsid w:val="38062B18"/>
    <w:rsid w:val="380770C4"/>
    <w:rsid w:val="38086B94"/>
    <w:rsid w:val="38126834"/>
    <w:rsid w:val="381505DE"/>
    <w:rsid w:val="38193D74"/>
    <w:rsid w:val="381D2D7B"/>
    <w:rsid w:val="382C5ECC"/>
    <w:rsid w:val="38342060"/>
    <w:rsid w:val="38355C5E"/>
    <w:rsid w:val="383B75DA"/>
    <w:rsid w:val="383C116C"/>
    <w:rsid w:val="38464FAA"/>
    <w:rsid w:val="38483193"/>
    <w:rsid w:val="385E319C"/>
    <w:rsid w:val="386046B4"/>
    <w:rsid w:val="386E4E5E"/>
    <w:rsid w:val="387827D6"/>
    <w:rsid w:val="38784E14"/>
    <w:rsid w:val="387B005A"/>
    <w:rsid w:val="388114A1"/>
    <w:rsid w:val="38866337"/>
    <w:rsid w:val="38960718"/>
    <w:rsid w:val="38B302F9"/>
    <w:rsid w:val="38C075B5"/>
    <w:rsid w:val="38C2463D"/>
    <w:rsid w:val="38D26C34"/>
    <w:rsid w:val="38DC21F0"/>
    <w:rsid w:val="38E2331B"/>
    <w:rsid w:val="38E66874"/>
    <w:rsid w:val="38F12CD3"/>
    <w:rsid w:val="38F43579"/>
    <w:rsid w:val="38F94775"/>
    <w:rsid w:val="38FA5D11"/>
    <w:rsid w:val="38FE7EC1"/>
    <w:rsid w:val="38FF6F23"/>
    <w:rsid w:val="392971ED"/>
    <w:rsid w:val="392A3108"/>
    <w:rsid w:val="39325651"/>
    <w:rsid w:val="393C0411"/>
    <w:rsid w:val="39565A73"/>
    <w:rsid w:val="39577CB8"/>
    <w:rsid w:val="396F64EF"/>
    <w:rsid w:val="397167E6"/>
    <w:rsid w:val="397318FE"/>
    <w:rsid w:val="397D133E"/>
    <w:rsid w:val="397E2D4B"/>
    <w:rsid w:val="398D772B"/>
    <w:rsid w:val="39900FC9"/>
    <w:rsid w:val="39A769F2"/>
    <w:rsid w:val="39AE3AD5"/>
    <w:rsid w:val="39B37BFF"/>
    <w:rsid w:val="39C60C68"/>
    <w:rsid w:val="39C83B1B"/>
    <w:rsid w:val="39DB1B52"/>
    <w:rsid w:val="39DF5AAD"/>
    <w:rsid w:val="39FA4695"/>
    <w:rsid w:val="3A10210A"/>
    <w:rsid w:val="3A12378C"/>
    <w:rsid w:val="3A134F3F"/>
    <w:rsid w:val="3A1E0635"/>
    <w:rsid w:val="3A216154"/>
    <w:rsid w:val="3A231E3E"/>
    <w:rsid w:val="3A317165"/>
    <w:rsid w:val="3A372A8F"/>
    <w:rsid w:val="3A3F1290"/>
    <w:rsid w:val="3A4079BA"/>
    <w:rsid w:val="3A42735F"/>
    <w:rsid w:val="3A5059B7"/>
    <w:rsid w:val="3A622AD5"/>
    <w:rsid w:val="3A652265"/>
    <w:rsid w:val="3A670A6C"/>
    <w:rsid w:val="3A726921"/>
    <w:rsid w:val="3A797CAF"/>
    <w:rsid w:val="3A872856"/>
    <w:rsid w:val="3A8A443D"/>
    <w:rsid w:val="3A8D375B"/>
    <w:rsid w:val="3A9832FF"/>
    <w:rsid w:val="3A987003"/>
    <w:rsid w:val="3AA14FA4"/>
    <w:rsid w:val="3AA766CB"/>
    <w:rsid w:val="3AB67EA6"/>
    <w:rsid w:val="3AC27952"/>
    <w:rsid w:val="3AC34045"/>
    <w:rsid w:val="3ACA4067"/>
    <w:rsid w:val="3AE065F4"/>
    <w:rsid w:val="3AE64DDB"/>
    <w:rsid w:val="3AE9743C"/>
    <w:rsid w:val="3AF477E4"/>
    <w:rsid w:val="3AFF103C"/>
    <w:rsid w:val="3B101BBE"/>
    <w:rsid w:val="3B18141E"/>
    <w:rsid w:val="3B1852D8"/>
    <w:rsid w:val="3B22245F"/>
    <w:rsid w:val="3B30144A"/>
    <w:rsid w:val="3B3763D1"/>
    <w:rsid w:val="3B44206B"/>
    <w:rsid w:val="3B523786"/>
    <w:rsid w:val="3B585C68"/>
    <w:rsid w:val="3B5B4D0C"/>
    <w:rsid w:val="3B5B73B5"/>
    <w:rsid w:val="3B62267D"/>
    <w:rsid w:val="3B6F07FD"/>
    <w:rsid w:val="3B707990"/>
    <w:rsid w:val="3B752DF9"/>
    <w:rsid w:val="3B7C7B91"/>
    <w:rsid w:val="3B89767A"/>
    <w:rsid w:val="3B8C4160"/>
    <w:rsid w:val="3B931565"/>
    <w:rsid w:val="3B934DA1"/>
    <w:rsid w:val="3BA47F47"/>
    <w:rsid w:val="3BA64AD4"/>
    <w:rsid w:val="3BA774DA"/>
    <w:rsid w:val="3BB01F7D"/>
    <w:rsid w:val="3BB43175"/>
    <w:rsid w:val="3BB52F3F"/>
    <w:rsid w:val="3BB74DB5"/>
    <w:rsid w:val="3BBB51E8"/>
    <w:rsid w:val="3BD04307"/>
    <w:rsid w:val="3BD163D2"/>
    <w:rsid w:val="3BEC2ECF"/>
    <w:rsid w:val="3BF11B56"/>
    <w:rsid w:val="3BFE3E01"/>
    <w:rsid w:val="3C065573"/>
    <w:rsid w:val="3C08753D"/>
    <w:rsid w:val="3C0A0285"/>
    <w:rsid w:val="3C0B4937"/>
    <w:rsid w:val="3C112218"/>
    <w:rsid w:val="3C134CB3"/>
    <w:rsid w:val="3C177D2D"/>
    <w:rsid w:val="3C205D00"/>
    <w:rsid w:val="3C2261D1"/>
    <w:rsid w:val="3C2F6E1E"/>
    <w:rsid w:val="3C355AF0"/>
    <w:rsid w:val="3C48380C"/>
    <w:rsid w:val="3C4F64BA"/>
    <w:rsid w:val="3C5240D9"/>
    <w:rsid w:val="3C5F1BB5"/>
    <w:rsid w:val="3C612F90"/>
    <w:rsid w:val="3C6F162B"/>
    <w:rsid w:val="3C7015CB"/>
    <w:rsid w:val="3C70339D"/>
    <w:rsid w:val="3C767331"/>
    <w:rsid w:val="3C9303AB"/>
    <w:rsid w:val="3C994D44"/>
    <w:rsid w:val="3CAE5095"/>
    <w:rsid w:val="3CB63385"/>
    <w:rsid w:val="3CB63EAE"/>
    <w:rsid w:val="3CB76450"/>
    <w:rsid w:val="3CBF57BA"/>
    <w:rsid w:val="3CCF005B"/>
    <w:rsid w:val="3CD218F9"/>
    <w:rsid w:val="3CD264BC"/>
    <w:rsid w:val="3CD26A69"/>
    <w:rsid w:val="3CD31364"/>
    <w:rsid w:val="3CD843F5"/>
    <w:rsid w:val="3CDA04E9"/>
    <w:rsid w:val="3CDA245A"/>
    <w:rsid w:val="3CDB0CF0"/>
    <w:rsid w:val="3CE21111"/>
    <w:rsid w:val="3CF655E7"/>
    <w:rsid w:val="3CFB5B44"/>
    <w:rsid w:val="3D1808FC"/>
    <w:rsid w:val="3D1E06B7"/>
    <w:rsid w:val="3D3A1520"/>
    <w:rsid w:val="3D3C3731"/>
    <w:rsid w:val="3D3D3216"/>
    <w:rsid w:val="3D4775ED"/>
    <w:rsid w:val="3D4B074D"/>
    <w:rsid w:val="3D4D6987"/>
    <w:rsid w:val="3D5043CA"/>
    <w:rsid w:val="3D545329"/>
    <w:rsid w:val="3D65276D"/>
    <w:rsid w:val="3D667416"/>
    <w:rsid w:val="3D6B695F"/>
    <w:rsid w:val="3D842BF3"/>
    <w:rsid w:val="3D860DB8"/>
    <w:rsid w:val="3D8F42DD"/>
    <w:rsid w:val="3D923C56"/>
    <w:rsid w:val="3D954E00"/>
    <w:rsid w:val="3D956BAE"/>
    <w:rsid w:val="3D9F1C31"/>
    <w:rsid w:val="3DBB53C2"/>
    <w:rsid w:val="3DC13A3E"/>
    <w:rsid w:val="3DCC4D79"/>
    <w:rsid w:val="3DD6759D"/>
    <w:rsid w:val="3DDD6FC1"/>
    <w:rsid w:val="3DE037F4"/>
    <w:rsid w:val="3E0916D7"/>
    <w:rsid w:val="3E1D4CB6"/>
    <w:rsid w:val="3E1D6B18"/>
    <w:rsid w:val="3E26781F"/>
    <w:rsid w:val="3E2C6A03"/>
    <w:rsid w:val="3E2C7884"/>
    <w:rsid w:val="3E321F13"/>
    <w:rsid w:val="3E3501DB"/>
    <w:rsid w:val="3E3768A7"/>
    <w:rsid w:val="3E38389C"/>
    <w:rsid w:val="3E3C4BA5"/>
    <w:rsid w:val="3E3F6416"/>
    <w:rsid w:val="3E4405D4"/>
    <w:rsid w:val="3E6A273D"/>
    <w:rsid w:val="3E6A424E"/>
    <w:rsid w:val="3E6F5651"/>
    <w:rsid w:val="3E772758"/>
    <w:rsid w:val="3E781495"/>
    <w:rsid w:val="3E7F160D"/>
    <w:rsid w:val="3E8B1D5F"/>
    <w:rsid w:val="3E907140"/>
    <w:rsid w:val="3E985AB9"/>
    <w:rsid w:val="3EAD617A"/>
    <w:rsid w:val="3EBB5A00"/>
    <w:rsid w:val="3EC3693C"/>
    <w:rsid w:val="3EC44E96"/>
    <w:rsid w:val="3ED061BF"/>
    <w:rsid w:val="3ED64F39"/>
    <w:rsid w:val="3ED800CA"/>
    <w:rsid w:val="3EDA0523"/>
    <w:rsid w:val="3EE000F5"/>
    <w:rsid w:val="3EEB6EB0"/>
    <w:rsid w:val="3EF10DD0"/>
    <w:rsid w:val="3F0A6FBE"/>
    <w:rsid w:val="3F130EBC"/>
    <w:rsid w:val="3F13306E"/>
    <w:rsid w:val="3F151D62"/>
    <w:rsid w:val="3F180415"/>
    <w:rsid w:val="3F1B1335"/>
    <w:rsid w:val="3F1C0A93"/>
    <w:rsid w:val="3F2410E0"/>
    <w:rsid w:val="3F2A0F5B"/>
    <w:rsid w:val="3F2D11B2"/>
    <w:rsid w:val="3F32667F"/>
    <w:rsid w:val="3F484939"/>
    <w:rsid w:val="3F4978CC"/>
    <w:rsid w:val="3F4A00E7"/>
    <w:rsid w:val="3F591E5E"/>
    <w:rsid w:val="3F5F2621"/>
    <w:rsid w:val="3F615180"/>
    <w:rsid w:val="3F6237FC"/>
    <w:rsid w:val="3F656A54"/>
    <w:rsid w:val="3F6E3B5B"/>
    <w:rsid w:val="3F773C09"/>
    <w:rsid w:val="3F785539"/>
    <w:rsid w:val="3F8166AC"/>
    <w:rsid w:val="3F8607BB"/>
    <w:rsid w:val="3F8B3484"/>
    <w:rsid w:val="3F9C69F7"/>
    <w:rsid w:val="3FAC75C1"/>
    <w:rsid w:val="3FB1507C"/>
    <w:rsid w:val="3FB51AB4"/>
    <w:rsid w:val="3FBC5955"/>
    <w:rsid w:val="3FC33DB7"/>
    <w:rsid w:val="3FC51C6A"/>
    <w:rsid w:val="3FCE3CEB"/>
    <w:rsid w:val="3FD208B6"/>
    <w:rsid w:val="3FD63EFC"/>
    <w:rsid w:val="3FDA4D4C"/>
    <w:rsid w:val="3FE13306"/>
    <w:rsid w:val="3FEE395F"/>
    <w:rsid w:val="3FEF3341"/>
    <w:rsid w:val="3FF26C3A"/>
    <w:rsid w:val="3FF26C9D"/>
    <w:rsid w:val="3FF610AB"/>
    <w:rsid w:val="3FF968FB"/>
    <w:rsid w:val="3FFB58E6"/>
    <w:rsid w:val="40011D65"/>
    <w:rsid w:val="400129BE"/>
    <w:rsid w:val="40210BCD"/>
    <w:rsid w:val="402220CB"/>
    <w:rsid w:val="402715B4"/>
    <w:rsid w:val="40282E57"/>
    <w:rsid w:val="402F74FD"/>
    <w:rsid w:val="40472AE2"/>
    <w:rsid w:val="404B6D01"/>
    <w:rsid w:val="405E272A"/>
    <w:rsid w:val="4068375B"/>
    <w:rsid w:val="406C796F"/>
    <w:rsid w:val="406D3EFA"/>
    <w:rsid w:val="407A6407"/>
    <w:rsid w:val="407C4263"/>
    <w:rsid w:val="4081166C"/>
    <w:rsid w:val="40814152"/>
    <w:rsid w:val="40943E61"/>
    <w:rsid w:val="40956EC5"/>
    <w:rsid w:val="409A0A3D"/>
    <w:rsid w:val="40A46492"/>
    <w:rsid w:val="40A613A7"/>
    <w:rsid w:val="40A62FAE"/>
    <w:rsid w:val="40B1005D"/>
    <w:rsid w:val="40BA7884"/>
    <w:rsid w:val="40CB087C"/>
    <w:rsid w:val="40CD4784"/>
    <w:rsid w:val="40DA0D7C"/>
    <w:rsid w:val="40E5109C"/>
    <w:rsid w:val="40E93E3F"/>
    <w:rsid w:val="40EB11DB"/>
    <w:rsid w:val="40FF039C"/>
    <w:rsid w:val="4104427B"/>
    <w:rsid w:val="41114BBA"/>
    <w:rsid w:val="4117091A"/>
    <w:rsid w:val="41175582"/>
    <w:rsid w:val="411E7452"/>
    <w:rsid w:val="41222EAF"/>
    <w:rsid w:val="41247C25"/>
    <w:rsid w:val="412E33F1"/>
    <w:rsid w:val="414C6342"/>
    <w:rsid w:val="414F3518"/>
    <w:rsid w:val="41504B07"/>
    <w:rsid w:val="41564B68"/>
    <w:rsid w:val="41597EF3"/>
    <w:rsid w:val="415C527B"/>
    <w:rsid w:val="41672795"/>
    <w:rsid w:val="418238EE"/>
    <w:rsid w:val="41857D43"/>
    <w:rsid w:val="41867134"/>
    <w:rsid w:val="418C7366"/>
    <w:rsid w:val="418E1832"/>
    <w:rsid w:val="41953EBB"/>
    <w:rsid w:val="419E1DAA"/>
    <w:rsid w:val="419F31E8"/>
    <w:rsid w:val="41A73354"/>
    <w:rsid w:val="41AB2D07"/>
    <w:rsid w:val="41AC736C"/>
    <w:rsid w:val="41CD3D71"/>
    <w:rsid w:val="41CE19DD"/>
    <w:rsid w:val="41D02A92"/>
    <w:rsid w:val="41D269DF"/>
    <w:rsid w:val="41D42B98"/>
    <w:rsid w:val="41D76B43"/>
    <w:rsid w:val="41E36897"/>
    <w:rsid w:val="41E4752D"/>
    <w:rsid w:val="41EF6C19"/>
    <w:rsid w:val="41F8770C"/>
    <w:rsid w:val="41FC00B9"/>
    <w:rsid w:val="41FC7C91"/>
    <w:rsid w:val="4200449D"/>
    <w:rsid w:val="42024357"/>
    <w:rsid w:val="42024A2E"/>
    <w:rsid w:val="420A4685"/>
    <w:rsid w:val="420E0051"/>
    <w:rsid w:val="42234B4E"/>
    <w:rsid w:val="422E77D5"/>
    <w:rsid w:val="422F45CC"/>
    <w:rsid w:val="42354BF3"/>
    <w:rsid w:val="423A3BCC"/>
    <w:rsid w:val="42490F91"/>
    <w:rsid w:val="424E37D0"/>
    <w:rsid w:val="424E557E"/>
    <w:rsid w:val="424E57D2"/>
    <w:rsid w:val="425759C4"/>
    <w:rsid w:val="425A706F"/>
    <w:rsid w:val="425C6E99"/>
    <w:rsid w:val="4260469A"/>
    <w:rsid w:val="42674D95"/>
    <w:rsid w:val="42715F65"/>
    <w:rsid w:val="427878F1"/>
    <w:rsid w:val="42822321"/>
    <w:rsid w:val="42857B53"/>
    <w:rsid w:val="4290424B"/>
    <w:rsid w:val="4293026C"/>
    <w:rsid w:val="42B26C49"/>
    <w:rsid w:val="42B977DD"/>
    <w:rsid w:val="42CC3D1A"/>
    <w:rsid w:val="42CD0B98"/>
    <w:rsid w:val="42E163F2"/>
    <w:rsid w:val="42E77A79"/>
    <w:rsid w:val="42ED415A"/>
    <w:rsid w:val="42ED4D97"/>
    <w:rsid w:val="42EE2F09"/>
    <w:rsid w:val="43046D0D"/>
    <w:rsid w:val="430923C3"/>
    <w:rsid w:val="430A74A2"/>
    <w:rsid w:val="430B346F"/>
    <w:rsid w:val="4312068C"/>
    <w:rsid w:val="43122A4F"/>
    <w:rsid w:val="431F63BB"/>
    <w:rsid w:val="433A6FE6"/>
    <w:rsid w:val="433E45A3"/>
    <w:rsid w:val="43432C09"/>
    <w:rsid w:val="43480868"/>
    <w:rsid w:val="434D79EC"/>
    <w:rsid w:val="434D7F2B"/>
    <w:rsid w:val="43503578"/>
    <w:rsid w:val="4350713C"/>
    <w:rsid w:val="43600DFA"/>
    <w:rsid w:val="436123F5"/>
    <w:rsid w:val="4366367B"/>
    <w:rsid w:val="436653E0"/>
    <w:rsid w:val="43681D2F"/>
    <w:rsid w:val="43735FDB"/>
    <w:rsid w:val="437764B0"/>
    <w:rsid w:val="437B7FBD"/>
    <w:rsid w:val="437F6279"/>
    <w:rsid w:val="43851473"/>
    <w:rsid w:val="438F31CE"/>
    <w:rsid w:val="43931322"/>
    <w:rsid w:val="439527E1"/>
    <w:rsid w:val="439F19F9"/>
    <w:rsid w:val="43A770D2"/>
    <w:rsid w:val="43A973DA"/>
    <w:rsid w:val="43AE71DC"/>
    <w:rsid w:val="43B03F7E"/>
    <w:rsid w:val="43B761DA"/>
    <w:rsid w:val="43C4431A"/>
    <w:rsid w:val="43C755E8"/>
    <w:rsid w:val="43CC05E0"/>
    <w:rsid w:val="43D83C99"/>
    <w:rsid w:val="43EC0865"/>
    <w:rsid w:val="43F21163"/>
    <w:rsid w:val="43FD54AD"/>
    <w:rsid w:val="44041A91"/>
    <w:rsid w:val="442074AF"/>
    <w:rsid w:val="44224F14"/>
    <w:rsid w:val="442531AC"/>
    <w:rsid w:val="44330ECF"/>
    <w:rsid w:val="443844D1"/>
    <w:rsid w:val="444F4C93"/>
    <w:rsid w:val="44586B88"/>
    <w:rsid w:val="44590CC6"/>
    <w:rsid w:val="445D06F0"/>
    <w:rsid w:val="44637CF5"/>
    <w:rsid w:val="44652B42"/>
    <w:rsid w:val="44817E8C"/>
    <w:rsid w:val="448E6E85"/>
    <w:rsid w:val="449636D2"/>
    <w:rsid w:val="44A50461"/>
    <w:rsid w:val="44B173E9"/>
    <w:rsid w:val="44B36F68"/>
    <w:rsid w:val="44B57CA9"/>
    <w:rsid w:val="44B951CC"/>
    <w:rsid w:val="44C1472D"/>
    <w:rsid w:val="44CD14E0"/>
    <w:rsid w:val="44D4294B"/>
    <w:rsid w:val="44E6547E"/>
    <w:rsid w:val="44E82DD0"/>
    <w:rsid w:val="44F20B0B"/>
    <w:rsid w:val="44FE14DD"/>
    <w:rsid w:val="45012D7B"/>
    <w:rsid w:val="45076D3E"/>
    <w:rsid w:val="45135F9D"/>
    <w:rsid w:val="45146220"/>
    <w:rsid w:val="452854FC"/>
    <w:rsid w:val="452B1BA6"/>
    <w:rsid w:val="452E5F4C"/>
    <w:rsid w:val="45320AE5"/>
    <w:rsid w:val="453D2184"/>
    <w:rsid w:val="453E201E"/>
    <w:rsid w:val="453E36AC"/>
    <w:rsid w:val="453E5D7D"/>
    <w:rsid w:val="4543393B"/>
    <w:rsid w:val="455C47D6"/>
    <w:rsid w:val="45612018"/>
    <w:rsid w:val="45692560"/>
    <w:rsid w:val="456F42B6"/>
    <w:rsid w:val="457C4EEB"/>
    <w:rsid w:val="457C7AD6"/>
    <w:rsid w:val="45840168"/>
    <w:rsid w:val="45847A09"/>
    <w:rsid w:val="458946E9"/>
    <w:rsid w:val="45984431"/>
    <w:rsid w:val="45A01123"/>
    <w:rsid w:val="45A47C0E"/>
    <w:rsid w:val="45B1654F"/>
    <w:rsid w:val="45C04D34"/>
    <w:rsid w:val="45C1745C"/>
    <w:rsid w:val="45C269AF"/>
    <w:rsid w:val="45C600D0"/>
    <w:rsid w:val="45E5247B"/>
    <w:rsid w:val="45EA7CB3"/>
    <w:rsid w:val="45EB6F4F"/>
    <w:rsid w:val="45EE6685"/>
    <w:rsid w:val="45F22CC7"/>
    <w:rsid w:val="45F47242"/>
    <w:rsid w:val="46023F2F"/>
    <w:rsid w:val="4605384E"/>
    <w:rsid w:val="460B2DF1"/>
    <w:rsid w:val="4616052D"/>
    <w:rsid w:val="46252A99"/>
    <w:rsid w:val="463C6BB0"/>
    <w:rsid w:val="46453624"/>
    <w:rsid w:val="464C70F8"/>
    <w:rsid w:val="46511A73"/>
    <w:rsid w:val="46546F3A"/>
    <w:rsid w:val="46577FD6"/>
    <w:rsid w:val="465869CB"/>
    <w:rsid w:val="465E7D9B"/>
    <w:rsid w:val="46647660"/>
    <w:rsid w:val="466C7855"/>
    <w:rsid w:val="4671748D"/>
    <w:rsid w:val="467237CD"/>
    <w:rsid w:val="46805F22"/>
    <w:rsid w:val="46AC4AE4"/>
    <w:rsid w:val="46B502C1"/>
    <w:rsid w:val="46B82B93"/>
    <w:rsid w:val="46CE4EDF"/>
    <w:rsid w:val="46D5357B"/>
    <w:rsid w:val="46D955A7"/>
    <w:rsid w:val="46E6047B"/>
    <w:rsid w:val="46E64C08"/>
    <w:rsid w:val="46EC39BD"/>
    <w:rsid w:val="46F8524C"/>
    <w:rsid w:val="47017063"/>
    <w:rsid w:val="470740F2"/>
    <w:rsid w:val="470B1E18"/>
    <w:rsid w:val="47133957"/>
    <w:rsid w:val="47142AC6"/>
    <w:rsid w:val="47163F4D"/>
    <w:rsid w:val="471843AC"/>
    <w:rsid w:val="472053B4"/>
    <w:rsid w:val="47207CED"/>
    <w:rsid w:val="4721104B"/>
    <w:rsid w:val="47253DC6"/>
    <w:rsid w:val="47256037"/>
    <w:rsid w:val="473C4B84"/>
    <w:rsid w:val="473F5DDD"/>
    <w:rsid w:val="474154AE"/>
    <w:rsid w:val="474D22A8"/>
    <w:rsid w:val="47505EDD"/>
    <w:rsid w:val="47542911"/>
    <w:rsid w:val="475A5843"/>
    <w:rsid w:val="476133F1"/>
    <w:rsid w:val="476475F1"/>
    <w:rsid w:val="47761D35"/>
    <w:rsid w:val="477A7EB5"/>
    <w:rsid w:val="4787717A"/>
    <w:rsid w:val="478C5987"/>
    <w:rsid w:val="479229E6"/>
    <w:rsid w:val="47936940"/>
    <w:rsid w:val="47986858"/>
    <w:rsid w:val="479A4A50"/>
    <w:rsid w:val="47A07E0C"/>
    <w:rsid w:val="47AA14A8"/>
    <w:rsid w:val="47B01C41"/>
    <w:rsid w:val="47B74AF5"/>
    <w:rsid w:val="47B75973"/>
    <w:rsid w:val="47CA1B4A"/>
    <w:rsid w:val="47CB11C4"/>
    <w:rsid w:val="47D45A30"/>
    <w:rsid w:val="47D97FDF"/>
    <w:rsid w:val="47DC26CA"/>
    <w:rsid w:val="47F57449"/>
    <w:rsid w:val="480713C8"/>
    <w:rsid w:val="480F10A6"/>
    <w:rsid w:val="4811658C"/>
    <w:rsid w:val="48142DC6"/>
    <w:rsid w:val="481A518F"/>
    <w:rsid w:val="481A6884"/>
    <w:rsid w:val="481B05F8"/>
    <w:rsid w:val="48234C0F"/>
    <w:rsid w:val="48236554"/>
    <w:rsid w:val="48310DA3"/>
    <w:rsid w:val="48403C0E"/>
    <w:rsid w:val="48436DDA"/>
    <w:rsid w:val="484641FC"/>
    <w:rsid w:val="48580735"/>
    <w:rsid w:val="485D089C"/>
    <w:rsid w:val="485E2CBC"/>
    <w:rsid w:val="48624A7E"/>
    <w:rsid w:val="486E4BDA"/>
    <w:rsid w:val="4870272E"/>
    <w:rsid w:val="487F2935"/>
    <w:rsid w:val="48827295"/>
    <w:rsid w:val="488337A2"/>
    <w:rsid w:val="488A77F8"/>
    <w:rsid w:val="488D7180"/>
    <w:rsid w:val="489A7CB5"/>
    <w:rsid w:val="48A27F13"/>
    <w:rsid w:val="48AB372A"/>
    <w:rsid w:val="48B45E65"/>
    <w:rsid w:val="48BE2C56"/>
    <w:rsid w:val="48C12365"/>
    <w:rsid w:val="48C94013"/>
    <w:rsid w:val="48CE566A"/>
    <w:rsid w:val="48D31440"/>
    <w:rsid w:val="48E20DDC"/>
    <w:rsid w:val="48E3642F"/>
    <w:rsid w:val="48EF1DD8"/>
    <w:rsid w:val="48F76DE7"/>
    <w:rsid w:val="48FD6F78"/>
    <w:rsid w:val="48FF75D2"/>
    <w:rsid w:val="49054BAB"/>
    <w:rsid w:val="49060561"/>
    <w:rsid w:val="49107A31"/>
    <w:rsid w:val="49125987"/>
    <w:rsid w:val="49181494"/>
    <w:rsid w:val="491B5E0C"/>
    <w:rsid w:val="492A3877"/>
    <w:rsid w:val="492B6DA5"/>
    <w:rsid w:val="4932231E"/>
    <w:rsid w:val="49325BF9"/>
    <w:rsid w:val="495A77A1"/>
    <w:rsid w:val="495C393B"/>
    <w:rsid w:val="49636C67"/>
    <w:rsid w:val="49643131"/>
    <w:rsid w:val="496925A4"/>
    <w:rsid w:val="496B2EB9"/>
    <w:rsid w:val="4970227E"/>
    <w:rsid w:val="49795019"/>
    <w:rsid w:val="498F38C3"/>
    <w:rsid w:val="499B42CB"/>
    <w:rsid w:val="499F0D8D"/>
    <w:rsid w:val="49AB2A4A"/>
    <w:rsid w:val="49C12BEF"/>
    <w:rsid w:val="49C204C4"/>
    <w:rsid w:val="49D46CB0"/>
    <w:rsid w:val="49D542DC"/>
    <w:rsid w:val="49D722FD"/>
    <w:rsid w:val="49DB003F"/>
    <w:rsid w:val="49DC7715"/>
    <w:rsid w:val="49DE18DD"/>
    <w:rsid w:val="49E23EAC"/>
    <w:rsid w:val="49EE06BB"/>
    <w:rsid w:val="4A021E4C"/>
    <w:rsid w:val="4A023139"/>
    <w:rsid w:val="4A042075"/>
    <w:rsid w:val="4A1277D9"/>
    <w:rsid w:val="4A1730DA"/>
    <w:rsid w:val="4A174B75"/>
    <w:rsid w:val="4A1E7312"/>
    <w:rsid w:val="4A280DAA"/>
    <w:rsid w:val="4A2E7C45"/>
    <w:rsid w:val="4A387D4B"/>
    <w:rsid w:val="4A3D7B12"/>
    <w:rsid w:val="4A433353"/>
    <w:rsid w:val="4A580E1C"/>
    <w:rsid w:val="4A5E32F3"/>
    <w:rsid w:val="4A675519"/>
    <w:rsid w:val="4A6A4E48"/>
    <w:rsid w:val="4A7B576F"/>
    <w:rsid w:val="4A7B7B50"/>
    <w:rsid w:val="4A810264"/>
    <w:rsid w:val="4A8D0C0F"/>
    <w:rsid w:val="4A9F744C"/>
    <w:rsid w:val="4AA62D94"/>
    <w:rsid w:val="4AAC66ED"/>
    <w:rsid w:val="4AB71446"/>
    <w:rsid w:val="4AB74FD9"/>
    <w:rsid w:val="4ABA28BC"/>
    <w:rsid w:val="4ABA50A3"/>
    <w:rsid w:val="4ABB70FA"/>
    <w:rsid w:val="4ADB4F09"/>
    <w:rsid w:val="4AE5697A"/>
    <w:rsid w:val="4AEE0891"/>
    <w:rsid w:val="4AF561A9"/>
    <w:rsid w:val="4AF65AC7"/>
    <w:rsid w:val="4AFA6A8C"/>
    <w:rsid w:val="4AFE06CB"/>
    <w:rsid w:val="4B0356A2"/>
    <w:rsid w:val="4B11162B"/>
    <w:rsid w:val="4B1732F9"/>
    <w:rsid w:val="4B1A68E2"/>
    <w:rsid w:val="4B1B26BD"/>
    <w:rsid w:val="4B1F5D09"/>
    <w:rsid w:val="4B460640"/>
    <w:rsid w:val="4B4B4D50"/>
    <w:rsid w:val="4B53152C"/>
    <w:rsid w:val="4B5E5765"/>
    <w:rsid w:val="4B5E583B"/>
    <w:rsid w:val="4B682573"/>
    <w:rsid w:val="4B6C4CC7"/>
    <w:rsid w:val="4B760003"/>
    <w:rsid w:val="4B7C7600"/>
    <w:rsid w:val="4B7E52E7"/>
    <w:rsid w:val="4B8478BF"/>
    <w:rsid w:val="4B8A1D1C"/>
    <w:rsid w:val="4BA23DE9"/>
    <w:rsid w:val="4BC05513"/>
    <w:rsid w:val="4BC3315F"/>
    <w:rsid w:val="4BDC4DF4"/>
    <w:rsid w:val="4BE81BD9"/>
    <w:rsid w:val="4BF11A7C"/>
    <w:rsid w:val="4C0B05BD"/>
    <w:rsid w:val="4C0C3F5F"/>
    <w:rsid w:val="4C112C66"/>
    <w:rsid w:val="4C11636A"/>
    <w:rsid w:val="4C12586E"/>
    <w:rsid w:val="4C201085"/>
    <w:rsid w:val="4C207F8B"/>
    <w:rsid w:val="4C217485"/>
    <w:rsid w:val="4C2C779B"/>
    <w:rsid w:val="4C4023DB"/>
    <w:rsid w:val="4C483165"/>
    <w:rsid w:val="4C4A0649"/>
    <w:rsid w:val="4C515B54"/>
    <w:rsid w:val="4C5214D0"/>
    <w:rsid w:val="4C585CFC"/>
    <w:rsid w:val="4C5A2238"/>
    <w:rsid w:val="4C675BBA"/>
    <w:rsid w:val="4C6D0CF6"/>
    <w:rsid w:val="4C7764D9"/>
    <w:rsid w:val="4C7D5509"/>
    <w:rsid w:val="4C7E5ECA"/>
    <w:rsid w:val="4C876AA5"/>
    <w:rsid w:val="4C8A1D0C"/>
    <w:rsid w:val="4C8C6D83"/>
    <w:rsid w:val="4C8C7ABB"/>
    <w:rsid w:val="4C923B47"/>
    <w:rsid w:val="4C946762"/>
    <w:rsid w:val="4C973727"/>
    <w:rsid w:val="4C9A4AB5"/>
    <w:rsid w:val="4C9A69DF"/>
    <w:rsid w:val="4C9C3918"/>
    <w:rsid w:val="4CB610D7"/>
    <w:rsid w:val="4CB63D35"/>
    <w:rsid w:val="4CC172FC"/>
    <w:rsid w:val="4CC520C4"/>
    <w:rsid w:val="4CC60BEC"/>
    <w:rsid w:val="4CCC63A4"/>
    <w:rsid w:val="4CD313A2"/>
    <w:rsid w:val="4CDF23A3"/>
    <w:rsid w:val="4CE95498"/>
    <w:rsid w:val="4CF33A66"/>
    <w:rsid w:val="4CF5766A"/>
    <w:rsid w:val="4D004675"/>
    <w:rsid w:val="4D0E00FB"/>
    <w:rsid w:val="4D102146"/>
    <w:rsid w:val="4D1473C4"/>
    <w:rsid w:val="4D176606"/>
    <w:rsid w:val="4D193F02"/>
    <w:rsid w:val="4D196A18"/>
    <w:rsid w:val="4D241CFD"/>
    <w:rsid w:val="4D2845DA"/>
    <w:rsid w:val="4D2C0E58"/>
    <w:rsid w:val="4D2D6B40"/>
    <w:rsid w:val="4D327813"/>
    <w:rsid w:val="4D3436C0"/>
    <w:rsid w:val="4D346742"/>
    <w:rsid w:val="4D354F96"/>
    <w:rsid w:val="4D440BF3"/>
    <w:rsid w:val="4D5D0CE7"/>
    <w:rsid w:val="4D5F4561"/>
    <w:rsid w:val="4D622825"/>
    <w:rsid w:val="4D682F38"/>
    <w:rsid w:val="4D8D3010"/>
    <w:rsid w:val="4D9120E7"/>
    <w:rsid w:val="4DAD0258"/>
    <w:rsid w:val="4DB500F8"/>
    <w:rsid w:val="4DCC2F75"/>
    <w:rsid w:val="4DD03C33"/>
    <w:rsid w:val="4DDE2E32"/>
    <w:rsid w:val="4DE1199C"/>
    <w:rsid w:val="4DE575CF"/>
    <w:rsid w:val="4DEA1F48"/>
    <w:rsid w:val="4DEC108D"/>
    <w:rsid w:val="4DEC4FB0"/>
    <w:rsid w:val="4DF0398D"/>
    <w:rsid w:val="4DF711BF"/>
    <w:rsid w:val="4DF83089"/>
    <w:rsid w:val="4DFD7086"/>
    <w:rsid w:val="4E06228D"/>
    <w:rsid w:val="4E075D8A"/>
    <w:rsid w:val="4E1151E4"/>
    <w:rsid w:val="4E1618F6"/>
    <w:rsid w:val="4E265601"/>
    <w:rsid w:val="4E35275F"/>
    <w:rsid w:val="4E36077C"/>
    <w:rsid w:val="4E4019B5"/>
    <w:rsid w:val="4E497A27"/>
    <w:rsid w:val="4E4F2DA9"/>
    <w:rsid w:val="4E52408A"/>
    <w:rsid w:val="4E5309B0"/>
    <w:rsid w:val="4E55516A"/>
    <w:rsid w:val="4E5B4F82"/>
    <w:rsid w:val="4E635994"/>
    <w:rsid w:val="4E6A615B"/>
    <w:rsid w:val="4E7A28ED"/>
    <w:rsid w:val="4E7F5E3D"/>
    <w:rsid w:val="4E910D5D"/>
    <w:rsid w:val="4E9133C2"/>
    <w:rsid w:val="4E920463"/>
    <w:rsid w:val="4E962786"/>
    <w:rsid w:val="4E9C7470"/>
    <w:rsid w:val="4EA60109"/>
    <w:rsid w:val="4EB032D6"/>
    <w:rsid w:val="4EB04235"/>
    <w:rsid w:val="4EBA4486"/>
    <w:rsid w:val="4EBB73DC"/>
    <w:rsid w:val="4EBF7C2F"/>
    <w:rsid w:val="4EC00FAD"/>
    <w:rsid w:val="4EC96D0A"/>
    <w:rsid w:val="4ED82808"/>
    <w:rsid w:val="4EDC0C03"/>
    <w:rsid w:val="4EDC3121"/>
    <w:rsid w:val="4EDD20B9"/>
    <w:rsid w:val="4EDF237F"/>
    <w:rsid w:val="4EE56483"/>
    <w:rsid w:val="4EF30BE0"/>
    <w:rsid w:val="4EF33964"/>
    <w:rsid w:val="4EF66A17"/>
    <w:rsid w:val="4EFD0833"/>
    <w:rsid w:val="4F041BE5"/>
    <w:rsid w:val="4F1E311C"/>
    <w:rsid w:val="4F2320A5"/>
    <w:rsid w:val="4F3F3485"/>
    <w:rsid w:val="4F4109AD"/>
    <w:rsid w:val="4F457FB9"/>
    <w:rsid w:val="4F4D05CD"/>
    <w:rsid w:val="4F53245E"/>
    <w:rsid w:val="4F553D3D"/>
    <w:rsid w:val="4F560168"/>
    <w:rsid w:val="4F57658E"/>
    <w:rsid w:val="4F674123"/>
    <w:rsid w:val="4F6939F7"/>
    <w:rsid w:val="4F893F63"/>
    <w:rsid w:val="4F9843DC"/>
    <w:rsid w:val="4FA02D52"/>
    <w:rsid w:val="4FA03191"/>
    <w:rsid w:val="4FA74254"/>
    <w:rsid w:val="4FB01626"/>
    <w:rsid w:val="4FB437DA"/>
    <w:rsid w:val="4FBA6948"/>
    <w:rsid w:val="4FBD38BF"/>
    <w:rsid w:val="4FC370CD"/>
    <w:rsid w:val="4FC62A8C"/>
    <w:rsid w:val="4FC9093A"/>
    <w:rsid w:val="4FCA3333"/>
    <w:rsid w:val="4FD35C00"/>
    <w:rsid w:val="4FD67431"/>
    <w:rsid w:val="4FDC066D"/>
    <w:rsid w:val="4FE20F0D"/>
    <w:rsid w:val="4FE237A9"/>
    <w:rsid w:val="4FE51552"/>
    <w:rsid w:val="4FEC4864"/>
    <w:rsid w:val="4FF7373F"/>
    <w:rsid w:val="4FFA195A"/>
    <w:rsid w:val="4FFF2A60"/>
    <w:rsid w:val="50035372"/>
    <w:rsid w:val="500707B6"/>
    <w:rsid w:val="50103692"/>
    <w:rsid w:val="5012408F"/>
    <w:rsid w:val="501E70B5"/>
    <w:rsid w:val="5028071B"/>
    <w:rsid w:val="503106F6"/>
    <w:rsid w:val="504C75E6"/>
    <w:rsid w:val="50504C4B"/>
    <w:rsid w:val="505446A7"/>
    <w:rsid w:val="50765CFB"/>
    <w:rsid w:val="507A3706"/>
    <w:rsid w:val="507B147D"/>
    <w:rsid w:val="5082112D"/>
    <w:rsid w:val="509C6E7C"/>
    <w:rsid w:val="50A2369A"/>
    <w:rsid w:val="50A52467"/>
    <w:rsid w:val="50AA2519"/>
    <w:rsid w:val="50B25C49"/>
    <w:rsid w:val="50BC5DEA"/>
    <w:rsid w:val="50DE73A5"/>
    <w:rsid w:val="50FB0FC7"/>
    <w:rsid w:val="5100482F"/>
    <w:rsid w:val="510F43FB"/>
    <w:rsid w:val="51113082"/>
    <w:rsid w:val="51117742"/>
    <w:rsid w:val="5117212E"/>
    <w:rsid w:val="511D2CEB"/>
    <w:rsid w:val="51290141"/>
    <w:rsid w:val="513A1AEF"/>
    <w:rsid w:val="51445646"/>
    <w:rsid w:val="514B2273"/>
    <w:rsid w:val="51510BE7"/>
    <w:rsid w:val="51512495"/>
    <w:rsid w:val="5153495F"/>
    <w:rsid w:val="5162104E"/>
    <w:rsid w:val="51654AD5"/>
    <w:rsid w:val="51761C98"/>
    <w:rsid w:val="51762E32"/>
    <w:rsid w:val="517A1818"/>
    <w:rsid w:val="517E287B"/>
    <w:rsid w:val="518145F6"/>
    <w:rsid w:val="51850685"/>
    <w:rsid w:val="518F604F"/>
    <w:rsid w:val="519B5F43"/>
    <w:rsid w:val="51A3617F"/>
    <w:rsid w:val="51AF1095"/>
    <w:rsid w:val="51AF7748"/>
    <w:rsid w:val="51BB0E99"/>
    <w:rsid w:val="51C65153"/>
    <w:rsid w:val="51CA234B"/>
    <w:rsid w:val="51D60AE5"/>
    <w:rsid w:val="51E14D3C"/>
    <w:rsid w:val="51ED4DB3"/>
    <w:rsid w:val="51EE696A"/>
    <w:rsid w:val="51F020DE"/>
    <w:rsid w:val="51F43319"/>
    <w:rsid w:val="51F67CE9"/>
    <w:rsid w:val="52065E75"/>
    <w:rsid w:val="52140D07"/>
    <w:rsid w:val="52207417"/>
    <w:rsid w:val="52207C02"/>
    <w:rsid w:val="52222ABF"/>
    <w:rsid w:val="52283F5A"/>
    <w:rsid w:val="523005C3"/>
    <w:rsid w:val="52416EAD"/>
    <w:rsid w:val="524F67DB"/>
    <w:rsid w:val="52560243"/>
    <w:rsid w:val="525E3FDA"/>
    <w:rsid w:val="526544AC"/>
    <w:rsid w:val="526B54EB"/>
    <w:rsid w:val="527168E3"/>
    <w:rsid w:val="52762476"/>
    <w:rsid w:val="528A0994"/>
    <w:rsid w:val="52923265"/>
    <w:rsid w:val="52994D0A"/>
    <w:rsid w:val="529B1859"/>
    <w:rsid w:val="529E42FF"/>
    <w:rsid w:val="52B62DE6"/>
    <w:rsid w:val="52BC408E"/>
    <w:rsid w:val="52BF72D2"/>
    <w:rsid w:val="52C23871"/>
    <w:rsid w:val="52CF32C5"/>
    <w:rsid w:val="52D82DEA"/>
    <w:rsid w:val="52DD457F"/>
    <w:rsid w:val="52E02222"/>
    <w:rsid w:val="52E35127"/>
    <w:rsid w:val="52E73A8B"/>
    <w:rsid w:val="52EF7032"/>
    <w:rsid w:val="52F32165"/>
    <w:rsid w:val="5301054C"/>
    <w:rsid w:val="53041C6F"/>
    <w:rsid w:val="53081EBC"/>
    <w:rsid w:val="531F704D"/>
    <w:rsid w:val="532D11DF"/>
    <w:rsid w:val="53381C8C"/>
    <w:rsid w:val="533D6839"/>
    <w:rsid w:val="53484085"/>
    <w:rsid w:val="534B1422"/>
    <w:rsid w:val="534E4F1B"/>
    <w:rsid w:val="535D2482"/>
    <w:rsid w:val="53740BBC"/>
    <w:rsid w:val="53773BBB"/>
    <w:rsid w:val="53774AA5"/>
    <w:rsid w:val="537A2677"/>
    <w:rsid w:val="53814E3E"/>
    <w:rsid w:val="53881C3B"/>
    <w:rsid w:val="53882435"/>
    <w:rsid w:val="538F42FD"/>
    <w:rsid w:val="53956971"/>
    <w:rsid w:val="53A039CC"/>
    <w:rsid w:val="53A1505A"/>
    <w:rsid w:val="53A31564"/>
    <w:rsid w:val="53A35923"/>
    <w:rsid w:val="53A757C4"/>
    <w:rsid w:val="53A82D63"/>
    <w:rsid w:val="53AA58E0"/>
    <w:rsid w:val="53B66150"/>
    <w:rsid w:val="53B85467"/>
    <w:rsid w:val="53C8092B"/>
    <w:rsid w:val="53CA40DC"/>
    <w:rsid w:val="53CB1FF6"/>
    <w:rsid w:val="53D2081D"/>
    <w:rsid w:val="53E43F94"/>
    <w:rsid w:val="53F57580"/>
    <w:rsid w:val="53FD0BDC"/>
    <w:rsid w:val="54036B90"/>
    <w:rsid w:val="54063E08"/>
    <w:rsid w:val="54091C4C"/>
    <w:rsid w:val="540E37DB"/>
    <w:rsid w:val="541833A2"/>
    <w:rsid w:val="543117F2"/>
    <w:rsid w:val="543437E8"/>
    <w:rsid w:val="543A5A8E"/>
    <w:rsid w:val="544302F6"/>
    <w:rsid w:val="544F3B03"/>
    <w:rsid w:val="54502F91"/>
    <w:rsid w:val="545F7F51"/>
    <w:rsid w:val="5463366B"/>
    <w:rsid w:val="5467093A"/>
    <w:rsid w:val="54707886"/>
    <w:rsid w:val="549635BC"/>
    <w:rsid w:val="54973DD2"/>
    <w:rsid w:val="54A45956"/>
    <w:rsid w:val="54AA0C49"/>
    <w:rsid w:val="54BE5B45"/>
    <w:rsid w:val="54BF5CAA"/>
    <w:rsid w:val="54C17B85"/>
    <w:rsid w:val="54E01871"/>
    <w:rsid w:val="54EC1A50"/>
    <w:rsid w:val="54ED6E78"/>
    <w:rsid w:val="54F73313"/>
    <w:rsid w:val="54F80955"/>
    <w:rsid w:val="54FB65AF"/>
    <w:rsid w:val="551268DF"/>
    <w:rsid w:val="551570E8"/>
    <w:rsid w:val="551C475E"/>
    <w:rsid w:val="55273FC7"/>
    <w:rsid w:val="552D54C7"/>
    <w:rsid w:val="552E5A45"/>
    <w:rsid w:val="5530425E"/>
    <w:rsid w:val="55391092"/>
    <w:rsid w:val="55483977"/>
    <w:rsid w:val="554B232F"/>
    <w:rsid w:val="554F3A18"/>
    <w:rsid w:val="555170A7"/>
    <w:rsid w:val="5560462E"/>
    <w:rsid w:val="556F3D31"/>
    <w:rsid w:val="557B298D"/>
    <w:rsid w:val="5587536D"/>
    <w:rsid w:val="558775FD"/>
    <w:rsid w:val="55967510"/>
    <w:rsid w:val="559B174B"/>
    <w:rsid w:val="55B53714"/>
    <w:rsid w:val="55B61960"/>
    <w:rsid w:val="55B64AB6"/>
    <w:rsid w:val="55C6589C"/>
    <w:rsid w:val="55CE0CF4"/>
    <w:rsid w:val="55D50038"/>
    <w:rsid w:val="55DD4AF1"/>
    <w:rsid w:val="55DF4A23"/>
    <w:rsid w:val="55EC58C8"/>
    <w:rsid w:val="55ED2CD9"/>
    <w:rsid w:val="55F542EB"/>
    <w:rsid w:val="5613647C"/>
    <w:rsid w:val="561F2928"/>
    <w:rsid w:val="562118B8"/>
    <w:rsid w:val="56215851"/>
    <w:rsid w:val="56293C49"/>
    <w:rsid w:val="56293EE0"/>
    <w:rsid w:val="562E7748"/>
    <w:rsid w:val="56397E29"/>
    <w:rsid w:val="563C00B7"/>
    <w:rsid w:val="56436DEA"/>
    <w:rsid w:val="564F3968"/>
    <w:rsid w:val="56625644"/>
    <w:rsid w:val="56883CEF"/>
    <w:rsid w:val="5689497F"/>
    <w:rsid w:val="56A877FD"/>
    <w:rsid w:val="56AC329E"/>
    <w:rsid w:val="56B22A9C"/>
    <w:rsid w:val="56B656D9"/>
    <w:rsid w:val="56BE1CE9"/>
    <w:rsid w:val="56C3050E"/>
    <w:rsid w:val="56CC7A38"/>
    <w:rsid w:val="56D04374"/>
    <w:rsid w:val="56D31A02"/>
    <w:rsid w:val="56DA40D1"/>
    <w:rsid w:val="56DA72EB"/>
    <w:rsid w:val="56DC7FCD"/>
    <w:rsid w:val="56E566F9"/>
    <w:rsid w:val="56F92C43"/>
    <w:rsid w:val="56FD1561"/>
    <w:rsid w:val="57085DC1"/>
    <w:rsid w:val="570F30D6"/>
    <w:rsid w:val="571878A7"/>
    <w:rsid w:val="57205C67"/>
    <w:rsid w:val="5721105B"/>
    <w:rsid w:val="5738105F"/>
    <w:rsid w:val="573C7C43"/>
    <w:rsid w:val="57471845"/>
    <w:rsid w:val="575A5650"/>
    <w:rsid w:val="576113C5"/>
    <w:rsid w:val="5765719A"/>
    <w:rsid w:val="577967BF"/>
    <w:rsid w:val="578F5C2B"/>
    <w:rsid w:val="57957137"/>
    <w:rsid w:val="579D6934"/>
    <w:rsid w:val="579F67DE"/>
    <w:rsid w:val="57AF0E5C"/>
    <w:rsid w:val="57B54A53"/>
    <w:rsid w:val="57B72A76"/>
    <w:rsid w:val="57B76F14"/>
    <w:rsid w:val="57BB0B00"/>
    <w:rsid w:val="57BD6FD6"/>
    <w:rsid w:val="57C3426C"/>
    <w:rsid w:val="57CE1F93"/>
    <w:rsid w:val="57D736D9"/>
    <w:rsid w:val="57DC3861"/>
    <w:rsid w:val="57E2517A"/>
    <w:rsid w:val="57E502DB"/>
    <w:rsid w:val="57E641BF"/>
    <w:rsid w:val="57FB365A"/>
    <w:rsid w:val="58093FC9"/>
    <w:rsid w:val="5812764E"/>
    <w:rsid w:val="58170993"/>
    <w:rsid w:val="581A5EF7"/>
    <w:rsid w:val="58252A13"/>
    <w:rsid w:val="58262DCD"/>
    <w:rsid w:val="584F1C4F"/>
    <w:rsid w:val="585719B1"/>
    <w:rsid w:val="58580AAD"/>
    <w:rsid w:val="586338A7"/>
    <w:rsid w:val="5866766D"/>
    <w:rsid w:val="588122D4"/>
    <w:rsid w:val="588743D1"/>
    <w:rsid w:val="5887701A"/>
    <w:rsid w:val="588A0224"/>
    <w:rsid w:val="588C0756"/>
    <w:rsid w:val="58976235"/>
    <w:rsid w:val="589F660C"/>
    <w:rsid w:val="58A10A06"/>
    <w:rsid w:val="58A2160E"/>
    <w:rsid w:val="58A3441E"/>
    <w:rsid w:val="58B82A6F"/>
    <w:rsid w:val="58C3761D"/>
    <w:rsid w:val="58CB127E"/>
    <w:rsid w:val="58F012BE"/>
    <w:rsid w:val="58F92290"/>
    <w:rsid w:val="59066C26"/>
    <w:rsid w:val="59125FCC"/>
    <w:rsid w:val="591846FB"/>
    <w:rsid w:val="593D6572"/>
    <w:rsid w:val="593E7BD9"/>
    <w:rsid w:val="593F06C1"/>
    <w:rsid w:val="59475B51"/>
    <w:rsid w:val="594B4ECD"/>
    <w:rsid w:val="594F45CB"/>
    <w:rsid w:val="595C3432"/>
    <w:rsid w:val="596679DC"/>
    <w:rsid w:val="5968344D"/>
    <w:rsid w:val="596E7DB9"/>
    <w:rsid w:val="59730DE0"/>
    <w:rsid w:val="597436C4"/>
    <w:rsid w:val="597933D0"/>
    <w:rsid w:val="598C05E9"/>
    <w:rsid w:val="59991BBB"/>
    <w:rsid w:val="59AF294E"/>
    <w:rsid w:val="59B60181"/>
    <w:rsid w:val="59BA0ECE"/>
    <w:rsid w:val="59C0439F"/>
    <w:rsid w:val="59CA3C2C"/>
    <w:rsid w:val="59CE5170"/>
    <w:rsid w:val="59DA0E45"/>
    <w:rsid w:val="59E547D6"/>
    <w:rsid w:val="59EB60DB"/>
    <w:rsid w:val="59EE7217"/>
    <w:rsid w:val="5A1020A8"/>
    <w:rsid w:val="5A121A9D"/>
    <w:rsid w:val="5A196034"/>
    <w:rsid w:val="5A1D4970"/>
    <w:rsid w:val="5A1F4B06"/>
    <w:rsid w:val="5A1F69E3"/>
    <w:rsid w:val="5A261E9C"/>
    <w:rsid w:val="5A2C0974"/>
    <w:rsid w:val="5A2D2A86"/>
    <w:rsid w:val="5A4C2C68"/>
    <w:rsid w:val="5A516E99"/>
    <w:rsid w:val="5A5E2EFD"/>
    <w:rsid w:val="5A5F4374"/>
    <w:rsid w:val="5A694041"/>
    <w:rsid w:val="5A700A12"/>
    <w:rsid w:val="5A736072"/>
    <w:rsid w:val="5A7533AE"/>
    <w:rsid w:val="5A805513"/>
    <w:rsid w:val="5A8710E3"/>
    <w:rsid w:val="5A8D3038"/>
    <w:rsid w:val="5A935193"/>
    <w:rsid w:val="5AA033AB"/>
    <w:rsid w:val="5AA208F6"/>
    <w:rsid w:val="5AA71877"/>
    <w:rsid w:val="5AAC0690"/>
    <w:rsid w:val="5AB346C0"/>
    <w:rsid w:val="5ABE2233"/>
    <w:rsid w:val="5AC5028E"/>
    <w:rsid w:val="5AC57806"/>
    <w:rsid w:val="5ADC2610"/>
    <w:rsid w:val="5AE96334"/>
    <w:rsid w:val="5AEC4B01"/>
    <w:rsid w:val="5AF078C5"/>
    <w:rsid w:val="5AF32A1E"/>
    <w:rsid w:val="5AFF4BBA"/>
    <w:rsid w:val="5B073D6C"/>
    <w:rsid w:val="5B0D4BD2"/>
    <w:rsid w:val="5B136654"/>
    <w:rsid w:val="5B157C01"/>
    <w:rsid w:val="5B1A015D"/>
    <w:rsid w:val="5B20765E"/>
    <w:rsid w:val="5B2F1F99"/>
    <w:rsid w:val="5B2F624B"/>
    <w:rsid w:val="5B4A25E8"/>
    <w:rsid w:val="5B4E422D"/>
    <w:rsid w:val="5B5E462C"/>
    <w:rsid w:val="5B6737C1"/>
    <w:rsid w:val="5B6F3FE4"/>
    <w:rsid w:val="5B774DD9"/>
    <w:rsid w:val="5B856587"/>
    <w:rsid w:val="5B876AF2"/>
    <w:rsid w:val="5B9E1E26"/>
    <w:rsid w:val="5BA2379D"/>
    <w:rsid w:val="5BAA534A"/>
    <w:rsid w:val="5BBA0D15"/>
    <w:rsid w:val="5BC07095"/>
    <w:rsid w:val="5BC257A5"/>
    <w:rsid w:val="5BC32E61"/>
    <w:rsid w:val="5BD40D92"/>
    <w:rsid w:val="5BD44E4C"/>
    <w:rsid w:val="5BDB3D9F"/>
    <w:rsid w:val="5BDD02C0"/>
    <w:rsid w:val="5BDF5D95"/>
    <w:rsid w:val="5BE865EB"/>
    <w:rsid w:val="5BEF2C47"/>
    <w:rsid w:val="5BF3746A"/>
    <w:rsid w:val="5BFE7528"/>
    <w:rsid w:val="5C0B727A"/>
    <w:rsid w:val="5C164A62"/>
    <w:rsid w:val="5C236392"/>
    <w:rsid w:val="5C2F156F"/>
    <w:rsid w:val="5C34538D"/>
    <w:rsid w:val="5C36109E"/>
    <w:rsid w:val="5C4904AF"/>
    <w:rsid w:val="5C533A65"/>
    <w:rsid w:val="5C581AE4"/>
    <w:rsid w:val="5C621EFA"/>
    <w:rsid w:val="5C757C47"/>
    <w:rsid w:val="5C7C3D94"/>
    <w:rsid w:val="5C7C4B35"/>
    <w:rsid w:val="5C7D31D8"/>
    <w:rsid w:val="5C7F0CFE"/>
    <w:rsid w:val="5C806824"/>
    <w:rsid w:val="5C95253E"/>
    <w:rsid w:val="5C990449"/>
    <w:rsid w:val="5C9A1694"/>
    <w:rsid w:val="5C9A5D6E"/>
    <w:rsid w:val="5CAE665E"/>
    <w:rsid w:val="5CC54B98"/>
    <w:rsid w:val="5CD571CF"/>
    <w:rsid w:val="5CDD5A24"/>
    <w:rsid w:val="5CDF79EE"/>
    <w:rsid w:val="5CE9694A"/>
    <w:rsid w:val="5CE97F95"/>
    <w:rsid w:val="5CFB501A"/>
    <w:rsid w:val="5D0127AD"/>
    <w:rsid w:val="5D0A4E6E"/>
    <w:rsid w:val="5D0B6F08"/>
    <w:rsid w:val="5D193BD8"/>
    <w:rsid w:val="5D1C02FB"/>
    <w:rsid w:val="5D2E01C6"/>
    <w:rsid w:val="5D3316E7"/>
    <w:rsid w:val="5D3407E6"/>
    <w:rsid w:val="5D3A16C4"/>
    <w:rsid w:val="5D427D31"/>
    <w:rsid w:val="5D437F7D"/>
    <w:rsid w:val="5D631442"/>
    <w:rsid w:val="5D684EF5"/>
    <w:rsid w:val="5D6972B8"/>
    <w:rsid w:val="5D6F6DE2"/>
    <w:rsid w:val="5D733CCF"/>
    <w:rsid w:val="5D7874FB"/>
    <w:rsid w:val="5D7A14C5"/>
    <w:rsid w:val="5D7E23EA"/>
    <w:rsid w:val="5D8949F0"/>
    <w:rsid w:val="5D8B2D00"/>
    <w:rsid w:val="5D9D694D"/>
    <w:rsid w:val="5DAF116F"/>
    <w:rsid w:val="5DB02C78"/>
    <w:rsid w:val="5DB6074F"/>
    <w:rsid w:val="5DBE5856"/>
    <w:rsid w:val="5DD36924"/>
    <w:rsid w:val="5DF106E9"/>
    <w:rsid w:val="5DF23751"/>
    <w:rsid w:val="5DF9063C"/>
    <w:rsid w:val="5DFE6965"/>
    <w:rsid w:val="5DFE72D2"/>
    <w:rsid w:val="5E084856"/>
    <w:rsid w:val="5E2467F1"/>
    <w:rsid w:val="5E266B2C"/>
    <w:rsid w:val="5E301EB4"/>
    <w:rsid w:val="5E345B18"/>
    <w:rsid w:val="5E372E2A"/>
    <w:rsid w:val="5E434BB5"/>
    <w:rsid w:val="5E453020"/>
    <w:rsid w:val="5E5327B3"/>
    <w:rsid w:val="5E595AA5"/>
    <w:rsid w:val="5E5E2869"/>
    <w:rsid w:val="5E616953"/>
    <w:rsid w:val="5E671A49"/>
    <w:rsid w:val="5E700981"/>
    <w:rsid w:val="5E741897"/>
    <w:rsid w:val="5E7422F4"/>
    <w:rsid w:val="5E767EDE"/>
    <w:rsid w:val="5E77638A"/>
    <w:rsid w:val="5E821FFE"/>
    <w:rsid w:val="5E863B81"/>
    <w:rsid w:val="5E87125F"/>
    <w:rsid w:val="5E891E86"/>
    <w:rsid w:val="5E8F5D28"/>
    <w:rsid w:val="5E933A70"/>
    <w:rsid w:val="5E9A5DEE"/>
    <w:rsid w:val="5EA83D8C"/>
    <w:rsid w:val="5EA979D8"/>
    <w:rsid w:val="5EAE6080"/>
    <w:rsid w:val="5EB27BC2"/>
    <w:rsid w:val="5EB744E2"/>
    <w:rsid w:val="5EBC15E2"/>
    <w:rsid w:val="5EC70539"/>
    <w:rsid w:val="5ECF3162"/>
    <w:rsid w:val="5ED734C6"/>
    <w:rsid w:val="5EDF4CD3"/>
    <w:rsid w:val="5EE27CB0"/>
    <w:rsid w:val="5F1A2B43"/>
    <w:rsid w:val="5F226EEC"/>
    <w:rsid w:val="5F292449"/>
    <w:rsid w:val="5F2B6F1B"/>
    <w:rsid w:val="5F2C5095"/>
    <w:rsid w:val="5F343A84"/>
    <w:rsid w:val="5F406BC8"/>
    <w:rsid w:val="5F434301"/>
    <w:rsid w:val="5F4555E9"/>
    <w:rsid w:val="5F5C0237"/>
    <w:rsid w:val="5F635895"/>
    <w:rsid w:val="5F814D8D"/>
    <w:rsid w:val="5F8E0A79"/>
    <w:rsid w:val="5F9542AB"/>
    <w:rsid w:val="5FB474FB"/>
    <w:rsid w:val="5FB837BB"/>
    <w:rsid w:val="5FB8795D"/>
    <w:rsid w:val="5FBC5DC5"/>
    <w:rsid w:val="5FC364AF"/>
    <w:rsid w:val="5FDD4C99"/>
    <w:rsid w:val="5FEC1CFE"/>
    <w:rsid w:val="5FF0364B"/>
    <w:rsid w:val="600B3B80"/>
    <w:rsid w:val="600C142F"/>
    <w:rsid w:val="600F6F91"/>
    <w:rsid w:val="60145578"/>
    <w:rsid w:val="601E701F"/>
    <w:rsid w:val="602C451B"/>
    <w:rsid w:val="602D64A5"/>
    <w:rsid w:val="60457EF9"/>
    <w:rsid w:val="60534544"/>
    <w:rsid w:val="605D5FA7"/>
    <w:rsid w:val="60651FB9"/>
    <w:rsid w:val="60677AC6"/>
    <w:rsid w:val="60763F7C"/>
    <w:rsid w:val="60790FCC"/>
    <w:rsid w:val="60813EFB"/>
    <w:rsid w:val="60867413"/>
    <w:rsid w:val="60946D22"/>
    <w:rsid w:val="60957A64"/>
    <w:rsid w:val="60986E2D"/>
    <w:rsid w:val="60A709E9"/>
    <w:rsid w:val="60AB4AC7"/>
    <w:rsid w:val="60B25223"/>
    <w:rsid w:val="60CC405A"/>
    <w:rsid w:val="60E2185B"/>
    <w:rsid w:val="60E94998"/>
    <w:rsid w:val="60E95680"/>
    <w:rsid w:val="60F31A2A"/>
    <w:rsid w:val="60F90953"/>
    <w:rsid w:val="61095938"/>
    <w:rsid w:val="610D7072"/>
    <w:rsid w:val="61132EC1"/>
    <w:rsid w:val="61186DFA"/>
    <w:rsid w:val="611A0FF5"/>
    <w:rsid w:val="611B6840"/>
    <w:rsid w:val="612C27E6"/>
    <w:rsid w:val="61481763"/>
    <w:rsid w:val="614F0D0B"/>
    <w:rsid w:val="61694A8E"/>
    <w:rsid w:val="617A7CE6"/>
    <w:rsid w:val="618E4624"/>
    <w:rsid w:val="61913EE5"/>
    <w:rsid w:val="61A11716"/>
    <w:rsid w:val="61AB4343"/>
    <w:rsid w:val="61AC2A52"/>
    <w:rsid w:val="61B52ACC"/>
    <w:rsid w:val="61BE1FB6"/>
    <w:rsid w:val="61C761E0"/>
    <w:rsid w:val="61CD42B9"/>
    <w:rsid w:val="61D911FF"/>
    <w:rsid w:val="61E215D8"/>
    <w:rsid w:val="61E81713"/>
    <w:rsid w:val="61F37E6F"/>
    <w:rsid w:val="61F606D6"/>
    <w:rsid w:val="62057779"/>
    <w:rsid w:val="62097324"/>
    <w:rsid w:val="621B3775"/>
    <w:rsid w:val="62202F5C"/>
    <w:rsid w:val="62310848"/>
    <w:rsid w:val="62327C45"/>
    <w:rsid w:val="62364782"/>
    <w:rsid w:val="6236479E"/>
    <w:rsid w:val="62404314"/>
    <w:rsid w:val="624D0F56"/>
    <w:rsid w:val="6250371C"/>
    <w:rsid w:val="62540537"/>
    <w:rsid w:val="62604D93"/>
    <w:rsid w:val="62743F97"/>
    <w:rsid w:val="627E70DC"/>
    <w:rsid w:val="629372B1"/>
    <w:rsid w:val="62A00BE3"/>
    <w:rsid w:val="62A64DBA"/>
    <w:rsid w:val="62AF704F"/>
    <w:rsid w:val="62C236F2"/>
    <w:rsid w:val="62C3746A"/>
    <w:rsid w:val="62CA5A78"/>
    <w:rsid w:val="62CE02E9"/>
    <w:rsid w:val="63040FB0"/>
    <w:rsid w:val="63041F5D"/>
    <w:rsid w:val="63091321"/>
    <w:rsid w:val="63166E7D"/>
    <w:rsid w:val="631A3E21"/>
    <w:rsid w:val="632F4BB7"/>
    <w:rsid w:val="633270AF"/>
    <w:rsid w:val="63344897"/>
    <w:rsid w:val="63476361"/>
    <w:rsid w:val="63497EDA"/>
    <w:rsid w:val="63670935"/>
    <w:rsid w:val="636C1DCE"/>
    <w:rsid w:val="636E2828"/>
    <w:rsid w:val="637C7D45"/>
    <w:rsid w:val="637D1D0F"/>
    <w:rsid w:val="63833E72"/>
    <w:rsid w:val="63882F33"/>
    <w:rsid w:val="638B645D"/>
    <w:rsid w:val="638C2694"/>
    <w:rsid w:val="6394356A"/>
    <w:rsid w:val="639460F4"/>
    <w:rsid w:val="6398472D"/>
    <w:rsid w:val="639A2CB5"/>
    <w:rsid w:val="639C0E1B"/>
    <w:rsid w:val="63A37C03"/>
    <w:rsid w:val="63A4104A"/>
    <w:rsid w:val="63A57FF0"/>
    <w:rsid w:val="63B64AC0"/>
    <w:rsid w:val="63C61B2C"/>
    <w:rsid w:val="63C65464"/>
    <w:rsid w:val="63D2523D"/>
    <w:rsid w:val="63D25821"/>
    <w:rsid w:val="63D40BE9"/>
    <w:rsid w:val="63DA2CBD"/>
    <w:rsid w:val="63E43F93"/>
    <w:rsid w:val="63E44662"/>
    <w:rsid w:val="63E544CA"/>
    <w:rsid w:val="63E87EB8"/>
    <w:rsid w:val="63F05CC5"/>
    <w:rsid w:val="63FA510E"/>
    <w:rsid w:val="64055F8C"/>
    <w:rsid w:val="640B520C"/>
    <w:rsid w:val="640F04AE"/>
    <w:rsid w:val="64102431"/>
    <w:rsid w:val="6412787B"/>
    <w:rsid w:val="64151F48"/>
    <w:rsid w:val="642230A6"/>
    <w:rsid w:val="64360EF8"/>
    <w:rsid w:val="643618DA"/>
    <w:rsid w:val="643A5574"/>
    <w:rsid w:val="643A5C42"/>
    <w:rsid w:val="643B7AB1"/>
    <w:rsid w:val="6443443A"/>
    <w:rsid w:val="6447583A"/>
    <w:rsid w:val="645D49A4"/>
    <w:rsid w:val="6461518D"/>
    <w:rsid w:val="646675CA"/>
    <w:rsid w:val="64686CDE"/>
    <w:rsid w:val="6479711C"/>
    <w:rsid w:val="64821539"/>
    <w:rsid w:val="648A6492"/>
    <w:rsid w:val="648E1410"/>
    <w:rsid w:val="64A5243A"/>
    <w:rsid w:val="64A537E1"/>
    <w:rsid w:val="64AE3C1F"/>
    <w:rsid w:val="64B00C7E"/>
    <w:rsid w:val="64B747E6"/>
    <w:rsid w:val="64C03C61"/>
    <w:rsid w:val="64C427DA"/>
    <w:rsid w:val="64C66D2B"/>
    <w:rsid w:val="64D67929"/>
    <w:rsid w:val="64D863FA"/>
    <w:rsid w:val="64E86956"/>
    <w:rsid w:val="64EB70BB"/>
    <w:rsid w:val="64F531DE"/>
    <w:rsid w:val="65101EB0"/>
    <w:rsid w:val="65362730"/>
    <w:rsid w:val="65373578"/>
    <w:rsid w:val="653E6561"/>
    <w:rsid w:val="65423517"/>
    <w:rsid w:val="65482496"/>
    <w:rsid w:val="654A65FA"/>
    <w:rsid w:val="654E5711"/>
    <w:rsid w:val="655138BC"/>
    <w:rsid w:val="65622F6B"/>
    <w:rsid w:val="65644F35"/>
    <w:rsid w:val="6568516C"/>
    <w:rsid w:val="657219D1"/>
    <w:rsid w:val="657A549D"/>
    <w:rsid w:val="657A6CE5"/>
    <w:rsid w:val="657C1609"/>
    <w:rsid w:val="65AB12E7"/>
    <w:rsid w:val="65BD3DA0"/>
    <w:rsid w:val="65BF216B"/>
    <w:rsid w:val="65D254B3"/>
    <w:rsid w:val="65D26342"/>
    <w:rsid w:val="65EC4433"/>
    <w:rsid w:val="65EC767F"/>
    <w:rsid w:val="65F04A1A"/>
    <w:rsid w:val="660B5BFB"/>
    <w:rsid w:val="660E2E6E"/>
    <w:rsid w:val="6617099E"/>
    <w:rsid w:val="66236B9E"/>
    <w:rsid w:val="6627058B"/>
    <w:rsid w:val="6628507D"/>
    <w:rsid w:val="66291CDA"/>
    <w:rsid w:val="662D5327"/>
    <w:rsid w:val="6641155E"/>
    <w:rsid w:val="66490E8D"/>
    <w:rsid w:val="664C5BF6"/>
    <w:rsid w:val="664D59C9"/>
    <w:rsid w:val="66635B72"/>
    <w:rsid w:val="666A3283"/>
    <w:rsid w:val="666E715E"/>
    <w:rsid w:val="667602A9"/>
    <w:rsid w:val="66807B4C"/>
    <w:rsid w:val="66842C9B"/>
    <w:rsid w:val="669F50D7"/>
    <w:rsid w:val="66A016B9"/>
    <w:rsid w:val="66A84677"/>
    <w:rsid w:val="66BA13CA"/>
    <w:rsid w:val="66BF2487"/>
    <w:rsid w:val="66C0619B"/>
    <w:rsid w:val="66C97B2D"/>
    <w:rsid w:val="66D236C5"/>
    <w:rsid w:val="66D80F22"/>
    <w:rsid w:val="66FA7955"/>
    <w:rsid w:val="66FF63A4"/>
    <w:rsid w:val="67020624"/>
    <w:rsid w:val="671F124A"/>
    <w:rsid w:val="672C4F91"/>
    <w:rsid w:val="672D7CBF"/>
    <w:rsid w:val="674B3FF8"/>
    <w:rsid w:val="674E19F8"/>
    <w:rsid w:val="675A5A28"/>
    <w:rsid w:val="675D4E32"/>
    <w:rsid w:val="67630292"/>
    <w:rsid w:val="677376B1"/>
    <w:rsid w:val="677821B9"/>
    <w:rsid w:val="677A33C6"/>
    <w:rsid w:val="678521E4"/>
    <w:rsid w:val="6787358B"/>
    <w:rsid w:val="678F1ADF"/>
    <w:rsid w:val="6798270B"/>
    <w:rsid w:val="67987117"/>
    <w:rsid w:val="67A46064"/>
    <w:rsid w:val="67AF7FBD"/>
    <w:rsid w:val="67B17E28"/>
    <w:rsid w:val="67C16680"/>
    <w:rsid w:val="67CE7AFB"/>
    <w:rsid w:val="67D77264"/>
    <w:rsid w:val="67EA6AA1"/>
    <w:rsid w:val="67EB1CB1"/>
    <w:rsid w:val="680227E3"/>
    <w:rsid w:val="680714CD"/>
    <w:rsid w:val="681A2338"/>
    <w:rsid w:val="681A5F3F"/>
    <w:rsid w:val="681F6961"/>
    <w:rsid w:val="682B7F8C"/>
    <w:rsid w:val="682D6E76"/>
    <w:rsid w:val="682E563A"/>
    <w:rsid w:val="682F75F3"/>
    <w:rsid w:val="6832131A"/>
    <w:rsid w:val="68487939"/>
    <w:rsid w:val="68490412"/>
    <w:rsid w:val="68516B3A"/>
    <w:rsid w:val="685272C6"/>
    <w:rsid w:val="68610A2F"/>
    <w:rsid w:val="68681826"/>
    <w:rsid w:val="6879600D"/>
    <w:rsid w:val="68805514"/>
    <w:rsid w:val="6884144A"/>
    <w:rsid w:val="688B7648"/>
    <w:rsid w:val="688D6938"/>
    <w:rsid w:val="689478DF"/>
    <w:rsid w:val="689B6EBF"/>
    <w:rsid w:val="689D2CBD"/>
    <w:rsid w:val="68A01C30"/>
    <w:rsid w:val="68AF5A01"/>
    <w:rsid w:val="68B250D4"/>
    <w:rsid w:val="68B42EFB"/>
    <w:rsid w:val="68C07402"/>
    <w:rsid w:val="68C42017"/>
    <w:rsid w:val="68CA3301"/>
    <w:rsid w:val="68D216CB"/>
    <w:rsid w:val="68E25E09"/>
    <w:rsid w:val="68EB275A"/>
    <w:rsid w:val="68F43237"/>
    <w:rsid w:val="68F748D0"/>
    <w:rsid w:val="6901768C"/>
    <w:rsid w:val="69034A64"/>
    <w:rsid w:val="69256F9A"/>
    <w:rsid w:val="692E6D5F"/>
    <w:rsid w:val="69316E2F"/>
    <w:rsid w:val="693A5CEB"/>
    <w:rsid w:val="693B543A"/>
    <w:rsid w:val="6946236B"/>
    <w:rsid w:val="694D7A8E"/>
    <w:rsid w:val="694E2071"/>
    <w:rsid w:val="69545F5B"/>
    <w:rsid w:val="695D6586"/>
    <w:rsid w:val="69605A13"/>
    <w:rsid w:val="69763336"/>
    <w:rsid w:val="69766163"/>
    <w:rsid w:val="697A3B33"/>
    <w:rsid w:val="697F4FAA"/>
    <w:rsid w:val="69837618"/>
    <w:rsid w:val="698F3D1A"/>
    <w:rsid w:val="69940720"/>
    <w:rsid w:val="6998399B"/>
    <w:rsid w:val="69A0765A"/>
    <w:rsid w:val="69A60031"/>
    <w:rsid w:val="69A973BA"/>
    <w:rsid w:val="69B54EF7"/>
    <w:rsid w:val="69BA6027"/>
    <w:rsid w:val="69C354F4"/>
    <w:rsid w:val="69CC30A8"/>
    <w:rsid w:val="69CD4D3C"/>
    <w:rsid w:val="69D44760"/>
    <w:rsid w:val="69E26225"/>
    <w:rsid w:val="69E37AA5"/>
    <w:rsid w:val="69E7648B"/>
    <w:rsid w:val="69FB51E0"/>
    <w:rsid w:val="6A0342B1"/>
    <w:rsid w:val="6A0A166E"/>
    <w:rsid w:val="6A242EE4"/>
    <w:rsid w:val="6A2D60E5"/>
    <w:rsid w:val="6A3F336D"/>
    <w:rsid w:val="6A3F7D1E"/>
    <w:rsid w:val="6A4B48CF"/>
    <w:rsid w:val="6A4C5C9E"/>
    <w:rsid w:val="6A520EC7"/>
    <w:rsid w:val="6A525085"/>
    <w:rsid w:val="6A600383"/>
    <w:rsid w:val="6A682DAB"/>
    <w:rsid w:val="6A6C64CE"/>
    <w:rsid w:val="6A7379C8"/>
    <w:rsid w:val="6A793230"/>
    <w:rsid w:val="6A7B3884"/>
    <w:rsid w:val="6A7E2EB9"/>
    <w:rsid w:val="6A894F96"/>
    <w:rsid w:val="6A8E581F"/>
    <w:rsid w:val="6A923724"/>
    <w:rsid w:val="6A927E4E"/>
    <w:rsid w:val="6A927F16"/>
    <w:rsid w:val="6A954482"/>
    <w:rsid w:val="6AB11B40"/>
    <w:rsid w:val="6AB46016"/>
    <w:rsid w:val="6ABA07E9"/>
    <w:rsid w:val="6ACC1452"/>
    <w:rsid w:val="6AD22940"/>
    <w:rsid w:val="6ADA0640"/>
    <w:rsid w:val="6AE20301"/>
    <w:rsid w:val="6AE3649F"/>
    <w:rsid w:val="6AE83309"/>
    <w:rsid w:val="6AEB2586"/>
    <w:rsid w:val="6AF470E7"/>
    <w:rsid w:val="6AF87E20"/>
    <w:rsid w:val="6AFB248B"/>
    <w:rsid w:val="6B0111A8"/>
    <w:rsid w:val="6B0741AB"/>
    <w:rsid w:val="6B150BA1"/>
    <w:rsid w:val="6B1B628E"/>
    <w:rsid w:val="6B1C3E68"/>
    <w:rsid w:val="6B1E16E2"/>
    <w:rsid w:val="6B2B6357"/>
    <w:rsid w:val="6B2B6B4D"/>
    <w:rsid w:val="6B2F1C8D"/>
    <w:rsid w:val="6B322639"/>
    <w:rsid w:val="6B376D89"/>
    <w:rsid w:val="6B496B0F"/>
    <w:rsid w:val="6B642903"/>
    <w:rsid w:val="6B7678FF"/>
    <w:rsid w:val="6B8448F8"/>
    <w:rsid w:val="6B8B348A"/>
    <w:rsid w:val="6B8C0D41"/>
    <w:rsid w:val="6B9124C1"/>
    <w:rsid w:val="6B960F09"/>
    <w:rsid w:val="6B985705"/>
    <w:rsid w:val="6B9D6AAA"/>
    <w:rsid w:val="6BA0659B"/>
    <w:rsid w:val="6BA823A4"/>
    <w:rsid w:val="6BAB2FA1"/>
    <w:rsid w:val="6BCA6E6F"/>
    <w:rsid w:val="6BCE15F5"/>
    <w:rsid w:val="6BCF5346"/>
    <w:rsid w:val="6BD32EF5"/>
    <w:rsid w:val="6BDF70C3"/>
    <w:rsid w:val="6BE52119"/>
    <w:rsid w:val="6BEF1CFA"/>
    <w:rsid w:val="6BF80185"/>
    <w:rsid w:val="6BF94067"/>
    <w:rsid w:val="6BFC7B3D"/>
    <w:rsid w:val="6C117498"/>
    <w:rsid w:val="6C133511"/>
    <w:rsid w:val="6C197215"/>
    <w:rsid w:val="6C276CBC"/>
    <w:rsid w:val="6C28525B"/>
    <w:rsid w:val="6C36056A"/>
    <w:rsid w:val="6C3D25C6"/>
    <w:rsid w:val="6C3E6083"/>
    <w:rsid w:val="6C400904"/>
    <w:rsid w:val="6C5206D8"/>
    <w:rsid w:val="6C5B2BF6"/>
    <w:rsid w:val="6C5C4FF7"/>
    <w:rsid w:val="6C5E551A"/>
    <w:rsid w:val="6C5E7777"/>
    <w:rsid w:val="6C636C38"/>
    <w:rsid w:val="6C682C68"/>
    <w:rsid w:val="6C7A2733"/>
    <w:rsid w:val="6C863B68"/>
    <w:rsid w:val="6C871024"/>
    <w:rsid w:val="6C95705E"/>
    <w:rsid w:val="6C9A7195"/>
    <w:rsid w:val="6CA45E27"/>
    <w:rsid w:val="6CAB28C0"/>
    <w:rsid w:val="6CB125EB"/>
    <w:rsid w:val="6CB423CE"/>
    <w:rsid w:val="6CBA368C"/>
    <w:rsid w:val="6CDC465D"/>
    <w:rsid w:val="6CF319A2"/>
    <w:rsid w:val="6D036DE1"/>
    <w:rsid w:val="6D076D3A"/>
    <w:rsid w:val="6D0D59E8"/>
    <w:rsid w:val="6D2207DC"/>
    <w:rsid w:val="6D29693B"/>
    <w:rsid w:val="6D2A01B4"/>
    <w:rsid w:val="6D325918"/>
    <w:rsid w:val="6D3E1BAE"/>
    <w:rsid w:val="6D422E69"/>
    <w:rsid w:val="6D480ED8"/>
    <w:rsid w:val="6D512242"/>
    <w:rsid w:val="6D573B0E"/>
    <w:rsid w:val="6D5F09F8"/>
    <w:rsid w:val="6D6A1B9B"/>
    <w:rsid w:val="6D7060B3"/>
    <w:rsid w:val="6D723F67"/>
    <w:rsid w:val="6D7662CE"/>
    <w:rsid w:val="6D7F7F3F"/>
    <w:rsid w:val="6D820CB3"/>
    <w:rsid w:val="6D870AD5"/>
    <w:rsid w:val="6D9869C9"/>
    <w:rsid w:val="6DA22A64"/>
    <w:rsid w:val="6DA40B24"/>
    <w:rsid w:val="6DA415D0"/>
    <w:rsid w:val="6DAC56CB"/>
    <w:rsid w:val="6DAD31F1"/>
    <w:rsid w:val="6DB23E92"/>
    <w:rsid w:val="6DB34098"/>
    <w:rsid w:val="6DB545B6"/>
    <w:rsid w:val="6DC97D09"/>
    <w:rsid w:val="6DCC1233"/>
    <w:rsid w:val="6DCF54D8"/>
    <w:rsid w:val="6DD479A0"/>
    <w:rsid w:val="6DD63C5B"/>
    <w:rsid w:val="6DE02FB4"/>
    <w:rsid w:val="6DE3694A"/>
    <w:rsid w:val="6DE77FDB"/>
    <w:rsid w:val="6DEE0B47"/>
    <w:rsid w:val="6DF22D54"/>
    <w:rsid w:val="6DF37C67"/>
    <w:rsid w:val="6DFB5EE0"/>
    <w:rsid w:val="6E197045"/>
    <w:rsid w:val="6E1C23EB"/>
    <w:rsid w:val="6E313CE5"/>
    <w:rsid w:val="6E31797E"/>
    <w:rsid w:val="6E3D1F82"/>
    <w:rsid w:val="6E4110B7"/>
    <w:rsid w:val="6E4B7A86"/>
    <w:rsid w:val="6E4E6493"/>
    <w:rsid w:val="6E514CED"/>
    <w:rsid w:val="6E5A1BC9"/>
    <w:rsid w:val="6E600F53"/>
    <w:rsid w:val="6E8B1784"/>
    <w:rsid w:val="6E957F0D"/>
    <w:rsid w:val="6E980DED"/>
    <w:rsid w:val="6EA74786"/>
    <w:rsid w:val="6EB563D5"/>
    <w:rsid w:val="6EBC482E"/>
    <w:rsid w:val="6EBF3F24"/>
    <w:rsid w:val="6EC079E0"/>
    <w:rsid w:val="6ED92677"/>
    <w:rsid w:val="6EE90259"/>
    <w:rsid w:val="6EEC49B2"/>
    <w:rsid w:val="6EF11A14"/>
    <w:rsid w:val="6EF21C74"/>
    <w:rsid w:val="6EF725C8"/>
    <w:rsid w:val="6F050DF5"/>
    <w:rsid w:val="6F165C23"/>
    <w:rsid w:val="6F180782"/>
    <w:rsid w:val="6F20483E"/>
    <w:rsid w:val="6F225983"/>
    <w:rsid w:val="6F2A51BA"/>
    <w:rsid w:val="6F2A7937"/>
    <w:rsid w:val="6F2B72B3"/>
    <w:rsid w:val="6F323CF6"/>
    <w:rsid w:val="6F3E651D"/>
    <w:rsid w:val="6F4014D4"/>
    <w:rsid w:val="6F4328C5"/>
    <w:rsid w:val="6F4411B2"/>
    <w:rsid w:val="6F4B254E"/>
    <w:rsid w:val="6F653D83"/>
    <w:rsid w:val="6F6E0FBF"/>
    <w:rsid w:val="6F83245B"/>
    <w:rsid w:val="6F92487E"/>
    <w:rsid w:val="6FB91B28"/>
    <w:rsid w:val="6FC34F4E"/>
    <w:rsid w:val="6FC44E12"/>
    <w:rsid w:val="6FCC795E"/>
    <w:rsid w:val="6FD129E6"/>
    <w:rsid w:val="6FD9207B"/>
    <w:rsid w:val="6FDB2297"/>
    <w:rsid w:val="6FE27182"/>
    <w:rsid w:val="6FEA072C"/>
    <w:rsid w:val="6FEC0446"/>
    <w:rsid w:val="6FF016E1"/>
    <w:rsid w:val="6FF93052"/>
    <w:rsid w:val="6FFB6495"/>
    <w:rsid w:val="6FFC5590"/>
    <w:rsid w:val="6FFD3FBC"/>
    <w:rsid w:val="6FFD636E"/>
    <w:rsid w:val="6FFE09D3"/>
    <w:rsid w:val="70074822"/>
    <w:rsid w:val="700773DB"/>
    <w:rsid w:val="700F170E"/>
    <w:rsid w:val="7021582E"/>
    <w:rsid w:val="70323B22"/>
    <w:rsid w:val="703D3958"/>
    <w:rsid w:val="7053406C"/>
    <w:rsid w:val="705C082B"/>
    <w:rsid w:val="70672683"/>
    <w:rsid w:val="706856D7"/>
    <w:rsid w:val="70695117"/>
    <w:rsid w:val="706B67C7"/>
    <w:rsid w:val="706D13C2"/>
    <w:rsid w:val="706D1DD0"/>
    <w:rsid w:val="70781894"/>
    <w:rsid w:val="707E2436"/>
    <w:rsid w:val="70806727"/>
    <w:rsid w:val="708232DF"/>
    <w:rsid w:val="70856B87"/>
    <w:rsid w:val="708C533F"/>
    <w:rsid w:val="709455E4"/>
    <w:rsid w:val="7099229E"/>
    <w:rsid w:val="709F169E"/>
    <w:rsid w:val="70A800C3"/>
    <w:rsid w:val="70AC4264"/>
    <w:rsid w:val="70BF2DD1"/>
    <w:rsid w:val="70BF5715"/>
    <w:rsid w:val="70C005AE"/>
    <w:rsid w:val="70CC39C6"/>
    <w:rsid w:val="70D50A94"/>
    <w:rsid w:val="70D527EE"/>
    <w:rsid w:val="70D540DF"/>
    <w:rsid w:val="70E909E4"/>
    <w:rsid w:val="70F27AA6"/>
    <w:rsid w:val="71196B34"/>
    <w:rsid w:val="711A2AB9"/>
    <w:rsid w:val="711F61B4"/>
    <w:rsid w:val="712565D7"/>
    <w:rsid w:val="71316B5E"/>
    <w:rsid w:val="713A123F"/>
    <w:rsid w:val="713F13F2"/>
    <w:rsid w:val="714C08A4"/>
    <w:rsid w:val="71521C9F"/>
    <w:rsid w:val="71562C1B"/>
    <w:rsid w:val="715B5084"/>
    <w:rsid w:val="715B5300"/>
    <w:rsid w:val="715C264E"/>
    <w:rsid w:val="715C794B"/>
    <w:rsid w:val="716653CC"/>
    <w:rsid w:val="71665B90"/>
    <w:rsid w:val="716E58D6"/>
    <w:rsid w:val="71754A1B"/>
    <w:rsid w:val="71863B83"/>
    <w:rsid w:val="71961394"/>
    <w:rsid w:val="71AF5789"/>
    <w:rsid w:val="71CA25C3"/>
    <w:rsid w:val="71D27F8A"/>
    <w:rsid w:val="71E42855"/>
    <w:rsid w:val="72026AC4"/>
    <w:rsid w:val="72042E48"/>
    <w:rsid w:val="72155F5A"/>
    <w:rsid w:val="721D4359"/>
    <w:rsid w:val="722717C4"/>
    <w:rsid w:val="722A1C8D"/>
    <w:rsid w:val="723B4C48"/>
    <w:rsid w:val="723D4B43"/>
    <w:rsid w:val="72423485"/>
    <w:rsid w:val="724C6F09"/>
    <w:rsid w:val="724D20AF"/>
    <w:rsid w:val="72516841"/>
    <w:rsid w:val="72553024"/>
    <w:rsid w:val="72565C05"/>
    <w:rsid w:val="725C6A44"/>
    <w:rsid w:val="726523B4"/>
    <w:rsid w:val="7270196F"/>
    <w:rsid w:val="727121B9"/>
    <w:rsid w:val="727260E7"/>
    <w:rsid w:val="72760055"/>
    <w:rsid w:val="72766586"/>
    <w:rsid w:val="72856FA3"/>
    <w:rsid w:val="728B14D6"/>
    <w:rsid w:val="72916989"/>
    <w:rsid w:val="7294335E"/>
    <w:rsid w:val="7298499B"/>
    <w:rsid w:val="72A2709C"/>
    <w:rsid w:val="72AC58C9"/>
    <w:rsid w:val="72B161BE"/>
    <w:rsid w:val="72C41406"/>
    <w:rsid w:val="72C74C64"/>
    <w:rsid w:val="72CE5BF7"/>
    <w:rsid w:val="72DB5BAA"/>
    <w:rsid w:val="72E01973"/>
    <w:rsid w:val="72E5287E"/>
    <w:rsid w:val="72E93A1B"/>
    <w:rsid w:val="72F951E4"/>
    <w:rsid w:val="7303052D"/>
    <w:rsid w:val="73090EC9"/>
    <w:rsid w:val="730B69EF"/>
    <w:rsid w:val="73122968"/>
    <w:rsid w:val="73141947"/>
    <w:rsid w:val="731C0BFD"/>
    <w:rsid w:val="731F5D5E"/>
    <w:rsid w:val="731F693F"/>
    <w:rsid w:val="73247AB1"/>
    <w:rsid w:val="732748EA"/>
    <w:rsid w:val="732B7092"/>
    <w:rsid w:val="73432BC9"/>
    <w:rsid w:val="734D4458"/>
    <w:rsid w:val="734E365B"/>
    <w:rsid w:val="73541491"/>
    <w:rsid w:val="735F44BD"/>
    <w:rsid w:val="7362595B"/>
    <w:rsid w:val="7368060D"/>
    <w:rsid w:val="73787988"/>
    <w:rsid w:val="73800049"/>
    <w:rsid w:val="738A2CA9"/>
    <w:rsid w:val="739008B3"/>
    <w:rsid w:val="73942E89"/>
    <w:rsid w:val="739A5FC5"/>
    <w:rsid w:val="73BB49CC"/>
    <w:rsid w:val="73C51AD5"/>
    <w:rsid w:val="73D634A1"/>
    <w:rsid w:val="73D743A2"/>
    <w:rsid w:val="73E105F6"/>
    <w:rsid w:val="73EB32AA"/>
    <w:rsid w:val="74032EFE"/>
    <w:rsid w:val="741E793C"/>
    <w:rsid w:val="742159A1"/>
    <w:rsid w:val="742329E9"/>
    <w:rsid w:val="742C30C1"/>
    <w:rsid w:val="742F670E"/>
    <w:rsid w:val="743401C8"/>
    <w:rsid w:val="743661DC"/>
    <w:rsid w:val="7437653D"/>
    <w:rsid w:val="743B1556"/>
    <w:rsid w:val="744877CF"/>
    <w:rsid w:val="744A103F"/>
    <w:rsid w:val="744E07DE"/>
    <w:rsid w:val="744F6FC2"/>
    <w:rsid w:val="745E0CB4"/>
    <w:rsid w:val="745E3944"/>
    <w:rsid w:val="74626AE3"/>
    <w:rsid w:val="74734C4D"/>
    <w:rsid w:val="747B070D"/>
    <w:rsid w:val="748A47CE"/>
    <w:rsid w:val="748E1A5D"/>
    <w:rsid w:val="748F01EA"/>
    <w:rsid w:val="749C3ABE"/>
    <w:rsid w:val="74A54C22"/>
    <w:rsid w:val="74AB6AA0"/>
    <w:rsid w:val="74B674F7"/>
    <w:rsid w:val="74BC44F1"/>
    <w:rsid w:val="74C42FF2"/>
    <w:rsid w:val="74D426A1"/>
    <w:rsid w:val="74D55507"/>
    <w:rsid w:val="74DD0860"/>
    <w:rsid w:val="74E5161D"/>
    <w:rsid w:val="74ED4CF6"/>
    <w:rsid w:val="74EF1773"/>
    <w:rsid w:val="75097E5E"/>
    <w:rsid w:val="75106442"/>
    <w:rsid w:val="751653F3"/>
    <w:rsid w:val="751A1084"/>
    <w:rsid w:val="751B19FB"/>
    <w:rsid w:val="751B35A0"/>
    <w:rsid w:val="751E223E"/>
    <w:rsid w:val="75243D99"/>
    <w:rsid w:val="752D00C0"/>
    <w:rsid w:val="75407960"/>
    <w:rsid w:val="754361E3"/>
    <w:rsid w:val="75473291"/>
    <w:rsid w:val="75484951"/>
    <w:rsid w:val="75515022"/>
    <w:rsid w:val="75534F10"/>
    <w:rsid w:val="75683CDD"/>
    <w:rsid w:val="756D5080"/>
    <w:rsid w:val="75763609"/>
    <w:rsid w:val="757F1917"/>
    <w:rsid w:val="758142C0"/>
    <w:rsid w:val="75B62C87"/>
    <w:rsid w:val="75C04967"/>
    <w:rsid w:val="75C62CE0"/>
    <w:rsid w:val="75D742B7"/>
    <w:rsid w:val="75D75B0A"/>
    <w:rsid w:val="75E157DD"/>
    <w:rsid w:val="75E874BC"/>
    <w:rsid w:val="75E9031A"/>
    <w:rsid w:val="75EF21C0"/>
    <w:rsid w:val="75FC4DE2"/>
    <w:rsid w:val="75FD6934"/>
    <w:rsid w:val="75FF3025"/>
    <w:rsid w:val="760065B4"/>
    <w:rsid w:val="7606521E"/>
    <w:rsid w:val="760D580D"/>
    <w:rsid w:val="760D7729"/>
    <w:rsid w:val="760F67F7"/>
    <w:rsid w:val="76136CAA"/>
    <w:rsid w:val="7614205F"/>
    <w:rsid w:val="761D7791"/>
    <w:rsid w:val="76250680"/>
    <w:rsid w:val="7626048C"/>
    <w:rsid w:val="762B1157"/>
    <w:rsid w:val="762F7BA3"/>
    <w:rsid w:val="763141F3"/>
    <w:rsid w:val="7635099D"/>
    <w:rsid w:val="76360227"/>
    <w:rsid w:val="76391AC6"/>
    <w:rsid w:val="764C28CA"/>
    <w:rsid w:val="764F225C"/>
    <w:rsid w:val="765D6045"/>
    <w:rsid w:val="766C1B2C"/>
    <w:rsid w:val="76703103"/>
    <w:rsid w:val="76847233"/>
    <w:rsid w:val="768E1321"/>
    <w:rsid w:val="76914FD7"/>
    <w:rsid w:val="76A038F3"/>
    <w:rsid w:val="76B22EF1"/>
    <w:rsid w:val="76B850E0"/>
    <w:rsid w:val="76BA0D28"/>
    <w:rsid w:val="76C03F95"/>
    <w:rsid w:val="76C5219A"/>
    <w:rsid w:val="76DC14DE"/>
    <w:rsid w:val="76E6709F"/>
    <w:rsid w:val="76EE494C"/>
    <w:rsid w:val="76F12290"/>
    <w:rsid w:val="770519A8"/>
    <w:rsid w:val="771328AC"/>
    <w:rsid w:val="771340C5"/>
    <w:rsid w:val="77244524"/>
    <w:rsid w:val="77340B8F"/>
    <w:rsid w:val="77356B45"/>
    <w:rsid w:val="773D7394"/>
    <w:rsid w:val="774F3949"/>
    <w:rsid w:val="77520C8C"/>
    <w:rsid w:val="775546DD"/>
    <w:rsid w:val="775C5D7B"/>
    <w:rsid w:val="776677F3"/>
    <w:rsid w:val="777029AA"/>
    <w:rsid w:val="77762421"/>
    <w:rsid w:val="777C0FE5"/>
    <w:rsid w:val="77851C3A"/>
    <w:rsid w:val="77862AE9"/>
    <w:rsid w:val="77884AB3"/>
    <w:rsid w:val="7790475A"/>
    <w:rsid w:val="77993398"/>
    <w:rsid w:val="77B238DE"/>
    <w:rsid w:val="77B56B1F"/>
    <w:rsid w:val="77B73818"/>
    <w:rsid w:val="77C86C9B"/>
    <w:rsid w:val="77CD6969"/>
    <w:rsid w:val="77CF26E1"/>
    <w:rsid w:val="77CF27AD"/>
    <w:rsid w:val="77D0645A"/>
    <w:rsid w:val="77DB69E3"/>
    <w:rsid w:val="77E043FD"/>
    <w:rsid w:val="77E617D9"/>
    <w:rsid w:val="77EF1B1D"/>
    <w:rsid w:val="77FB66F1"/>
    <w:rsid w:val="780E3B4C"/>
    <w:rsid w:val="780F09F4"/>
    <w:rsid w:val="78104700"/>
    <w:rsid w:val="78250825"/>
    <w:rsid w:val="78281DF2"/>
    <w:rsid w:val="78411105"/>
    <w:rsid w:val="78525E2D"/>
    <w:rsid w:val="78615304"/>
    <w:rsid w:val="786521C5"/>
    <w:rsid w:val="787509E4"/>
    <w:rsid w:val="78A22303"/>
    <w:rsid w:val="78A524CA"/>
    <w:rsid w:val="78A90480"/>
    <w:rsid w:val="78B930B5"/>
    <w:rsid w:val="78BD49CF"/>
    <w:rsid w:val="78C31B1A"/>
    <w:rsid w:val="78D566B7"/>
    <w:rsid w:val="78D6064F"/>
    <w:rsid w:val="790A4B4B"/>
    <w:rsid w:val="790C6353"/>
    <w:rsid w:val="79142CEE"/>
    <w:rsid w:val="79181E66"/>
    <w:rsid w:val="7930196F"/>
    <w:rsid w:val="793D1A19"/>
    <w:rsid w:val="79422C74"/>
    <w:rsid w:val="794E638A"/>
    <w:rsid w:val="795253C4"/>
    <w:rsid w:val="7953129A"/>
    <w:rsid w:val="796230E1"/>
    <w:rsid w:val="796D09BD"/>
    <w:rsid w:val="7973159F"/>
    <w:rsid w:val="79745D61"/>
    <w:rsid w:val="79AD59A6"/>
    <w:rsid w:val="79C66DEF"/>
    <w:rsid w:val="79D060FF"/>
    <w:rsid w:val="79D31B8D"/>
    <w:rsid w:val="79E25726"/>
    <w:rsid w:val="79F10639"/>
    <w:rsid w:val="79FF5367"/>
    <w:rsid w:val="7A016841"/>
    <w:rsid w:val="7A1B7E60"/>
    <w:rsid w:val="7A212F9C"/>
    <w:rsid w:val="7A2A2791"/>
    <w:rsid w:val="7A301431"/>
    <w:rsid w:val="7A364017"/>
    <w:rsid w:val="7A387111"/>
    <w:rsid w:val="7A3D2163"/>
    <w:rsid w:val="7A412F3B"/>
    <w:rsid w:val="7A432BD6"/>
    <w:rsid w:val="7A433E64"/>
    <w:rsid w:val="7A494824"/>
    <w:rsid w:val="7A4A165E"/>
    <w:rsid w:val="7A6325A9"/>
    <w:rsid w:val="7A6A40CD"/>
    <w:rsid w:val="7A6B6F12"/>
    <w:rsid w:val="7A726476"/>
    <w:rsid w:val="7A7C0965"/>
    <w:rsid w:val="7A7F056E"/>
    <w:rsid w:val="7A8265E1"/>
    <w:rsid w:val="7A987D3A"/>
    <w:rsid w:val="7A9C6BB8"/>
    <w:rsid w:val="7AA17C39"/>
    <w:rsid w:val="7ABC7F94"/>
    <w:rsid w:val="7ABE4FDC"/>
    <w:rsid w:val="7AD27FAE"/>
    <w:rsid w:val="7AD40D1E"/>
    <w:rsid w:val="7AD42A29"/>
    <w:rsid w:val="7ADA0FF3"/>
    <w:rsid w:val="7AF33603"/>
    <w:rsid w:val="7AF45837"/>
    <w:rsid w:val="7B006DE5"/>
    <w:rsid w:val="7B184B87"/>
    <w:rsid w:val="7B367550"/>
    <w:rsid w:val="7B3E36DA"/>
    <w:rsid w:val="7B403498"/>
    <w:rsid w:val="7B4A02D1"/>
    <w:rsid w:val="7B4F1915"/>
    <w:rsid w:val="7B5F2A73"/>
    <w:rsid w:val="7B686D42"/>
    <w:rsid w:val="7B6F70C2"/>
    <w:rsid w:val="7B787A4F"/>
    <w:rsid w:val="7B841746"/>
    <w:rsid w:val="7B872B63"/>
    <w:rsid w:val="7B8C7CC4"/>
    <w:rsid w:val="7B922412"/>
    <w:rsid w:val="7B971B7F"/>
    <w:rsid w:val="7BA14395"/>
    <w:rsid w:val="7BAE260E"/>
    <w:rsid w:val="7BAF3D1C"/>
    <w:rsid w:val="7BBA64B8"/>
    <w:rsid w:val="7BC57958"/>
    <w:rsid w:val="7BCB4C1C"/>
    <w:rsid w:val="7BD11CE2"/>
    <w:rsid w:val="7BD654DF"/>
    <w:rsid w:val="7BDB7E29"/>
    <w:rsid w:val="7BE937E1"/>
    <w:rsid w:val="7BEF6D8A"/>
    <w:rsid w:val="7BF551A7"/>
    <w:rsid w:val="7BF92841"/>
    <w:rsid w:val="7C211799"/>
    <w:rsid w:val="7C2428D0"/>
    <w:rsid w:val="7C3662C4"/>
    <w:rsid w:val="7C366302"/>
    <w:rsid w:val="7C62129B"/>
    <w:rsid w:val="7C686C61"/>
    <w:rsid w:val="7C6C5AC7"/>
    <w:rsid w:val="7C6F4493"/>
    <w:rsid w:val="7C796908"/>
    <w:rsid w:val="7C8812DB"/>
    <w:rsid w:val="7C8D66C7"/>
    <w:rsid w:val="7CC41F7F"/>
    <w:rsid w:val="7CC6544B"/>
    <w:rsid w:val="7CCA7B33"/>
    <w:rsid w:val="7CDE555B"/>
    <w:rsid w:val="7CE24C65"/>
    <w:rsid w:val="7CE560DB"/>
    <w:rsid w:val="7CE752CF"/>
    <w:rsid w:val="7D0239FF"/>
    <w:rsid w:val="7D20578D"/>
    <w:rsid w:val="7D2F554B"/>
    <w:rsid w:val="7D3B093C"/>
    <w:rsid w:val="7D5E40CD"/>
    <w:rsid w:val="7D665E3B"/>
    <w:rsid w:val="7D740F30"/>
    <w:rsid w:val="7D7D0339"/>
    <w:rsid w:val="7D8B601E"/>
    <w:rsid w:val="7D8F021D"/>
    <w:rsid w:val="7D9D27E3"/>
    <w:rsid w:val="7DA01535"/>
    <w:rsid w:val="7DA06BB6"/>
    <w:rsid w:val="7DB008BF"/>
    <w:rsid w:val="7DB11484"/>
    <w:rsid w:val="7DC16953"/>
    <w:rsid w:val="7DCA74A7"/>
    <w:rsid w:val="7DCD56F2"/>
    <w:rsid w:val="7DD161F8"/>
    <w:rsid w:val="7DDF0F28"/>
    <w:rsid w:val="7DE07220"/>
    <w:rsid w:val="7DE222C8"/>
    <w:rsid w:val="7DEB2D7B"/>
    <w:rsid w:val="7DF34C50"/>
    <w:rsid w:val="7DF76028"/>
    <w:rsid w:val="7E0806FB"/>
    <w:rsid w:val="7E0E1A8A"/>
    <w:rsid w:val="7E0F091A"/>
    <w:rsid w:val="7E2161F2"/>
    <w:rsid w:val="7E227E81"/>
    <w:rsid w:val="7E230837"/>
    <w:rsid w:val="7E2A725C"/>
    <w:rsid w:val="7E354813"/>
    <w:rsid w:val="7E3859D8"/>
    <w:rsid w:val="7E4701FF"/>
    <w:rsid w:val="7E5B702C"/>
    <w:rsid w:val="7E606788"/>
    <w:rsid w:val="7E69785B"/>
    <w:rsid w:val="7E6E0173"/>
    <w:rsid w:val="7E7044F2"/>
    <w:rsid w:val="7E704E13"/>
    <w:rsid w:val="7E853A34"/>
    <w:rsid w:val="7E8E45EC"/>
    <w:rsid w:val="7E9E696A"/>
    <w:rsid w:val="7EAA3560"/>
    <w:rsid w:val="7EAD3B33"/>
    <w:rsid w:val="7EB10F2F"/>
    <w:rsid w:val="7EC363D0"/>
    <w:rsid w:val="7ED13C94"/>
    <w:rsid w:val="7ED87AC9"/>
    <w:rsid w:val="7ED92098"/>
    <w:rsid w:val="7EF864D1"/>
    <w:rsid w:val="7F001CE7"/>
    <w:rsid w:val="7F0030A6"/>
    <w:rsid w:val="7F1C0F4E"/>
    <w:rsid w:val="7F280929"/>
    <w:rsid w:val="7F2861A2"/>
    <w:rsid w:val="7F2C666B"/>
    <w:rsid w:val="7F3F03A9"/>
    <w:rsid w:val="7F41022C"/>
    <w:rsid w:val="7F673190"/>
    <w:rsid w:val="7F6748AE"/>
    <w:rsid w:val="7F685CF2"/>
    <w:rsid w:val="7F6A74E4"/>
    <w:rsid w:val="7F7320D8"/>
    <w:rsid w:val="7F76229D"/>
    <w:rsid w:val="7F864E24"/>
    <w:rsid w:val="7F95395E"/>
    <w:rsid w:val="7F9A1477"/>
    <w:rsid w:val="7F9A7DFB"/>
    <w:rsid w:val="7F9F1475"/>
    <w:rsid w:val="7FA2248A"/>
    <w:rsid w:val="7FB61320"/>
    <w:rsid w:val="7FCE7F34"/>
    <w:rsid w:val="7FE24D5A"/>
    <w:rsid w:val="7FE47E50"/>
    <w:rsid w:val="7FFF2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sdException w:unhideWhenUsed="0" w:uiPriority="0" w:semiHidden="0" w:name="Body Text Indent 3" w:locked="1"/>
    <w:lsdException w:unhideWhenUsed="0" w:uiPriority="0" w:semiHidden="0" w:name="Block Text" w:locked="1"/>
    <w:lsdException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9"/>
    <w:qFormat/>
    <w:locked/>
    <w:uiPriority w:val="99"/>
    <w:pPr>
      <w:keepNext/>
      <w:overflowPunct w:val="0"/>
      <w:snapToGrid w:val="0"/>
      <w:ind w:firstLine="0"/>
      <w:jc w:val="center"/>
      <w:outlineLvl w:val="0"/>
    </w:pPr>
    <w:rPr>
      <w:rFonts w:eastAsia="黑体"/>
      <w:b/>
      <w:bCs/>
      <w:color w:val="000000"/>
      <w:kern w:val="44"/>
      <w:sz w:val="30"/>
      <w:szCs w:val="30"/>
    </w:rPr>
  </w:style>
  <w:style w:type="paragraph" w:styleId="3">
    <w:name w:val="heading 2"/>
    <w:basedOn w:val="1"/>
    <w:next w:val="1"/>
    <w:semiHidden/>
    <w:unhideWhenUsed/>
    <w:qFormat/>
    <w:locked/>
    <w:uiPriority w:val="0"/>
    <w:pPr>
      <w:spacing w:beforeAutospacing="1" w:afterAutospacing="1"/>
      <w:jc w:val="left"/>
      <w:outlineLvl w:val="1"/>
    </w:pPr>
    <w:rPr>
      <w:rFonts w:hint="eastAsia" w:ascii="宋体" w:hAnsi="宋体"/>
      <w:b/>
      <w:bCs/>
      <w:kern w:val="0"/>
      <w:sz w:val="36"/>
      <w:szCs w:val="36"/>
    </w:rPr>
  </w:style>
  <w:style w:type="paragraph" w:styleId="4">
    <w:name w:val="heading 3"/>
    <w:basedOn w:val="1"/>
    <w:next w:val="1"/>
    <w:semiHidden/>
    <w:unhideWhenUsed/>
    <w:qFormat/>
    <w:locked/>
    <w:uiPriority w:val="0"/>
    <w:pPr>
      <w:keepNext/>
      <w:keepLines/>
      <w:spacing w:before="260" w:after="260" w:line="413" w:lineRule="auto"/>
      <w:outlineLvl w:val="2"/>
    </w:pPr>
    <w:rPr>
      <w:b/>
      <w:sz w:val="32"/>
    </w:rPr>
  </w:style>
  <w:style w:type="paragraph" w:styleId="5">
    <w:name w:val="heading 4"/>
    <w:basedOn w:val="1"/>
    <w:next w:val="1"/>
    <w:qFormat/>
    <w:locked/>
    <w:uiPriority w:val="0"/>
    <w:pPr>
      <w:keepNext/>
      <w:keepLines/>
      <w:spacing w:before="280" w:after="290" w:line="376" w:lineRule="auto"/>
      <w:outlineLvl w:val="3"/>
    </w:pPr>
    <w:rPr>
      <w:rFonts w:ascii="Arial" w:hAnsi="Arial" w:eastAsia="黑体"/>
      <w:bCs/>
      <w:sz w:val="28"/>
      <w:szCs w:val="28"/>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标题 1 字符"/>
    <w:link w:val="2"/>
    <w:qFormat/>
    <w:uiPriority w:val="99"/>
    <w:rPr>
      <w:rFonts w:ascii="Times New Roman" w:hAnsi="Times New Roman" w:eastAsia="黑体"/>
      <w:b/>
      <w:bCs/>
      <w:color w:val="000000"/>
      <w:kern w:val="44"/>
      <w:sz w:val="30"/>
      <w:szCs w:val="30"/>
    </w:rPr>
  </w:style>
  <w:style w:type="character" w:customStyle="1" w:styleId="10">
    <w:name w:val="表格-1 Char"/>
    <w:link w:val="11"/>
    <w:qFormat/>
    <w:uiPriority w:val="0"/>
    <w:rPr>
      <w:rFonts w:ascii="Times New Roman" w:hAnsi="Times New Roman" w:eastAsia="宋体"/>
      <w:sz w:val="21"/>
      <w:szCs w:val="21"/>
    </w:rPr>
  </w:style>
  <w:style w:type="paragraph" w:customStyle="1" w:styleId="11">
    <w:name w:val="表格-1"/>
    <w:link w:val="10"/>
    <w:qFormat/>
    <w:uiPriority w:val="0"/>
    <w:rPr>
      <w:rFonts w:ascii="Times New Roman" w:hAnsi="Times New Roman" w:eastAsia="宋体" w:cs="Times New Roman"/>
      <w:sz w:val="21"/>
      <w:szCs w:val="21"/>
      <w:lang w:val="en-US" w:eastAsia="zh-CN" w:bidi="ar-SA"/>
    </w:rPr>
  </w:style>
  <w:style w:type="table" w:customStyle="1" w:styleId="12">
    <w:name w:val="表格边框"/>
    <w:basedOn w:val="6"/>
    <w:qFormat/>
    <w:uiPriority w:val="99"/>
    <w:pPr>
      <w:jc w:val="center"/>
    </w:pPr>
    <w:tblPr>
      <w:jc w:val="center"/>
      <w:tblBorders>
        <w:top w:val="single" w:color="auto" w:sz="12" w:space="0"/>
        <w:bottom w:val="single" w:color="auto" w:sz="12" w:space="0"/>
        <w:insideH w:val="single" w:color="auto" w:sz="6" w:space="0"/>
        <w:insideV w:val="single" w:color="auto" w:sz="6" w:space="0"/>
      </w:tblBorders>
      <w:tblCellMar>
        <w:left w:w="28" w:type="dxa"/>
        <w:right w:w="28" w:type="dxa"/>
      </w:tblCellMar>
    </w:tblPr>
    <w:trPr>
      <w:jc w:val="center"/>
    </w:trPr>
    <w:tcPr>
      <w:vAlign w:val="center"/>
    </w:tcPr>
  </w:style>
  <w:style w:type="table" w:customStyle="1" w:styleId="13">
    <w:name w:val="Table Grid_0"/>
    <w:basedOn w:val="6"/>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21.wmf"/><Relationship Id="rId46" Type="http://schemas.openxmlformats.org/officeDocument/2006/relationships/oleObject" Target="embeddings/oleObject12.bin"/><Relationship Id="rId45" Type="http://schemas.openxmlformats.org/officeDocument/2006/relationships/image" Target="media/image20.wmf"/><Relationship Id="rId44" Type="http://schemas.openxmlformats.org/officeDocument/2006/relationships/oleObject" Target="embeddings/oleObject11.bin"/><Relationship Id="rId43" Type="http://schemas.openxmlformats.org/officeDocument/2006/relationships/image" Target="media/image19.wmf"/><Relationship Id="rId42" Type="http://schemas.openxmlformats.org/officeDocument/2006/relationships/oleObject" Target="embeddings/oleObject10.bin"/><Relationship Id="rId41" Type="http://schemas.openxmlformats.org/officeDocument/2006/relationships/image" Target="media/image18.wmf"/><Relationship Id="rId40" Type="http://schemas.openxmlformats.org/officeDocument/2006/relationships/oleObject" Target="embeddings/oleObject9.bin"/><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oleObject" Target="embeddings/oleObject8.bin"/><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e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8.emf"/><Relationship Id="rId27" Type="http://schemas.openxmlformats.org/officeDocument/2006/relationships/oleObject" Target="embeddings/oleObject6.bin"/><Relationship Id="rId26" Type="http://schemas.openxmlformats.org/officeDocument/2006/relationships/image" Target="media/image7.emf"/><Relationship Id="rId25" Type="http://schemas.openxmlformats.org/officeDocument/2006/relationships/oleObject" Target="embeddings/oleObject5.bin"/><Relationship Id="rId24" Type="http://schemas.openxmlformats.org/officeDocument/2006/relationships/image" Target="media/image6.emf"/><Relationship Id="rId23" Type="http://schemas.openxmlformats.org/officeDocument/2006/relationships/oleObject" Target="embeddings/oleObject4.bin"/><Relationship Id="rId22" Type="http://schemas.openxmlformats.org/officeDocument/2006/relationships/image" Target="media/image5.emf"/><Relationship Id="rId21" Type="http://schemas.openxmlformats.org/officeDocument/2006/relationships/oleObject" Target="embeddings/oleObject3.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emf"/><Relationship Id="rId17" Type="http://schemas.openxmlformats.org/officeDocument/2006/relationships/oleObject" Target="embeddings/oleObject1.bin"/><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82</Pages>
  <Words>9093</Words>
  <Characters>51836</Characters>
  <Lines>431</Lines>
  <Paragraphs>121</Paragraphs>
  <TotalTime>33</TotalTime>
  <ScaleCrop>false</ScaleCrop>
  <LinksUpToDate>false</LinksUpToDate>
  <CharactersWithSpaces>60808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idiot</cp:lastModifiedBy>
  <cp:lastPrinted>2020-12-29T02:43:00Z</cp:lastPrinted>
  <dcterms:modified xsi:type="dcterms:W3CDTF">2023-11-21T08:05:25Z</dcterms:modified>
  <dc:title>附件2</dc:title>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F43AA7CA75794EC48B134ABF7180BE17</vt:lpwstr>
  </property>
</Properties>
</file>