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B3B7A8">
      <w:pPr>
        <w:ind w:firstLine="720"/>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 xml:space="preserve"> </w:t>
      </w:r>
      <w:r>
        <w:rPr>
          <w:rFonts w:ascii="仿宋_GB2312" w:hAnsi="仿宋_GB2312" w:eastAsia="仿宋_GB2312" w:cs="仿宋_GB2312"/>
          <w:sz w:val="36"/>
          <w:szCs w:val="36"/>
        </w:rPr>
        <w:t xml:space="preserve"> </w:t>
      </w:r>
      <w:r>
        <w:rPr>
          <w:rFonts w:hint="eastAsia" w:ascii="仿宋_GB2312" w:hAnsi="仿宋_GB2312" w:eastAsia="仿宋_GB2312" w:cs="仿宋_GB2312"/>
          <w:sz w:val="36"/>
          <w:szCs w:val="36"/>
        </w:rPr>
        <w:t xml:space="preserve"> </w:t>
      </w:r>
    </w:p>
    <w:p w14:paraId="1D997A74">
      <w:pPr>
        <w:ind w:firstLine="720"/>
        <w:rPr>
          <w:rFonts w:hint="eastAsia" w:ascii="仿宋_GB2312" w:hAnsi="仿宋_GB2312" w:eastAsia="仿宋_GB2312" w:cs="仿宋_GB2312"/>
          <w:sz w:val="36"/>
          <w:szCs w:val="36"/>
        </w:rPr>
      </w:pPr>
    </w:p>
    <w:p w14:paraId="23FB867D">
      <w:pPr>
        <w:ind w:firstLine="720"/>
        <w:rPr>
          <w:rFonts w:hint="eastAsia" w:ascii="仿宋_GB2312" w:hAnsi="仿宋_GB2312" w:eastAsia="仿宋_GB2312" w:cs="仿宋_GB2312"/>
          <w:sz w:val="36"/>
          <w:szCs w:val="36"/>
        </w:rPr>
      </w:pPr>
    </w:p>
    <w:p w14:paraId="036334CB">
      <w:pPr>
        <w:ind w:firstLine="720"/>
        <w:rPr>
          <w:rFonts w:hint="eastAsia" w:ascii="仿宋_GB2312" w:hAnsi="仿宋_GB2312" w:eastAsia="仿宋_GB2312" w:cs="仿宋_GB2312"/>
          <w:sz w:val="36"/>
          <w:szCs w:val="36"/>
        </w:rPr>
      </w:pPr>
    </w:p>
    <w:p w14:paraId="0FECF8E3">
      <w:pPr>
        <w:ind w:firstLine="720"/>
        <w:rPr>
          <w:rFonts w:hint="eastAsia" w:ascii="仿宋_GB2312" w:hAnsi="仿宋_GB2312" w:eastAsia="仿宋_GB2312" w:cs="仿宋_GB2312"/>
          <w:sz w:val="36"/>
          <w:szCs w:val="36"/>
        </w:rPr>
      </w:pPr>
    </w:p>
    <w:p w14:paraId="1114C53B">
      <w:pPr>
        <w:adjustRightInd w:val="0"/>
        <w:snapToGrid w:val="0"/>
        <w:jc w:val="center"/>
        <w:rPr>
          <w:rFonts w:hint="eastAsia" w:ascii="微软雅黑" w:hAnsi="微软雅黑" w:eastAsia="微软雅黑"/>
          <w:bCs/>
          <w:sz w:val="72"/>
          <w:szCs w:val="72"/>
        </w:rPr>
      </w:pPr>
      <w:bookmarkStart w:id="0" w:name="_Toc77234832"/>
      <w:bookmarkStart w:id="1" w:name="_Hlk167310038"/>
      <w:r>
        <w:rPr>
          <w:rFonts w:hint="eastAsia" w:ascii="微软雅黑" w:hAnsi="微软雅黑" w:eastAsia="微软雅黑"/>
          <w:bCs/>
          <w:sz w:val="72"/>
          <w:szCs w:val="72"/>
        </w:rPr>
        <w:t xml:space="preserve"> 建设项目环境影响报告表</w:t>
      </w:r>
      <w:bookmarkEnd w:id="0"/>
    </w:p>
    <w:p w14:paraId="64DF14B7">
      <w:pPr>
        <w:adjustRightInd w:val="0"/>
        <w:snapToGrid w:val="0"/>
        <w:spacing w:before="192" w:beforeLines="80"/>
        <w:ind w:firstLine="960"/>
        <w:jc w:val="center"/>
        <w:rPr>
          <w:rFonts w:ascii="楷体_GB2312" w:eastAsia="楷体_GB2312"/>
          <w:bCs/>
          <w:sz w:val="48"/>
          <w:szCs w:val="48"/>
        </w:rPr>
      </w:pPr>
      <w:r>
        <w:rPr>
          <w:rFonts w:hint="eastAsia" w:ascii="楷体_GB2312" w:eastAsia="楷体_GB2312"/>
          <w:bCs/>
          <w:sz w:val="48"/>
          <w:szCs w:val="48"/>
        </w:rPr>
        <w:t>（污染影响类）</w:t>
      </w:r>
    </w:p>
    <w:p w14:paraId="5D2A97BB">
      <w:pPr>
        <w:adjustRightInd w:val="0"/>
        <w:snapToGrid w:val="0"/>
        <w:spacing w:before="192" w:beforeLines="80"/>
        <w:ind w:firstLine="960"/>
        <w:jc w:val="center"/>
        <w:rPr>
          <w:rFonts w:ascii="楷体_GB2312" w:eastAsia="楷体_GB2312"/>
          <w:bCs/>
          <w:color w:val="FF0000"/>
          <w:sz w:val="48"/>
          <w:szCs w:val="48"/>
        </w:rPr>
      </w:pPr>
      <w:r>
        <w:rPr>
          <w:rFonts w:hint="eastAsia" w:ascii="楷体_GB2312" w:eastAsia="楷体_GB2312"/>
          <w:bCs/>
          <w:color w:val="auto"/>
          <w:sz w:val="48"/>
          <w:szCs w:val="48"/>
        </w:rPr>
        <w:t>（</w:t>
      </w:r>
      <w:r>
        <w:rPr>
          <w:rFonts w:hint="eastAsia" w:ascii="楷体_GB2312" w:eastAsia="楷体_GB2312"/>
          <w:bCs/>
          <w:color w:val="auto"/>
          <w:sz w:val="48"/>
          <w:szCs w:val="48"/>
          <w:lang w:val="en-US" w:eastAsia="zh-CN"/>
        </w:rPr>
        <w:t>公示</w:t>
      </w:r>
      <w:r>
        <w:rPr>
          <w:rFonts w:hint="eastAsia" w:ascii="楷体_GB2312" w:eastAsia="楷体_GB2312"/>
          <w:bCs/>
          <w:color w:val="auto"/>
          <w:sz w:val="48"/>
          <w:szCs w:val="48"/>
        </w:rPr>
        <w:t>本）</w:t>
      </w:r>
    </w:p>
    <w:p w14:paraId="460BC650">
      <w:pPr>
        <w:adjustRightInd w:val="0"/>
        <w:snapToGrid w:val="0"/>
        <w:spacing w:line="288" w:lineRule="auto"/>
        <w:ind w:firstLine="880"/>
        <w:jc w:val="center"/>
        <w:outlineLvl w:val="0"/>
        <w:rPr>
          <w:rFonts w:hint="eastAsia" w:ascii="华文仿宋" w:hAnsi="华文仿宋" w:eastAsia="华文仿宋" w:cs="华文仿宋"/>
          <w:kern w:val="44"/>
          <w:sz w:val="44"/>
          <w:szCs w:val="44"/>
        </w:rPr>
      </w:pPr>
    </w:p>
    <w:p w14:paraId="4CC3BBAF">
      <w:pPr>
        <w:ind w:firstLine="1040"/>
        <w:jc w:val="center"/>
        <w:rPr>
          <w:rFonts w:eastAsia="仿宋"/>
          <w:sz w:val="52"/>
          <w:szCs w:val="52"/>
        </w:rPr>
      </w:pPr>
    </w:p>
    <w:p w14:paraId="0C041380">
      <w:pPr>
        <w:ind w:firstLine="880"/>
        <w:rPr>
          <w:rFonts w:eastAsia="仿宋"/>
          <w:sz w:val="44"/>
          <w:szCs w:val="44"/>
        </w:rPr>
      </w:pPr>
    </w:p>
    <w:p w14:paraId="136CD0B2">
      <w:pPr>
        <w:ind w:firstLine="880"/>
        <w:rPr>
          <w:rFonts w:eastAsia="仿宋"/>
          <w:sz w:val="44"/>
          <w:szCs w:val="44"/>
        </w:rPr>
      </w:pPr>
    </w:p>
    <w:p w14:paraId="508F032C">
      <w:pPr>
        <w:ind w:firstLine="640"/>
        <w:rPr>
          <w:rFonts w:hint="eastAsia" w:ascii="仿宋" w:hAnsi="仿宋" w:eastAsia="仿宋"/>
          <w:sz w:val="32"/>
          <w:szCs w:val="32"/>
        </w:rPr>
      </w:pPr>
    </w:p>
    <w:p w14:paraId="197985E7">
      <w:pPr>
        <w:adjustRightInd w:val="0"/>
        <w:snapToGrid w:val="0"/>
        <w:spacing w:line="288" w:lineRule="auto"/>
        <w:ind w:firstLine="640"/>
        <w:rPr>
          <w:rFonts w:hint="eastAsia" w:ascii="仿宋" w:hAnsi="仿宋" w:eastAsia="仿宋"/>
          <w:sz w:val="32"/>
          <w:szCs w:val="32"/>
          <w:u w:val="single"/>
        </w:rPr>
      </w:pPr>
      <w:r>
        <w:rPr>
          <w:rFonts w:hint="eastAsia" w:ascii="仿宋" w:hAnsi="仿宋" w:eastAsia="仿宋"/>
          <w:sz w:val="32"/>
          <w:szCs w:val="32"/>
        </w:rPr>
        <w:t xml:space="preserve">项目名称： </w:t>
      </w:r>
      <w:r>
        <w:rPr>
          <w:rFonts w:hint="eastAsia" w:ascii="仿宋" w:hAnsi="仿宋" w:eastAsia="仿宋"/>
          <w:sz w:val="32"/>
          <w:szCs w:val="32"/>
          <w:u w:val="single"/>
        </w:rPr>
        <w:t xml:space="preserve"> </w:t>
      </w:r>
      <w:r>
        <w:rPr>
          <w:rFonts w:ascii="仿宋" w:hAnsi="仿宋" w:eastAsia="仿宋"/>
          <w:sz w:val="32"/>
          <w:szCs w:val="32"/>
          <w:u w:val="single"/>
        </w:rPr>
        <w:t xml:space="preserve">   </w:t>
      </w:r>
      <w:r>
        <w:rPr>
          <w:rFonts w:hint="eastAsia" w:ascii="仿宋" w:hAnsi="仿宋" w:eastAsia="仿宋"/>
          <w:sz w:val="32"/>
          <w:szCs w:val="32"/>
          <w:u w:val="single"/>
        </w:rPr>
        <w:t xml:space="preserve">通川区九州通医药产业链一期建设项目  </w:t>
      </w:r>
    </w:p>
    <w:p w14:paraId="6612BD5E">
      <w:pPr>
        <w:adjustRightInd w:val="0"/>
        <w:snapToGrid w:val="0"/>
        <w:spacing w:line="288" w:lineRule="auto"/>
        <w:ind w:firstLine="640"/>
        <w:rPr>
          <w:rFonts w:hint="eastAsia" w:ascii="仿宋" w:hAnsi="仿宋" w:eastAsia="仿宋"/>
          <w:sz w:val="32"/>
          <w:szCs w:val="32"/>
        </w:rPr>
      </w:pPr>
      <w:r>
        <w:rPr>
          <w:rFonts w:hint="eastAsia" w:ascii="仿宋" w:hAnsi="仿宋" w:eastAsia="仿宋"/>
          <w:sz w:val="32"/>
          <w:szCs w:val="32"/>
        </w:rPr>
        <w:t>建设单位（盖章）：</w:t>
      </w:r>
      <w:r>
        <w:rPr>
          <w:rFonts w:hint="eastAsia" w:ascii="仿宋" w:hAnsi="仿宋" w:eastAsia="仿宋"/>
          <w:sz w:val="32"/>
          <w:szCs w:val="32"/>
          <w:u w:val="single"/>
        </w:rPr>
        <w:t xml:space="preserve"> </w:t>
      </w:r>
      <w:r>
        <w:rPr>
          <w:rFonts w:ascii="仿宋" w:hAnsi="仿宋" w:eastAsia="仿宋"/>
          <w:sz w:val="32"/>
          <w:szCs w:val="32"/>
          <w:u w:val="single"/>
        </w:rPr>
        <w:t xml:space="preserve">   </w:t>
      </w:r>
      <w:r>
        <w:rPr>
          <w:rFonts w:hint="eastAsia" w:ascii="仿宋" w:hAnsi="仿宋" w:eastAsia="仿宋"/>
          <w:sz w:val="32"/>
          <w:szCs w:val="32"/>
          <w:u w:val="single"/>
        </w:rPr>
        <w:t xml:space="preserve">达州九州通医疗器械有限公司 </w:t>
      </w:r>
      <w:r>
        <w:rPr>
          <w:rFonts w:ascii="仿宋" w:hAnsi="仿宋" w:eastAsia="仿宋"/>
          <w:sz w:val="32"/>
          <w:szCs w:val="32"/>
          <w:u w:val="single"/>
        </w:rPr>
        <w:t xml:space="preserve">  </w:t>
      </w:r>
      <w:r>
        <w:rPr>
          <w:rFonts w:hint="eastAsia" w:ascii="仿宋" w:hAnsi="仿宋" w:eastAsia="仿宋"/>
          <w:sz w:val="32"/>
          <w:szCs w:val="32"/>
          <w:u w:val="single"/>
        </w:rPr>
        <w:t xml:space="preserve"> </w:t>
      </w:r>
    </w:p>
    <w:p w14:paraId="77F79FCE">
      <w:pPr>
        <w:adjustRightInd w:val="0"/>
        <w:snapToGrid w:val="0"/>
        <w:spacing w:line="288" w:lineRule="auto"/>
        <w:ind w:firstLine="640"/>
        <w:rPr>
          <w:rFonts w:hint="eastAsia" w:ascii="仿宋" w:hAnsi="仿宋" w:eastAsia="仿宋"/>
          <w:sz w:val="32"/>
          <w:szCs w:val="32"/>
        </w:rPr>
      </w:pPr>
      <w:r>
        <w:rPr>
          <w:rFonts w:hint="eastAsia" w:ascii="仿宋" w:hAnsi="仿宋" w:eastAsia="仿宋"/>
          <w:sz w:val="32"/>
          <w:szCs w:val="32"/>
        </w:rPr>
        <w:t>编制日期：</w:t>
      </w:r>
      <w:r>
        <w:rPr>
          <w:rFonts w:hint="eastAsia" w:ascii="仿宋" w:hAnsi="仿宋" w:eastAsia="仿宋"/>
          <w:sz w:val="32"/>
          <w:szCs w:val="32"/>
          <w:u w:val="single"/>
        </w:rPr>
        <w:t xml:space="preserve"> </w:t>
      </w:r>
      <w:r>
        <w:rPr>
          <w:rFonts w:ascii="仿宋" w:hAnsi="仿宋" w:eastAsia="仿宋"/>
          <w:sz w:val="32"/>
          <w:szCs w:val="32"/>
          <w:u w:val="single"/>
        </w:rPr>
        <w:t xml:space="preserve">              </w:t>
      </w:r>
      <w:r>
        <w:rPr>
          <w:rFonts w:hint="eastAsia" w:ascii="仿宋" w:hAnsi="仿宋" w:eastAsia="仿宋"/>
          <w:sz w:val="32"/>
          <w:szCs w:val="32"/>
          <w:u w:val="single"/>
        </w:rPr>
        <w:t xml:space="preserve">   2</w:t>
      </w:r>
      <w:r>
        <w:rPr>
          <w:rFonts w:ascii="仿宋" w:hAnsi="仿宋" w:eastAsia="仿宋"/>
          <w:sz w:val="32"/>
          <w:szCs w:val="32"/>
          <w:u w:val="single"/>
        </w:rPr>
        <w:t>024</w:t>
      </w:r>
      <w:r>
        <w:rPr>
          <w:rFonts w:hint="eastAsia" w:ascii="仿宋" w:hAnsi="仿宋" w:eastAsia="仿宋"/>
          <w:sz w:val="32"/>
          <w:szCs w:val="32"/>
          <w:u w:val="single"/>
        </w:rPr>
        <w:t>年9月</w:t>
      </w:r>
      <w:r>
        <w:rPr>
          <w:rFonts w:ascii="仿宋" w:hAnsi="仿宋" w:eastAsia="仿宋"/>
          <w:sz w:val="32"/>
          <w:szCs w:val="32"/>
          <w:u w:val="single"/>
        </w:rPr>
        <w:t xml:space="preserve">           </w:t>
      </w:r>
      <w:r>
        <w:rPr>
          <w:rFonts w:ascii="仿宋" w:hAnsi="仿宋" w:eastAsia="仿宋"/>
          <w:spacing w:val="-16"/>
          <w:sz w:val="32"/>
          <w:szCs w:val="32"/>
          <w:u w:val="single"/>
        </w:rPr>
        <w:t xml:space="preserve"> </w:t>
      </w:r>
      <w:r>
        <w:rPr>
          <w:rFonts w:hint="eastAsia" w:ascii="仿宋" w:hAnsi="仿宋" w:eastAsia="仿宋"/>
          <w:spacing w:val="-16"/>
          <w:sz w:val="32"/>
          <w:szCs w:val="32"/>
          <w:u w:val="single"/>
        </w:rPr>
        <w:t xml:space="preserve"> </w:t>
      </w:r>
    </w:p>
    <w:p w14:paraId="71BA87D0">
      <w:pPr>
        <w:adjustRightInd w:val="0"/>
        <w:snapToGrid w:val="0"/>
        <w:spacing w:line="288" w:lineRule="auto"/>
        <w:ind w:firstLine="640"/>
        <w:rPr>
          <w:rFonts w:hint="eastAsia" w:ascii="仿宋" w:hAnsi="仿宋" w:eastAsia="仿宋"/>
          <w:sz w:val="32"/>
          <w:szCs w:val="32"/>
        </w:rPr>
      </w:pPr>
      <w:bookmarkStart w:id="2" w:name="_Hlk57884087"/>
    </w:p>
    <w:p w14:paraId="1BF918A5">
      <w:pPr>
        <w:adjustRightInd w:val="0"/>
        <w:snapToGrid w:val="0"/>
        <w:spacing w:line="288" w:lineRule="auto"/>
        <w:ind w:firstLine="720"/>
        <w:rPr>
          <w:rFonts w:ascii="仿宋_GB2312" w:eastAsia="仿宋_GB2312"/>
          <w:sz w:val="36"/>
          <w:szCs w:val="36"/>
        </w:rPr>
      </w:pPr>
    </w:p>
    <w:p w14:paraId="3E3342F0">
      <w:pPr>
        <w:adjustRightInd w:val="0"/>
        <w:snapToGrid w:val="0"/>
        <w:spacing w:line="288" w:lineRule="auto"/>
        <w:ind w:firstLine="720"/>
        <w:rPr>
          <w:rFonts w:ascii="仿宋_GB2312" w:eastAsia="仿宋_GB2312"/>
          <w:sz w:val="36"/>
          <w:szCs w:val="36"/>
        </w:rPr>
      </w:pPr>
    </w:p>
    <w:bookmarkEnd w:id="2"/>
    <w:p w14:paraId="04B16534">
      <w:pPr>
        <w:adjustRightInd w:val="0"/>
        <w:snapToGrid w:val="0"/>
        <w:spacing w:line="288" w:lineRule="auto"/>
        <w:ind w:firstLine="720"/>
        <w:jc w:val="center"/>
        <w:rPr>
          <w:rFonts w:ascii="楷体_GB2312" w:eastAsia="楷体_GB2312"/>
          <w:sz w:val="36"/>
          <w:szCs w:val="36"/>
        </w:rPr>
        <w:sectPr>
          <w:footerReference r:id="rId3" w:type="default"/>
          <w:footerReference r:id="rId4" w:type="even"/>
          <w:pgSz w:w="11906" w:h="16838"/>
          <w:pgMar w:top="1701" w:right="1531" w:bottom="1701" w:left="1531" w:header="851" w:footer="1077" w:gutter="0"/>
          <w:pgNumType w:start="1"/>
          <w:cols w:space="720" w:num="1"/>
          <w:docGrid w:linePitch="312" w:charSpace="0"/>
        </w:sectPr>
      </w:pPr>
      <w:r>
        <w:rPr>
          <w:rFonts w:hint="eastAsia" w:ascii="楷体_GB2312" w:eastAsia="楷体_GB2312"/>
          <w:sz w:val="36"/>
          <w:szCs w:val="36"/>
        </w:rPr>
        <w:t>中华人民共和国生态环境部制</w:t>
      </w:r>
    </w:p>
    <w:bookmarkEnd w:id="1"/>
    <w:p w14:paraId="28D0E5CF">
      <w:pPr>
        <w:pStyle w:val="66"/>
        <w:spacing w:before="0" w:line="360" w:lineRule="auto"/>
        <w:ind w:firstLine="560"/>
        <w:jc w:val="center"/>
        <w:rPr>
          <w:rFonts w:hint="eastAsia" w:ascii="黑体" w:hAnsi="黑体" w:eastAsia="黑体"/>
          <w:color w:val="auto"/>
          <w:sz w:val="28"/>
          <w:szCs w:val="28"/>
        </w:rPr>
      </w:pPr>
      <w:bookmarkStart w:id="3" w:name="_Hlk167310089"/>
      <w:r>
        <w:rPr>
          <w:rFonts w:ascii="黑体" w:hAnsi="黑体" w:eastAsia="黑体"/>
          <w:color w:val="auto"/>
          <w:sz w:val="28"/>
          <w:szCs w:val="28"/>
        </w:rPr>
        <w:t>目</w:t>
      </w:r>
      <w:r>
        <w:rPr>
          <w:rFonts w:hint="eastAsia" w:ascii="黑体" w:hAnsi="黑体" w:eastAsia="黑体"/>
          <w:color w:val="auto"/>
          <w:sz w:val="28"/>
          <w:szCs w:val="28"/>
        </w:rPr>
        <w:t xml:space="preserve"> </w:t>
      </w:r>
      <w:r>
        <w:rPr>
          <w:rFonts w:ascii="黑体" w:hAnsi="黑体" w:eastAsia="黑体"/>
          <w:color w:val="auto"/>
          <w:sz w:val="28"/>
          <w:szCs w:val="28"/>
        </w:rPr>
        <w:t xml:space="preserve"> 录</w:t>
      </w:r>
    </w:p>
    <w:p w14:paraId="710CFE94">
      <w:pPr>
        <w:pStyle w:val="13"/>
        <w:tabs>
          <w:tab w:val="right" w:leader="dot" w:pos="8834"/>
        </w:tabs>
        <w:spacing w:line="360" w:lineRule="auto"/>
        <w:ind w:firstLine="240" w:firstLineChars="100"/>
        <w:rPr>
          <w:sz w:val="24"/>
        </w:rPr>
      </w:pPr>
      <w:r>
        <w:rPr>
          <w:sz w:val="24"/>
        </w:rPr>
        <w:fldChar w:fldCharType="begin"/>
      </w:r>
      <w:r>
        <w:rPr>
          <w:sz w:val="24"/>
        </w:rPr>
        <w:instrText xml:space="preserve"> TOC \o "1-3" \h \z \u </w:instrText>
      </w:r>
      <w:r>
        <w:rPr>
          <w:sz w:val="24"/>
        </w:rPr>
        <w:fldChar w:fldCharType="separate"/>
      </w:r>
      <w:r>
        <w:fldChar w:fldCharType="begin"/>
      </w:r>
      <w:r>
        <w:instrText xml:space="preserve"> HYPERLINK \l "_Toc77234833" </w:instrText>
      </w:r>
      <w:r>
        <w:fldChar w:fldCharType="separate"/>
      </w:r>
      <w:r>
        <w:rPr>
          <w:rStyle w:val="34"/>
          <w:snapToGrid w:val="0"/>
          <w:color w:val="auto"/>
          <w:sz w:val="24"/>
        </w:rPr>
        <w:t>一、建设项目基本情况</w:t>
      </w:r>
      <w:r>
        <w:rPr>
          <w:sz w:val="24"/>
        </w:rPr>
        <w:tab/>
      </w:r>
      <w:r>
        <w:rPr>
          <w:sz w:val="24"/>
        </w:rPr>
        <w:fldChar w:fldCharType="begin"/>
      </w:r>
      <w:r>
        <w:rPr>
          <w:sz w:val="24"/>
        </w:rPr>
        <w:instrText xml:space="preserve"> PAGEREF _Toc77234833 \h </w:instrText>
      </w:r>
      <w:r>
        <w:rPr>
          <w:sz w:val="24"/>
        </w:rPr>
        <w:fldChar w:fldCharType="separate"/>
      </w:r>
      <w:r>
        <w:rPr>
          <w:sz w:val="24"/>
        </w:rPr>
        <w:t>1</w:t>
      </w:r>
      <w:r>
        <w:rPr>
          <w:sz w:val="24"/>
        </w:rPr>
        <w:fldChar w:fldCharType="end"/>
      </w:r>
      <w:r>
        <w:rPr>
          <w:sz w:val="24"/>
        </w:rPr>
        <w:fldChar w:fldCharType="end"/>
      </w:r>
    </w:p>
    <w:p w14:paraId="1A8F5F71">
      <w:pPr>
        <w:pStyle w:val="13"/>
        <w:tabs>
          <w:tab w:val="right" w:leader="dot" w:pos="8834"/>
        </w:tabs>
        <w:spacing w:line="360" w:lineRule="auto"/>
        <w:ind w:firstLine="210" w:firstLineChars="100"/>
        <w:rPr>
          <w:sz w:val="24"/>
        </w:rPr>
      </w:pPr>
      <w:r>
        <w:fldChar w:fldCharType="begin"/>
      </w:r>
      <w:r>
        <w:instrText xml:space="preserve"> HYPERLINK \l "_Toc77234834" </w:instrText>
      </w:r>
      <w:r>
        <w:fldChar w:fldCharType="separate"/>
      </w:r>
      <w:r>
        <w:rPr>
          <w:rStyle w:val="34"/>
          <w:snapToGrid w:val="0"/>
          <w:color w:val="auto"/>
          <w:sz w:val="24"/>
        </w:rPr>
        <w:t>二、建设项目工程分析</w:t>
      </w:r>
      <w:r>
        <w:rPr>
          <w:sz w:val="24"/>
        </w:rPr>
        <w:tab/>
      </w:r>
      <w:r>
        <w:rPr>
          <w:sz w:val="24"/>
        </w:rPr>
        <w:fldChar w:fldCharType="begin"/>
      </w:r>
      <w:r>
        <w:rPr>
          <w:sz w:val="24"/>
        </w:rPr>
        <w:instrText xml:space="preserve"> PAGEREF _Toc77234834 \h </w:instrText>
      </w:r>
      <w:r>
        <w:rPr>
          <w:sz w:val="24"/>
        </w:rPr>
        <w:fldChar w:fldCharType="separate"/>
      </w:r>
      <w:r>
        <w:rPr>
          <w:sz w:val="24"/>
        </w:rPr>
        <w:t>22</w:t>
      </w:r>
      <w:r>
        <w:rPr>
          <w:sz w:val="24"/>
        </w:rPr>
        <w:fldChar w:fldCharType="end"/>
      </w:r>
      <w:r>
        <w:rPr>
          <w:sz w:val="24"/>
        </w:rPr>
        <w:fldChar w:fldCharType="end"/>
      </w:r>
    </w:p>
    <w:p w14:paraId="094D2648">
      <w:pPr>
        <w:pStyle w:val="13"/>
        <w:tabs>
          <w:tab w:val="right" w:leader="dot" w:pos="8834"/>
        </w:tabs>
        <w:spacing w:line="360" w:lineRule="auto"/>
        <w:ind w:firstLine="210" w:firstLineChars="100"/>
        <w:rPr>
          <w:sz w:val="24"/>
        </w:rPr>
      </w:pPr>
      <w:r>
        <w:fldChar w:fldCharType="begin"/>
      </w:r>
      <w:r>
        <w:instrText xml:space="preserve"> HYPERLINK \l "_Toc77234835" </w:instrText>
      </w:r>
      <w:r>
        <w:fldChar w:fldCharType="separate"/>
      </w:r>
      <w:r>
        <w:rPr>
          <w:rStyle w:val="34"/>
          <w:snapToGrid w:val="0"/>
          <w:color w:val="auto"/>
          <w:sz w:val="24"/>
        </w:rPr>
        <w:t>三、区域环境质量现状、环境保护目标及评价标准</w:t>
      </w:r>
      <w:r>
        <w:rPr>
          <w:sz w:val="24"/>
        </w:rPr>
        <w:tab/>
      </w:r>
      <w:r>
        <w:rPr>
          <w:sz w:val="24"/>
        </w:rPr>
        <w:fldChar w:fldCharType="begin"/>
      </w:r>
      <w:r>
        <w:rPr>
          <w:sz w:val="24"/>
        </w:rPr>
        <w:instrText xml:space="preserve"> PAGEREF _Toc77234835 \h </w:instrText>
      </w:r>
      <w:r>
        <w:rPr>
          <w:sz w:val="24"/>
        </w:rPr>
        <w:fldChar w:fldCharType="separate"/>
      </w:r>
      <w:r>
        <w:rPr>
          <w:sz w:val="24"/>
        </w:rPr>
        <w:t>36</w:t>
      </w:r>
      <w:r>
        <w:rPr>
          <w:sz w:val="24"/>
        </w:rPr>
        <w:fldChar w:fldCharType="end"/>
      </w:r>
      <w:r>
        <w:rPr>
          <w:sz w:val="24"/>
        </w:rPr>
        <w:fldChar w:fldCharType="end"/>
      </w:r>
    </w:p>
    <w:p w14:paraId="6FC23C6B">
      <w:pPr>
        <w:pStyle w:val="13"/>
        <w:tabs>
          <w:tab w:val="right" w:leader="dot" w:pos="8834"/>
        </w:tabs>
        <w:spacing w:line="360" w:lineRule="auto"/>
        <w:ind w:firstLine="210" w:firstLineChars="100"/>
        <w:rPr>
          <w:sz w:val="24"/>
        </w:rPr>
      </w:pPr>
      <w:r>
        <w:fldChar w:fldCharType="begin"/>
      </w:r>
      <w:r>
        <w:instrText xml:space="preserve"> HYPERLINK \l "_Toc77234836" </w:instrText>
      </w:r>
      <w:r>
        <w:fldChar w:fldCharType="separate"/>
      </w:r>
      <w:r>
        <w:rPr>
          <w:rStyle w:val="34"/>
          <w:snapToGrid w:val="0"/>
          <w:color w:val="auto"/>
          <w:sz w:val="24"/>
        </w:rPr>
        <w:t>四、主要环境影响和保护措施</w:t>
      </w:r>
      <w:r>
        <w:rPr>
          <w:sz w:val="24"/>
        </w:rPr>
        <w:tab/>
      </w:r>
      <w:r>
        <w:rPr>
          <w:sz w:val="24"/>
        </w:rPr>
        <w:fldChar w:fldCharType="begin"/>
      </w:r>
      <w:r>
        <w:rPr>
          <w:sz w:val="24"/>
        </w:rPr>
        <w:instrText xml:space="preserve"> PAGEREF _Toc77234836 \h </w:instrText>
      </w:r>
      <w:r>
        <w:rPr>
          <w:sz w:val="24"/>
        </w:rPr>
        <w:fldChar w:fldCharType="separate"/>
      </w:r>
      <w:r>
        <w:rPr>
          <w:sz w:val="24"/>
        </w:rPr>
        <w:t>42</w:t>
      </w:r>
      <w:r>
        <w:rPr>
          <w:sz w:val="24"/>
        </w:rPr>
        <w:fldChar w:fldCharType="end"/>
      </w:r>
      <w:r>
        <w:rPr>
          <w:sz w:val="24"/>
        </w:rPr>
        <w:fldChar w:fldCharType="end"/>
      </w:r>
    </w:p>
    <w:p w14:paraId="0994D1C8">
      <w:pPr>
        <w:pStyle w:val="13"/>
        <w:tabs>
          <w:tab w:val="right" w:leader="dot" w:pos="8834"/>
        </w:tabs>
        <w:spacing w:line="360" w:lineRule="auto"/>
        <w:ind w:firstLine="210" w:firstLineChars="100"/>
        <w:rPr>
          <w:sz w:val="24"/>
        </w:rPr>
      </w:pPr>
      <w:r>
        <w:fldChar w:fldCharType="begin"/>
      </w:r>
      <w:r>
        <w:instrText xml:space="preserve"> HYPERLINK \l "_Toc77234837" </w:instrText>
      </w:r>
      <w:r>
        <w:fldChar w:fldCharType="separate"/>
      </w:r>
      <w:r>
        <w:rPr>
          <w:rStyle w:val="34"/>
          <w:snapToGrid w:val="0"/>
          <w:color w:val="auto"/>
          <w:sz w:val="24"/>
        </w:rPr>
        <w:t>五、环境保护措施监督检查清单</w:t>
      </w:r>
      <w:r>
        <w:rPr>
          <w:sz w:val="24"/>
        </w:rPr>
        <w:tab/>
      </w:r>
      <w:r>
        <w:rPr>
          <w:sz w:val="24"/>
        </w:rPr>
        <w:fldChar w:fldCharType="begin"/>
      </w:r>
      <w:r>
        <w:rPr>
          <w:sz w:val="24"/>
        </w:rPr>
        <w:instrText xml:space="preserve"> PAGEREF _Toc77234837 \h </w:instrText>
      </w:r>
      <w:r>
        <w:rPr>
          <w:sz w:val="24"/>
        </w:rPr>
        <w:fldChar w:fldCharType="separate"/>
      </w:r>
      <w:r>
        <w:rPr>
          <w:sz w:val="24"/>
        </w:rPr>
        <w:t>67</w:t>
      </w:r>
      <w:r>
        <w:rPr>
          <w:sz w:val="24"/>
        </w:rPr>
        <w:fldChar w:fldCharType="end"/>
      </w:r>
      <w:r>
        <w:rPr>
          <w:sz w:val="24"/>
        </w:rPr>
        <w:fldChar w:fldCharType="end"/>
      </w:r>
    </w:p>
    <w:p w14:paraId="2D409157">
      <w:pPr>
        <w:pStyle w:val="13"/>
        <w:tabs>
          <w:tab w:val="right" w:leader="dot" w:pos="8834"/>
        </w:tabs>
        <w:spacing w:line="360" w:lineRule="auto"/>
        <w:ind w:firstLine="210" w:firstLineChars="100"/>
        <w:rPr>
          <w:sz w:val="24"/>
        </w:rPr>
      </w:pPr>
      <w:r>
        <w:fldChar w:fldCharType="begin"/>
      </w:r>
      <w:r>
        <w:instrText xml:space="preserve"> HYPERLINK \l "_Toc77234838" </w:instrText>
      </w:r>
      <w:r>
        <w:fldChar w:fldCharType="separate"/>
      </w:r>
      <w:r>
        <w:rPr>
          <w:rStyle w:val="34"/>
          <w:snapToGrid w:val="0"/>
          <w:color w:val="auto"/>
          <w:sz w:val="24"/>
        </w:rPr>
        <w:t>六、结论</w:t>
      </w:r>
      <w:r>
        <w:rPr>
          <w:sz w:val="24"/>
        </w:rPr>
        <w:tab/>
      </w:r>
      <w:r>
        <w:rPr>
          <w:sz w:val="24"/>
        </w:rPr>
        <w:fldChar w:fldCharType="begin"/>
      </w:r>
      <w:r>
        <w:rPr>
          <w:sz w:val="24"/>
        </w:rPr>
        <w:instrText xml:space="preserve"> PAGEREF _Toc77234838 \h </w:instrText>
      </w:r>
      <w:r>
        <w:rPr>
          <w:sz w:val="24"/>
        </w:rPr>
        <w:fldChar w:fldCharType="separate"/>
      </w:r>
      <w:r>
        <w:rPr>
          <w:sz w:val="24"/>
        </w:rPr>
        <w:t>70</w:t>
      </w:r>
      <w:r>
        <w:rPr>
          <w:sz w:val="24"/>
        </w:rPr>
        <w:fldChar w:fldCharType="end"/>
      </w:r>
      <w:r>
        <w:rPr>
          <w:sz w:val="24"/>
        </w:rPr>
        <w:fldChar w:fldCharType="end"/>
      </w:r>
    </w:p>
    <w:p w14:paraId="21148C7A">
      <w:pPr>
        <w:pStyle w:val="13"/>
        <w:tabs>
          <w:tab w:val="right" w:leader="dot" w:pos="8834"/>
        </w:tabs>
        <w:spacing w:line="360" w:lineRule="auto"/>
        <w:ind w:firstLine="210" w:firstLineChars="100"/>
        <w:rPr>
          <w:sz w:val="24"/>
        </w:rPr>
      </w:pPr>
      <w:r>
        <w:fldChar w:fldCharType="begin"/>
      </w:r>
      <w:r>
        <w:instrText xml:space="preserve"> HYPERLINK \l "_Toc77234839" </w:instrText>
      </w:r>
      <w:r>
        <w:fldChar w:fldCharType="separate"/>
      </w:r>
      <w:r>
        <w:rPr>
          <w:rStyle w:val="34"/>
          <w:snapToGrid w:val="0"/>
          <w:color w:val="auto"/>
          <w:sz w:val="24"/>
        </w:rPr>
        <w:t>建设项目污染物排放量汇总表</w:t>
      </w:r>
      <w:r>
        <w:rPr>
          <w:sz w:val="24"/>
        </w:rPr>
        <w:tab/>
      </w:r>
      <w:r>
        <w:rPr>
          <w:sz w:val="24"/>
        </w:rPr>
        <w:fldChar w:fldCharType="begin"/>
      </w:r>
      <w:r>
        <w:rPr>
          <w:sz w:val="24"/>
        </w:rPr>
        <w:instrText xml:space="preserve"> PAGEREF _Toc77234839 \h </w:instrText>
      </w:r>
      <w:r>
        <w:rPr>
          <w:sz w:val="24"/>
        </w:rPr>
        <w:fldChar w:fldCharType="separate"/>
      </w:r>
      <w:r>
        <w:rPr>
          <w:sz w:val="24"/>
        </w:rPr>
        <w:t>71</w:t>
      </w:r>
      <w:r>
        <w:rPr>
          <w:sz w:val="24"/>
        </w:rPr>
        <w:fldChar w:fldCharType="end"/>
      </w:r>
      <w:r>
        <w:rPr>
          <w:sz w:val="24"/>
        </w:rPr>
        <w:fldChar w:fldCharType="end"/>
      </w:r>
    </w:p>
    <w:p w14:paraId="41A7FFD3">
      <w:pPr>
        <w:pStyle w:val="15"/>
        <w:adjustRightInd/>
        <w:snapToGrid/>
        <w:spacing w:before="100" w:beforeAutospacing="1" w:after="100" w:afterAutospacing="1"/>
        <w:ind w:firstLine="600"/>
        <w:outlineLvl w:val="0"/>
        <w:rPr>
          <w:b/>
          <w:bCs/>
          <w:sz w:val="24"/>
          <w:lang w:val="zh-CN"/>
        </w:rPr>
      </w:pPr>
      <w:r>
        <w:rPr>
          <w:b/>
          <w:bCs/>
          <w:sz w:val="24"/>
          <w:lang w:val="zh-CN"/>
        </w:rPr>
        <w:fldChar w:fldCharType="end"/>
      </w:r>
      <w:bookmarkEnd w:id="3"/>
      <w:bookmarkStart w:id="4" w:name="_Toc77234833"/>
    </w:p>
    <w:p w14:paraId="0955A740">
      <w:pPr>
        <w:pStyle w:val="15"/>
        <w:adjustRightInd/>
        <w:snapToGrid/>
        <w:spacing w:before="100" w:beforeAutospacing="1" w:after="100" w:afterAutospacing="1"/>
        <w:ind w:firstLine="600"/>
        <w:outlineLvl w:val="0"/>
        <w:rPr>
          <w:b/>
          <w:bCs/>
          <w:sz w:val="24"/>
          <w:lang w:val="zh-CN"/>
        </w:rPr>
      </w:pPr>
    </w:p>
    <w:p w14:paraId="40BF9936">
      <w:pPr>
        <w:pStyle w:val="15"/>
        <w:adjustRightInd/>
        <w:snapToGrid/>
        <w:spacing w:before="100" w:beforeAutospacing="1" w:after="100" w:afterAutospacing="1"/>
        <w:ind w:firstLine="600"/>
        <w:outlineLvl w:val="0"/>
        <w:rPr>
          <w:b/>
          <w:bCs/>
          <w:sz w:val="24"/>
          <w:lang w:val="zh-CN"/>
        </w:rPr>
      </w:pPr>
    </w:p>
    <w:p w14:paraId="19108E90">
      <w:pPr>
        <w:pStyle w:val="15"/>
        <w:adjustRightInd/>
        <w:snapToGrid/>
        <w:spacing w:before="100" w:beforeAutospacing="1" w:after="100" w:afterAutospacing="1"/>
        <w:ind w:firstLine="600"/>
        <w:outlineLvl w:val="0"/>
        <w:rPr>
          <w:b/>
          <w:bCs/>
          <w:sz w:val="24"/>
          <w:lang w:val="zh-CN"/>
        </w:rPr>
      </w:pPr>
    </w:p>
    <w:p w14:paraId="7E5268B5">
      <w:pPr>
        <w:pStyle w:val="15"/>
        <w:adjustRightInd/>
        <w:snapToGrid/>
        <w:spacing w:before="100" w:beforeAutospacing="1" w:after="100" w:afterAutospacing="1"/>
        <w:ind w:firstLine="600"/>
        <w:outlineLvl w:val="0"/>
        <w:rPr>
          <w:b/>
          <w:bCs/>
          <w:sz w:val="24"/>
          <w:lang w:val="zh-CN"/>
        </w:rPr>
      </w:pPr>
    </w:p>
    <w:p w14:paraId="1BF267FD">
      <w:pPr>
        <w:pStyle w:val="15"/>
        <w:adjustRightInd/>
        <w:snapToGrid/>
        <w:spacing w:before="100" w:beforeAutospacing="1" w:after="100" w:afterAutospacing="1"/>
        <w:ind w:firstLine="600"/>
        <w:outlineLvl w:val="0"/>
        <w:rPr>
          <w:b/>
          <w:bCs/>
          <w:sz w:val="24"/>
          <w:lang w:val="zh-CN"/>
        </w:rPr>
      </w:pPr>
    </w:p>
    <w:p w14:paraId="7F1123A9">
      <w:pPr>
        <w:pStyle w:val="15"/>
        <w:adjustRightInd/>
        <w:snapToGrid/>
        <w:spacing w:before="100" w:beforeAutospacing="1" w:after="100" w:afterAutospacing="1"/>
        <w:ind w:firstLine="600"/>
        <w:outlineLvl w:val="0"/>
        <w:rPr>
          <w:b/>
          <w:bCs/>
          <w:sz w:val="24"/>
          <w:lang w:val="zh-CN"/>
        </w:rPr>
      </w:pPr>
    </w:p>
    <w:p w14:paraId="270212B8">
      <w:pPr>
        <w:pStyle w:val="15"/>
        <w:adjustRightInd/>
        <w:snapToGrid/>
        <w:spacing w:before="100" w:beforeAutospacing="1" w:after="100" w:afterAutospacing="1"/>
        <w:ind w:firstLine="600"/>
        <w:outlineLvl w:val="0"/>
        <w:rPr>
          <w:b/>
          <w:bCs/>
          <w:sz w:val="24"/>
          <w:lang w:val="zh-CN"/>
        </w:rPr>
      </w:pPr>
    </w:p>
    <w:p w14:paraId="2B96BC61">
      <w:pPr>
        <w:pStyle w:val="15"/>
        <w:adjustRightInd/>
        <w:snapToGrid/>
        <w:spacing w:before="100" w:beforeAutospacing="1" w:after="100" w:afterAutospacing="1"/>
        <w:ind w:firstLine="600"/>
        <w:outlineLvl w:val="0"/>
        <w:rPr>
          <w:b/>
          <w:bCs/>
          <w:sz w:val="24"/>
          <w:lang w:val="zh-CN"/>
        </w:rPr>
      </w:pPr>
    </w:p>
    <w:p w14:paraId="5FBAC29D">
      <w:pPr>
        <w:pStyle w:val="15"/>
        <w:adjustRightInd/>
        <w:snapToGrid/>
        <w:spacing w:before="100" w:beforeAutospacing="1" w:after="100" w:afterAutospacing="1"/>
        <w:ind w:firstLine="600"/>
        <w:outlineLvl w:val="0"/>
        <w:rPr>
          <w:b/>
          <w:bCs/>
          <w:sz w:val="24"/>
          <w:lang w:val="zh-CN"/>
        </w:rPr>
      </w:pPr>
    </w:p>
    <w:p w14:paraId="4ACEC5D2">
      <w:pPr>
        <w:pStyle w:val="15"/>
        <w:adjustRightInd/>
        <w:snapToGrid/>
        <w:spacing w:before="100" w:beforeAutospacing="1" w:after="100" w:afterAutospacing="1"/>
        <w:ind w:firstLine="600"/>
        <w:outlineLvl w:val="0"/>
        <w:rPr>
          <w:b/>
          <w:bCs/>
          <w:sz w:val="24"/>
          <w:lang w:val="zh-CN"/>
        </w:rPr>
      </w:pPr>
    </w:p>
    <w:p w14:paraId="09509ACF">
      <w:pPr>
        <w:pStyle w:val="15"/>
        <w:adjustRightInd/>
        <w:snapToGrid/>
        <w:spacing w:before="100" w:beforeAutospacing="1" w:after="100" w:afterAutospacing="1"/>
        <w:ind w:firstLine="600"/>
        <w:outlineLvl w:val="0"/>
        <w:rPr>
          <w:b/>
          <w:bCs/>
          <w:sz w:val="24"/>
          <w:lang w:val="zh-CN"/>
        </w:rPr>
      </w:pPr>
    </w:p>
    <w:p w14:paraId="6B64E88A">
      <w:pPr>
        <w:pStyle w:val="15"/>
        <w:adjustRightInd/>
        <w:snapToGrid/>
        <w:spacing w:before="100" w:beforeAutospacing="1" w:after="100" w:afterAutospacing="1"/>
        <w:ind w:firstLine="600"/>
        <w:outlineLvl w:val="0"/>
        <w:rPr>
          <w:b/>
          <w:bCs/>
          <w:sz w:val="24"/>
          <w:lang w:val="zh-CN"/>
        </w:rPr>
      </w:pPr>
    </w:p>
    <w:p w14:paraId="7A5EA964">
      <w:pPr>
        <w:pStyle w:val="15"/>
        <w:adjustRightInd/>
        <w:snapToGrid/>
        <w:spacing w:before="100" w:beforeAutospacing="1" w:after="100" w:afterAutospacing="1"/>
        <w:ind w:firstLine="600"/>
        <w:outlineLvl w:val="0"/>
        <w:rPr>
          <w:b/>
          <w:bCs/>
          <w:sz w:val="24"/>
          <w:lang w:val="zh-CN"/>
        </w:rPr>
      </w:pPr>
    </w:p>
    <w:p w14:paraId="1F7ECAD8">
      <w:pPr>
        <w:pStyle w:val="15"/>
        <w:adjustRightInd/>
        <w:snapToGrid/>
        <w:spacing w:before="100" w:beforeAutospacing="1" w:after="100" w:afterAutospacing="1"/>
        <w:ind w:firstLine="600"/>
        <w:outlineLvl w:val="0"/>
        <w:rPr>
          <w:b/>
          <w:bCs/>
          <w:sz w:val="24"/>
          <w:lang w:val="zh-CN"/>
        </w:rPr>
      </w:pPr>
    </w:p>
    <w:p w14:paraId="262C43E0">
      <w:pPr>
        <w:pStyle w:val="15"/>
        <w:adjustRightInd/>
        <w:snapToGrid/>
        <w:spacing w:before="100" w:beforeAutospacing="1" w:after="100" w:afterAutospacing="1"/>
        <w:ind w:firstLine="600"/>
        <w:outlineLvl w:val="0"/>
        <w:rPr>
          <w:b/>
          <w:bCs/>
          <w:sz w:val="24"/>
          <w:lang w:val="zh-CN"/>
        </w:rPr>
      </w:pPr>
    </w:p>
    <w:p w14:paraId="615AF5AC">
      <w:pPr>
        <w:pStyle w:val="15"/>
        <w:adjustRightInd/>
        <w:snapToGrid/>
        <w:spacing w:before="100" w:beforeAutospacing="1" w:after="100" w:afterAutospacing="1"/>
        <w:ind w:firstLine="600"/>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bookmarkEnd w:id="4"/>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87"/>
        <w:gridCol w:w="1813"/>
        <w:gridCol w:w="2621"/>
        <w:gridCol w:w="3449"/>
      </w:tblGrid>
      <w:tr w14:paraId="3B2D39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57" w:type="pct"/>
            <w:tcMar>
              <w:top w:w="16" w:type="dxa"/>
              <w:left w:w="16" w:type="dxa"/>
              <w:right w:w="16" w:type="dxa"/>
            </w:tcMar>
            <w:vAlign w:val="center"/>
          </w:tcPr>
          <w:p w14:paraId="798FBE9E">
            <w:pPr>
              <w:adjustRightInd w:val="0"/>
              <w:snapToGrid w:val="0"/>
              <w:jc w:val="center"/>
            </w:pPr>
            <w:bookmarkStart w:id="5" w:name="_Hlk167310145"/>
            <w:r>
              <w:t>建设项目名称</w:t>
            </w:r>
          </w:p>
        </w:tc>
        <w:tc>
          <w:tcPr>
            <w:tcW w:w="4443" w:type="pct"/>
            <w:gridSpan w:val="3"/>
            <w:vAlign w:val="center"/>
          </w:tcPr>
          <w:p w14:paraId="1A90AC43">
            <w:pPr>
              <w:adjustRightInd w:val="0"/>
              <w:snapToGrid w:val="0"/>
              <w:jc w:val="center"/>
            </w:pPr>
            <w:r>
              <w:t>通川区九州通医药产业链一期建设项目</w:t>
            </w:r>
          </w:p>
        </w:tc>
      </w:tr>
      <w:tr w14:paraId="32B3C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57" w:type="pct"/>
            <w:tcMar>
              <w:top w:w="16" w:type="dxa"/>
              <w:left w:w="16" w:type="dxa"/>
              <w:right w:w="16" w:type="dxa"/>
            </w:tcMar>
            <w:vAlign w:val="center"/>
          </w:tcPr>
          <w:p w14:paraId="50FE995F">
            <w:pPr>
              <w:adjustRightInd w:val="0"/>
              <w:snapToGrid w:val="0"/>
              <w:jc w:val="center"/>
            </w:pPr>
            <w:r>
              <w:t>项目代码</w:t>
            </w:r>
          </w:p>
        </w:tc>
        <w:tc>
          <w:tcPr>
            <w:tcW w:w="4443" w:type="pct"/>
            <w:gridSpan w:val="3"/>
            <w:vAlign w:val="center"/>
          </w:tcPr>
          <w:p w14:paraId="524EC3A0">
            <w:pPr>
              <w:adjustRightInd w:val="0"/>
              <w:snapToGrid w:val="0"/>
              <w:jc w:val="center"/>
            </w:pPr>
            <w:r>
              <w:rPr>
                <w:bCs/>
              </w:rPr>
              <w:t>2407-511702-04-01-293360</w:t>
            </w:r>
          </w:p>
        </w:tc>
      </w:tr>
      <w:tr w14:paraId="24C016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57" w:type="pct"/>
            <w:tcMar>
              <w:top w:w="16" w:type="dxa"/>
              <w:left w:w="16" w:type="dxa"/>
              <w:right w:w="16" w:type="dxa"/>
            </w:tcMar>
            <w:vAlign w:val="center"/>
          </w:tcPr>
          <w:p w14:paraId="355E8D1D">
            <w:pPr>
              <w:adjustRightInd w:val="0"/>
              <w:snapToGrid w:val="0"/>
              <w:jc w:val="center"/>
            </w:pPr>
            <w:r>
              <w:t>建设单位联系人</w:t>
            </w:r>
          </w:p>
        </w:tc>
        <w:tc>
          <w:tcPr>
            <w:tcW w:w="1022" w:type="pct"/>
            <w:vAlign w:val="center"/>
          </w:tcPr>
          <w:p w14:paraId="0758660F">
            <w:pPr>
              <w:adjustRightInd w:val="0"/>
              <w:snapToGrid w:val="0"/>
              <w:jc w:val="center"/>
            </w:pPr>
            <w:r>
              <w:rPr>
                <w:rFonts w:hint="eastAsia"/>
              </w:rPr>
              <w:t>刘兰芳</w:t>
            </w:r>
          </w:p>
        </w:tc>
        <w:tc>
          <w:tcPr>
            <w:tcW w:w="1477" w:type="pct"/>
            <w:vAlign w:val="center"/>
          </w:tcPr>
          <w:p w14:paraId="654FFCBA">
            <w:pPr>
              <w:adjustRightInd w:val="0"/>
              <w:snapToGrid w:val="0"/>
              <w:jc w:val="center"/>
            </w:pPr>
            <w:r>
              <w:t>联系方式</w:t>
            </w:r>
          </w:p>
        </w:tc>
        <w:tc>
          <w:tcPr>
            <w:tcW w:w="1944" w:type="pct"/>
            <w:vAlign w:val="center"/>
          </w:tcPr>
          <w:p w14:paraId="489F5D03">
            <w:pPr>
              <w:adjustRightInd w:val="0"/>
              <w:snapToGrid w:val="0"/>
              <w:jc w:val="center"/>
            </w:pPr>
            <w:r>
              <w:t>18117923737</w:t>
            </w:r>
          </w:p>
        </w:tc>
      </w:tr>
      <w:tr w14:paraId="60D23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57" w:type="pct"/>
            <w:tcMar>
              <w:top w:w="16" w:type="dxa"/>
              <w:left w:w="16" w:type="dxa"/>
              <w:right w:w="16" w:type="dxa"/>
            </w:tcMar>
            <w:vAlign w:val="center"/>
          </w:tcPr>
          <w:p w14:paraId="781BDCDF">
            <w:pPr>
              <w:adjustRightInd w:val="0"/>
              <w:snapToGrid w:val="0"/>
              <w:jc w:val="center"/>
            </w:pPr>
            <w:r>
              <w:t>建设地点</w:t>
            </w:r>
          </w:p>
        </w:tc>
        <w:tc>
          <w:tcPr>
            <w:tcW w:w="4443" w:type="pct"/>
            <w:gridSpan w:val="3"/>
            <w:vAlign w:val="center"/>
          </w:tcPr>
          <w:p w14:paraId="5FF54E85">
            <w:pPr>
              <w:adjustRightInd w:val="0"/>
              <w:snapToGrid w:val="0"/>
              <w:jc w:val="center"/>
            </w:pPr>
            <w:r>
              <w:t>四川省达州市通川经开区医药产业园11 栋3 层</w:t>
            </w:r>
          </w:p>
        </w:tc>
      </w:tr>
      <w:tr w14:paraId="5A825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57" w:type="pct"/>
            <w:tcMar>
              <w:top w:w="16" w:type="dxa"/>
              <w:left w:w="16" w:type="dxa"/>
              <w:right w:w="16" w:type="dxa"/>
            </w:tcMar>
            <w:vAlign w:val="center"/>
          </w:tcPr>
          <w:p w14:paraId="7BFD869C">
            <w:pPr>
              <w:adjustRightInd w:val="0"/>
              <w:snapToGrid w:val="0"/>
              <w:jc w:val="center"/>
            </w:pPr>
            <w:r>
              <w:t>地理坐标</w:t>
            </w:r>
          </w:p>
        </w:tc>
        <w:tc>
          <w:tcPr>
            <w:tcW w:w="4443" w:type="pct"/>
            <w:gridSpan w:val="3"/>
            <w:vAlign w:val="center"/>
          </w:tcPr>
          <w:p w14:paraId="4821FA0B">
            <w:pPr>
              <w:jc w:val="center"/>
            </w:pPr>
            <w:r>
              <w:t>（</w:t>
            </w:r>
            <w:bookmarkStart w:id="6" w:name="_Hlk132896460"/>
            <w:r>
              <w:rPr>
                <w:rFonts w:hint="eastAsia"/>
                <w:u w:val="single"/>
              </w:rPr>
              <w:t>东经</w:t>
            </w:r>
            <w:r>
              <w:rPr>
                <w:u w:val="single"/>
              </w:rPr>
              <w:t>107°30'51.0611"</w:t>
            </w:r>
            <w:r>
              <w:rPr>
                <w:rFonts w:hint="eastAsia"/>
                <w:u w:val="single"/>
              </w:rPr>
              <w:t>；北纬</w:t>
            </w:r>
            <w:r>
              <w:rPr>
                <w:u w:val="single"/>
              </w:rPr>
              <w:t>31°20'48.1054"</w:t>
            </w:r>
            <w:bookmarkEnd w:id="6"/>
            <w:r>
              <w:t>）</w:t>
            </w:r>
          </w:p>
        </w:tc>
      </w:tr>
      <w:tr w14:paraId="002320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557" w:type="pct"/>
            <w:tcMar>
              <w:top w:w="16" w:type="dxa"/>
              <w:left w:w="16" w:type="dxa"/>
              <w:right w:w="16" w:type="dxa"/>
            </w:tcMar>
            <w:vAlign w:val="center"/>
          </w:tcPr>
          <w:p w14:paraId="56397D04">
            <w:pPr>
              <w:adjustRightInd w:val="0"/>
              <w:snapToGrid w:val="0"/>
              <w:jc w:val="center"/>
            </w:pPr>
            <w:r>
              <w:t>国民经济</w:t>
            </w:r>
          </w:p>
          <w:p w14:paraId="767DD77E">
            <w:pPr>
              <w:adjustRightInd w:val="0"/>
              <w:snapToGrid w:val="0"/>
              <w:jc w:val="center"/>
            </w:pPr>
            <w:r>
              <w:t>行业类别</w:t>
            </w:r>
          </w:p>
        </w:tc>
        <w:tc>
          <w:tcPr>
            <w:tcW w:w="1022" w:type="pct"/>
            <w:vAlign w:val="center"/>
          </w:tcPr>
          <w:p w14:paraId="54C10332">
            <w:pPr>
              <w:autoSpaceDE w:val="0"/>
              <w:autoSpaceDN w:val="0"/>
              <w:adjustRightInd w:val="0"/>
              <w:jc w:val="center"/>
            </w:pPr>
            <w:r>
              <w:rPr>
                <w:rFonts w:hint="eastAsia"/>
              </w:rPr>
              <w:t>C2740 中成药生产</w:t>
            </w:r>
          </w:p>
        </w:tc>
        <w:tc>
          <w:tcPr>
            <w:tcW w:w="1477" w:type="pct"/>
            <w:vAlign w:val="center"/>
          </w:tcPr>
          <w:p w14:paraId="0BA469E9">
            <w:pPr>
              <w:adjustRightInd w:val="0"/>
              <w:snapToGrid w:val="0"/>
              <w:jc w:val="center"/>
            </w:pPr>
            <w:bookmarkStart w:id="7" w:name="_Hlk49843745"/>
            <w:r>
              <w:t>建设项目</w:t>
            </w:r>
          </w:p>
          <w:p w14:paraId="3D7FD3D4">
            <w:pPr>
              <w:adjustRightInd w:val="0"/>
              <w:snapToGrid w:val="0"/>
              <w:jc w:val="center"/>
            </w:pPr>
            <w:r>
              <w:t>行业类别</w:t>
            </w:r>
            <w:bookmarkEnd w:id="7"/>
          </w:p>
        </w:tc>
        <w:tc>
          <w:tcPr>
            <w:tcW w:w="1944" w:type="pct"/>
            <w:vAlign w:val="center"/>
          </w:tcPr>
          <w:p w14:paraId="30A9E0D5">
            <w:pPr>
              <w:adjustRightInd w:val="0"/>
              <w:snapToGrid w:val="0"/>
              <w:jc w:val="center"/>
            </w:pPr>
            <w:r>
              <w:rPr>
                <w:rFonts w:hint="eastAsia"/>
              </w:rPr>
              <w:t>“二十四、医药制造业27”中“48中成药生产274*”中“其他（单纯切片、制干、打包的除外）”</w:t>
            </w:r>
          </w:p>
        </w:tc>
      </w:tr>
      <w:tr w14:paraId="75D537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557" w:type="pct"/>
            <w:tcMar>
              <w:top w:w="16" w:type="dxa"/>
              <w:left w:w="16" w:type="dxa"/>
              <w:right w:w="16" w:type="dxa"/>
            </w:tcMar>
            <w:vAlign w:val="center"/>
          </w:tcPr>
          <w:p w14:paraId="5E9FAF4A">
            <w:pPr>
              <w:adjustRightInd w:val="0"/>
              <w:snapToGrid w:val="0"/>
              <w:jc w:val="center"/>
            </w:pPr>
            <w:r>
              <w:t>建设性质</w:t>
            </w:r>
          </w:p>
        </w:tc>
        <w:tc>
          <w:tcPr>
            <w:tcW w:w="1022" w:type="pct"/>
            <w:vAlign w:val="center"/>
          </w:tcPr>
          <w:p w14:paraId="2F14A4D8">
            <w:r>
              <w:rPr/>
              <w:sym w:font="Wingdings 2" w:char="0052"/>
            </w:r>
            <w:r>
              <w:t>新建（迁建）</w:t>
            </w:r>
          </w:p>
          <w:p w14:paraId="4604B71A">
            <w:r>
              <w:rPr>
                <w:rFonts w:hint="eastAsia"/>
              </w:rPr>
              <w:sym w:font="Wingdings 2" w:char="00A3"/>
            </w:r>
            <w:r>
              <w:t>改建</w:t>
            </w:r>
          </w:p>
          <w:p w14:paraId="3DF148F9">
            <w:r>
              <w:rPr>
                <w:rFonts w:hint="eastAsia"/>
              </w:rPr>
              <w:sym w:font="Wingdings 2" w:char="00A3"/>
            </w:r>
            <w:r>
              <w:t>扩建</w:t>
            </w:r>
          </w:p>
          <w:p w14:paraId="6C893AD7">
            <w:r>
              <w:rPr>
                <w:rFonts w:hint="eastAsia"/>
              </w:rPr>
              <w:sym w:font="Wingdings 2" w:char="00A3"/>
            </w:r>
            <w:r>
              <w:t>技术改造</w:t>
            </w:r>
          </w:p>
        </w:tc>
        <w:tc>
          <w:tcPr>
            <w:tcW w:w="1477" w:type="pct"/>
            <w:vAlign w:val="center"/>
          </w:tcPr>
          <w:p w14:paraId="67A347C2">
            <w:pPr>
              <w:adjustRightInd w:val="0"/>
              <w:snapToGrid w:val="0"/>
              <w:jc w:val="center"/>
            </w:pPr>
            <w:r>
              <w:t>建设项目</w:t>
            </w:r>
          </w:p>
          <w:p w14:paraId="7E04CED7">
            <w:pPr>
              <w:adjustRightInd w:val="0"/>
              <w:snapToGrid w:val="0"/>
              <w:jc w:val="center"/>
            </w:pPr>
            <w:r>
              <w:t>申报情形</w:t>
            </w:r>
          </w:p>
        </w:tc>
        <w:tc>
          <w:tcPr>
            <w:tcW w:w="1944" w:type="pct"/>
            <w:vAlign w:val="center"/>
          </w:tcPr>
          <w:p w14:paraId="1980077E">
            <w:r>
              <w:rPr/>
              <w:sym w:font="Wingdings 2" w:char="0052"/>
            </w:r>
            <w:r>
              <w:t>首次申报项目</w:t>
            </w:r>
          </w:p>
          <w:p w14:paraId="5FAC2A23">
            <w:r>
              <w:rPr/>
              <w:sym w:font="Wingdings 2" w:char="00A3"/>
            </w:r>
            <w:r>
              <w:t>不予批准后再次申报项目</w:t>
            </w:r>
          </w:p>
          <w:p w14:paraId="6AD977D9">
            <w:r>
              <w:rPr/>
              <w:sym w:font="Wingdings 2" w:char="00A3"/>
            </w:r>
            <w:r>
              <w:t>超五年重新审核项目</w:t>
            </w:r>
          </w:p>
          <w:p w14:paraId="33D7B8B1">
            <w:r>
              <w:rPr/>
              <w:sym w:font="Wingdings 2" w:char="00A3"/>
            </w:r>
            <w:r>
              <w:t>重大变动重新报批项目</w:t>
            </w:r>
          </w:p>
        </w:tc>
      </w:tr>
      <w:tr w14:paraId="637A4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557" w:type="pct"/>
            <w:tcMar>
              <w:top w:w="16" w:type="dxa"/>
              <w:left w:w="16" w:type="dxa"/>
              <w:right w:w="16" w:type="dxa"/>
            </w:tcMar>
            <w:vAlign w:val="center"/>
          </w:tcPr>
          <w:p w14:paraId="0FC64F87">
            <w:pPr>
              <w:adjustRightInd w:val="0"/>
              <w:snapToGrid w:val="0"/>
              <w:jc w:val="center"/>
            </w:pPr>
            <w:r>
              <w:t>项目审批（核准/备案）部门（选填）</w:t>
            </w:r>
          </w:p>
        </w:tc>
        <w:tc>
          <w:tcPr>
            <w:tcW w:w="1022" w:type="pct"/>
            <w:vAlign w:val="center"/>
          </w:tcPr>
          <w:p w14:paraId="45E5B9CC">
            <w:pPr>
              <w:adjustRightInd w:val="0"/>
              <w:snapToGrid w:val="0"/>
              <w:jc w:val="center"/>
            </w:pPr>
            <w:r>
              <w:rPr>
                <w:rFonts w:hint="eastAsia"/>
              </w:rPr>
              <w:t>通川区发展和改革局</w:t>
            </w:r>
          </w:p>
        </w:tc>
        <w:tc>
          <w:tcPr>
            <w:tcW w:w="1477" w:type="pct"/>
            <w:vAlign w:val="center"/>
          </w:tcPr>
          <w:p w14:paraId="19159317">
            <w:pPr>
              <w:adjustRightInd w:val="0"/>
              <w:snapToGrid w:val="0"/>
              <w:jc w:val="center"/>
            </w:pPr>
            <w:r>
              <w:t>项目审批（核准/</w:t>
            </w:r>
          </w:p>
          <w:p w14:paraId="6BB893DF">
            <w:pPr>
              <w:adjustRightInd w:val="0"/>
              <w:snapToGrid w:val="0"/>
              <w:jc w:val="center"/>
            </w:pPr>
            <w:r>
              <w:t>备案）文号（选填）</w:t>
            </w:r>
          </w:p>
        </w:tc>
        <w:tc>
          <w:tcPr>
            <w:tcW w:w="1944" w:type="pct"/>
            <w:vAlign w:val="center"/>
          </w:tcPr>
          <w:p w14:paraId="230DCCE5">
            <w:pPr>
              <w:adjustRightInd w:val="0"/>
              <w:snapToGrid w:val="0"/>
              <w:jc w:val="center"/>
            </w:pPr>
            <w:r>
              <w:rPr>
                <w:rFonts w:hint="eastAsia"/>
                <w:bCs/>
              </w:rPr>
              <w:t>川投资备【2407-511702-04-01-293360】FGQB-0332号</w:t>
            </w:r>
          </w:p>
        </w:tc>
      </w:tr>
      <w:tr w14:paraId="3ACAF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57" w:type="pct"/>
            <w:tcMar>
              <w:top w:w="16" w:type="dxa"/>
              <w:left w:w="16" w:type="dxa"/>
              <w:right w:w="16" w:type="dxa"/>
            </w:tcMar>
            <w:vAlign w:val="center"/>
          </w:tcPr>
          <w:p w14:paraId="6462D6D2">
            <w:pPr>
              <w:adjustRightInd w:val="0"/>
              <w:snapToGrid w:val="0"/>
              <w:jc w:val="center"/>
            </w:pPr>
            <w:r>
              <w:t>总投资（万元）</w:t>
            </w:r>
          </w:p>
        </w:tc>
        <w:tc>
          <w:tcPr>
            <w:tcW w:w="1022" w:type="pct"/>
            <w:vAlign w:val="center"/>
          </w:tcPr>
          <w:p w14:paraId="3ED81047">
            <w:pPr>
              <w:adjustRightInd w:val="0"/>
              <w:snapToGrid w:val="0"/>
              <w:jc w:val="center"/>
            </w:pPr>
            <w:r>
              <w:t>500</w:t>
            </w:r>
            <w:r>
              <w:rPr>
                <w:rFonts w:hint="eastAsia"/>
              </w:rPr>
              <w:t>0</w:t>
            </w:r>
          </w:p>
        </w:tc>
        <w:tc>
          <w:tcPr>
            <w:tcW w:w="1477" w:type="pct"/>
            <w:tcMar>
              <w:top w:w="16" w:type="dxa"/>
              <w:left w:w="16" w:type="dxa"/>
              <w:right w:w="16" w:type="dxa"/>
            </w:tcMar>
            <w:vAlign w:val="center"/>
          </w:tcPr>
          <w:p w14:paraId="01F55368">
            <w:pPr>
              <w:adjustRightInd w:val="0"/>
              <w:snapToGrid w:val="0"/>
              <w:jc w:val="center"/>
            </w:pPr>
            <w:r>
              <w:t>环保投资（万元）</w:t>
            </w:r>
          </w:p>
        </w:tc>
        <w:tc>
          <w:tcPr>
            <w:tcW w:w="1944" w:type="pct"/>
            <w:vAlign w:val="center"/>
          </w:tcPr>
          <w:p w14:paraId="3B8D6791">
            <w:pPr>
              <w:adjustRightInd w:val="0"/>
              <w:snapToGrid w:val="0"/>
              <w:jc w:val="center"/>
              <w:rPr>
                <w:rFonts w:hint="eastAsia"/>
              </w:rPr>
            </w:pPr>
            <w:r>
              <w:rPr>
                <w:rFonts w:hint="eastAsia"/>
              </w:rPr>
              <w:t>17.5</w:t>
            </w:r>
          </w:p>
        </w:tc>
      </w:tr>
      <w:tr w14:paraId="7F9DD3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57" w:type="pct"/>
            <w:tcMar>
              <w:top w:w="16" w:type="dxa"/>
              <w:left w:w="16" w:type="dxa"/>
              <w:right w:w="16" w:type="dxa"/>
            </w:tcMar>
            <w:vAlign w:val="center"/>
          </w:tcPr>
          <w:p w14:paraId="17188662">
            <w:pPr>
              <w:adjustRightInd w:val="0"/>
              <w:snapToGrid w:val="0"/>
              <w:jc w:val="center"/>
            </w:pPr>
            <w:r>
              <w:t>环保投资占比（%）</w:t>
            </w:r>
          </w:p>
        </w:tc>
        <w:tc>
          <w:tcPr>
            <w:tcW w:w="1022" w:type="pct"/>
            <w:vAlign w:val="center"/>
          </w:tcPr>
          <w:p w14:paraId="22E81DAB">
            <w:pPr>
              <w:adjustRightInd w:val="0"/>
              <w:snapToGrid w:val="0"/>
              <w:jc w:val="center"/>
              <w:rPr>
                <w:rFonts w:hint="eastAsia"/>
              </w:rPr>
            </w:pPr>
            <w:r>
              <w:rPr>
                <w:rFonts w:hint="eastAsia"/>
              </w:rPr>
              <w:t>0.35</w:t>
            </w:r>
          </w:p>
        </w:tc>
        <w:tc>
          <w:tcPr>
            <w:tcW w:w="1477" w:type="pct"/>
            <w:tcMar>
              <w:top w:w="16" w:type="dxa"/>
              <w:left w:w="16" w:type="dxa"/>
              <w:right w:w="16" w:type="dxa"/>
            </w:tcMar>
            <w:vAlign w:val="center"/>
          </w:tcPr>
          <w:p w14:paraId="3DC6E836">
            <w:pPr>
              <w:adjustRightInd w:val="0"/>
              <w:snapToGrid w:val="0"/>
              <w:jc w:val="center"/>
            </w:pPr>
            <w:r>
              <w:t>施工工期</w:t>
            </w:r>
          </w:p>
        </w:tc>
        <w:tc>
          <w:tcPr>
            <w:tcW w:w="1944" w:type="pct"/>
            <w:vAlign w:val="center"/>
          </w:tcPr>
          <w:p w14:paraId="12C73736">
            <w:pPr>
              <w:adjustRightInd w:val="0"/>
              <w:snapToGrid w:val="0"/>
              <w:jc w:val="center"/>
            </w:pPr>
            <w:r>
              <w:rPr>
                <w:rFonts w:hint="eastAsia"/>
              </w:rPr>
              <w:t>6个月</w:t>
            </w:r>
          </w:p>
        </w:tc>
      </w:tr>
      <w:tr w14:paraId="6800F3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57" w:type="pct"/>
            <w:tcMar>
              <w:top w:w="16" w:type="dxa"/>
              <w:left w:w="16" w:type="dxa"/>
              <w:right w:w="16" w:type="dxa"/>
            </w:tcMar>
            <w:vAlign w:val="center"/>
          </w:tcPr>
          <w:p w14:paraId="64B6A204">
            <w:pPr>
              <w:adjustRightInd w:val="0"/>
              <w:snapToGrid w:val="0"/>
              <w:jc w:val="center"/>
            </w:pPr>
            <w:r>
              <w:t>是否开工建设</w:t>
            </w:r>
          </w:p>
        </w:tc>
        <w:tc>
          <w:tcPr>
            <w:tcW w:w="1022" w:type="pct"/>
            <w:vAlign w:val="center"/>
          </w:tcPr>
          <w:p w14:paraId="4D725CE0">
            <w:pPr>
              <w:adjustRightInd w:val="0"/>
              <w:snapToGrid w:val="0"/>
              <w:jc w:val="center"/>
            </w:pPr>
            <w:r>
              <w:rPr/>
              <w:sym w:font="Wingdings 2" w:char="0052"/>
            </w:r>
            <w:r>
              <w:t>否</w:t>
            </w:r>
          </w:p>
          <w:p w14:paraId="3761ED05">
            <w:pPr>
              <w:adjustRightInd w:val="0"/>
              <w:snapToGrid w:val="0"/>
              <w:jc w:val="center"/>
            </w:pPr>
            <w:r>
              <w:rPr/>
              <w:sym w:font="Wingdings 2" w:char="00A3"/>
            </w:r>
            <w:r>
              <w:t>是：</w:t>
            </w:r>
          </w:p>
        </w:tc>
        <w:tc>
          <w:tcPr>
            <w:tcW w:w="1477" w:type="pct"/>
            <w:tcMar>
              <w:top w:w="16" w:type="dxa"/>
              <w:left w:w="16" w:type="dxa"/>
              <w:right w:w="16" w:type="dxa"/>
            </w:tcMar>
            <w:vAlign w:val="center"/>
          </w:tcPr>
          <w:p w14:paraId="42CEA505">
            <w:pPr>
              <w:adjustRightInd w:val="0"/>
              <w:snapToGrid w:val="0"/>
              <w:jc w:val="center"/>
              <w:rPr>
                <w:spacing w:val="-6"/>
              </w:rPr>
            </w:pPr>
            <w:r>
              <w:rPr>
                <w:spacing w:val="-6"/>
              </w:rPr>
              <w:t>用地（用海）</w:t>
            </w:r>
          </w:p>
          <w:p w14:paraId="0C9D803E">
            <w:pPr>
              <w:adjustRightInd w:val="0"/>
              <w:snapToGrid w:val="0"/>
              <w:jc w:val="center"/>
            </w:pPr>
            <w:r>
              <w:rPr>
                <w:spacing w:val="-6"/>
              </w:rPr>
              <w:t>面积（m</w:t>
            </w:r>
            <w:r>
              <w:rPr>
                <w:spacing w:val="-6"/>
                <w:vertAlign w:val="superscript"/>
              </w:rPr>
              <w:t>2</w:t>
            </w:r>
            <w:r>
              <w:rPr>
                <w:spacing w:val="-6"/>
              </w:rPr>
              <w:t>）</w:t>
            </w:r>
          </w:p>
        </w:tc>
        <w:tc>
          <w:tcPr>
            <w:tcW w:w="1944" w:type="pct"/>
            <w:vAlign w:val="center"/>
          </w:tcPr>
          <w:p w14:paraId="114D92AF">
            <w:pPr>
              <w:jc w:val="center"/>
              <w:rPr>
                <w:color w:val="FF0000"/>
              </w:rPr>
            </w:pPr>
            <w:r>
              <w:rPr>
                <w:rFonts w:hint="eastAsia"/>
              </w:rPr>
              <w:t>租用厂房约5000m</w:t>
            </w:r>
            <w:r>
              <w:rPr>
                <w:rFonts w:hint="eastAsia"/>
                <w:vertAlign w:val="superscript"/>
              </w:rPr>
              <w:t>2</w:t>
            </w:r>
          </w:p>
        </w:tc>
      </w:tr>
      <w:bookmarkEnd w:id="5"/>
      <w:tr w14:paraId="25542A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557" w:type="pct"/>
            <w:vAlign w:val="center"/>
          </w:tcPr>
          <w:p w14:paraId="079CA4B3">
            <w:pPr>
              <w:autoSpaceDE w:val="0"/>
              <w:autoSpaceDN w:val="0"/>
              <w:adjustRightInd w:val="0"/>
              <w:snapToGrid w:val="0"/>
              <w:jc w:val="center"/>
            </w:pPr>
            <w:r>
              <w:t>专项评价设置情况</w:t>
            </w:r>
          </w:p>
        </w:tc>
        <w:tc>
          <w:tcPr>
            <w:tcW w:w="4443" w:type="pct"/>
            <w:gridSpan w:val="3"/>
            <w:vAlign w:val="center"/>
          </w:tcPr>
          <w:p w14:paraId="1F672991">
            <w:pPr>
              <w:autoSpaceDE w:val="0"/>
              <w:autoSpaceDN w:val="0"/>
              <w:adjustRightInd w:val="0"/>
              <w:snapToGrid w:val="0"/>
              <w:jc w:val="center"/>
              <w:rPr>
                <w:b/>
              </w:rPr>
            </w:pPr>
            <w:r>
              <w:rPr>
                <w:rFonts w:hint="eastAsia"/>
                <w:b/>
              </w:rPr>
              <w:t>表</w:t>
            </w:r>
            <w:r>
              <w:rPr>
                <w:b/>
              </w:rPr>
              <w:t xml:space="preserve">1-1  </w:t>
            </w:r>
            <w:r>
              <w:rPr>
                <w:rFonts w:hint="eastAsia"/>
                <w:b/>
              </w:rPr>
              <w:t>专项评价设置对照表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2"/>
              <w:gridCol w:w="3234"/>
              <w:gridCol w:w="2522"/>
              <w:gridCol w:w="948"/>
            </w:tblGrid>
            <w:tr w14:paraId="4441A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shd w:val="clear" w:color="auto" w:fill="auto"/>
                  <w:vAlign w:val="center"/>
                </w:tcPr>
                <w:p w14:paraId="53B25E8A">
                  <w:pPr>
                    <w:autoSpaceDE w:val="0"/>
                    <w:autoSpaceDN w:val="0"/>
                    <w:adjustRightInd w:val="0"/>
                    <w:snapToGrid w:val="0"/>
                    <w:jc w:val="center"/>
                    <w:rPr>
                      <w:b/>
                      <w:bCs/>
                    </w:rPr>
                  </w:pPr>
                  <w:bookmarkStart w:id="8" w:name="_Hlk167310379"/>
                  <w:r>
                    <w:rPr>
                      <w:rFonts w:hint="eastAsia"/>
                      <w:b/>
                      <w:bCs/>
                    </w:rPr>
                    <w:t>专项评价类别</w:t>
                  </w:r>
                </w:p>
              </w:tc>
              <w:tc>
                <w:tcPr>
                  <w:tcW w:w="2109" w:type="pct"/>
                  <w:shd w:val="clear" w:color="auto" w:fill="auto"/>
                  <w:vAlign w:val="center"/>
                </w:tcPr>
                <w:p w14:paraId="7CE1BD2E">
                  <w:pPr>
                    <w:autoSpaceDE w:val="0"/>
                    <w:autoSpaceDN w:val="0"/>
                    <w:adjustRightInd w:val="0"/>
                    <w:snapToGrid w:val="0"/>
                    <w:jc w:val="center"/>
                    <w:rPr>
                      <w:b/>
                      <w:bCs/>
                    </w:rPr>
                  </w:pPr>
                  <w:r>
                    <w:rPr>
                      <w:rFonts w:hint="eastAsia"/>
                      <w:b/>
                      <w:bCs/>
                    </w:rPr>
                    <w:t>设置原则</w:t>
                  </w:r>
                </w:p>
              </w:tc>
              <w:tc>
                <w:tcPr>
                  <w:tcW w:w="1645" w:type="pct"/>
                  <w:shd w:val="clear" w:color="auto" w:fill="auto"/>
                  <w:vAlign w:val="center"/>
                </w:tcPr>
                <w:p w14:paraId="7B2380DF">
                  <w:pPr>
                    <w:autoSpaceDE w:val="0"/>
                    <w:autoSpaceDN w:val="0"/>
                    <w:adjustRightInd w:val="0"/>
                    <w:snapToGrid w:val="0"/>
                    <w:jc w:val="center"/>
                    <w:rPr>
                      <w:b/>
                      <w:bCs/>
                    </w:rPr>
                  </w:pPr>
                  <w:r>
                    <w:rPr>
                      <w:rFonts w:hint="eastAsia"/>
                      <w:b/>
                      <w:bCs/>
                    </w:rPr>
                    <w:t>本项目情况</w:t>
                  </w:r>
                </w:p>
              </w:tc>
              <w:tc>
                <w:tcPr>
                  <w:tcW w:w="618" w:type="pct"/>
                  <w:shd w:val="clear" w:color="auto" w:fill="auto"/>
                  <w:vAlign w:val="center"/>
                </w:tcPr>
                <w:p w14:paraId="1C13F243">
                  <w:pPr>
                    <w:autoSpaceDE w:val="0"/>
                    <w:autoSpaceDN w:val="0"/>
                    <w:adjustRightInd w:val="0"/>
                    <w:snapToGrid w:val="0"/>
                    <w:jc w:val="center"/>
                    <w:rPr>
                      <w:b/>
                      <w:bCs/>
                    </w:rPr>
                  </w:pPr>
                  <w:r>
                    <w:rPr>
                      <w:rFonts w:hint="eastAsia"/>
                      <w:b/>
                      <w:bCs/>
                    </w:rPr>
                    <w:t>对照结果</w:t>
                  </w:r>
                </w:p>
              </w:tc>
            </w:tr>
            <w:tr w14:paraId="1A798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shd w:val="clear" w:color="auto" w:fill="auto"/>
                  <w:vAlign w:val="center"/>
                </w:tcPr>
                <w:p w14:paraId="250697A7">
                  <w:pPr>
                    <w:autoSpaceDE w:val="0"/>
                    <w:autoSpaceDN w:val="0"/>
                    <w:adjustRightInd w:val="0"/>
                    <w:snapToGrid w:val="0"/>
                    <w:jc w:val="center"/>
                  </w:pPr>
                  <w:r>
                    <w:rPr>
                      <w:rFonts w:hint="eastAsia"/>
                    </w:rPr>
                    <w:t>大气</w:t>
                  </w:r>
                </w:p>
              </w:tc>
              <w:tc>
                <w:tcPr>
                  <w:tcW w:w="2109" w:type="pct"/>
                  <w:shd w:val="clear" w:color="auto" w:fill="auto"/>
                  <w:vAlign w:val="center"/>
                </w:tcPr>
                <w:p w14:paraId="08F4A8A1">
                  <w:pPr>
                    <w:autoSpaceDE w:val="0"/>
                    <w:autoSpaceDN w:val="0"/>
                    <w:adjustRightInd w:val="0"/>
                    <w:snapToGrid w:val="0"/>
                  </w:pPr>
                  <w:r>
                    <w:rPr>
                      <w:rFonts w:hint="eastAsia"/>
                    </w:rPr>
                    <w:t>排放废气含有毒有害污染物、二噁英、苯并[α]芘、氰化物、氯气且厂界外500米范围内有环境空气保护目标的建设项目</w:t>
                  </w:r>
                </w:p>
              </w:tc>
              <w:tc>
                <w:tcPr>
                  <w:tcW w:w="1645" w:type="pct"/>
                  <w:shd w:val="clear" w:color="auto" w:fill="auto"/>
                  <w:vAlign w:val="center"/>
                </w:tcPr>
                <w:p w14:paraId="2CF5DC7D">
                  <w:pPr>
                    <w:autoSpaceDE w:val="0"/>
                    <w:autoSpaceDN w:val="0"/>
                    <w:adjustRightInd w:val="0"/>
                    <w:snapToGrid w:val="0"/>
                  </w:pPr>
                  <w:r>
                    <w:rPr>
                      <w:rFonts w:hint="eastAsia"/>
                    </w:rPr>
                    <w:t>排放废气主要为药材粉碎过程颗粒物及中药煎煮异味，不属于《有毒有害大气污染物名录》有毒有害污染物。</w:t>
                  </w:r>
                </w:p>
              </w:tc>
              <w:tc>
                <w:tcPr>
                  <w:tcW w:w="618" w:type="pct"/>
                  <w:shd w:val="clear" w:color="auto" w:fill="auto"/>
                  <w:vAlign w:val="center"/>
                </w:tcPr>
                <w:p w14:paraId="6F18837F">
                  <w:pPr>
                    <w:autoSpaceDE w:val="0"/>
                    <w:autoSpaceDN w:val="0"/>
                    <w:adjustRightInd w:val="0"/>
                    <w:snapToGrid w:val="0"/>
                    <w:jc w:val="center"/>
                  </w:pPr>
                  <w:r>
                    <w:rPr>
                      <w:rFonts w:hint="eastAsia"/>
                    </w:rPr>
                    <w:t>不设置</w:t>
                  </w:r>
                </w:p>
              </w:tc>
            </w:tr>
            <w:tr w14:paraId="00EA2C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shd w:val="clear" w:color="auto" w:fill="auto"/>
                  <w:vAlign w:val="center"/>
                </w:tcPr>
                <w:p w14:paraId="427EB0D8">
                  <w:pPr>
                    <w:autoSpaceDE w:val="0"/>
                    <w:autoSpaceDN w:val="0"/>
                    <w:adjustRightInd w:val="0"/>
                    <w:snapToGrid w:val="0"/>
                    <w:jc w:val="center"/>
                  </w:pPr>
                  <w:r>
                    <w:rPr>
                      <w:rFonts w:hint="eastAsia"/>
                    </w:rPr>
                    <w:t>地表水</w:t>
                  </w:r>
                </w:p>
              </w:tc>
              <w:tc>
                <w:tcPr>
                  <w:tcW w:w="2109" w:type="pct"/>
                  <w:shd w:val="clear" w:color="auto" w:fill="auto"/>
                  <w:vAlign w:val="center"/>
                </w:tcPr>
                <w:p w14:paraId="115327F0">
                  <w:pPr>
                    <w:autoSpaceDE w:val="0"/>
                    <w:autoSpaceDN w:val="0"/>
                    <w:adjustRightInd w:val="0"/>
                    <w:snapToGrid w:val="0"/>
                  </w:pPr>
                  <w:r>
                    <w:rPr>
                      <w:rFonts w:hint="eastAsia"/>
                    </w:rPr>
                    <w:t>新增工业废水直排建设项目（槽罐车外送污水处理厂的除外）；新增废水直排的污水集中处理厂</w:t>
                  </w:r>
                </w:p>
              </w:tc>
              <w:tc>
                <w:tcPr>
                  <w:tcW w:w="1645" w:type="pct"/>
                  <w:shd w:val="clear" w:color="auto" w:fill="auto"/>
                  <w:vAlign w:val="center"/>
                </w:tcPr>
                <w:p w14:paraId="3E2FD105">
                  <w:pPr>
                    <w:autoSpaceDE w:val="0"/>
                    <w:autoSpaceDN w:val="0"/>
                    <w:adjustRightInd w:val="0"/>
                    <w:snapToGrid w:val="0"/>
                  </w:pPr>
                  <w:r>
                    <w:rPr>
                      <w:rFonts w:hint="eastAsia"/>
                    </w:rPr>
                    <w:t>本项目生产废水和生活污水均排入市政管网。</w:t>
                  </w:r>
                </w:p>
              </w:tc>
              <w:tc>
                <w:tcPr>
                  <w:tcW w:w="618" w:type="pct"/>
                  <w:shd w:val="clear" w:color="auto" w:fill="auto"/>
                  <w:vAlign w:val="center"/>
                </w:tcPr>
                <w:p w14:paraId="4B727473">
                  <w:pPr>
                    <w:autoSpaceDE w:val="0"/>
                    <w:autoSpaceDN w:val="0"/>
                    <w:adjustRightInd w:val="0"/>
                    <w:snapToGrid w:val="0"/>
                    <w:jc w:val="center"/>
                  </w:pPr>
                  <w:r>
                    <w:rPr>
                      <w:rFonts w:hint="eastAsia"/>
                    </w:rPr>
                    <w:t>不设置</w:t>
                  </w:r>
                </w:p>
              </w:tc>
            </w:tr>
            <w:tr w14:paraId="3738C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shd w:val="clear" w:color="auto" w:fill="auto"/>
                  <w:vAlign w:val="center"/>
                </w:tcPr>
                <w:p w14:paraId="32ABCB5A">
                  <w:pPr>
                    <w:autoSpaceDE w:val="0"/>
                    <w:autoSpaceDN w:val="0"/>
                    <w:adjustRightInd w:val="0"/>
                    <w:snapToGrid w:val="0"/>
                    <w:jc w:val="center"/>
                  </w:pPr>
                  <w:r>
                    <w:rPr>
                      <w:rFonts w:hint="eastAsia"/>
                    </w:rPr>
                    <w:t>环境风险</w:t>
                  </w:r>
                </w:p>
              </w:tc>
              <w:tc>
                <w:tcPr>
                  <w:tcW w:w="2109" w:type="pct"/>
                  <w:shd w:val="clear" w:color="auto" w:fill="auto"/>
                  <w:vAlign w:val="center"/>
                </w:tcPr>
                <w:p w14:paraId="03A4FB9D">
                  <w:pPr>
                    <w:autoSpaceDE w:val="0"/>
                    <w:autoSpaceDN w:val="0"/>
                    <w:adjustRightInd w:val="0"/>
                    <w:snapToGrid w:val="0"/>
                  </w:pPr>
                  <w:r>
                    <w:rPr>
                      <w:rFonts w:hint="eastAsia"/>
                    </w:rPr>
                    <w:t>有毒有害和易燃易爆危险物质存储量超过临界量的建设项目</w:t>
                  </w:r>
                </w:p>
              </w:tc>
              <w:tc>
                <w:tcPr>
                  <w:tcW w:w="1645" w:type="pct"/>
                  <w:shd w:val="clear" w:color="auto" w:fill="auto"/>
                  <w:vAlign w:val="center"/>
                </w:tcPr>
                <w:p w14:paraId="6B5572B0">
                  <w:pPr>
                    <w:autoSpaceDE w:val="0"/>
                    <w:autoSpaceDN w:val="0"/>
                    <w:adjustRightInd w:val="0"/>
                    <w:snapToGrid w:val="0"/>
                  </w:pPr>
                  <w:r>
                    <w:rPr>
                      <w:rFonts w:hint="eastAsia"/>
                    </w:rPr>
                    <w:t>本项目环境风险物质最大储存量未超过其临界量。</w:t>
                  </w:r>
                </w:p>
              </w:tc>
              <w:tc>
                <w:tcPr>
                  <w:tcW w:w="618" w:type="pct"/>
                  <w:shd w:val="clear" w:color="auto" w:fill="auto"/>
                  <w:vAlign w:val="center"/>
                </w:tcPr>
                <w:p w14:paraId="481DB86B">
                  <w:pPr>
                    <w:autoSpaceDE w:val="0"/>
                    <w:autoSpaceDN w:val="0"/>
                    <w:adjustRightInd w:val="0"/>
                    <w:snapToGrid w:val="0"/>
                    <w:jc w:val="center"/>
                  </w:pPr>
                  <w:r>
                    <w:rPr>
                      <w:rFonts w:hint="eastAsia"/>
                    </w:rPr>
                    <w:t>不设置</w:t>
                  </w:r>
                </w:p>
              </w:tc>
            </w:tr>
            <w:tr w14:paraId="579AE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shd w:val="clear" w:color="auto" w:fill="auto"/>
                  <w:vAlign w:val="center"/>
                </w:tcPr>
                <w:p w14:paraId="184853CE">
                  <w:pPr>
                    <w:autoSpaceDE w:val="0"/>
                    <w:autoSpaceDN w:val="0"/>
                    <w:adjustRightInd w:val="0"/>
                    <w:snapToGrid w:val="0"/>
                    <w:jc w:val="center"/>
                  </w:pPr>
                  <w:r>
                    <w:rPr>
                      <w:rFonts w:hint="eastAsia"/>
                    </w:rPr>
                    <w:t>生态</w:t>
                  </w:r>
                </w:p>
              </w:tc>
              <w:tc>
                <w:tcPr>
                  <w:tcW w:w="2109" w:type="pct"/>
                  <w:shd w:val="clear" w:color="auto" w:fill="auto"/>
                  <w:vAlign w:val="center"/>
                </w:tcPr>
                <w:p w14:paraId="29C3D530">
                  <w:pPr>
                    <w:autoSpaceDE w:val="0"/>
                    <w:autoSpaceDN w:val="0"/>
                    <w:adjustRightInd w:val="0"/>
                    <w:snapToGrid w:val="0"/>
                  </w:pPr>
                  <w:r>
                    <w:rPr>
                      <w:rFonts w:hint="eastAsia"/>
                    </w:rPr>
                    <w:t>取水口下游500米范围内有重要水生生物的自然产卵场、索饵场、越冬场和洄游通道的新增河道取水的污染类建设项目</w:t>
                  </w:r>
                </w:p>
              </w:tc>
              <w:tc>
                <w:tcPr>
                  <w:tcW w:w="1645" w:type="pct"/>
                  <w:shd w:val="clear" w:color="auto" w:fill="auto"/>
                  <w:vAlign w:val="center"/>
                </w:tcPr>
                <w:p w14:paraId="58D653A0">
                  <w:pPr>
                    <w:autoSpaceDE w:val="0"/>
                    <w:autoSpaceDN w:val="0"/>
                    <w:adjustRightInd w:val="0"/>
                    <w:snapToGrid w:val="0"/>
                  </w:pPr>
                  <w:r>
                    <w:rPr>
                      <w:rFonts w:hint="eastAsia"/>
                    </w:rPr>
                    <w:t>本项目由市政供水，不涉及取水口</w:t>
                  </w:r>
                </w:p>
              </w:tc>
              <w:tc>
                <w:tcPr>
                  <w:tcW w:w="618" w:type="pct"/>
                  <w:shd w:val="clear" w:color="auto" w:fill="auto"/>
                  <w:vAlign w:val="center"/>
                </w:tcPr>
                <w:p w14:paraId="3152FC04">
                  <w:pPr>
                    <w:autoSpaceDE w:val="0"/>
                    <w:autoSpaceDN w:val="0"/>
                    <w:adjustRightInd w:val="0"/>
                    <w:snapToGrid w:val="0"/>
                    <w:jc w:val="center"/>
                  </w:pPr>
                  <w:r>
                    <w:rPr>
                      <w:rFonts w:hint="eastAsia"/>
                    </w:rPr>
                    <w:t>不设置</w:t>
                  </w:r>
                </w:p>
              </w:tc>
            </w:tr>
            <w:tr w14:paraId="36D89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8" w:type="pct"/>
                  <w:shd w:val="clear" w:color="auto" w:fill="auto"/>
                  <w:vAlign w:val="center"/>
                </w:tcPr>
                <w:p w14:paraId="6C66BE46">
                  <w:pPr>
                    <w:autoSpaceDE w:val="0"/>
                    <w:autoSpaceDN w:val="0"/>
                    <w:adjustRightInd w:val="0"/>
                    <w:snapToGrid w:val="0"/>
                    <w:jc w:val="center"/>
                  </w:pPr>
                  <w:r>
                    <w:rPr>
                      <w:rFonts w:hint="eastAsia"/>
                    </w:rPr>
                    <w:t>海洋</w:t>
                  </w:r>
                </w:p>
              </w:tc>
              <w:tc>
                <w:tcPr>
                  <w:tcW w:w="2109" w:type="pct"/>
                  <w:shd w:val="clear" w:color="auto" w:fill="auto"/>
                  <w:vAlign w:val="center"/>
                </w:tcPr>
                <w:p w14:paraId="3C9E7D43">
                  <w:pPr>
                    <w:autoSpaceDE w:val="0"/>
                    <w:autoSpaceDN w:val="0"/>
                    <w:adjustRightInd w:val="0"/>
                    <w:snapToGrid w:val="0"/>
                  </w:pPr>
                  <w:r>
                    <w:rPr>
                      <w:rFonts w:hint="eastAsia"/>
                    </w:rPr>
                    <w:t>直接向海排放污染物的海洋工程建设项目</w:t>
                  </w:r>
                </w:p>
              </w:tc>
              <w:tc>
                <w:tcPr>
                  <w:tcW w:w="1645" w:type="pct"/>
                  <w:shd w:val="clear" w:color="auto" w:fill="auto"/>
                  <w:vAlign w:val="center"/>
                </w:tcPr>
                <w:p w14:paraId="27385AAB">
                  <w:pPr>
                    <w:autoSpaceDE w:val="0"/>
                    <w:autoSpaceDN w:val="0"/>
                    <w:adjustRightInd w:val="0"/>
                    <w:snapToGrid w:val="0"/>
                  </w:pPr>
                  <w:r>
                    <w:rPr>
                      <w:rFonts w:hint="eastAsia"/>
                    </w:rPr>
                    <w:t>本项目不涉及直接向海排放污染物的海洋工程</w:t>
                  </w:r>
                </w:p>
              </w:tc>
              <w:tc>
                <w:tcPr>
                  <w:tcW w:w="618" w:type="pct"/>
                  <w:shd w:val="clear" w:color="auto" w:fill="auto"/>
                  <w:vAlign w:val="center"/>
                </w:tcPr>
                <w:p w14:paraId="37FB181B">
                  <w:pPr>
                    <w:autoSpaceDE w:val="0"/>
                    <w:autoSpaceDN w:val="0"/>
                    <w:adjustRightInd w:val="0"/>
                    <w:snapToGrid w:val="0"/>
                    <w:jc w:val="center"/>
                  </w:pPr>
                  <w:r>
                    <w:rPr>
                      <w:rFonts w:hint="eastAsia"/>
                    </w:rPr>
                    <w:t>不设置</w:t>
                  </w:r>
                </w:p>
              </w:tc>
            </w:tr>
            <w:tr w14:paraId="0A850D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shd w:val="clear" w:color="auto" w:fill="auto"/>
                  <w:vAlign w:val="center"/>
                </w:tcPr>
                <w:p w14:paraId="2D2511FF">
                  <w:pPr>
                    <w:autoSpaceDE w:val="0"/>
                    <w:autoSpaceDN w:val="0"/>
                    <w:adjustRightInd w:val="0"/>
                    <w:snapToGrid w:val="0"/>
                    <w:rPr>
                      <w:sz w:val="18"/>
                      <w:szCs w:val="18"/>
                    </w:rPr>
                  </w:pPr>
                  <w:r>
                    <w:rPr>
                      <w:rFonts w:hint="eastAsia"/>
                      <w:sz w:val="18"/>
                      <w:szCs w:val="18"/>
                    </w:rPr>
                    <w:t>注：1.废气中有毒有害污染物指纳入《有毒有害大气污染物名录》的污染物（不包括无排放标准的污染物）。</w:t>
                  </w:r>
                </w:p>
                <w:p w14:paraId="023041AD">
                  <w:pPr>
                    <w:autoSpaceDE w:val="0"/>
                    <w:autoSpaceDN w:val="0"/>
                    <w:adjustRightInd w:val="0"/>
                    <w:snapToGrid w:val="0"/>
                    <w:rPr>
                      <w:sz w:val="18"/>
                      <w:szCs w:val="18"/>
                    </w:rPr>
                  </w:pPr>
                  <w:r>
                    <w:rPr>
                      <w:rFonts w:hint="eastAsia"/>
                      <w:sz w:val="18"/>
                      <w:szCs w:val="18"/>
                    </w:rPr>
                    <w:t>2.环境空气保护目标指自然保护区、风景名胜区、居住区、文化区和农村地区中人群较集中的区域。</w:t>
                  </w:r>
                </w:p>
                <w:p w14:paraId="10543BC1">
                  <w:pPr>
                    <w:autoSpaceDE w:val="0"/>
                    <w:autoSpaceDN w:val="0"/>
                    <w:adjustRightInd w:val="0"/>
                    <w:snapToGrid w:val="0"/>
                    <w:rPr>
                      <w:sz w:val="18"/>
                      <w:szCs w:val="18"/>
                    </w:rPr>
                  </w:pPr>
                  <w:r>
                    <w:rPr>
                      <w:rFonts w:hint="eastAsia"/>
                      <w:sz w:val="18"/>
                      <w:szCs w:val="18"/>
                    </w:rPr>
                    <w:t>3.临界量及其计算方法可参考《建设项目环境风险评价技术导则》（HJ 169）附录B、附录C。</w:t>
                  </w:r>
                </w:p>
              </w:tc>
            </w:tr>
            <w:bookmarkEnd w:id="8"/>
          </w:tbl>
          <w:p w14:paraId="2D656158">
            <w:pPr>
              <w:autoSpaceDE w:val="0"/>
              <w:autoSpaceDN w:val="0"/>
              <w:adjustRightInd w:val="0"/>
              <w:snapToGrid w:val="0"/>
              <w:spacing w:line="360" w:lineRule="auto"/>
              <w:ind w:firstLine="420" w:firstLineChars="200"/>
            </w:pPr>
            <w:r>
              <w:rPr>
                <w:rFonts w:hint="eastAsia"/>
              </w:rPr>
              <w:t>综上，经与专项评价设置原则表对照分析，本项目无需设置专项评价。</w:t>
            </w:r>
          </w:p>
        </w:tc>
      </w:tr>
      <w:tr w14:paraId="3FE1F3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57" w:type="pct"/>
            <w:vAlign w:val="center"/>
          </w:tcPr>
          <w:p w14:paraId="28E61625">
            <w:pPr>
              <w:autoSpaceDE w:val="0"/>
              <w:autoSpaceDN w:val="0"/>
              <w:adjustRightInd w:val="0"/>
              <w:snapToGrid w:val="0"/>
              <w:jc w:val="center"/>
            </w:pPr>
            <w:r>
              <w:t>规划情况</w:t>
            </w:r>
          </w:p>
        </w:tc>
        <w:tc>
          <w:tcPr>
            <w:tcW w:w="4443" w:type="pct"/>
            <w:gridSpan w:val="3"/>
            <w:vAlign w:val="center"/>
          </w:tcPr>
          <w:p w14:paraId="4E342E30">
            <w:pPr>
              <w:widowControl/>
              <w:spacing w:line="360" w:lineRule="auto"/>
              <w:ind w:firstLine="420" w:firstLineChars="200"/>
            </w:pPr>
            <w:r>
              <w:rPr>
                <w:rFonts w:hint="eastAsia"/>
              </w:rPr>
              <w:t>规划名称：《达州市通川区工业集中区控制详细规划》</w:t>
            </w:r>
          </w:p>
          <w:p w14:paraId="42DCB55D">
            <w:pPr>
              <w:widowControl/>
              <w:spacing w:line="360" w:lineRule="auto"/>
              <w:ind w:firstLine="420" w:firstLineChars="200"/>
            </w:pPr>
            <w:r>
              <w:rPr>
                <w:rFonts w:hint="eastAsia"/>
              </w:rPr>
              <w:t>审查机关：达州市通川区人民政府</w:t>
            </w:r>
          </w:p>
          <w:p w14:paraId="4E9EDF1B">
            <w:pPr>
              <w:widowControl/>
              <w:spacing w:line="360" w:lineRule="auto"/>
              <w:ind w:firstLine="420" w:firstLineChars="200"/>
            </w:pPr>
            <w:r>
              <w:rPr>
                <w:rFonts w:hint="eastAsia"/>
              </w:rPr>
              <w:t>审批文号：达市府函[2014]257号</w:t>
            </w:r>
          </w:p>
        </w:tc>
      </w:tr>
      <w:tr w14:paraId="616C05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57" w:type="pct"/>
            <w:vAlign w:val="center"/>
          </w:tcPr>
          <w:p w14:paraId="5A3F279C">
            <w:pPr>
              <w:adjustRightInd w:val="0"/>
              <w:snapToGrid w:val="0"/>
              <w:jc w:val="center"/>
            </w:pPr>
            <w:r>
              <w:t>规划环境影响评价情况</w:t>
            </w:r>
          </w:p>
        </w:tc>
        <w:tc>
          <w:tcPr>
            <w:tcW w:w="4443" w:type="pct"/>
            <w:gridSpan w:val="3"/>
            <w:vAlign w:val="center"/>
          </w:tcPr>
          <w:p w14:paraId="43DF81AF">
            <w:pPr>
              <w:widowControl/>
              <w:spacing w:line="360" w:lineRule="auto"/>
              <w:ind w:firstLine="422" w:firstLineChars="200"/>
              <w:rPr>
                <w:b/>
                <w:bCs/>
              </w:rPr>
            </w:pPr>
            <w:r>
              <w:rPr>
                <w:rFonts w:hint="eastAsia"/>
                <w:b/>
                <w:bCs/>
              </w:rPr>
              <w:t>1、规划环境影响评价</w:t>
            </w:r>
          </w:p>
          <w:p w14:paraId="707EF3A2">
            <w:pPr>
              <w:widowControl/>
              <w:spacing w:line="360" w:lineRule="auto"/>
              <w:ind w:firstLine="420" w:firstLineChars="200"/>
            </w:pPr>
            <w:r>
              <w:rPr>
                <w:rFonts w:hint="eastAsia"/>
              </w:rPr>
              <w:t>①规划环境影响评价文件名称：</w:t>
            </w:r>
          </w:p>
          <w:p w14:paraId="51557E9E">
            <w:pPr>
              <w:widowControl/>
              <w:spacing w:line="360" w:lineRule="auto"/>
              <w:ind w:firstLine="420" w:firstLineChars="200"/>
            </w:pPr>
            <w:r>
              <w:rPr>
                <w:rFonts w:hint="eastAsia"/>
              </w:rPr>
              <w:t>《达州市农产品加工集中区规划环境影响报告书》；</w:t>
            </w:r>
          </w:p>
          <w:p w14:paraId="57E75B79">
            <w:pPr>
              <w:widowControl/>
              <w:spacing w:line="360" w:lineRule="auto"/>
              <w:ind w:firstLine="420" w:firstLineChars="200"/>
            </w:pPr>
            <w:r>
              <w:rPr>
                <w:rFonts w:hint="eastAsia"/>
              </w:rPr>
              <w:t>②召集审查机关：原四川省环境保护厅</w:t>
            </w:r>
          </w:p>
          <w:p w14:paraId="61AD1642">
            <w:pPr>
              <w:widowControl/>
              <w:spacing w:line="360" w:lineRule="auto"/>
              <w:ind w:firstLine="420" w:firstLineChars="200"/>
            </w:pPr>
            <w:r>
              <w:rPr>
                <w:rFonts w:hint="eastAsia"/>
              </w:rPr>
              <w:t>③审查文件名称及文号：</w:t>
            </w:r>
            <w:bookmarkStart w:id="9" w:name="_Hlk160658369"/>
            <w:r>
              <w:rPr>
                <w:rFonts w:hint="eastAsia"/>
              </w:rPr>
              <w:t>关于印发《达州市农产品加工集中区规划环境影响报告书》审查意见的函（川环建函〔2013〕66号）</w:t>
            </w:r>
            <w:bookmarkEnd w:id="9"/>
            <w:r>
              <w:rPr>
                <w:rFonts w:hint="eastAsia"/>
              </w:rPr>
              <w:t>。</w:t>
            </w:r>
          </w:p>
          <w:p w14:paraId="483BD1FF">
            <w:pPr>
              <w:widowControl/>
              <w:spacing w:line="360" w:lineRule="auto"/>
              <w:ind w:firstLine="420" w:firstLineChars="200"/>
            </w:pPr>
            <w:r>
              <w:rPr>
                <w:rFonts w:hint="eastAsia"/>
              </w:rPr>
              <w:t>④审批时间：2013年3月26日；</w:t>
            </w:r>
          </w:p>
          <w:p w14:paraId="39F3EC51">
            <w:pPr>
              <w:widowControl/>
              <w:spacing w:line="360" w:lineRule="auto"/>
              <w:ind w:firstLine="422" w:firstLineChars="200"/>
              <w:rPr>
                <w:b/>
                <w:bCs/>
              </w:rPr>
            </w:pPr>
            <w:r>
              <w:rPr>
                <w:b/>
                <w:bCs/>
              </w:rPr>
              <w:t>2</w:t>
            </w:r>
            <w:r>
              <w:rPr>
                <w:rFonts w:hint="eastAsia"/>
                <w:b/>
                <w:bCs/>
              </w:rPr>
              <w:t>、规划环境影响跟踪评价</w:t>
            </w:r>
          </w:p>
          <w:p w14:paraId="5DBDC09B">
            <w:pPr>
              <w:widowControl/>
              <w:spacing w:line="360" w:lineRule="auto"/>
              <w:ind w:firstLine="420" w:firstLineChars="200"/>
            </w:pPr>
            <w:r>
              <w:rPr>
                <w:rFonts w:hint="eastAsia"/>
              </w:rPr>
              <w:t>①规划环境影响跟踪评价文件名称：</w:t>
            </w:r>
          </w:p>
          <w:p w14:paraId="5392EAB3">
            <w:pPr>
              <w:widowControl/>
              <w:spacing w:line="360" w:lineRule="auto"/>
              <w:ind w:firstLine="420" w:firstLineChars="200"/>
            </w:pPr>
            <w:r>
              <w:rPr>
                <w:rFonts w:hint="eastAsia"/>
              </w:rPr>
              <w:t>《达州市农产品加工集中区规划环境影响跟踪评价报告书》；</w:t>
            </w:r>
          </w:p>
          <w:p w14:paraId="4642C08D">
            <w:pPr>
              <w:widowControl/>
              <w:spacing w:line="360" w:lineRule="auto"/>
              <w:ind w:firstLine="420" w:firstLineChars="200"/>
            </w:pPr>
            <w:r>
              <w:rPr>
                <w:rFonts w:hint="eastAsia"/>
              </w:rPr>
              <w:t>②审批机关：四川省生态环境厅；</w:t>
            </w:r>
          </w:p>
          <w:p w14:paraId="31D55D60">
            <w:pPr>
              <w:widowControl/>
              <w:spacing w:line="360" w:lineRule="auto"/>
              <w:ind w:firstLine="420" w:firstLineChars="200"/>
              <w:rPr>
                <w:color w:val="0070C0"/>
              </w:rPr>
            </w:pPr>
            <w:r>
              <w:rPr>
                <w:rFonts w:hint="eastAsia"/>
              </w:rPr>
              <w:t>③《达州市农产品加工集中区规划环境影响跟踪评价报告书》专家论证意见 (2021 年 3 月 31 日)。</w:t>
            </w:r>
          </w:p>
        </w:tc>
      </w:tr>
      <w:tr w14:paraId="57852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57" w:type="pct"/>
            <w:vAlign w:val="center"/>
          </w:tcPr>
          <w:p w14:paraId="0826EF07">
            <w:pPr>
              <w:autoSpaceDE w:val="0"/>
              <w:autoSpaceDN w:val="0"/>
              <w:adjustRightInd w:val="0"/>
              <w:snapToGrid w:val="0"/>
              <w:jc w:val="center"/>
            </w:pPr>
            <w:r>
              <w:t>规划及规划环境影响评价符合性分析</w:t>
            </w:r>
          </w:p>
        </w:tc>
        <w:tc>
          <w:tcPr>
            <w:tcW w:w="4443" w:type="pct"/>
            <w:gridSpan w:val="3"/>
            <w:vAlign w:val="center"/>
          </w:tcPr>
          <w:p w14:paraId="58AC8E72">
            <w:pPr>
              <w:widowControl/>
              <w:spacing w:line="360" w:lineRule="auto"/>
              <w:ind w:firstLine="422" w:firstLineChars="200"/>
              <w:rPr>
                <w:b/>
                <w:bCs/>
              </w:rPr>
            </w:pPr>
            <w:r>
              <w:rPr>
                <w:rFonts w:hint="eastAsia"/>
                <w:b/>
                <w:bCs/>
              </w:rPr>
              <w:t>1、与达州市土地利用规划合理性分析：</w:t>
            </w:r>
          </w:p>
          <w:p w14:paraId="6EE1A060">
            <w:pPr>
              <w:widowControl/>
              <w:spacing w:line="360" w:lineRule="auto"/>
              <w:ind w:firstLine="420" w:firstLineChars="200"/>
              <w:rPr>
                <w:color w:val="FF0000"/>
              </w:rPr>
            </w:pPr>
            <w:r>
              <w:rPr>
                <w:rFonts w:hint="eastAsia"/>
              </w:rPr>
              <w:t>本项目位于达州市农产品加工集中区，详细地址为四川省达州市通川经开区医药产业园11 栋3 层，通过租用四川达州通川经济开发区医疗产业园标准厂房进行建设，租赁面积共计4564平方米（详见附件4、5）。</w:t>
            </w:r>
          </w:p>
          <w:p w14:paraId="60D27178">
            <w:pPr>
              <w:widowControl/>
              <w:spacing w:line="360" w:lineRule="auto"/>
              <w:ind w:firstLine="420" w:firstLineChars="200"/>
            </w:pPr>
            <w:r>
              <w:rPr>
                <w:rFonts w:hint="eastAsia"/>
              </w:rPr>
              <w:t>根据《四川达州通川经济开发区总体规划（2022-2035年）》用地布局规划图（一）（附图2），该地块规划为二类工业用地，符合城市规划。</w:t>
            </w:r>
          </w:p>
          <w:p w14:paraId="0457E655">
            <w:pPr>
              <w:widowControl/>
              <w:spacing w:line="360" w:lineRule="auto"/>
              <w:ind w:firstLine="420" w:firstLineChars="200"/>
            </w:pPr>
            <w:r>
              <w:rPr>
                <w:rFonts w:hint="eastAsia"/>
              </w:rPr>
              <w:t>因此，本项目的建设符合达州市土地利用规划。</w:t>
            </w:r>
          </w:p>
          <w:p w14:paraId="3B2C0746">
            <w:pPr>
              <w:widowControl/>
              <w:spacing w:line="360" w:lineRule="auto"/>
              <w:ind w:firstLine="422" w:firstLineChars="200"/>
              <w:rPr>
                <w:b/>
                <w:bCs/>
              </w:rPr>
            </w:pPr>
            <w:r>
              <w:rPr>
                <w:b/>
                <w:bCs/>
              </w:rPr>
              <w:t>2</w:t>
            </w:r>
            <w:r>
              <w:rPr>
                <w:rFonts w:hint="eastAsia"/>
                <w:b/>
                <w:bCs/>
              </w:rPr>
              <w:t>、与达州市农产品加工集中区规划及规划环评符合性分析：</w:t>
            </w:r>
          </w:p>
          <w:p w14:paraId="231FCB58">
            <w:pPr>
              <w:widowControl/>
              <w:spacing w:line="360" w:lineRule="auto"/>
              <w:ind w:firstLine="420" w:firstLineChars="200"/>
            </w:pPr>
            <w:r>
              <w:rPr>
                <w:rFonts w:hint="eastAsia"/>
              </w:rPr>
              <w:t>达州市农产品加工集中区位于达州市城市西北部，规划用地东南以达陕高速以东郭家梁为界，北至蒲家、龙滩、独寨一线，西至襄渝铁路及复线，南部以凤凰山为界，总用地面积为13.8km</w:t>
            </w:r>
            <w:r>
              <w:rPr>
                <w:rFonts w:hint="eastAsia"/>
                <w:vertAlign w:val="superscript"/>
              </w:rPr>
              <w:t>2</w:t>
            </w:r>
            <w:r>
              <w:rPr>
                <w:rFonts w:hint="eastAsia"/>
              </w:rPr>
              <w:t>，根据达州市经济和信息化委员会制定《达州市“十二五”产业规划》，确定达州市农产品加工集中区产业定位为三大类：农产品加工、食品、医药，配套发展物流。</w:t>
            </w:r>
          </w:p>
          <w:p w14:paraId="15C8AA51">
            <w:pPr>
              <w:widowControl/>
              <w:spacing w:line="360" w:lineRule="auto"/>
              <w:ind w:firstLine="420" w:firstLineChars="200"/>
            </w:pPr>
            <w:r>
              <w:rPr>
                <w:rFonts w:hint="eastAsia"/>
              </w:rPr>
              <w:t>（1）规划定位</w:t>
            </w:r>
          </w:p>
          <w:p w14:paraId="77F68DB6">
            <w:pPr>
              <w:widowControl/>
              <w:spacing w:line="360" w:lineRule="auto"/>
              <w:ind w:firstLine="420" w:firstLineChars="200"/>
            </w:pPr>
            <w:r>
              <w:rPr>
                <w:rFonts w:hint="eastAsia"/>
              </w:rPr>
              <w:t>达州市农产品加工集中区定位为以农产品加工、食品、医药为主导，配套发展物流的现代工业规划区，达州城市北部重要产业增长极，达州市级城市化、工业化两化互动示范区域，宜业、宜居的“双宜”之城。“宜业之城”：通过产业组合优化、政策改善等方式形成良好的工业发展氛围，吸引更多的现代工业产业落户；“宜居之城”：结合魏兴镇的城镇化发展，以工业化带动城市化，城市化为工业化提供良好的生活服务功能，从而实现产业发展与城市发展相得益彰的良好局面。现代工业与吸纳带居住模式相结合，形成以工业社区为主要模式的新都市，改变以往工业区环境恶劣的缺点，形成环境优美、居住舒适的田园城市。</w:t>
            </w:r>
          </w:p>
          <w:p w14:paraId="7790598E">
            <w:pPr>
              <w:widowControl/>
              <w:spacing w:line="360" w:lineRule="auto"/>
              <w:ind w:firstLine="420" w:firstLineChars="200"/>
            </w:pPr>
            <w:r>
              <w:rPr>
                <w:rFonts w:hint="eastAsia"/>
              </w:rPr>
              <w:t xml:space="preserve">（2）功能分区 </w:t>
            </w:r>
          </w:p>
          <w:p w14:paraId="77C8973E">
            <w:pPr>
              <w:widowControl/>
              <w:spacing w:line="360" w:lineRule="auto"/>
              <w:ind w:firstLine="420" w:firstLineChars="200"/>
            </w:pPr>
            <w:r>
              <w:rPr>
                <w:rFonts w:hint="eastAsia"/>
              </w:rPr>
              <w:t xml:space="preserve">达州市农产品加工集中区功能分区包括公共服务功能区、科技研发组团、居住组团、仓储物流组团、农产品加工组团、食品组团和医药组团。 </w:t>
            </w:r>
          </w:p>
          <w:p w14:paraId="655F0CB3">
            <w:pPr>
              <w:widowControl/>
              <w:spacing w:line="360" w:lineRule="auto"/>
              <w:ind w:firstLine="420" w:firstLineChars="200"/>
            </w:pPr>
            <w:r>
              <w:rPr>
                <w:rFonts w:hint="eastAsia"/>
              </w:rPr>
              <w:t xml:space="preserve">A、公共服务功能区：位于规划区中部，南接景观湖，北至大坪村澄子盖，涵盖了行政办公、商贸服务、信息咨询等若干公共服务功能，形成整个工业集中区的公共功能集中区，较易发挥聚集经济。 </w:t>
            </w:r>
          </w:p>
          <w:p w14:paraId="0A770D84">
            <w:pPr>
              <w:widowControl/>
              <w:spacing w:line="360" w:lineRule="auto"/>
              <w:ind w:firstLine="420" w:firstLineChars="200"/>
            </w:pPr>
            <w:r>
              <w:rPr>
                <w:rFonts w:hint="eastAsia"/>
              </w:rPr>
              <w:t xml:space="preserve">B、科技研发组团：位于基地中北部，大坪村石庙、龚家湾片区，结合南部水系布置滨水景观，并引入组团内部，形成良好的工作办公环境。 </w:t>
            </w:r>
          </w:p>
          <w:p w14:paraId="144E364E">
            <w:pPr>
              <w:widowControl/>
              <w:spacing w:line="360" w:lineRule="auto"/>
              <w:ind w:firstLine="420" w:firstLineChars="200"/>
            </w:pPr>
            <w:r>
              <w:rPr>
                <w:rFonts w:hint="eastAsia"/>
              </w:rPr>
              <w:t xml:space="preserve">C、西侧居住组团、东侧居住组团：位于基地中、东部，包括汉渝公路东侧现状保留建筑。区内景观良好，生态优越，具有集中建设生活居住区的优良条件。 </w:t>
            </w:r>
          </w:p>
          <w:p w14:paraId="17860E67">
            <w:pPr>
              <w:widowControl/>
              <w:spacing w:line="360" w:lineRule="auto"/>
              <w:ind w:firstLine="420" w:firstLineChars="200"/>
            </w:pPr>
            <w:r>
              <w:rPr>
                <w:rFonts w:hint="eastAsia"/>
              </w:rPr>
              <w:t xml:space="preserve">D、仓储物流组团：位于基地西南部，紧靠达陕高速下道口及魏复路，交通条件极为优越，地势较高，适宜集中布置仓储物流用地。 </w:t>
            </w:r>
          </w:p>
          <w:p w14:paraId="0CE34483">
            <w:pPr>
              <w:widowControl/>
              <w:spacing w:line="360" w:lineRule="auto"/>
              <w:ind w:firstLine="420" w:firstLineChars="200"/>
            </w:pPr>
            <w:r>
              <w:rPr>
                <w:rFonts w:hint="eastAsia"/>
              </w:rPr>
              <w:t xml:space="preserve">E、农产品加工组团：位于基地西北部和东南部，西北部区域北靠山体，南临居住组团，用地条件较为平坦高爽，适于农产品加工区产业发展。并且南靠达陕达巴高速，西部有襄渝铁路及复线，北靠蒲家镇，用地条件较好，交通较为便利。 </w:t>
            </w:r>
          </w:p>
          <w:p w14:paraId="5D535888">
            <w:pPr>
              <w:widowControl/>
              <w:spacing w:line="360" w:lineRule="auto"/>
              <w:ind w:firstLine="420" w:firstLineChars="200"/>
            </w:pPr>
            <w:r>
              <w:rPr>
                <w:rFonts w:hint="eastAsia"/>
              </w:rPr>
              <w:t>F、食品组团：位于基地东北部，用地条件平坦高爽，适于食品产业发展。</w:t>
            </w:r>
          </w:p>
          <w:p w14:paraId="5D105583">
            <w:pPr>
              <w:widowControl/>
              <w:spacing w:line="360" w:lineRule="auto"/>
              <w:ind w:firstLine="420" w:firstLineChars="200"/>
            </w:pPr>
            <w:r>
              <w:rPr>
                <w:rFonts w:hint="eastAsia"/>
              </w:rPr>
              <w:t>G、医药组团：位于基地南部，南靠凤凰山森林公园，西接仓储物流园区，北陕达巴高速，用地局部坡度较大，靠近仓储物流园区，物资储运较为方便。</w:t>
            </w:r>
          </w:p>
          <w:p w14:paraId="0081F247">
            <w:pPr>
              <w:widowControl/>
              <w:spacing w:line="360" w:lineRule="auto"/>
              <w:ind w:firstLine="420" w:firstLineChars="200"/>
            </w:pPr>
            <w:r>
              <w:rPr>
                <w:rFonts w:hint="eastAsia"/>
              </w:rPr>
              <w:t xml:space="preserve">（3）清洁生产门槛 </w:t>
            </w:r>
          </w:p>
          <w:p w14:paraId="14384FBC">
            <w:pPr>
              <w:widowControl/>
              <w:spacing w:line="360" w:lineRule="auto"/>
              <w:ind w:firstLine="420" w:firstLineChars="200"/>
            </w:pPr>
            <w:r>
              <w:rPr>
                <w:rFonts w:hint="eastAsia"/>
              </w:rPr>
              <w:t>规划区入驻企业必须采用国际、国内先进水平的生产工艺、设备及污染治理技术，能耗、物耗、水耗等各项指标均应达到清洁生产二级水平或国内先进水平。</w:t>
            </w:r>
          </w:p>
          <w:p w14:paraId="4F578CC7">
            <w:pPr>
              <w:widowControl/>
              <w:spacing w:line="360" w:lineRule="auto"/>
              <w:ind w:firstLine="420" w:firstLineChars="200"/>
            </w:pPr>
            <w:r>
              <w:rPr>
                <w:rFonts w:hint="eastAsia"/>
              </w:rPr>
              <w:t xml:space="preserve">（4）产业准入要求 </w:t>
            </w:r>
          </w:p>
          <w:p w14:paraId="55B10342">
            <w:pPr>
              <w:widowControl/>
              <w:spacing w:line="360" w:lineRule="auto"/>
              <w:ind w:firstLine="420" w:firstLineChars="200"/>
            </w:pPr>
            <w:r>
              <w:rPr>
                <w:rFonts w:hint="eastAsia"/>
              </w:rPr>
              <w:t>根据《达州市农产品加工集中区规划环境影响跟踪评价报告书》专家论证意见，原则上继续执行原规划环评环境准入负面清单，引入非主导产业项目需与主导产业相容。</w:t>
            </w:r>
          </w:p>
          <w:p w14:paraId="3D236242">
            <w:pPr>
              <w:widowControl/>
              <w:spacing w:line="360" w:lineRule="auto"/>
              <w:ind w:firstLine="420" w:firstLineChars="200"/>
            </w:pPr>
            <w:r>
              <w:rPr>
                <w:rFonts w:hint="eastAsia"/>
              </w:rPr>
              <w:t xml:space="preserve">根据《达州市农产品加工集中区规划环境影响报告书》审查意见。禁止以下产业入驻园区： </w:t>
            </w:r>
          </w:p>
          <w:p w14:paraId="117D4C21">
            <w:pPr>
              <w:widowControl/>
              <w:spacing w:line="360" w:lineRule="auto"/>
              <w:ind w:firstLine="420" w:firstLineChars="200"/>
            </w:pPr>
            <w:r>
              <w:rPr>
                <w:rFonts w:hint="eastAsia"/>
              </w:rPr>
              <w:t xml:space="preserve">◆不符合国家产业政策和行业准入条件的项目； </w:t>
            </w:r>
          </w:p>
          <w:p w14:paraId="0EDE52C7">
            <w:pPr>
              <w:widowControl/>
              <w:spacing w:line="360" w:lineRule="auto"/>
              <w:ind w:firstLine="420" w:firstLineChars="200"/>
            </w:pPr>
            <w:r>
              <w:rPr>
                <w:rFonts w:hint="eastAsia"/>
              </w:rPr>
              <w:t xml:space="preserve">◆农产品加工业禁止发展屠宰和白酒酿造，医药产业禁止引入合成制药和发酵制药，现代物流业禁止引入化工物流； </w:t>
            </w:r>
          </w:p>
          <w:p w14:paraId="021A4608">
            <w:pPr>
              <w:widowControl/>
              <w:spacing w:line="360" w:lineRule="auto"/>
              <w:ind w:firstLine="420" w:firstLineChars="200"/>
            </w:pPr>
            <w:r>
              <w:rPr>
                <w:rFonts w:hint="eastAsia"/>
              </w:rPr>
              <w:t xml:space="preserve">◆与园区主导产业不相容的项目。 </w:t>
            </w:r>
          </w:p>
          <w:p w14:paraId="44FD5B0D">
            <w:pPr>
              <w:widowControl/>
              <w:spacing w:line="360" w:lineRule="auto"/>
              <w:ind w:firstLine="420" w:firstLineChars="200"/>
            </w:pPr>
            <w:r>
              <w:rPr>
                <w:rFonts w:hint="eastAsia"/>
              </w:rPr>
              <w:t xml:space="preserve">鼓励以下产业入驻园区： </w:t>
            </w:r>
          </w:p>
          <w:p w14:paraId="469AD9C4">
            <w:pPr>
              <w:widowControl/>
              <w:spacing w:line="360" w:lineRule="auto"/>
              <w:ind w:firstLine="420" w:firstLineChars="200"/>
            </w:pPr>
            <w:r>
              <w:rPr>
                <w:rFonts w:hint="eastAsia"/>
              </w:rPr>
              <w:t xml:space="preserve">◆符合园区主导产业的项目； </w:t>
            </w:r>
          </w:p>
          <w:p w14:paraId="3DA10F17">
            <w:pPr>
              <w:widowControl/>
              <w:spacing w:line="360" w:lineRule="auto"/>
              <w:ind w:firstLine="420" w:firstLineChars="200"/>
            </w:pPr>
            <w:r>
              <w:rPr>
                <w:rFonts w:hint="eastAsia"/>
              </w:rPr>
              <w:t xml:space="preserve">◆与园区主导产业相配套，企业效益明显，对区域不造成明显污染，遵循清洁生产及循环经济的项目。 </w:t>
            </w:r>
          </w:p>
          <w:p w14:paraId="66CCCBDB">
            <w:pPr>
              <w:widowControl/>
              <w:spacing w:line="360" w:lineRule="auto"/>
              <w:ind w:firstLine="420" w:firstLineChars="200"/>
            </w:pPr>
            <w:r>
              <w:rPr>
                <w:rFonts w:hint="eastAsia"/>
              </w:rPr>
              <w:t xml:space="preserve">允许以下产业入驻园区： </w:t>
            </w:r>
          </w:p>
          <w:p w14:paraId="09022CD5">
            <w:pPr>
              <w:widowControl/>
              <w:spacing w:line="360" w:lineRule="auto"/>
              <w:ind w:firstLine="420" w:firstLineChars="200"/>
            </w:pPr>
            <w:r>
              <w:rPr>
                <w:rFonts w:hint="eastAsia"/>
              </w:rPr>
              <w:t>◆不属于上述鼓励类、禁止类，与园区主导产业不相排斥和不矛盾、不形成交叉影响的，符合产业政策、选址与周围环境相容的其他项目。</w:t>
            </w:r>
          </w:p>
          <w:p w14:paraId="261DC788">
            <w:pPr>
              <w:widowControl/>
              <w:spacing w:line="360" w:lineRule="auto"/>
              <w:ind w:firstLine="420" w:firstLineChars="200"/>
            </w:pPr>
            <w:r>
              <w:rPr>
                <w:rFonts w:hint="eastAsia"/>
              </w:rPr>
              <w:t>本项目位于达州通川经济开发区医疗产业园，主要从事中药代煎、膏方制作、丸剂制作等，属C2740 中成药生产，不属于合成制药和发酵制药，符合园区功能分区要求，符合园区产业准入要求。</w:t>
            </w:r>
          </w:p>
          <w:p w14:paraId="1FED8722">
            <w:pPr>
              <w:autoSpaceDE w:val="0"/>
              <w:autoSpaceDN w:val="0"/>
              <w:adjustRightInd w:val="0"/>
              <w:snapToGrid w:val="0"/>
              <w:spacing w:line="360" w:lineRule="auto"/>
              <w:ind w:firstLine="422" w:firstLineChars="200"/>
              <w:rPr>
                <w:b/>
              </w:rPr>
            </w:pPr>
            <w:r>
              <w:rPr>
                <w:b/>
              </w:rPr>
              <w:t>3</w:t>
            </w:r>
            <w:r>
              <w:rPr>
                <w:rFonts w:hint="eastAsia"/>
                <w:b/>
              </w:rPr>
              <w:t>、与《达州市农产品加工集中区规划环境影响报告书》及审查意见、《达州市农产品加工集中区规划环境影响跟踪评价报告书》的符合性分析</w:t>
            </w:r>
          </w:p>
          <w:p w14:paraId="1B5F4DED">
            <w:pPr>
              <w:autoSpaceDE w:val="0"/>
              <w:autoSpaceDN w:val="0"/>
              <w:adjustRightInd w:val="0"/>
              <w:snapToGrid w:val="0"/>
              <w:spacing w:line="360" w:lineRule="auto"/>
              <w:ind w:firstLine="420" w:firstLineChars="200"/>
              <w:rPr>
                <w:bCs/>
              </w:rPr>
            </w:pPr>
            <w:r>
              <w:rPr>
                <w:rFonts w:hint="eastAsia"/>
                <w:bCs/>
              </w:rPr>
              <w:t>根据《达州市农产品加工集中区规划环境影响报告书》及审查意见（川环建函【2013】66号）、《达州市农产品加工集中区规划环境影响跟踪评价报告书》，达州市农产品加工集中区鼓励、禁止及限制入驻企业情况如下：</w:t>
            </w:r>
          </w:p>
          <w:p w14:paraId="19A9631F">
            <w:pPr>
              <w:autoSpaceDE w:val="0"/>
              <w:autoSpaceDN w:val="0"/>
              <w:adjustRightInd w:val="0"/>
              <w:snapToGrid w:val="0"/>
              <w:spacing w:line="360" w:lineRule="auto"/>
              <w:ind w:firstLine="420" w:firstLineChars="200"/>
              <w:rPr>
                <w:bCs/>
              </w:rPr>
            </w:pPr>
            <w:r>
              <w:rPr>
                <w:rFonts w:hint="eastAsia"/>
                <w:bCs/>
              </w:rPr>
              <w:t>鼓励类：</w:t>
            </w:r>
          </w:p>
          <w:p w14:paraId="124C58A8">
            <w:pPr>
              <w:autoSpaceDE w:val="0"/>
              <w:autoSpaceDN w:val="0"/>
              <w:adjustRightInd w:val="0"/>
              <w:snapToGrid w:val="0"/>
              <w:spacing w:line="360" w:lineRule="auto"/>
              <w:ind w:firstLine="420" w:firstLineChars="200"/>
              <w:rPr>
                <w:bCs/>
              </w:rPr>
            </w:pPr>
            <w:r>
              <w:rPr>
                <w:rFonts w:hint="eastAsia"/>
                <w:bCs/>
              </w:rPr>
              <w:t>（1）符合园区主导产业的项目。</w:t>
            </w:r>
          </w:p>
          <w:p w14:paraId="15F1E7F2">
            <w:pPr>
              <w:autoSpaceDE w:val="0"/>
              <w:autoSpaceDN w:val="0"/>
              <w:adjustRightInd w:val="0"/>
              <w:snapToGrid w:val="0"/>
              <w:spacing w:line="360" w:lineRule="auto"/>
              <w:ind w:firstLine="420" w:firstLineChars="200"/>
              <w:rPr>
                <w:bCs/>
              </w:rPr>
            </w:pPr>
            <w:r>
              <w:rPr>
                <w:rFonts w:hint="eastAsia"/>
                <w:bCs/>
              </w:rPr>
              <w:t>（2）与园区主导产业相配套产业，企业效益明显，对区域不造成明显污染，遵循清洁生产及循环经济的项目。</w:t>
            </w:r>
          </w:p>
          <w:p w14:paraId="7C5BEA41">
            <w:pPr>
              <w:autoSpaceDE w:val="0"/>
              <w:autoSpaceDN w:val="0"/>
              <w:adjustRightInd w:val="0"/>
              <w:snapToGrid w:val="0"/>
              <w:spacing w:line="360" w:lineRule="auto"/>
              <w:ind w:firstLine="420" w:firstLineChars="200"/>
              <w:rPr>
                <w:bCs/>
              </w:rPr>
            </w:pPr>
            <w:r>
              <w:rPr>
                <w:rFonts w:hint="eastAsia"/>
                <w:bCs/>
              </w:rPr>
              <w:t>禁止类：</w:t>
            </w:r>
          </w:p>
          <w:p w14:paraId="6D36BA6B">
            <w:pPr>
              <w:autoSpaceDE w:val="0"/>
              <w:autoSpaceDN w:val="0"/>
              <w:adjustRightInd w:val="0"/>
              <w:snapToGrid w:val="0"/>
              <w:spacing w:line="360" w:lineRule="auto"/>
              <w:ind w:firstLine="420" w:firstLineChars="200"/>
              <w:rPr>
                <w:bCs/>
              </w:rPr>
            </w:pPr>
            <w:r>
              <w:rPr>
                <w:rFonts w:hint="eastAsia"/>
                <w:bCs/>
              </w:rPr>
              <w:t>（1）不符合国家产业政策和行业准入条件的项目。</w:t>
            </w:r>
          </w:p>
          <w:p w14:paraId="679A8FFB">
            <w:pPr>
              <w:autoSpaceDE w:val="0"/>
              <w:autoSpaceDN w:val="0"/>
              <w:adjustRightInd w:val="0"/>
              <w:snapToGrid w:val="0"/>
              <w:spacing w:line="360" w:lineRule="auto"/>
              <w:ind w:firstLine="420" w:firstLineChars="200"/>
              <w:rPr>
                <w:bCs/>
              </w:rPr>
            </w:pPr>
            <w:r>
              <w:rPr>
                <w:rFonts w:hint="eastAsia"/>
                <w:bCs/>
              </w:rPr>
              <w:t>（2）农产品加工业禁止发展屠宰和白酒酿造，医药产业禁止引入合成制药和发酵制药，现代物流业禁止引入化工物流。</w:t>
            </w:r>
          </w:p>
          <w:p w14:paraId="2F928CCA">
            <w:pPr>
              <w:autoSpaceDE w:val="0"/>
              <w:autoSpaceDN w:val="0"/>
              <w:adjustRightInd w:val="0"/>
              <w:snapToGrid w:val="0"/>
              <w:spacing w:line="360" w:lineRule="auto"/>
              <w:ind w:firstLine="420" w:firstLineChars="200"/>
              <w:rPr>
                <w:bCs/>
              </w:rPr>
            </w:pPr>
            <w:r>
              <w:rPr>
                <w:rFonts w:hint="eastAsia"/>
                <w:bCs/>
              </w:rPr>
              <w:t>（3）与园区主导产业不相容的项目。</w:t>
            </w:r>
          </w:p>
          <w:p w14:paraId="242FFDD9">
            <w:pPr>
              <w:autoSpaceDE w:val="0"/>
              <w:autoSpaceDN w:val="0"/>
              <w:adjustRightInd w:val="0"/>
              <w:snapToGrid w:val="0"/>
              <w:spacing w:line="360" w:lineRule="auto"/>
              <w:ind w:firstLine="420" w:firstLineChars="200"/>
              <w:rPr>
                <w:bCs/>
              </w:rPr>
            </w:pPr>
            <w:r>
              <w:rPr>
                <w:rFonts w:hint="eastAsia"/>
                <w:bCs/>
              </w:rPr>
              <w:t>允许类：</w:t>
            </w:r>
          </w:p>
          <w:p w14:paraId="74FDF536">
            <w:pPr>
              <w:autoSpaceDE w:val="0"/>
              <w:autoSpaceDN w:val="0"/>
              <w:adjustRightInd w:val="0"/>
              <w:snapToGrid w:val="0"/>
              <w:spacing w:line="360" w:lineRule="auto"/>
              <w:ind w:firstLine="420" w:firstLineChars="200"/>
              <w:rPr>
                <w:bCs/>
              </w:rPr>
            </w:pPr>
            <w:r>
              <w:rPr>
                <w:rFonts w:hint="eastAsia"/>
                <w:bCs/>
              </w:rPr>
              <w:t>不属于上述鼓励类、禁止类，与园区主导产业不相排斥和不矛盾、不形成交叉影响的，符合产业政策、选址与周围环境相容的其他项目。</w:t>
            </w:r>
          </w:p>
          <w:p w14:paraId="3704A7EE">
            <w:pPr>
              <w:autoSpaceDE w:val="0"/>
              <w:autoSpaceDN w:val="0"/>
              <w:adjustRightInd w:val="0"/>
              <w:snapToGrid w:val="0"/>
              <w:spacing w:line="360" w:lineRule="auto"/>
              <w:ind w:firstLine="420" w:firstLineChars="200"/>
              <w:rPr>
                <w:bCs/>
              </w:rPr>
            </w:pPr>
            <w:r>
              <w:rPr>
                <w:rFonts w:hint="eastAsia"/>
                <w:bCs/>
              </w:rPr>
              <w:t>项目</w:t>
            </w:r>
            <w:r>
              <w:rPr>
                <w:rFonts w:hint="eastAsia"/>
              </w:rPr>
              <w:t>主要从事中药代煎、膏方制作、丸剂制作等，</w:t>
            </w:r>
            <w:r>
              <w:rPr>
                <w:rFonts w:hint="eastAsia"/>
                <w:bCs/>
              </w:rPr>
              <w:t>属于</w:t>
            </w:r>
            <w:r>
              <w:rPr>
                <w:rFonts w:hint="eastAsia"/>
              </w:rPr>
              <w:t>C2740 中成药生产</w:t>
            </w:r>
            <w:r>
              <w:rPr>
                <w:rFonts w:hint="eastAsia"/>
                <w:bCs/>
              </w:rPr>
              <w:t>，符合《达州市农产品加工集中区规划环境影响报告书》及审查意见（川环建函【2013】66号）、《达州市农产品加工集中区规划环境影响跟踪评价报告书》的相关要求。</w:t>
            </w:r>
          </w:p>
          <w:p w14:paraId="624A4D52">
            <w:pPr>
              <w:autoSpaceDE w:val="0"/>
              <w:autoSpaceDN w:val="0"/>
              <w:adjustRightInd w:val="0"/>
              <w:snapToGrid w:val="0"/>
              <w:spacing w:line="360" w:lineRule="auto"/>
              <w:ind w:firstLine="420" w:firstLineChars="200"/>
            </w:pPr>
          </w:p>
        </w:tc>
      </w:tr>
      <w:tr w14:paraId="78101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57" w:type="pct"/>
            <w:vAlign w:val="center"/>
          </w:tcPr>
          <w:p w14:paraId="2A546AE4">
            <w:pPr>
              <w:autoSpaceDE w:val="0"/>
              <w:autoSpaceDN w:val="0"/>
              <w:adjustRightInd w:val="0"/>
              <w:snapToGrid w:val="0"/>
              <w:jc w:val="center"/>
            </w:pPr>
            <w:r>
              <w:t>其他符合性分析</w:t>
            </w:r>
          </w:p>
        </w:tc>
        <w:tc>
          <w:tcPr>
            <w:tcW w:w="4443" w:type="pct"/>
            <w:gridSpan w:val="3"/>
            <w:vAlign w:val="center"/>
          </w:tcPr>
          <w:p w14:paraId="039585FF">
            <w:pPr>
              <w:autoSpaceDE w:val="0"/>
              <w:autoSpaceDN w:val="0"/>
              <w:adjustRightInd w:val="0"/>
              <w:snapToGrid w:val="0"/>
              <w:spacing w:line="360" w:lineRule="auto"/>
              <w:ind w:firstLine="422" w:firstLineChars="200"/>
              <w:rPr>
                <w:b/>
              </w:rPr>
            </w:pPr>
            <w:r>
              <w:rPr>
                <w:b/>
              </w:rPr>
              <w:t>1</w:t>
            </w:r>
            <w:r>
              <w:rPr>
                <w:rFonts w:hint="eastAsia"/>
                <w:b/>
              </w:rPr>
              <w:t>、产业政策符合性分析</w:t>
            </w:r>
          </w:p>
          <w:p w14:paraId="43E099C5">
            <w:pPr>
              <w:autoSpaceDE w:val="0"/>
              <w:autoSpaceDN w:val="0"/>
              <w:adjustRightInd w:val="0"/>
              <w:snapToGrid w:val="0"/>
              <w:spacing w:line="360" w:lineRule="auto"/>
              <w:ind w:firstLine="420" w:firstLineChars="200"/>
              <w:rPr>
                <w:bCs/>
              </w:rPr>
            </w:pPr>
            <w:r>
              <w:rPr>
                <w:rFonts w:hint="eastAsia"/>
                <w:bCs/>
              </w:rPr>
              <w:t>本项目主要从事中药代煎、膏方制作、丸剂制作等，根据《国民经济行业分类》（GB/T4754-2017）（2019年），本项目属于“</w:t>
            </w:r>
            <w:r>
              <w:rPr>
                <w:rFonts w:hint="eastAsia"/>
              </w:rPr>
              <w:t>C2740中成药生产</w:t>
            </w:r>
            <w:r>
              <w:rPr>
                <w:rFonts w:hint="eastAsia"/>
                <w:bCs/>
              </w:rPr>
              <w:t>”。</w:t>
            </w:r>
          </w:p>
          <w:p w14:paraId="1A4240F6">
            <w:pPr>
              <w:autoSpaceDE w:val="0"/>
              <w:autoSpaceDN w:val="0"/>
              <w:adjustRightInd w:val="0"/>
              <w:snapToGrid w:val="0"/>
              <w:spacing w:line="360" w:lineRule="auto"/>
              <w:ind w:firstLine="420" w:firstLineChars="200"/>
              <w:rPr>
                <w:bCs/>
              </w:rPr>
            </w:pPr>
            <w:r>
              <w:rPr>
                <w:rFonts w:hint="eastAsia"/>
                <w:bCs/>
              </w:rPr>
              <w:t>根据《产业结构调整指导目录（2024年本）》中有关条款，本项目不属于鼓励类、限制类及淘汰类，同时根据国务院国发[2005]40号《促进产业结构调整暂行规定》，第十三条“不属于鼓励类、限制类和淘汰类，且符合国家有关法律、法规和政策规定的，为允许类”。因此，本项目为允许类项目。</w:t>
            </w:r>
          </w:p>
          <w:p w14:paraId="7AC2CF1E">
            <w:pPr>
              <w:autoSpaceDE w:val="0"/>
              <w:autoSpaceDN w:val="0"/>
              <w:adjustRightInd w:val="0"/>
              <w:snapToGrid w:val="0"/>
              <w:spacing w:line="360" w:lineRule="auto"/>
              <w:ind w:firstLine="420" w:firstLineChars="200"/>
              <w:rPr>
                <w:bCs/>
              </w:rPr>
            </w:pPr>
            <w:r>
              <w:rPr>
                <w:rFonts w:hint="eastAsia"/>
                <w:bCs/>
              </w:rPr>
              <w:t>此外，本项目不属于《市场准入负面清单（20</w:t>
            </w:r>
            <w:r>
              <w:rPr>
                <w:bCs/>
              </w:rPr>
              <w:t>22</w:t>
            </w:r>
            <w:r>
              <w:rPr>
                <w:rFonts w:hint="eastAsia"/>
                <w:bCs/>
              </w:rPr>
              <w:t>年版）》中列示的负面清单行业。</w:t>
            </w:r>
          </w:p>
          <w:p w14:paraId="1E90A31E">
            <w:pPr>
              <w:autoSpaceDE w:val="0"/>
              <w:autoSpaceDN w:val="0"/>
              <w:adjustRightInd w:val="0"/>
              <w:snapToGrid w:val="0"/>
              <w:spacing w:line="360" w:lineRule="auto"/>
              <w:ind w:firstLine="420" w:firstLineChars="200"/>
              <w:rPr>
                <w:bCs/>
              </w:rPr>
            </w:pPr>
            <w:r>
              <w:rPr>
                <w:rFonts w:hint="eastAsia"/>
                <w:bCs/>
              </w:rPr>
              <w:t>同时，建设单位已根据《企业投资项目核准和备案管理条例》相关规定在全国投资项目在线审批监管平台（四川）填报了《四川省固定资产投资项目备案表》，备案号：川投资备【2407-511702-04-01-293360】FGQB-0332号。备案机关为达州市通川区发展和改革局，详见附件2。</w:t>
            </w:r>
          </w:p>
          <w:p w14:paraId="2DCE7B0F">
            <w:pPr>
              <w:autoSpaceDE w:val="0"/>
              <w:autoSpaceDN w:val="0"/>
              <w:adjustRightInd w:val="0"/>
              <w:snapToGrid w:val="0"/>
              <w:spacing w:line="360" w:lineRule="auto"/>
              <w:ind w:firstLine="420" w:firstLineChars="200"/>
              <w:rPr>
                <w:bCs/>
              </w:rPr>
            </w:pPr>
            <w:r>
              <w:rPr>
                <w:rFonts w:hint="eastAsia"/>
                <w:bCs/>
              </w:rPr>
              <w:t>因此，本项目的建设符合国家现行产业政策</w:t>
            </w:r>
          </w:p>
          <w:p w14:paraId="6553BB06">
            <w:pPr>
              <w:autoSpaceDE w:val="0"/>
              <w:autoSpaceDN w:val="0"/>
              <w:adjustRightInd w:val="0"/>
              <w:snapToGrid w:val="0"/>
              <w:spacing w:line="360" w:lineRule="auto"/>
              <w:ind w:firstLine="422" w:firstLineChars="200"/>
              <w:rPr>
                <w:b/>
              </w:rPr>
            </w:pPr>
            <w:r>
              <w:rPr>
                <w:rFonts w:hint="eastAsia"/>
                <w:b/>
              </w:rPr>
              <w:t>2、项目与“三线一单”的符合性分析</w:t>
            </w:r>
          </w:p>
          <w:p w14:paraId="220F57AA">
            <w:pPr>
              <w:autoSpaceDE w:val="0"/>
              <w:autoSpaceDN w:val="0"/>
              <w:adjustRightInd w:val="0"/>
              <w:snapToGrid w:val="0"/>
              <w:spacing w:line="360" w:lineRule="auto"/>
              <w:ind w:firstLine="420" w:firstLineChars="200"/>
            </w:pPr>
            <w:r>
              <w:rPr>
                <w:rFonts w:hint="eastAsia"/>
              </w:rPr>
              <w:t>2021年12月27日，四川省生态环境厅办公室发布了《关于印发&lt;产业园区规划环评“三线一单”符合性分析技术要求（试行）&gt;和&lt;项目环评“三线一单”符合性分析技术要点（试行）&gt;的通知》（川环办函〔2021〕469号）。</w:t>
            </w:r>
          </w:p>
          <w:p w14:paraId="583AC772">
            <w:pPr>
              <w:autoSpaceDE w:val="0"/>
              <w:autoSpaceDN w:val="0"/>
              <w:adjustRightInd w:val="0"/>
              <w:snapToGrid w:val="0"/>
              <w:spacing w:line="360" w:lineRule="auto"/>
              <w:ind w:firstLine="420" w:firstLineChars="200"/>
            </w:pPr>
            <w:r>
              <w:rPr>
                <w:rFonts w:hint="eastAsia"/>
              </w:rPr>
              <w:t>本次评价结合四川省“三线一单”符合性分析系统及《达州市2023年生态环境分区管控成果动态更新〈四川省达州市“三线一单”生态环境准入清单〉》（2024.1）及《达州市人民政府办公室关于加强生态环境分区管控的通知》（达市府办函〔2024〕31 号）等相关文件，按川环办函〔2021〕469号要求对本项目“三线一单”符合性进行分析。</w:t>
            </w:r>
          </w:p>
          <w:p w14:paraId="62023A54">
            <w:pPr>
              <w:autoSpaceDE w:val="0"/>
              <w:autoSpaceDN w:val="0"/>
              <w:adjustRightInd w:val="0"/>
              <w:snapToGrid w:val="0"/>
              <w:spacing w:line="360" w:lineRule="auto"/>
              <w:ind w:firstLine="420" w:firstLineChars="200"/>
            </w:pPr>
            <w:r>
              <w:rPr>
                <w:rFonts w:hint="eastAsia"/>
              </w:rPr>
              <w:t>本项目位于四川省达州市通川经开区医药产业园，《达州市农产品加工集中区规划环境影响报告书》中未开展园区与“三线一单”符合性分析，根据“川环办函〔2021〕469号”文件中“三线一单”符合性分析结构示意图，需从“空间符合性分析”和“生态环境准入清单”进行分析。</w:t>
            </w:r>
          </w:p>
          <w:p w14:paraId="0A848129">
            <w:pPr>
              <w:autoSpaceDE w:val="0"/>
              <w:autoSpaceDN w:val="0"/>
              <w:adjustRightInd w:val="0"/>
              <w:snapToGrid w:val="0"/>
              <w:spacing w:line="360" w:lineRule="auto"/>
              <w:ind w:firstLine="422" w:firstLineChars="200"/>
              <w:rPr>
                <w:b/>
                <w:bCs/>
              </w:rPr>
            </w:pPr>
            <w:r>
              <w:rPr>
                <w:rFonts w:hint="eastAsia"/>
                <w:b/>
                <w:bCs/>
              </w:rPr>
              <w:t>（1）空间符合性分析</w:t>
            </w:r>
          </w:p>
          <w:p w14:paraId="53AE6BFC">
            <w:pPr>
              <w:autoSpaceDE w:val="0"/>
              <w:autoSpaceDN w:val="0"/>
              <w:adjustRightInd w:val="0"/>
              <w:snapToGrid w:val="0"/>
              <w:spacing w:line="360" w:lineRule="auto"/>
              <w:ind w:firstLine="420" w:firstLineChars="200"/>
            </w:pPr>
            <w:r>
              <w:rPr>
                <w:rFonts w:hint="eastAsia"/>
              </w:rPr>
              <w:t>根据“川环办函〔2021〕469号”文件，空间符合性主要从区域优先保护单元、重点管控单元、一般管控单元进行分析。根据《达州市人民政府办公室关于加强生态环境分区管控的通知》（达市府办函〔2024〕31 号），将全市行政区域从生态环境保护角度划分为优先保护、重点管控和一般管控三类环境管控单元。</w:t>
            </w:r>
          </w:p>
          <w:p w14:paraId="4EE5C651">
            <w:pPr>
              <w:autoSpaceDE w:val="0"/>
              <w:autoSpaceDN w:val="0"/>
              <w:adjustRightInd w:val="0"/>
              <w:snapToGrid w:val="0"/>
              <w:spacing w:line="360" w:lineRule="auto"/>
              <w:ind w:firstLine="420" w:firstLineChars="200"/>
            </w:pPr>
            <w:r>
              <w:rPr>
                <w:rFonts w:hint="eastAsia"/>
              </w:rPr>
              <w:t>优先保护单元。以生态环境保护为主的区域，全市划分优先保护单元18 个，主要包括生态保护红线、自然保护地、饮用水水源保护区等。应以生态环境保护优先为原则，严格执行相关法律、法规要求，严守生态环境质量底线，确保生态环境功能不降低。</w:t>
            </w:r>
          </w:p>
          <w:p w14:paraId="0583BBB8">
            <w:pPr>
              <w:autoSpaceDE w:val="0"/>
              <w:autoSpaceDN w:val="0"/>
              <w:adjustRightInd w:val="0"/>
              <w:snapToGrid w:val="0"/>
              <w:spacing w:line="360" w:lineRule="auto"/>
              <w:ind w:firstLine="420" w:firstLineChars="200"/>
            </w:pPr>
            <w:r>
              <w:rPr>
                <w:rFonts w:hint="eastAsia"/>
              </w:rPr>
              <w:t>重点管控单元。涉及水、大气、土壤、自然资源等资源环境要素重点管控的区域，全市划分重点管控单元22 个，主要包括人口密集的城镇规划区和产业集聚的工业园区（工业集聚区）等。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14:paraId="6E33BC2B">
            <w:pPr>
              <w:autoSpaceDE w:val="0"/>
              <w:autoSpaceDN w:val="0"/>
              <w:adjustRightInd w:val="0"/>
              <w:snapToGrid w:val="0"/>
              <w:spacing w:line="360" w:lineRule="auto"/>
              <w:ind w:firstLine="420" w:firstLineChars="200"/>
            </w:pPr>
            <w:r>
              <w:rPr>
                <w:rFonts w:hint="eastAsia"/>
              </w:rPr>
              <w:t>一般管控单元。除优先保护单元和重点管控单元之外的其他区域，全市共划分一般管控单元7 个。执行区域生态环境保护的基本要求，重点加强农业、生活等领域污染治理。</w:t>
            </w:r>
          </w:p>
          <w:p w14:paraId="109A7713">
            <w:pPr>
              <w:autoSpaceDE w:val="0"/>
              <w:autoSpaceDN w:val="0"/>
              <w:adjustRightInd w:val="0"/>
              <w:snapToGrid w:val="0"/>
              <w:spacing w:line="360" w:lineRule="auto"/>
              <w:ind w:firstLine="420" w:firstLineChars="200"/>
            </w:pPr>
            <w:r>
              <w:rPr>
                <w:rFonts w:hint="eastAsia"/>
              </w:rPr>
              <w:t>本项目位于</w:t>
            </w:r>
            <w:r>
              <w:t>四川省达州市通川经开区医药产业园11 栋3 层</w:t>
            </w:r>
            <w:r>
              <w:rPr>
                <w:rFonts w:hint="eastAsia"/>
              </w:rPr>
              <w:t>，属于工业重点管控单元，项目与达州市生态环境管控单元分布位置关系见下图：</w:t>
            </w:r>
          </w:p>
          <w:p w14:paraId="5457A0A3">
            <w:pPr>
              <w:pStyle w:val="2"/>
              <w:rPr>
                <w:b/>
              </w:rPr>
            </w:pPr>
            <w:r>
              <mc:AlternateContent>
                <mc:Choice Requires="wps">
                  <w:drawing>
                    <wp:anchor distT="0" distB="0" distL="114300" distR="114300" simplePos="0" relativeHeight="251659264" behindDoc="0" locked="0" layoutInCell="1" allowOverlap="1">
                      <wp:simplePos x="0" y="0"/>
                      <wp:positionH relativeFrom="column">
                        <wp:posOffset>2318385</wp:posOffset>
                      </wp:positionH>
                      <wp:positionV relativeFrom="paragraph">
                        <wp:posOffset>893445</wp:posOffset>
                      </wp:positionV>
                      <wp:extent cx="1244600" cy="285750"/>
                      <wp:effectExtent l="323850" t="0" r="12700" b="590550"/>
                      <wp:wrapNone/>
                      <wp:docPr id="1841121201" name="对话气泡: 矩形 1"/>
                      <wp:cNvGraphicFramePr/>
                      <a:graphic xmlns:a="http://schemas.openxmlformats.org/drawingml/2006/main">
                        <a:graphicData uri="http://schemas.microsoft.com/office/word/2010/wordprocessingShape">
                          <wps:wsp>
                            <wps:cNvSpPr/>
                            <wps:spPr>
                              <a:xfrm>
                                <a:off x="0" y="0"/>
                                <a:ext cx="1244600" cy="285750"/>
                              </a:xfrm>
                              <a:prstGeom prst="wedgeRectCallout">
                                <a:avLst>
                                  <a:gd name="adj1" fmla="val -72052"/>
                                  <a:gd name="adj2" fmla="val 230518"/>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680E6B">
                                  <w:pPr>
                                    <w:jc w:val="center"/>
                                  </w:pPr>
                                  <w:r>
                                    <w:rPr>
                                      <w:rFonts w:hint="eastAsia"/>
                                      <w:color w:val="FF0000"/>
                                    </w:rPr>
                                    <w:t>本项目所在位置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 o:spid="_x0000_s1026" o:spt="61" type="#_x0000_t61" style="position:absolute;left:0pt;margin-left:182.55pt;margin-top:70.35pt;height:22.5pt;width:98pt;z-index:251659264;v-text-anchor:middle;mso-width-relative:page;mso-height-relative:page;" fillcolor="#FFFFFF [3212]" filled="t" stroked="t" coordsize="21600,21600" o:gfxdata="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B7cZf2QAAAAsBAAAPAAAA&#10;AAAAAAEAIAAAACIAAABkcnMvZG93bnJldi54bWxQSwECFAAUAAAACACHTuJATFABzL8CAAB1BQAA&#10;DgAAAAAAAAABACAAAAAoAQAAZHJzL2Uyb0RvYy54bWxQSwUGAAAAAAYABgBZAQAAWQYAAAAA&#10;" adj="-4763,60592">
                      <v:fill on="t" focussize="0,0"/>
                      <v:stroke weight="1pt" color="#FF0000 [3204]" miterlimit="8" joinstyle="miter"/>
                      <v:imagedata o:title=""/>
                      <o:lock v:ext="edit" aspectratio="f"/>
                      <v:textbox>
                        <w:txbxContent>
                          <w:p w14:paraId="65680E6B">
                            <w:pPr>
                              <w:jc w:val="center"/>
                            </w:pPr>
                            <w:r>
                              <w:rPr>
                                <w:rFonts w:hint="eastAsia"/>
                                <w:color w:val="FF0000"/>
                              </w:rPr>
                              <w:t>本项目所在位置</w:t>
                            </w:r>
                          </w:p>
                        </w:txbxContent>
                      </v:textbox>
                    </v:shape>
                  </w:pict>
                </mc:Fallback>
              </mc:AlternateContent>
            </w:r>
            <w:r>
              <w:drawing>
                <wp:inline distT="0" distB="0" distL="0" distR="0">
                  <wp:extent cx="4482465" cy="3181985"/>
                  <wp:effectExtent l="0" t="0" r="0" b="0"/>
                  <wp:docPr id="10019979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7972"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2465" cy="3181985"/>
                          </a:xfrm>
                          <a:prstGeom prst="rect">
                            <a:avLst/>
                          </a:prstGeom>
                        </pic:spPr>
                      </pic:pic>
                    </a:graphicData>
                  </a:graphic>
                </wp:inline>
              </w:drawing>
            </w:r>
          </w:p>
          <w:p w14:paraId="1DC7E217">
            <w:pPr>
              <w:pStyle w:val="2"/>
              <w:rPr>
                <w:b/>
              </w:rPr>
            </w:pPr>
            <w:r>
              <w:rPr>
                <w:rFonts w:hint="eastAsia"/>
                <w:b/>
              </w:rPr>
              <w:t>图1-1 本项目与达州市环境综合管控单元位置关系示意图</w:t>
            </w:r>
          </w:p>
          <w:p w14:paraId="6603EFB2">
            <w:pPr>
              <w:autoSpaceDE w:val="0"/>
              <w:autoSpaceDN w:val="0"/>
              <w:adjustRightInd w:val="0"/>
              <w:snapToGrid w:val="0"/>
              <w:spacing w:line="360" w:lineRule="auto"/>
              <w:ind w:firstLine="420" w:firstLineChars="200"/>
            </w:pPr>
            <w:r>
              <w:rPr>
                <w:rFonts w:hint="eastAsia"/>
              </w:rPr>
              <w:t>本项目涉及达州市通川区，本项目与达州市及通川区总体生态管控要求见下表。</w:t>
            </w:r>
          </w:p>
          <w:p w14:paraId="3F25CA34">
            <w:pPr>
              <w:autoSpaceDE w:val="0"/>
              <w:autoSpaceDN w:val="0"/>
              <w:adjustRightInd w:val="0"/>
              <w:snapToGrid w:val="0"/>
              <w:jc w:val="center"/>
              <w:rPr>
                <w:b/>
              </w:rPr>
            </w:pPr>
            <w:r>
              <w:rPr>
                <w:rFonts w:hint="eastAsia"/>
                <w:b/>
              </w:rPr>
              <w:t>表</w:t>
            </w:r>
            <w:r>
              <w:rPr>
                <w:b/>
              </w:rPr>
              <w:t xml:space="preserve">1-5  </w:t>
            </w:r>
            <w:r>
              <w:rPr>
                <w:rFonts w:hint="eastAsia"/>
                <w:b/>
              </w:rPr>
              <w:t>本项目与达州市及通川区总体生态管控要求符合性分析</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5069"/>
              <w:gridCol w:w="1087"/>
              <w:gridCol w:w="707"/>
            </w:tblGrid>
            <w:tr w14:paraId="51403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4" w:type="pct"/>
                  <w:vAlign w:val="center"/>
                </w:tcPr>
                <w:p w14:paraId="27CB01F0">
                  <w:pPr>
                    <w:widowControl/>
                    <w:ind w:left="-105" w:leftChars="-50" w:right="-105" w:rightChars="-50"/>
                    <w:jc w:val="center"/>
                    <w:rPr>
                      <w:rFonts w:hint="eastAsia" w:ascii="宋体" w:hAnsi="宋体"/>
                      <w:b/>
                      <w:bCs/>
                      <w:sz w:val="18"/>
                      <w:szCs w:val="18"/>
                    </w:rPr>
                  </w:pPr>
                  <w:r>
                    <w:rPr>
                      <w:rFonts w:hint="eastAsia" w:ascii="宋体" w:hAnsi="宋体"/>
                      <w:b/>
                      <w:bCs/>
                      <w:sz w:val="18"/>
                      <w:szCs w:val="18"/>
                    </w:rPr>
                    <w:t>行政区划</w:t>
                  </w:r>
                </w:p>
              </w:tc>
              <w:tc>
                <w:tcPr>
                  <w:tcW w:w="3306" w:type="pct"/>
                  <w:vAlign w:val="center"/>
                </w:tcPr>
                <w:p w14:paraId="32160DE2">
                  <w:pPr>
                    <w:widowControl/>
                    <w:ind w:left="-105" w:leftChars="-50" w:right="-105" w:rightChars="-50"/>
                    <w:jc w:val="center"/>
                    <w:rPr>
                      <w:rFonts w:hint="eastAsia" w:ascii="宋体" w:hAnsi="宋体"/>
                      <w:b/>
                      <w:bCs/>
                      <w:sz w:val="18"/>
                      <w:szCs w:val="18"/>
                    </w:rPr>
                  </w:pPr>
                  <w:r>
                    <w:rPr>
                      <w:rFonts w:hint="eastAsia" w:ascii="宋体" w:hAnsi="宋体"/>
                      <w:b/>
                      <w:bCs/>
                      <w:sz w:val="18"/>
                      <w:szCs w:val="18"/>
                    </w:rPr>
                    <w:t>要求</w:t>
                  </w:r>
                </w:p>
              </w:tc>
              <w:tc>
                <w:tcPr>
                  <w:tcW w:w="709" w:type="pct"/>
                  <w:vAlign w:val="center"/>
                </w:tcPr>
                <w:p w14:paraId="131F6BB3">
                  <w:pPr>
                    <w:widowControl/>
                    <w:ind w:left="-105" w:leftChars="-50" w:right="-105" w:rightChars="-50"/>
                    <w:jc w:val="center"/>
                    <w:rPr>
                      <w:rFonts w:hint="eastAsia" w:ascii="宋体" w:hAnsi="宋体"/>
                      <w:b/>
                      <w:bCs/>
                      <w:sz w:val="18"/>
                      <w:szCs w:val="18"/>
                    </w:rPr>
                  </w:pPr>
                  <w:r>
                    <w:rPr>
                      <w:rFonts w:hint="eastAsia" w:ascii="宋体" w:hAnsi="宋体"/>
                      <w:b/>
                      <w:bCs/>
                      <w:sz w:val="18"/>
                      <w:szCs w:val="18"/>
                    </w:rPr>
                    <w:t>本项目</w:t>
                  </w:r>
                </w:p>
              </w:tc>
              <w:tc>
                <w:tcPr>
                  <w:tcW w:w="461" w:type="pct"/>
                  <w:vAlign w:val="center"/>
                </w:tcPr>
                <w:p w14:paraId="37736847">
                  <w:pPr>
                    <w:widowControl/>
                    <w:ind w:left="-105" w:leftChars="-50" w:right="-105" w:rightChars="-50"/>
                    <w:jc w:val="center"/>
                    <w:rPr>
                      <w:rFonts w:hint="eastAsia" w:ascii="宋体" w:hAnsi="宋体"/>
                      <w:b/>
                      <w:bCs/>
                      <w:sz w:val="18"/>
                      <w:szCs w:val="18"/>
                    </w:rPr>
                  </w:pPr>
                  <w:r>
                    <w:rPr>
                      <w:rFonts w:hint="eastAsia" w:ascii="宋体" w:hAnsi="宋体"/>
                      <w:b/>
                      <w:bCs/>
                      <w:sz w:val="18"/>
                      <w:szCs w:val="18"/>
                    </w:rPr>
                    <w:t>符合性</w:t>
                  </w:r>
                </w:p>
              </w:tc>
            </w:tr>
            <w:tr w14:paraId="43110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4" w:type="pct"/>
                  <w:vAlign w:val="center"/>
                </w:tcPr>
                <w:p w14:paraId="273154F8">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sz w:val="18"/>
                      <w:szCs w:val="18"/>
                    </w:rPr>
                    <w:t>达州市</w:t>
                  </w:r>
                </w:p>
              </w:tc>
              <w:tc>
                <w:tcPr>
                  <w:tcW w:w="3306" w:type="pct"/>
                  <w:vAlign w:val="center"/>
                </w:tcPr>
                <w:p w14:paraId="50A76D90">
                  <w:pPr>
                    <w:pStyle w:val="80"/>
                    <w:widowControl/>
                    <w:spacing w:line="240" w:lineRule="auto"/>
                    <w:ind w:firstLine="0" w:firstLineChars="0"/>
                    <w:rPr>
                      <w:rFonts w:hint="eastAsia" w:ascii="宋体" w:hAnsi="宋体" w:eastAsia="宋体"/>
                      <w:sz w:val="18"/>
                      <w:szCs w:val="18"/>
                    </w:rPr>
                  </w:pPr>
                  <w:r>
                    <w:rPr>
                      <w:rFonts w:hint="eastAsia" w:ascii="宋体" w:hAnsi="宋体" w:eastAsia="宋体"/>
                      <w:sz w:val="18"/>
                      <w:szCs w:val="18"/>
                    </w:rPr>
                    <w:t>1.长江干支流岸线1千米范围内，不得新建、扩建化工园区和化工项目。</w:t>
                  </w:r>
                </w:p>
                <w:p w14:paraId="422300C8">
                  <w:pPr>
                    <w:pStyle w:val="80"/>
                    <w:widowControl/>
                    <w:spacing w:line="240" w:lineRule="auto"/>
                    <w:ind w:firstLine="0" w:firstLineChars="0"/>
                    <w:rPr>
                      <w:rFonts w:hint="eastAsia" w:ascii="宋体" w:hAnsi="宋体" w:eastAsia="宋体"/>
                      <w:sz w:val="18"/>
                      <w:szCs w:val="18"/>
                    </w:rPr>
                  </w:pPr>
                  <w:r>
                    <w:rPr>
                      <w:rFonts w:hint="eastAsia" w:ascii="宋体" w:hAnsi="宋体" w:eastAsia="宋体"/>
                      <w:sz w:val="18"/>
                      <w:szCs w:val="18"/>
                    </w:rPr>
                    <w:t>2.严控产业转移环境准入。</w:t>
                  </w:r>
                </w:p>
                <w:p w14:paraId="53E1DFD5">
                  <w:pPr>
                    <w:pStyle w:val="80"/>
                    <w:widowControl/>
                    <w:spacing w:line="240" w:lineRule="auto"/>
                    <w:ind w:firstLine="0" w:firstLineChars="0"/>
                    <w:rPr>
                      <w:rFonts w:hint="eastAsia" w:ascii="宋体" w:hAnsi="宋体" w:eastAsia="宋体"/>
                      <w:sz w:val="18"/>
                      <w:szCs w:val="18"/>
                    </w:rPr>
                  </w:pPr>
                  <w:r>
                    <w:rPr>
                      <w:rFonts w:hint="eastAsia" w:ascii="宋体" w:hAnsi="宋体" w:eastAsia="宋体"/>
                      <w:sz w:val="18"/>
                      <w:szCs w:val="18"/>
                    </w:rPr>
                    <w:t>3.引进项目应符合园区规划环评和区域产业准入清单要求。</w:t>
                  </w:r>
                </w:p>
                <w:p w14:paraId="23C6542D">
                  <w:pPr>
                    <w:pStyle w:val="80"/>
                    <w:widowControl/>
                    <w:spacing w:line="240" w:lineRule="auto"/>
                    <w:ind w:firstLine="0" w:firstLineChars="0"/>
                    <w:rPr>
                      <w:rFonts w:hint="eastAsia" w:ascii="宋体" w:hAnsi="宋体" w:eastAsia="宋体"/>
                      <w:sz w:val="18"/>
                      <w:szCs w:val="18"/>
                    </w:rPr>
                  </w:pPr>
                  <w:r>
                    <w:rPr>
                      <w:rFonts w:hint="eastAsia" w:ascii="宋体" w:hAnsi="宋体" w:eastAsia="宋体"/>
                      <w:sz w:val="18"/>
                      <w:szCs w:val="18"/>
                    </w:rPr>
                    <w:t>4.造纸等产业污染治理和环境管理应达到国内先进水平。优化制浆造纸产业布局，提升行业清洁生产水平，推动制浆造纸工业向节能、环保、绿色方向发展。</w:t>
                  </w:r>
                </w:p>
                <w:p w14:paraId="7C506223">
                  <w:pPr>
                    <w:pStyle w:val="80"/>
                    <w:widowControl/>
                    <w:spacing w:line="240" w:lineRule="auto"/>
                    <w:ind w:firstLine="0" w:firstLineChars="0"/>
                    <w:rPr>
                      <w:rFonts w:hint="eastAsia" w:ascii="宋体" w:hAnsi="宋体" w:eastAsia="宋体"/>
                      <w:sz w:val="18"/>
                      <w:szCs w:val="18"/>
                    </w:rPr>
                  </w:pPr>
                  <w:r>
                    <w:rPr>
                      <w:rFonts w:hint="eastAsia" w:ascii="宋体" w:hAnsi="宋体" w:eastAsia="宋体"/>
                      <w:sz w:val="18"/>
                      <w:szCs w:val="18"/>
                    </w:rPr>
                    <w:t>5.深化成都平原、川南、川东北地区大气污染联防联控工作机制，加强川渝地区联防联控。强化重污染天气区域应急联动机制，深化区域重污染天气联合应对。</w:t>
                  </w:r>
                </w:p>
                <w:p w14:paraId="2A95878F">
                  <w:pPr>
                    <w:pStyle w:val="80"/>
                    <w:widowControl/>
                    <w:spacing w:line="240" w:lineRule="auto"/>
                    <w:ind w:firstLine="0" w:firstLineChars="0"/>
                    <w:rPr>
                      <w:rFonts w:hint="eastAsia" w:ascii="宋体" w:hAnsi="宋体" w:eastAsia="宋体"/>
                      <w:sz w:val="18"/>
                      <w:szCs w:val="18"/>
                    </w:rPr>
                  </w:pPr>
                  <w:r>
                    <w:rPr>
                      <w:rFonts w:hint="eastAsia" w:ascii="宋体" w:hAnsi="宋体" w:eastAsia="宋体"/>
                      <w:sz w:val="18"/>
                      <w:szCs w:val="18"/>
                    </w:rPr>
                    <w:t>6.钢铁行业项目新建应参考达州市“三线一单”生态环境分区管控中钢铁行业资源环境绩效准入门槛；达钢等高污染企业限期退城入园；普光气田开发污染防治和环境管理等方面要达国内先进水平。</w:t>
                  </w:r>
                </w:p>
              </w:tc>
              <w:tc>
                <w:tcPr>
                  <w:tcW w:w="709" w:type="pct"/>
                  <w:vAlign w:val="center"/>
                </w:tcPr>
                <w:p w14:paraId="457E4E25">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sz w:val="18"/>
                      <w:szCs w:val="18"/>
                    </w:rPr>
                    <w:t>本项目不属于钢铁、造纸、化工行业，不属于高污染企业。</w:t>
                  </w:r>
                </w:p>
              </w:tc>
              <w:tc>
                <w:tcPr>
                  <w:tcW w:w="461" w:type="pct"/>
                  <w:vAlign w:val="center"/>
                </w:tcPr>
                <w:p w14:paraId="1988A913">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sz w:val="18"/>
                      <w:szCs w:val="18"/>
                    </w:rPr>
                    <w:t>符合</w:t>
                  </w:r>
                </w:p>
              </w:tc>
            </w:tr>
            <w:tr w14:paraId="42544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4" w:type="pct"/>
                  <w:vAlign w:val="center"/>
                </w:tcPr>
                <w:p w14:paraId="4DFD00DB">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sz w:val="18"/>
                      <w:szCs w:val="18"/>
                    </w:rPr>
                    <w:t>通川区</w:t>
                  </w:r>
                </w:p>
              </w:tc>
              <w:tc>
                <w:tcPr>
                  <w:tcW w:w="3306" w:type="pct"/>
                  <w:vAlign w:val="center"/>
                </w:tcPr>
                <w:p w14:paraId="2F7C068B">
                  <w:pPr>
                    <w:pStyle w:val="80"/>
                    <w:widowControl/>
                    <w:spacing w:line="240" w:lineRule="auto"/>
                    <w:ind w:firstLine="0" w:firstLineChars="0"/>
                    <w:rPr>
                      <w:rFonts w:hint="eastAsia" w:ascii="宋体" w:hAnsi="宋体" w:eastAsia="宋体"/>
                      <w:sz w:val="18"/>
                      <w:szCs w:val="18"/>
                    </w:rPr>
                  </w:pPr>
                  <w:r>
                    <w:rPr>
                      <w:rFonts w:hint="eastAsia" w:ascii="宋体" w:hAnsi="宋体" w:eastAsia="宋体"/>
                      <w:sz w:val="18"/>
                      <w:szCs w:val="18"/>
                    </w:rPr>
                    <w:t>1.优化调整产业布局，以细颗粒物（PM</w:t>
                  </w:r>
                  <w:r>
                    <w:rPr>
                      <w:rFonts w:hint="eastAsia" w:ascii="宋体" w:hAnsi="宋体" w:eastAsia="宋体"/>
                      <w:sz w:val="18"/>
                      <w:szCs w:val="18"/>
                      <w:vertAlign w:val="subscript"/>
                    </w:rPr>
                    <w:t>2.5</w:t>
                  </w:r>
                  <w:r>
                    <w:rPr>
                      <w:rFonts w:hint="eastAsia" w:ascii="宋体" w:hAnsi="宋体" w:eastAsia="宋体"/>
                      <w:sz w:val="18"/>
                      <w:szCs w:val="18"/>
                    </w:rPr>
                    <w:t>）和臭氧（O</w:t>
                  </w:r>
                  <w:r>
                    <w:rPr>
                      <w:rFonts w:hint="eastAsia" w:ascii="宋体" w:hAnsi="宋体" w:eastAsia="宋体"/>
                      <w:sz w:val="18"/>
                      <w:szCs w:val="18"/>
                      <w:vertAlign w:val="subscript"/>
                    </w:rPr>
                    <w:t>3</w:t>
                  </w:r>
                  <w:r>
                    <w:rPr>
                      <w:rFonts w:hint="eastAsia" w:ascii="宋体" w:hAnsi="宋体" w:eastAsia="宋体"/>
                      <w:sz w:val="18"/>
                      <w:szCs w:val="18"/>
                    </w:rPr>
                    <w:t>）污染协同控制为重点，全面开展挥发性有机物（VOCs）治理，实施移动源整治，持续推进空气质量精细化管理。</w:t>
                  </w:r>
                </w:p>
                <w:p w14:paraId="10D822B9">
                  <w:pPr>
                    <w:pStyle w:val="80"/>
                    <w:widowControl/>
                    <w:spacing w:line="240" w:lineRule="auto"/>
                    <w:ind w:firstLine="0" w:firstLineChars="0"/>
                    <w:rPr>
                      <w:rFonts w:hint="eastAsia" w:ascii="宋体" w:hAnsi="宋体" w:eastAsia="宋体"/>
                      <w:sz w:val="18"/>
                      <w:szCs w:val="18"/>
                    </w:rPr>
                  </w:pPr>
                  <w:r>
                    <w:rPr>
                      <w:rFonts w:hint="eastAsia" w:ascii="宋体" w:hAnsi="宋体" w:eastAsia="宋体"/>
                      <w:sz w:val="18"/>
                      <w:szCs w:val="18"/>
                    </w:rPr>
                    <w:t>2.调整农作物种植结构，加强农业氨污染控制，大力发展节水农业。</w:t>
                  </w:r>
                </w:p>
                <w:p w14:paraId="35275746">
                  <w:pPr>
                    <w:pStyle w:val="80"/>
                    <w:widowControl/>
                    <w:spacing w:line="240" w:lineRule="auto"/>
                    <w:ind w:firstLine="0" w:firstLineChars="0"/>
                    <w:rPr>
                      <w:rFonts w:hint="eastAsia" w:ascii="宋体" w:hAnsi="宋体" w:eastAsia="宋体"/>
                      <w:sz w:val="18"/>
                      <w:szCs w:val="18"/>
                    </w:rPr>
                  </w:pPr>
                  <w:r>
                    <w:rPr>
                      <w:rFonts w:hint="eastAsia" w:ascii="宋体" w:hAnsi="宋体" w:eastAsia="宋体"/>
                      <w:sz w:val="18"/>
                      <w:szCs w:val="18"/>
                    </w:rPr>
                    <w:t>3.加强建筑工程日常监管，对重点环节采取遮盖、洒水、封闭等措施控制扬尘排放。提高道路硬化率，减少道路起尘源。推动非道路移动机械达标排放示范企业建设。</w:t>
                  </w:r>
                </w:p>
                <w:p w14:paraId="7E16B25D">
                  <w:pPr>
                    <w:pStyle w:val="80"/>
                    <w:widowControl/>
                    <w:spacing w:line="240" w:lineRule="auto"/>
                    <w:ind w:firstLine="0" w:firstLineChars="0"/>
                    <w:rPr>
                      <w:rFonts w:hint="eastAsia" w:ascii="宋体" w:hAnsi="宋体" w:eastAsia="宋体"/>
                      <w:sz w:val="18"/>
                      <w:szCs w:val="18"/>
                    </w:rPr>
                  </w:pPr>
                  <w:r>
                    <w:rPr>
                      <w:rFonts w:hint="eastAsia" w:ascii="宋体" w:hAnsi="宋体" w:eastAsia="宋体"/>
                      <w:sz w:val="18"/>
                      <w:szCs w:val="18"/>
                    </w:rPr>
                    <w:t>4.建立健全农业节水体系，推广使用节水灌溉技术，探索乡镇、农村生活污水资源化还田利用。大力开展沿河畜禽养殖污染整治，实现畜禽粪污减量化排放、无害化处理和资源化利用。</w:t>
                  </w:r>
                </w:p>
              </w:tc>
              <w:tc>
                <w:tcPr>
                  <w:tcW w:w="709" w:type="pct"/>
                  <w:vAlign w:val="center"/>
                </w:tcPr>
                <w:p w14:paraId="47C58DB3">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sz w:val="18"/>
                      <w:szCs w:val="18"/>
                    </w:rPr>
                    <w:t>本项目建设施工过程加强对施工扬尘、施工废水的管理，不会对周边环境造成显著影响。</w:t>
                  </w:r>
                </w:p>
              </w:tc>
              <w:tc>
                <w:tcPr>
                  <w:tcW w:w="461" w:type="pct"/>
                  <w:vAlign w:val="center"/>
                </w:tcPr>
                <w:p w14:paraId="00D9E5DF">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sz w:val="18"/>
                      <w:szCs w:val="18"/>
                    </w:rPr>
                    <w:t>符合</w:t>
                  </w:r>
                </w:p>
              </w:tc>
            </w:tr>
          </w:tbl>
          <w:p w14:paraId="68A8B0A9">
            <w:pPr>
              <w:autoSpaceDE w:val="0"/>
              <w:autoSpaceDN w:val="0"/>
              <w:adjustRightInd w:val="0"/>
              <w:snapToGrid w:val="0"/>
              <w:spacing w:line="360" w:lineRule="auto"/>
              <w:ind w:firstLine="422" w:firstLineChars="200"/>
              <w:rPr>
                <w:b/>
                <w:bCs/>
              </w:rPr>
            </w:pPr>
            <w:r>
              <w:rPr>
                <w:rFonts w:hint="eastAsia"/>
                <w:b/>
                <w:bCs/>
              </w:rPr>
              <w:t>1）本项目涉及的环境管控单元</w:t>
            </w:r>
          </w:p>
          <w:p w14:paraId="2A8E251A">
            <w:pPr>
              <w:autoSpaceDE w:val="0"/>
              <w:autoSpaceDN w:val="0"/>
              <w:adjustRightInd w:val="0"/>
              <w:snapToGrid w:val="0"/>
              <w:spacing w:line="360" w:lineRule="auto"/>
              <w:ind w:firstLine="420" w:firstLineChars="200"/>
            </w:pPr>
            <w:r>
              <w:rPr>
                <w:rFonts w:hint="eastAsia"/>
              </w:rPr>
              <w:t>根据四川省政务服务网的“三线一单”符合性分析模块（http：//www.sczwfw.gov.cn，四川政务服务网—直通部门—生态环境厅—“三线一单”符合性分析）查询，项目所在的环境管控单元和要素管控分区如下：</w:t>
            </w:r>
          </w:p>
          <w:p w14:paraId="2A322AE4">
            <w:pPr>
              <w:autoSpaceDE w:val="0"/>
              <w:autoSpaceDN w:val="0"/>
              <w:adjustRightInd w:val="0"/>
              <w:snapToGrid w:val="0"/>
              <w:jc w:val="center"/>
            </w:pPr>
            <w:r>
              <w:drawing>
                <wp:inline distT="0" distB="0" distL="0" distR="0">
                  <wp:extent cx="4752975" cy="3956050"/>
                  <wp:effectExtent l="0" t="0" r="0" b="6350"/>
                  <wp:docPr id="18855824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82479"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55499" cy="3958338"/>
                          </a:xfrm>
                          <a:prstGeom prst="rect">
                            <a:avLst/>
                          </a:prstGeom>
                          <a:noFill/>
                          <a:ln>
                            <a:noFill/>
                          </a:ln>
                        </pic:spPr>
                      </pic:pic>
                    </a:graphicData>
                  </a:graphic>
                </wp:inline>
              </w:drawing>
            </w:r>
          </w:p>
          <w:p w14:paraId="61A43B80">
            <w:pPr>
              <w:autoSpaceDE w:val="0"/>
              <w:autoSpaceDN w:val="0"/>
              <w:adjustRightInd w:val="0"/>
              <w:snapToGrid w:val="0"/>
              <w:jc w:val="center"/>
              <w:rPr>
                <w:b/>
              </w:rPr>
            </w:pPr>
            <w:r>
              <w:rPr>
                <w:rFonts w:hint="eastAsia"/>
                <w:b/>
              </w:rPr>
              <w:t>图1-2 四川省“三线一单”数据分析系统查询截图</w:t>
            </w:r>
          </w:p>
          <w:p w14:paraId="748B930F">
            <w:pPr>
              <w:autoSpaceDE w:val="0"/>
              <w:autoSpaceDN w:val="0"/>
              <w:adjustRightInd w:val="0"/>
              <w:snapToGrid w:val="0"/>
              <w:spacing w:line="360" w:lineRule="auto"/>
              <w:ind w:firstLine="420" w:firstLineChars="200"/>
            </w:pPr>
            <w:r>
              <w:rPr>
                <w:rFonts w:hint="eastAsia"/>
              </w:rPr>
              <w:t>经查询四川省生态环境厅“三线一单”应用平台可知，本项目共涉及3个环境管控单元，具体环境管控单元见下表。</w:t>
            </w:r>
          </w:p>
          <w:p w14:paraId="2995A66E">
            <w:pPr>
              <w:autoSpaceDE w:val="0"/>
              <w:autoSpaceDN w:val="0"/>
              <w:adjustRightInd w:val="0"/>
              <w:snapToGrid w:val="0"/>
              <w:jc w:val="center"/>
              <w:rPr>
                <w:b/>
              </w:rPr>
            </w:pPr>
            <w:r>
              <w:rPr>
                <w:rFonts w:hint="eastAsia"/>
                <w:b/>
              </w:rPr>
              <w:t>表</w:t>
            </w:r>
            <w:r>
              <w:rPr>
                <w:b/>
              </w:rPr>
              <w:t xml:space="preserve">1-5  </w:t>
            </w:r>
            <w:r>
              <w:rPr>
                <w:rFonts w:hint="eastAsia"/>
                <w:b/>
              </w:rPr>
              <w:t>环境管控单元及管控类型一览表</w:t>
            </w:r>
          </w:p>
          <w:tbl>
            <w:tblPr>
              <w:tblStyle w:val="5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662"/>
              <w:gridCol w:w="1090"/>
              <w:gridCol w:w="818"/>
              <w:gridCol w:w="1363"/>
              <w:gridCol w:w="1716"/>
            </w:tblGrid>
            <w:tr w14:paraId="4A8A4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3" w:type="pct"/>
                  <w:vAlign w:val="center"/>
                </w:tcPr>
                <w:p w14:paraId="6D1E86BA">
                  <w:pPr>
                    <w:widowControl/>
                    <w:ind w:left="-105" w:leftChars="-50" w:right="-105" w:rightChars="-50"/>
                    <w:jc w:val="center"/>
                    <w:rPr>
                      <w:rFonts w:hint="eastAsia" w:ascii="宋体" w:hAnsi="宋体"/>
                      <w:b/>
                      <w:bCs/>
                      <w:sz w:val="18"/>
                      <w:szCs w:val="18"/>
                    </w:rPr>
                  </w:pPr>
                  <w:r>
                    <w:rPr>
                      <w:rFonts w:hint="eastAsia" w:ascii="宋体" w:hAnsi="宋体"/>
                      <w:b/>
                      <w:bCs/>
                      <w:sz w:val="18"/>
                      <w:szCs w:val="18"/>
                    </w:rPr>
                    <w:t>环境管控单元编码</w:t>
                  </w:r>
                </w:p>
              </w:tc>
              <w:tc>
                <w:tcPr>
                  <w:tcW w:w="1083" w:type="pct"/>
                  <w:vAlign w:val="center"/>
                </w:tcPr>
                <w:p w14:paraId="47237353">
                  <w:pPr>
                    <w:widowControl/>
                    <w:ind w:left="-105" w:leftChars="-50" w:right="-105" w:rightChars="-50"/>
                    <w:jc w:val="center"/>
                    <w:rPr>
                      <w:rFonts w:hint="eastAsia" w:ascii="宋体" w:hAnsi="宋体"/>
                      <w:b/>
                      <w:bCs/>
                      <w:sz w:val="18"/>
                      <w:szCs w:val="18"/>
                    </w:rPr>
                  </w:pPr>
                  <w:r>
                    <w:rPr>
                      <w:rFonts w:hint="eastAsia" w:ascii="宋体" w:hAnsi="宋体"/>
                      <w:b/>
                      <w:bCs/>
                      <w:sz w:val="18"/>
                      <w:szCs w:val="18"/>
                    </w:rPr>
                    <w:t>环境管控单元名称</w:t>
                  </w:r>
                </w:p>
              </w:tc>
              <w:tc>
                <w:tcPr>
                  <w:tcW w:w="711" w:type="pct"/>
                  <w:vAlign w:val="center"/>
                </w:tcPr>
                <w:p w14:paraId="360C0468">
                  <w:pPr>
                    <w:widowControl/>
                    <w:ind w:left="-105" w:leftChars="-50" w:right="-105" w:rightChars="-50"/>
                    <w:jc w:val="center"/>
                    <w:rPr>
                      <w:rFonts w:hint="eastAsia" w:ascii="宋体" w:hAnsi="宋体"/>
                      <w:b/>
                      <w:bCs/>
                      <w:sz w:val="18"/>
                      <w:szCs w:val="18"/>
                    </w:rPr>
                  </w:pPr>
                  <w:r>
                    <w:rPr>
                      <w:rFonts w:hint="eastAsia" w:ascii="宋体" w:hAnsi="宋体"/>
                      <w:b/>
                      <w:bCs/>
                      <w:sz w:val="18"/>
                      <w:szCs w:val="18"/>
                    </w:rPr>
                    <w:t>所属市（州）</w:t>
                  </w:r>
                </w:p>
              </w:tc>
              <w:tc>
                <w:tcPr>
                  <w:tcW w:w="534" w:type="pct"/>
                  <w:vAlign w:val="center"/>
                </w:tcPr>
                <w:p w14:paraId="0611C7AD">
                  <w:pPr>
                    <w:widowControl/>
                    <w:ind w:left="-105" w:leftChars="-50" w:right="-105" w:rightChars="-50"/>
                    <w:jc w:val="center"/>
                    <w:rPr>
                      <w:rFonts w:hint="eastAsia" w:ascii="宋体" w:hAnsi="宋体"/>
                      <w:b/>
                      <w:bCs/>
                      <w:sz w:val="18"/>
                      <w:szCs w:val="18"/>
                    </w:rPr>
                  </w:pPr>
                  <w:r>
                    <w:rPr>
                      <w:rFonts w:hint="eastAsia" w:ascii="宋体" w:hAnsi="宋体"/>
                      <w:b/>
                      <w:bCs/>
                      <w:sz w:val="18"/>
                      <w:szCs w:val="18"/>
                    </w:rPr>
                    <w:t>所属区县</w:t>
                  </w:r>
                </w:p>
              </w:tc>
              <w:tc>
                <w:tcPr>
                  <w:tcW w:w="889" w:type="pct"/>
                  <w:vAlign w:val="center"/>
                </w:tcPr>
                <w:p w14:paraId="7325ECAB">
                  <w:pPr>
                    <w:widowControl/>
                    <w:ind w:left="-105" w:leftChars="-50" w:right="-105" w:rightChars="-50"/>
                    <w:jc w:val="center"/>
                    <w:rPr>
                      <w:rFonts w:hint="eastAsia" w:ascii="宋体" w:hAnsi="宋体"/>
                      <w:b/>
                      <w:bCs/>
                      <w:sz w:val="18"/>
                      <w:szCs w:val="18"/>
                    </w:rPr>
                  </w:pPr>
                  <w:r>
                    <w:rPr>
                      <w:rFonts w:hint="eastAsia" w:ascii="宋体" w:hAnsi="宋体"/>
                      <w:b/>
                      <w:bCs/>
                      <w:sz w:val="18"/>
                      <w:szCs w:val="18"/>
                    </w:rPr>
                    <w:t>准入清</w:t>
                  </w:r>
                </w:p>
                <w:p w14:paraId="10F55E80">
                  <w:pPr>
                    <w:widowControl/>
                    <w:ind w:left="-105" w:leftChars="-50" w:right="-105" w:rightChars="-50"/>
                    <w:jc w:val="center"/>
                    <w:rPr>
                      <w:rFonts w:hint="eastAsia" w:ascii="宋体" w:hAnsi="宋体"/>
                      <w:b/>
                      <w:bCs/>
                      <w:sz w:val="18"/>
                      <w:szCs w:val="18"/>
                    </w:rPr>
                  </w:pPr>
                  <w:r>
                    <w:rPr>
                      <w:rFonts w:hint="eastAsia" w:ascii="宋体" w:hAnsi="宋体"/>
                      <w:b/>
                      <w:bCs/>
                      <w:sz w:val="18"/>
                      <w:szCs w:val="18"/>
                    </w:rPr>
                    <w:t>单类型</w:t>
                  </w:r>
                </w:p>
              </w:tc>
              <w:tc>
                <w:tcPr>
                  <w:tcW w:w="1119" w:type="pct"/>
                  <w:vAlign w:val="center"/>
                </w:tcPr>
                <w:p w14:paraId="30370A13">
                  <w:pPr>
                    <w:widowControl/>
                    <w:ind w:left="-105" w:leftChars="-50" w:right="-105" w:rightChars="-50"/>
                    <w:jc w:val="center"/>
                    <w:rPr>
                      <w:rFonts w:hint="eastAsia" w:ascii="宋体" w:hAnsi="宋体"/>
                      <w:b/>
                      <w:bCs/>
                      <w:sz w:val="18"/>
                      <w:szCs w:val="18"/>
                    </w:rPr>
                  </w:pPr>
                  <w:r>
                    <w:rPr>
                      <w:rFonts w:hint="eastAsia" w:ascii="宋体" w:hAnsi="宋体"/>
                      <w:b/>
                      <w:bCs/>
                      <w:sz w:val="18"/>
                      <w:szCs w:val="18"/>
                    </w:rPr>
                    <w:t>管控类型</w:t>
                  </w:r>
                </w:p>
              </w:tc>
            </w:tr>
            <w:tr w14:paraId="68C12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3" w:type="pct"/>
                  <w:vAlign w:val="center"/>
                </w:tcPr>
                <w:p w14:paraId="2282D3C9">
                  <w:pPr>
                    <w:pStyle w:val="80"/>
                    <w:widowControl/>
                    <w:spacing w:line="240" w:lineRule="auto"/>
                    <w:ind w:firstLine="0" w:firstLineChars="0"/>
                    <w:jc w:val="center"/>
                    <w:rPr>
                      <w:rFonts w:hint="eastAsia" w:ascii="宋体" w:hAnsi="宋体" w:eastAsia="宋体" w:cs="Times New Roman"/>
                      <w:sz w:val="18"/>
                      <w:szCs w:val="18"/>
                    </w:rPr>
                  </w:pPr>
                  <w:r>
                    <w:rPr>
                      <w:rFonts w:hint="eastAsia" w:ascii="宋体" w:hAnsi="宋体" w:eastAsia="宋体" w:cs="Times New Roman"/>
                      <w:sz w:val="18"/>
                      <w:szCs w:val="18"/>
                    </w:rPr>
                    <w:t>YS511702</w:t>
                  </w:r>
                </w:p>
                <w:p w14:paraId="3726F71A">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2210001</w:t>
                  </w:r>
                </w:p>
              </w:tc>
              <w:tc>
                <w:tcPr>
                  <w:tcW w:w="1083" w:type="pct"/>
                  <w:vAlign w:val="center"/>
                </w:tcPr>
                <w:p w14:paraId="6CE27928">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州河-通川区-车家河-控制单元</w:t>
                  </w:r>
                </w:p>
              </w:tc>
              <w:tc>
                <w:tcPr>
                  <w:tcW w:w="711" w:type="pct"/>
                  <w:vAlign w:val="center"/>
                </w:tcPr>
                <w:p w14:paraId="474EF622">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达州市</w:t>
                  </w:r>
                </w:p>
              </w:tc>
              <w:tc>
                <w:tcPr>
                  <w:tcW w:w="534" w:type="pct"/>
                  <w:vAlign w:val="center"/>
                </w:tcPr>
                <w:p w14:paraId="3B4540E8">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通川区</w:t>
                  </w:r>
                </w:p>
              </w:tc>
              <w:tc>
                <w:tcPr>
                  <w:tcW w:w="889" w:type="pct"/>
                  <w:vAlign w:val="center"/>
                </w:tcPr>
                <w:p w14:paraId="6AD7D3DA">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水环境管控分区</w:t>
                  </w:r>
                </w:p>
              </w:tc>
              <w:tc>
                <w:tcPr>
                  <w:tcW w:w="1119" w:type="pct"/>
                  <w:vAlign w:val="center"/>
                </w:tcPr>
                <w:p w14:paraId="74E74EA6">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水环境工业污染重点管控区</w:t>
                  </w:r>
                </w:p>
              </w:tc>
            </w:tr>
            <w:tr w14:paraId="24813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3" w:type="pct"/>
                  <w:vAlign w:val="center"/>
                </w:tcPr>
                <w:p w14:paraId="739A694D">
                  <w:pPr>
                    <w:pStyle w:val="80"/>
                    <w:widowControl/>
                    <w:spacing w:line="240" w:lineRule="auto"/>
                    <w:ind w:firstLine="0" w:firstLineChars="0"/>
                    <w:jc w:val="center"/>
                    <w:rPr>
                      <w:rFonts w:hint="eastAsia" w:ascii="宋体" w:hAnsi="宋体" w:eastAsia="宋体" w:cs="Times New Roman"/>
                      <w:sz w:val="18"/>
                      <w:szCs w:val="18"/>
                    </w:rPr>
                  </w:pPr>
                  <w:r>
                    <w:rPr>
                      <w:rFonts w:hint="eastAsia" w:ascii="宋体" w:hAnsi="宋体" w:eastAsia="宋体" w:cs="Times New Roman"/>
                      <w:sz w:val="18"/>
                      <w:szCs w:val="18"/>
                    </w:rPr>
                    <w:t>YS511702</w:t>
                  </w:r>
                </w:p>
                <w:p w14:paraId="55A5BE5F">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2310001</w:t>
                  </w:r>
                </w:p>
              </w:tc>
              <w:tc>
                <w:tcPr>
                  <w:tcW w:w="1083" w:type="pct"/>
                  <w:vAlign w:val="center"/>
                </w:tcPr>
                <w:p w14:paraId="52852737">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达州市农产品加工集中区</w:t>
                  </w:r>
                </w:p>
              </w:tc>
              <w:tc>
                <w:tcPr>
                  <w:tcW w:w="711" w:type="pct"/>
                  <w:vAlign w:val="center"/>
                </w:tcPr>
                <w:p w14:paraId="593E479D">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达州市</w:t>
                  </w:r>
                </w:p>
              </w:tc>
              <w:tc>
                <w:tcPr>
                  <w:tcW w:w="534" w:type="pct"/>
                  <w:vAlign w:val="center"/>
                </w:tcPr>
                <w:p w14:paraId="454E3BAF">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通川区</w:t>
                  </w:r>
                </w:p>
              </w:tc>
              <w:tc>
                <w:tcPr>
                  <w:tcW w:w="889" w:type="pct"/>
                  <w:vAlign w:val="center"/>
                </w:tcPr>
                <w:p w14:paraId="655486C2">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大气环境管控分区</w:t>
                  </w:r>
                </w:p>
              </w:tc>
              <w:tc>
                <w:tcPr>
                  <w:tcW w:w="1119" w:type="pct"/>
                  <w:vAlign w:val="center"/>
                </w:tcPr>
                <w:p w14:paraId="76C2A6AD">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大气环境高排放重点管控区</w:t>
                  </w:r>
                </w:p>
              </w:tc>
            </w:tr>
            <w:tr w14:paraId="74C00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63" w:type="pct"/>
                  <w:vAlign w:val="center"/>
                </w:tcPr>
                <w:p w14:paraId="3149ADF6">
                  <w:pPr>
                    <w:pStyle w:val="80"/>
                    <w:widowControl/>
                    <w:spacing w:line="240" w:lineRule="auto"/>
                    <w:ind w:firstLine="0" w:firstLineChars="0"/>
                    <w:jc w:val="center"/>
                    <w:rPr>
                      <w:rFonts w:hint="eastAsia" w:ascii="宋体" w:hAnsi="宋体" w:eastAsia="宋体" w:cs="Times New Roman"/>
                      <w:sz w:val="18"/>
                      <w:szCs w:val="18"/>
                    </w:rPr>
                  </w:pPr>
                  <w:r>
                    <w:rPr>
                      <w:rFonts w:hint="eastAsia" w:ascii="宋体" w:hAnsi="宋体" w:eastAsia="宋体" w:cs="Times New Roman"/>
                      <w:sz w:val="18"/>
                      <w:szCs w:val="18"/>
                    </w:rPr>
                    <w:t>ZH511702</w:t>
                  </w:r>
                </w:p>
                <w:p w14:paraId="0B5EC382">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20002</w:t>
                  </w:r>
                </w:p>
              </w:tc>
              <w:tc>
                <w:tcPr>
                  <w:tcW w:w="1083" w:type="pct"/>
                  <w:vAlign w:val="center"/>
                </w:tcPr>
                <w:p w14:paraId="4D7F1882">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达州市农产品加工集中区</w:t>
                  </w:r>
                </w:p>
              </w:tc>
              <w:tc>
                <w:tcPr>
                  <w:tcW w:w="711" w:type="pct"/>
                  <w:vAlign w:val="center"/>
                </w:tcPr>
                <w:p w14:paraId="1FDC1B9B">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达州市</w:t>
                  </w:r>
                </w:p>
              </w:tc>
              <w:tc>
                <w:tcPr>
                  <w:tcW w:w="534" w:type="pct"/>
                  <w:vAlign w:val="center"/>
                </w:tcPr>
                <w:p w14:paraId="5A1BBDC2">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通川区</w:t>
                  </w:r>
                </w:p>
              </w:tc>
              <w:tc>
                <w:tcPr>
                  <w:tcW w:w="889" w:type="pct"/>
                  <w:vAlign w:val="center"/>
                </w:tcPr>
                <w:p w14:paraId="754B9B02">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环境综合管控单元</w:t>
                  </w:r>
                </w:p>
              </w:tc>
              <w:tc>
                <w:tcPr>
                  <w:tcW w:w="1119" w:type="pct"/>
                  <w:vAlign w:val="center"/>
                </w:tcPr>
                <w:p w14:paraId="70868C44">
                  <w:pPr>
                    <w:pStyle w:val="80"/>
                    <w:widowControl/>
                    <w:spacing w:line="240" w:lineRule="auto"/>
                    <w:ind w:firstLine="0" w:firstLineChars="0"/>
                    <w:jc w:val="center"/>
                    <w:rPr>
                      <w:rFonts w:hint="eastAsia" w:ascii="宋体" w:hAnsi="宋体" w:eastAsia="宋体"/>
                      <w:sz w:val="18"/>
                      <w:szCs w:val="18"/>
                    </w:rPr>
                  </w:pPr>
                  <w:r>
                    <w:rPr>
                      <w:rFonts w:hint="eastAsia" w:ascii="宋体" w:hAnsi="宋体" w:eastAsia="宋体" w:cs="Times New Roman"/>
                      <w:sz w:val="18"/>
                      <w:szCs w:val="18"/>
                    </w:rPr>
                    <w:t>环境综合管控单元工业重点管控单元</w:t>
                  </w:r>
                </w:p>
              </w:tc>
            </w:tr>
          </w:tbl>
          <w:p w14:paraId="41A23326">
            <w:pPr>
              <w:autoSpaceDE w:val="0"/>
              <w:autoSpaceDN w:val="0"/>
              <w:adjustRightInd w:val="0"/>
              <w:snapToGrid w:val="0"/>
              <w:spacing w:line="360" w:lineRule="auto"/>
              <w:ind w:firstLine="422" w:firstLineChars="200"/>
              <w:rPr>
                <w:b/>
                <w:bCs/>
              </w:rPr>
            </w:pPr>
            <w:r>
              <w:rPr>
                <w:rFonts w:hint="eastAsia"/>
                <w:b/>
                <w:bCs/>
              </w:rPr>
              <w:t>2）项目与环境综合管控单元的位置关系图</w:t>
            </w:r>
          </w:p>
          <w:p w14:paraId="06911306">
            <w:pPr>
              <w:autoSpaceDE w:val="0"/>
              <w:autoSpaceDN w:val="0"/>
              <w:adjustRightInd w:val="0"/>
              <w:snapToGrid w:val="0"/>
              <w:spacing w:line="360" w:lineRule="auto"/>
              <w:ind w:firstLine="420" w:firstLineChars="200"/>
            </w:pPr>
            <w:r>
              <w:rPr>
                <w:rFonts w:hint="eastAsia"/>
              </w:rPr>
              <w:t>通川区九州通医药产业链一期建设项目位于达州市通川区环境综合管控单元工业重点管控单元（管控单元名称：达州市农产品加工集中区，管控单元编号：ZH51170220002）。项目与管控单元相对位置如下图所示：（图中</w:t>
            </w:r>
            <w:r>
              <w:rPr>
                <w:rFonts w:hint="eastAsia"/>
                <w:color w:val="00B0F0"/>
              </w:rPr>
              <w:t>▼</w:t>
            </w:r>
            <w:r>
              <w:rPr>
                <w:rFonts w:hint="eastAsia"/>
              </w:rPr>
              <w:t>表示项目位置）。</w:t>
            </w:r>
          </w:p>
          <w:p w14:paraId="069374F8">
            <w:pPr>
              <w:autoSpaceDE w:val="0"/>
              <w:autoSpaceDN w:val="0"/>
              <w:adjustRightInd w:val="0"/>
              <w:snapToGrid w:val="0"/>
              <w:spacing w:line="360" w:lineRule="auto"/>
              <w:jc w:val="center"/>
            </w:pPr>
            <w:r>
              <w:rPr>
                <w:rFonts w:ascii="Helvetica" w:hAnsi="Helvetica" w:cs="Helvetica"/>
                <w:sz w:val="28"/>
                <w:szCs w:val="28"/>
              </w:rPr>
              <w:drawing>
                <wp:inline distT="0" distB="0" distL="0" distR="0">
                  <wp:extent cx="4838700" cy="34194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80841" cy="3449875"/>
                          </a:xfrm>
                          <a:prstGeom prst="rect">
                            <a:avLst/>
                          </a:prstGeom>
                          <a:noFill/>
                          <a:ln>
                            <a:noFill/>
                          </a:ln>
                        </pic:spPr>
                      </pic:pic>
                    </a:graphicData>
                  </a:graphic>
                </wp:inline>
              </w:drawing>
            </w:r>
          </w:p>
          <w:p w14:paraId="61FB12E0">
            <w:pPr>
              <w:autoSpaceDE w:val="0"/>
              <w:autoSpaceDN w:val="0"/>
              <w:adjustRightInd w:val="0"/>
              <w:snapToGrid w:val="0"/>
              <w:jc w:val="center"/>
              <w:rPr>
                <w:b/>
              </w:rPr>
            </w:pPr>
            <w:r>
              <w:rPr>
                <w:rFonts w:hint="eastAsia"/>
                <w:b/>
              </w:rPr>
              <w:t>图1-3</w:t>
            </w:r>
            <w:r>
              <w:rPr>
                <w:b/>
              </w:rPr>
              <w:t xml:space="preserve">  </w:t>
            </w:r>
            <w:r>
              <w:rPr>
                <w:rFonts w:hint="eastAsia"/>
                <w:b/>
              </w:rPr>
              <w:t>本项目与所在区域环境管控单元的位置关系图</w:t>
            </w:r>
          </w:p>
        </w:tc>
      </w:tr>
    </w:tbl>
    <w:p w14:paraId="632845C9">
      <w:pPr>
        <w:spacing w:line="360" w:lineRule="auto"/>
        <w:ind w:firstLine="600"/>
        <w:outlineLvl w:val="0"/>
        <w:rPr>
          <w:rFonts w:eastAsia="黑体"/>
          <w:sz w:val="30"/>
        </w:rPr>
        <w:sectPr>
          <w:footerReference r:id="rId5" w:type="default"/>
          <w:pgSz w:w="11906" w:h="16838"/>
          <w:pgMar w:top="1701" w:right="1531" w:bottom="1701" w:left="1531" w:header="851" w:footer="1077" w:gutter="0"/>
          <w:pgNumType w:start="1"/>
          <w:cols w:space="720" w:num="1"/>
          <w:docGrid w:linePitch="312" w:charSpace="0"/>
        </w:sect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3226"/>
      </w:tblGrid>
      <w:tr w14:paraId="3230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shd w:val="clear" w:color="auto" w:fill="auto"/>
            <w:vAlign w:val="center"/>
          </w:tcPr>
          <w:p w14:paraId="7680B24A">
            <w:pPr>
              <w:tabs>
                <w:tab w:val="left" w:pos="679"/>
              </w:tabs>
              <w:jc w:val="center"/>
            </w:pPr>
            <w:r>
              <w:t>其他符合性分析</w:t>
            </w:r>
          </w:p>
        </w:tc>
        <w:tc>
          <w:tcPr>
            <w:tcW w:w="13226" w:type="dxa"/>
            <w:shd w:val="clear" w:color="auto" w:fill="auto"/>
          </w:tcPr>
          <w:p w14:paraId="4244AB22">
            <w:pPr>
              <w:autoSpaceDE w:val="0"/>
              <w:autoSpaceDN w:val="0"/>
              <w:adjustRightInd w:val="0"/>
              <w:snapToGrid w:val="0"/>
              <w:spacing w:line="360" w:lineRule="auto"/>
              <w:ind w:firstLine="422" w:firstLineChars="200"/>
              <w:rPr>
                <w:b/>
                <w:bCs/>
              </w:rPr>
            </w:pPr>
            <w:r>
              <w:rPr>
                <w:rFonts w:hint="eastAsia"/>
                <w:b/>
                <w:bCs/>
              </w:rPr>
              <w:t>（</w:t>
            </w:r>
            <w:r>
              <w:rPr>
                <w:b/>
                <w:bCs/>
              </w:rPr>
              <w:t>2</w:t>
            </w:r>
            <w:r>
              <w:rPr>
                <w:rFonts w:hint="eastAsia"/>
                <w:b/>
                <w:bCs/>
              </w:rPr>
              <w:t>）管控要求符合性分析</w:t>
            </w:r>
          </w:p>
          <w:p w14:paraId="5F6600B4">
            <w:pPr>
              <w:autoSpaceDE w:val="0"/>
              <w:autoSpaceDN w:val="0"/>
              <w:adjustRightInd w:val="0"/>
              <w:snapToGrid w:val="0"/>
              <w:spacing w:line="360" w:lineRule="auto"/>
              <w:ind w:firstLine="420" w:firstLineChars="200"/>
            </w:pPr>
            <w:r>
              <w:rPr>
                <w:rFonts w:hint="eastAsia"/>
              </w:rPr>
              <w:t>1）达州市生态环境管控总体要求</w:t>
            </w:r>
          </w:p>
          <w:p w14:paraId="6735F2EC">
            <w:pPr>
              <w:autoSpaceDE w:val="0"/>
              <w:autoSpaceDN w:val="0"/>
              <w:adjustRightInd w:val="0"/>
              <w:snapToGrid w:val="0"/>
              <w:spacing w:line="360" w:lineRule="auto"/>
              <w:ind w:firstLine="420" w:firstLineChars="200"/>
            </w:pPr>
            <w:r>
              <w:rPr>
                <w:rFonts w:hint="eastAsia"/>
              </w:rPr>
              <w:t>本项目位于达州市农产品加工集中区。本次评价参照四川省政务服务网“三线一单”符合性分析系统分析结果，分别从空间布局约束、污染物排放管控、环境风险防控、资源开发效率四个纬度进行管控要求符合性分析，本项目与该通知生态环境管控要求符合性如下表。</w:t>
            </w:r>
          </w:p>
          <w:p w14:paraId="1BB53967">
            <w:pPr>
              <w:autoSpaceDE w:val="0"/>
              <w:autoSpaceDN w:val="0"/>
              <w:adjustRightInd w:val="0"/>
              <w:snapToGrid w:val="0"/>
              <w:jc w:val="center"/>
              <w:rPr>
                <w:b/>
              </w:rPr>
            </w:pPr>
            <w:r>
              <w:rPr>
                <w:rFonts w:hint="eastAsia"/>
                <w:b/>
              </w:rPr>
              <w:t>表1-</w:t>
            </w:r>
            <w:r>
              <w:rPr>
                <w:b/>
              </w:rPr>
              <w:t xml:space="preserve">6  </w:t>
            </w:r>
            <w:r>
              <w:rPr>
                <w:rFonts w:hint="eastAsia"/>
                <w:b/>
              </w:rPr>
              <w:t>项目与所涉及环境管控单元符合性分析一览表</w:t>
            </w:r>
          </w:p>
          <w:tbl>
            <w:tblPr>
              <w:tblStyle w:val="5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827"/>
              <w:gridCol w:w="5473"/>
              <w:gridCol w:w="877"/>
              <w:gridCol w:w="3009"/>
              <w:gridCol w:w="1134"/>
              <w:gridCol w:w="609"/>
            </w:tblGrid>
            <w:tr w14:paraId="47BB4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Align w:val="center"/>
                </w:tcPr>
                <w:p w14:paraId="7BA74991">
                  <w:pPr>
                    <w:widowControl/>
                    <w:jc w:val="center"/>
                    <w:rPr>
                      <w:sz w:val="18"/>
                      <w:szCs w:val="18"/>
                    </w:rPr>
                  </w:pPr>
                  <w:r>
                    <w:rPr>
                      <w:sz w:val="18"/>
                      <w:szCs w:val="18"/>
                    </w:rPr>
                    <w:t>环境管控单元编码</w:t>
                  </w:r>
                </w:p>
              </w:tc>
              <w:tc>
                <w:tcPr>
                  <w:tcW w:w="318" w:type="pct"/>
                  <w:vAlign w:val="center"/>
                </w:tcPr>
                <w:p w14:paraId="5BBE2D4C">
                  <w:pPr>
                    <w:widowControl/>
                    <w:jc w:val="center"/>
                    <w:rPr>
                      <w:sz w:val="18"/>
                      <w:szCs w:val="18"/>
                    </w:rPr>
                  </w:pPr>
                  <w:r>
                    <w:rPr>
                      <w:sz w:val="18"/>
                      <w:szCs w:val="18"/>
                    </w:rPr>
                    <w:t>环境管控单元名称</w:t>
                  </w:r>
                </w:p>
              </w:tc>
              <w:tc>
                <w:tcPr>
                  <w:tcW w:w="2104" w:type="pct"/>
                  <w:vAlign w:val="center"/>
                </w:tcPr>
                <w:p w14:paraId="29DCA37D">
                  <w:pPr>
                    <w:jc w:val="center"/>
                    <w:rPr>
                      <w:sz w:val="18"/>
                      <w:szCs w:val="18"/>
                    </w:rPr>
                  </w:pPr>
                  <w:r>
                    <w:rPr>
                      <w:sz w:val="18"/>
                      <w:szCs w:val="18"/>
                    </w:rPr>
                    <w:t>达州市普适性清单</w:t>
                  </w:r>
                </w:p>
              </w:tc>
              <w:tc>
                <w:tcPr>
                  <w:tcW w:w="337" w:type="pct"/>
                  <w:vAlign w:val="center"/>
                </w:tcPr>
                <w:p w14:paraId="1078B4F3">
                  <w:pPr>
                    <w:widowControl/>
                    <w:jc w:val="center"/>
                    <w:rPr>
                      <w:sz w:val="18"/>
                      <w:szCs w:val="18"/>
                    </w:rPr>
                  </w:pPr>
                  <w:r>
                    <w:rPr>
                      <w:sz w:val="18"/>
                      <w:szCs w:val="18"/>
                    </w:rPr>
                    <w:t>管控类别</w:t>
                  </w:r>
                </w:p>
              </w:tc>
              <w:tc>
                <w:tcPr>
                  <w:tcW w:w="1157" w:type="pct"/>
                  <w:vAlign w:val="center"/>
                </w:tcPr>
                <w:p w14:paraId="01C28D25">
                  <w:pPr>
                    <w:widowControl/>
                    <w:jc w:val="center"/>
                    <w:rPr>
                      <w:sz w:val="18"/>
                      <w:szCs w:val="18"/>
                    </w:rPr>
                  </w:pPr>
                  <w:r>
                    <w:rPr>
                      <w:sz w:val="18"/>
                      <w:szCs w:val="18"/>
                    </w:rPr>
                    <w:t>单元特性管控要求</w:t>
                  </w:r>
                </w:p>
              </w:tc>
              <w:tc>
                <w:tcPr>
                  <w:tcW w:w="436" w:type="pct"/>
                  <w:vAlign w:val="center"/>
                </w:tcPr>
                <w:p w14:paraId="1FAD8721">
                  <w:pPr>
                    <w:widowControl/>
                    <w:rPr>
                      <w:sz w:val="18"/>
                      <w:szCs w:val="18"/>
                    </w:rPr>
                  </w:pPr>
                  <w:r>
                    <w:rPr>
                      <w:sz w:val="18"/>
                      <w:szCs w:val="18"/>
                    </w:rPr>
                    <w:t>项目情况</w:t>
                  </w:r>
                </w:p>
              </w:tc>
              <w:tc>
                <w:tcPr>
                  <w:tcW w:w="234" w:type="pct"/>
                  <w:vAlign w:val="center"/>
                </w:tcPr>
                <w:p w14:paraId="5F25C9CA">
                  <w:pPr>
                    <w:widowControl/>
                    <w:jc w:val="center"/>
                    <w:rPr>
                      <w:sz w:val="18"/>
                      <w:szCs w:val="18"/>
                    </w:rPr>
                  </w:pPr>
                  <w:r>
                    <w:rPr>
                      <w:sz w:val="18"/>
                      <w:szCs w:val="18"/>
                    </w:rPr>
                    <w:t>符合性</w:t>
                  </w:r>
                </w:p>
              </w:tc>
            </w:tr>
            <w:tr w14:paraId="4470D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restart"/>
                  <w:vAlign w:val="center"/>
                </w:tcPr>
                <w:p w14:paraId="1FD8B342">
                  <w:pPr>
                    <w:pStyle w:val="71"/>
                    <w:widowControl/>
                    <w:spacing w:line="240" w:lineRule="auto"/>
                    <w:ind w:firstLine="0" w:firstLineChars="0"/>
                    <w:jc w:val="center"/>
                    <w:rPr>
                      <w:rFonts w:eastAsia="宋体"/>
                      <w:sz w:val="18"/>
                      <w:szCs w:val="18"/>
                    </w:rPr>
                  </w:pPr>
                  <w:r>
                    <w:rPr>
                      <w:rFonts w:eastAsia="宋体"/>
                      <w:sz w:val="18"/>
                      <w:szCs w:val="18"/>
                    </w:rPr>
                    <w:t>ZH5117</w:t>
                  </w:r>
                </w:p>
                <w:p w14:paraId="75E73CA5">
                  <w:pPr>
                    <w:pStyle w:val="71"/>
                    <w:widowControl/>
                    <w:spacing w:line="240" w:lineRule="auto"/>
                    <w:ind w:firstLine="0" w:firstLineChars="0"/>
                    <w:jc w:val="center"/>
                    <w:rPr>
                      <w:rFonts w:eastAsia="宋体"/>
                      <w:sz w:val="18"/>
                      <w:szCs w:val="18"/>
                    </w:rPr>
                  </w:pPr>
                  <w:r>
                    <w:rPr>
                      <w:rFonts w:eastAsia="宋体"/>
                      <w:sz w:val="18"/>
                      <w:szCs w:val="18"/>
                    </w:rPr>
                    <w:t>0220002</w:t>
                  </w:r>
                </w:p>
              </w:tc>
              <w:tc>
                <w:tcPr>
                  <w:tcW w:w="318" w:type="pct"/>
                  <w:vMerge w:val="restart"/>
                  <w:vAlign w:val="center"/>
                </w:tcPr>
                <w:p w14:paraId="430E86E5">
                  <w:pPr>
                    <w:pStyle w:val="71"/>
                    <w:widowControl/>
                    <w:spacing w:line="240" w:lineRule="auto"/>
                    <w:ind w:firstLine="0" w:firstLineChars="0"/>
                    <w:jc w:val="center"/>
                    <w:rPr>
                      <w:rFonts w:eastAsia="宋体"/>
                      <w:sz w:val="18"/>
                      <w:szCs w:val="18"/>
                    </w:rPr>
                  </w:pPr>
                  <w:r>
                    <w:rPr>
                      <w:rFonts w:eastAsia="宋体"/>
                      <w:sz w:val="18"/>
                      <w:szCs w:val="18"/>
                    </w:rPr>
                    <w:t>达州市农产品加工集中区</w:t>
                  </w:r>
                </w:p>
              </w:tc>
              <w:tc>
                <w:tcPr>
                  <w:tcW w:w="2104" w:type="pct"/>
                  <w:vMerge w:val="restart"/>
                  <w:vAlign w:val="center"/>
                </w:tcPr>
                <w:p w14:paraId="1F59C9E6">
                  <w:pPr>
                    <w:pStyle w:val="71"/>
                    <w:spacing w:line="240" w:lineRule="auto"/>
                    <w:ind w:firstLine="0" w:firstLineChars="0"/>
                    <w:rPr>
                      <w:rFonts w:eastAsia="宋体"/>
                      <w:b/>
                      <w:kern w:val="0"/>
                      <w:sz w:val="18"/>
                      <w:szCs w:val="18"/>
                    </w:rPr>
                  </w:pPr>
                  <w:r>
                    <w:rPr>
                      <w:rFonts w:eastAsia="宋体"/>
                      <w:b/>
                      <w:kern w:val="0"/>
                      <w:sz w:val="18"/>
                      <w:szCs w:val="18"/>
                    </w:rPr>
                    <w:t>空间布局约束：</w:t>
                  </w:r>
                </w:p>
                <w:p w14:paraId="52A333B3">
                  <w:pPr>
                    <w:pStyle w:val="71"/>
                    <w:spacing w:line="240" w:lineRule="auto"/>
                    <w:ind w:firstLine="0" w:firstLineChars="0"/>
                    <w:rPr>
                      <w:rFonts w:eastAsia="宋体"/>
                      <w:kern w:val="0"/>
                      <w:sz w:val="18"/>
                      <w:szCs w:val="18"/>
                    </w:rPr>
                  </w:pPr>
                  <w:r>
                    <w:rPr>
                      <w:rFonts w:eastAsia="宋体"/>
                      <w:kern w:val="0"/>
                      <w:sz w:val="18"/>
                      <w:szCs w:val="18"/>
                    </w:rPr>
                    <w:t>禁止开发建设活动的要求</w:t>
                  </w:r>
                  <w:r>
                    <w:rPr>
                      <w:rFonts w:hint="eastAsia" w:eastAsia="宋体"/>
                      <w:kern w:val="0"/>
                      <w:sz w:val="18"/>
                      <w:szCs w:val="18"/>
                    </w:rPr>
                    <w:t>：①</w:t>
                  </w:r>
                  <w:r>
                    <w:rPr>
                      <w:rFonts w:eastAsia="宋体"/>
                      <w:kern w:val="0"/>
                      <w:sz w:val="18"/>
                      <w:szCs w:val="18"/>
                    </w:rPr>
                    <w:t>禁止在长江干支流1公里范围内新建、扩建化工园区和化工项目，严控新建石油化工、煤化工、涉磷、造纸、印染、制革等项目</w:t>
                  </w:r>
                  <w:r>
                    <w:rPr>
                      <w:rFonts w:hint="eastAsia" w:eastAsia="宋体"/>
                      <w:kern w:val="0"/>
                      <w:sz w:val="18"/>
                      <w:szCs w:val="18"/>
                    </w:rPr>
                    <w:t>。</w:t>
                  </w:r>
                  <w:r>
                    <w:rPr>
                      <w:rFonts w:hint="eastAsia" w:ascii="宋体" w:hAnsi="宋体" w:eastAsia="宋体"/>
                      <w:kern w:val="0"/>
                      <w:sz w:val="18"/>
                      <w:szCs w:val="18"/>
                    </w:rPr>
                    <w:t>②</w:t>
                  </w:r>
                  <w:r>
                    <w:rPr>
                      <w:rFonts w:eastAsia="宋体"/>
                      <w:kern w:val="0"/>
                      <w:sz w:val="18"/>
                      <w:szCs w:val="18"/>
                    </w:rPr>
                    <w:t>禁止从事《长江经济带发展负面清单指南（试行）》禁止准入类事项。</w:t>
                  </w:r>
                  <w:r>
                    <w:rPr>
                      <w:rFonts w:hint="eastAsia" w:ascii="宋体" w:hAnsi="宋体" w:eastAsia="宋体"/>
                      <w:kern w:val="0"/>
                      <w:sz w:val="18"/>
                      <w:szCs w:val="18"/>
                    </w:rPr>
                    <w:t>③</w:t>
                  </w:r>
                  <w:r>
                    <w:rPr>
                      <w:rFonts w:eastAsia="宋体"/>
                      <w:kern w:val="0"/>
                      <w:sz w:val="18"/>
                      <w:szCs w:val="18"/>
                    </w:rPr>
                    <w:t>引进项目应符合园区规划环评和区域产业准入及负面清单要求。</w:t>
                  </w:r>
                  <w:r>
                    <w:rPr>
                      <w:rFonts w:hint="eastAsia" w:ascii="宋体" w:hAnsi="宋体" w:eastAsia="宋体"/>
                      <w:kern w:val="0"/>
                      <w:sz w:val="18"/>
                      <w:szCs w:val="18"/>
                    </w:rPr>
                    <w:t>④</w:t>
                  </w:r>
                  <w:r>
                    <w:rPr>
                      <w:rFonts w:eastAsia="宋体"/>
                      <w:kern w:val="0"/>
                      <w:sz w:val="18"/>
                      <w:szCs w:val="18"/>
                    </w:rPr>
                    <w:t>禁止新建不符合国家产业政策和行业准入条件的高污染项目。</w:t>
                  </w:r>
                  <w:r>
                    <w:rPr>
                      <w:rFonts w:hint="eastAsia" w:ascii="宋体" w:hAnsi="宋体" w:eastAsia="宋体"/>
                      <w:kern w:val="0"/>
                      <w:sz w:val="18"/>
                      <w:szCs w:val="18"/>
                    </w:rPr>
                    <w:t>⑤</w:t>
                  </w:r>
                  <w:r>
                    <w:rPr>
                      <w:rFonts w:eastAsia="宋体"/>
                      <w:kern w:val="0"/>
                      <w:sz w:val="18"/>
                      <w:szCs w:val="18"/>
                    </w:rPr>
                    <w:t>工业园区禁止新建高污染燃料锅炉。</w:t>
                  </w:r>
                  <w:r>
                    <w:rPr>
                      <w:rFonts w:hint="eastAsia" w:ascii="宋体" w:hAnsi="宋体" w:eastAsia="宋体"/>
                      <w:kern w:val="0"/>
                      <w:sz w:val="18"/>
                      <w:szCs w:val="18"/>
                    </w:rPr>
                    <w:t>⑥</w:t>
                  </w:r>
                  <w:r>
                    <w:rPr>
                      <w:rFonts w:eastAsia="宋体"/>
                      <w:kern w:val="0"/>
                      <w:sz w:val="18"/>
                      <w:szCs w:val="18"/>
                    </w:rPr>
                    <w:t>禁止在长江流域河湖管理范围内倾倒、填埋、堆放、弃置、处理固体废物。</w:t>
                  </w:r>
                </w:p>
                <w:p w14:paraId="5A034E3D">
                  <w:pPr>
                    <w:pStyle w:val="71"/>
                    <w:spacing w:line="240" w:lineRule="auto"/>
                    <w:ind w:firstLine="0" w:firstLineChars="0"/>
                    <w:rPr>
                      <w:rFonts w:eastAsia="宋体"/>
                      <w:kern w:val="0"/>
                      <w:sz w:val="18"/>
                      <w:szCs w:val="18"/>
                    </w:rPr>
                  </w:pPr>
                  <w:r>
                    <w:rPr>
                      <w:rFonts w:eastAsia="宋体"/>
                      <w:kern w:val="0"/>
                      <w:sz w:val="18"/>
                      <w:szCs w:val="18"/>
                    </w:rPr>
                    <w:t>限制开发建设活动的要求</w:t>
                  </w:r>
                  <w:r>
                    <w:rPr>
                      <w:rFonts w:hint="eastAsia" w:ascii="宋体" w:hAnsi="宋体" w:eastAsia="宋体"/>
                      <w:kern w:val="0"/>
                      <w:sz w:val="18"/>
                      <w:szCs w:val="18"/>
                    </w:rPr>
                    <w:t>⑦</w:t>
                  </w:r>
                  <w:r>
                    <w:rPr>
                      <w:rFonts w:eastAsia="宋体"/>
                      <w:kern w:val="0"/>
                      <w:sz w:val="18"/>
                      <w:szCs w:val="18"/>
                    </w:rPr>
                    <w:t>严格控制污染物新增排放量，对新建排放二氧化硫、氮氧化物、工业烟粉尘和 VOCS 的项目实施现役源 2 倍削减量替代。</w:t>
                  </w:r>
                  <w:r>
                    <w:rPr>
                      <w:rFonts w:hint="eastAsia" w:ascii="宋体" w:hAnsi="宋体" w:eastAsia="宋体"/>
                      <w:kern w:val="0"/>
                      <w:sz w:val="18"/>
                      <w:szCs w:val="18"/>
                    </w:rPr>
                    <w:t>⑧</w:t>
                  </w:r>
                  <w:r>
                    <w:rPr>
                      <w:rFonts w:eastAsia="宋体"/>
                      <w:kern w:val="0"/>
                      <w:sz w:val="18"/>
                      <w:szCs w:val="18"/>
                    </w:rPr>
                    <w:t>严格实施环评制度，将细颗粒物达标情况纳入规划环评和相关项目环评内容，加快制定颗粒物、VOCS排放总量管理配套政策。</w:t>
                  </w:r>
                  <w:r>
                    <w:rPr>
                      <w:rFonts w:hint="eastAsia" w:eastAsia="宋体"/>
                      <w:kern w:val="0"/>
                      <w:sz w:val="18"/>
                      <w:szCs w:val="18"/>
                    </w:rPr>
                    <w:t>⑨</w:t>
                  </w:r>
                  <w:r>
                    <w:rPr>
                      <w:rFonts w:eastAsia="宋体"/>
                      <w:kern w:val="0"/>
                      <w:sz w:val="18"/>
                      <w:szCs w:val="18"/>
                    </w:rPr>
                    <w:t>严格控制新建、扩建燃煤发电项目。</w:t>
                  </w:r>
                  <w:r>
                    <w:rPr>
                      <w:rFonts w:hint="eastAsia" w:ascii="宋体" w:hAnsi="宋体" w:eastAsia="宋体"/>
                      <w:kern w:val="0"/>
                      <w:sz w:val="18"/>
                      <w:szCs w:val="18"/>
                    </w:rPr>
                    <w:t>⑩</w:t>
                  </w:r>
                  <w:r>
                    <w:rPr>
                      <w:rFonts w:eastAsia="宋体"/>
                      <w:kern w:val="0"/>
                      <w:sz w:val="18"/>
                      <w:szCs w:val="18"/>
                    </w:rPr>
                    <w:t>严控达州市主城区上游沿岸地区新建石油化工、煤化工、涉磷、造纸、印染、制革等项目。</w:t>
                  </w:r>
                </w:p>
                <w:p w14:paraId="4BDD6FCC">
                  <w:pPr>
                    <w:pStyle w:val="71"/>
                    <w:spacing w:line="240" w:lineRule="auto"/>
                    <w:ind w:firstLine="0" w:firstLineChars="0"/>
                    <w:rPr>
                      <w:rFonts w:eastAsia="宋体"/>
                      <w:kern w:val="0"/>
                      <w:sz w:val="18"/>
                      <w:szCs w:val="18"/>
                    </w:rPr>
                  </w:pPr>
                  <w:r>
                    <w:rPr>
                      <w:rFonts w:eastAsia="宋体"/>
                      <w:kern w:val="0"/>
                      <w:sz w:val="18"/>
                      <w:szCs w:val="18"/>
                    </w:rPr>
                    <w:t>不符合空间布局要求活动的退出要求</w:t>
                  </w:r>
                  <w:r>
                    <w:rPr>
                      <w:rFonts w:hint="eastAsia" w:eastAsia="宋体"/>
                      <w:kern w:val="0"/>
                      <w:sz w:val="18"/>
                      <w:szCs w:val="18"/>
                    </w:rPr>
                    <w:t>：</w:t>
                  </w:r>
                </w:p>
                <w:p w14:paraId="0916C5B2">
                  <w:pPr>
                    <w:pStyle w:val="71"/>
                    <w:spacing w:line="240" w:lineRule="auto"/>
                    <w:ind w:firstLine="0" w:firstLineChars="0"/>
                    <w:rPr>
                      <w:rFonts w:eastAsia="宋体"/>
                      <w:kern w:val="0"/>
                      <w:sz w:val="18"/>
                      <w:szCs w:val="18"/>
                    </w:rPr>
                  </w:pPr>
                  <w:r>
                    <w:rPr>
                      <w:rFonts w:hint="eastAsia" w:ascii="宋体" w:hAnsi="宋体" w:eastAsia="宋体"/>
                      <w:kern w:val="0"/>
                      <w:sz w:val="18"/>
                      <w:szCs w:val="18"/>
                    </w:rPr>
                    <w:t>①</w:t>
                  </w:r>
                  <w:r>
                    <w:rPr>
                      <w:rFonts w:eastAsia="宋体"/>
                      <w:kern w:val="0"/>
                      <w:sz w:val="18"/>
                      <w:szCs w:val="18"/>
                    </w:rPr>
                    <w:t>现有属于禁止引入产业门类的企业，应按相关规定限期整治或退出。</w:t>
                  </w:r>
                  <w:r>
                    <w:rPr>
                      <w:rFonts w:hint="eastAsia" w:ascii="宋体" w:hAnsi="宋体" w:eastAsia="宋体"/>
                      <w:kern w:val="0"/>
                      <w:sz w:val="18"/>
                      <w:szCs w:val="18"/>
                    </w:rPr>
                    <w:t>②</w:t>
                  </w:r>
                  <w:r>
                    <w:rPr>
                      <w:rFonts w:eastAsia="宋体"/>
                      <w:kern w:val="0"/>
                      <w:sz w:val="18"/>
                      <w:szCs w:val="18"/>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r>
                    <w:rPr>
                      <w:rFonts w:hint="eastAsia" w:ascii="宋体" w:hAnsi="宋体" w:eastAsia="宋体"/>
                      <w:kern w:val="0"/>
                      <w:sz w:val="18"/>
                      <w:szCs w:val="18"/>
                    </w:rPr>
                    <w:t>③</w:t>
                  </w:r>
                  <w:r>
                    <w:rPr>
                      <w:rFonts w:eastAsia="宋体"/>
                      <w:kern w:val="0"/>
                      <w:sz w:val="18"/>
                      <w:szCs w:val="18"/>
                    </w:rPr>
                    <w:t>引导重污染产业退出或搬迁、企业分类退城入园，逐步打破近水靠城的历史工业布局。加大城市区域现有装备水平低、环保设施差的微小企业“关、停、并、转”实施力度，清理建成区上风向重点涉气项目。</w:t>
                  </w:r>
                  <w:r>
                    <w:rPr>
                      <w:rFonts w:hint="eastAsia" w:ascii="宋体" w:hAnsi="宋体" w:eastAsia="宋体"/>
                      <w:kern w:val="0"/>
                      <w:sz w:val="18"/>
                      <w:szCs w:val="18"/>
                    </w:rPr>
                    <w:t>④</w:t>
                  </w:r>
                  <w:r>
                    <w:rPr>
                      <w:rFonts w:eastAsia="宋体"/>
                      <w:kern w:val="0"/>
                      <w:sz w:val="18"/>
                      <w:szCs w:val="18"/>
                    </w:rPr>
                    <w:t>石化、现代煤化工项目应纳入国家产业规划。新建、扩建石化、化工、焦化、有色金属冶炼、平板玻璃项目应布设在依法合规设立并经规划环评的产业园区。</w:t>
                  </w:r>
                </w:p>
                <w:p w14:paraId="49AAF64F">
                  <w:pPr>
                    <w:pStyle w:val="71"/>
                    <w:spacing w:line="240" w:lineRule="auto"/>
                    <w:ind w:firstLine="0" w:firstLineChars="0"/>
                    <w:rPr>
                      <w:rFonts w:eastAsia="宋体"/>
                      <w:kern w:val="0"/>
                      <w:sz w:val="18"/>
                      <w:szCs w:val="18"/>
                    </w:rPr>
                  </w:pPr>
                  <w:r>
                    <w:rPr>
                      <w:rFonts w:eastAsia="宋体"/>
                      <w:kern w:val="0"/>
                      <w:sz w:val="18"/>
                      <w:szCs w:val="18"/>
                    </w:rPr>
                    <w:t>其他空间布局约束要求</w:t>
                  </w:r>
                  <w:r>
                    <w:rPr>
                      <w:rFonts w:hint="eastAsia" w:eastAsia="宋体"/>
                      <w:kern w:val="0"/>
                      <w:sz w:val="18"/>
                      <w:szCs w:val="18"/>
                    </w:rPr>
                    <w:t xml:space="preserve"> </w:t>
                  </w:r>
                  <w:r>
                    <w:rPr>
                      <w:rFonts w:eastAsia="宋体"/>
                      <w:kern w:val="0"/>
                      <w:sz w:val="18"/>
                      <w:szCs w:val="18"/>
                    </w:rPr>
                    <w:t>暂无</w:t>
                  </w:r>
                </w:p>
                <w:p w14:paraId="3EB81AD4">
                  <w:pPr>
                    <w:pStyle w:val="71"/>
                    <w:spacing w:line="240" w:lineRule="auto"/>
                    <w:ind w:firstLine="0" w:firstLineChars="0"/>
                    <w:rPr>
                      <w:rFonts w:eastAsia="宋体"/>
                      <w:b/>
                      <w:kern w:val="0"/>
                      <w:sz w:val="18"/>
                      <w:szCs w:val="18"/>
                    </w:rPr>
                  </w:pPr>
                  <w:r>
                    <w:rPr>
                      <w:rFonts w:eastAsia="宋体"/>
                      <w:b/>
                      <w:kern w:val="0"/>
                      <w:sz w:val="18"/>
                      <w:szCs w:val="18"/>
                    </w:rPr>
                    <w:t>污染物排放管控：</w:t>
                  </w:r>
                </w:p>
                <w:p w14:paraId="37EA0099">
                  <w:pPr>
                    <w:pStyle w:val="71"/>
                    <w:spacing w:line="240" w:lineRule="auto"/>
                    <w:ind w:firstLine="0" w:firstLineChars="0"/>
                    <w:rPr>
                      <w:rFonts w:eastAsia="宋体"/>
                      <w:kern w:val="0"/>
                      <w:sz w:val="18"/>
                      <w:szCs w:val="18"/>
                    </w:rPr>
                  </w:pPr>
                  <w:r>
                    <w:rPr>
                      <w:rFonts w:eastAsia="宋体"/>
                      <w:kern w:val="0"/>
                      <w:sz w:val="18"/>
                      <w:szCs w:val="18"/>
                    </w:rPr>
                    <w:t>允许排放量要求</w:t>
                  </w:r>
                  <w:r>
                    <w:rPr>
                      <w:rFonts w:hint="eastAsia" w:eastAsia="宋体"/>
                      <w:kern w:val="0"/>
                      <w:sz w:val="18"/>
                      <w:szCs w:val="18"/>
                    </w:rPr>
                    <w:t>：</w:t>
                  </w:r>
                  <w:r>
                    <w:rPr>
                      <w:rFonts w:eastAsia="宋体"/>
                      <w:kern w:val="0"/>
                      <w:sz w:val="18"/>
                      <w:szCs w:val="18"/>
                    </w:rPr>
                    <w:t>达州市2025年水污染物允许排放量COD4396.41t，氨氮418.7t，TP45.36t；达州市2025年大气污染物一次PM2.5 5805t、SO2 12773t、NOx11892t、VOCs 13969t</w:t>
                  </w:r>
                </w:p>
                <w:p w14:paraId="2725AF4C">
                  <w:pPr>
                    <w:pStyle w:val="71"/>
                    <w:spacing w:line="240" w:lineRule="auto"/>
                    <w:ind w:firstLine="0" w:firstLineChars="0"/>
                    <w:rPr>
                      <w:rFonts w:eastAsia="宋体"/>
                      <w:kern w:val="0"/>
                      <w:sz w:val="18"/>
                      <w:szCs w:val="18"/>
                    </w:rPr>
                  </w:pPr>
                  <w:r>
                    <w:rPr>
                      <w:rFonts w:eastAsia="宋体"/>
                      <w:kern w:val="0"/>
                      <w:sz w:val="18"/>
                      <w:szCs w:val="18"/>
                    </w:rPr>
                    <w:t>现有源提标升级改造</w:t>
                  </w:r>
                  <w:r>
                    <w:rPr>
                      <w:rFonts w:hint="eastAsia" w:eastAsia="宋体"/>
                      <w:kern w:val="0"/>
                      <w:sz w:val="18"/>
                      <w:szCs w:val="18"/>
                    </w:rPr>
                    <w:t>：①</w:t>
                  </w:r>
                  <w:r>
                    <w:rPr>
                      <w:rFonts w:eastAsia="宋体"/>
                      <w:kern w:val="0"/>
                      <w:sz w:val="18"/>
                      <w:szCs w:val="18"/>
                    </w:rPr>
                    <w:t>污水收集处理率达100%；</w:t>
                  </w:r>
                  <w:r>
                    <w:rPr>
                      <w:rFonts w:hint="eastAsia" w:ascii="宋体" w:hAnsi="宋体" w:eastAsia="宋体"/>
                      <w:kern w:val="0"/>
                      <w:sz w:val="18"/>
                      <w:szCs w:val="18"/>
                    </w:rPr>
                    <w:t>②</w:t>
                  </w:r>
                  <w:r>
                    <w:rPr>
                      <w:rFonts w:eastAsia="宋体"/>
                      <w:kern w:val="0"/>
                      <w:sz w:val="18"/>
                      <w:szCs w:val="18"/>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r>
                    <w:rPr>
                      <w:rFonts w:hint="eastAsia" w:ascii="宋体" w:hAnsi="宋体" w:eastAsia="宋体"/>
                      <w:kern w:val="0"/>
                      <w:sz w:val="18"/>
                      <w:szCs w:val="18"/>
                    </w:rPr>
                    <w:t>③</w:t>
                  </w:r>
                  <w:r>
                    <w:rPr>
                      <w:rFonts w:eastAsia="宋体"/>
                      <w:kern w:val="0"/>
                      <w:sz w:val="18"/>
                      <w:szCs w:val="18"/>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6BC2B58C">
                  <w:pPr>
                    <w:pStyle w:val="71"/>
                    <w:spacing w:line="240" w:lineRule="auto"/>
                    <w:ind w:firstLine="0" w:firstLineChars="0"/>
                    <w:rPr>
                      <w:rFonts w:eastAsia="宋体"/>
                      <w:kern w:val="0"/>
                      <w:sz w:val="18"/>
                      <w:szCs w:val="18"/>
                    </w:rPr>
                  </w:pPr>
                  <w:r>
                    <w:rPr>
                      <w:rFonts w:eastAsia="宋体"/>
                      <w:kern w:val="0"/>
                      <w:sz w:val="18"/>
                      <w:szCs w:val="18"/>
                    </w:rPr>
                    <w:t>其他污染物排放管控要求</w:t>
                  </w:r>
                  <w:r>
                    <w:rPr>
                      <w:rFonts w:hint="eastAsia" w:eastAsia="宋体"/>
                      <w:kern w:val="0"/>
                      <w:sz w:val="18"/>
                      <w:szCs w:val="18"/>
                    </w:rPr>
                    <w:t>：①</w:t>
                  </w:r>
                  <w:r>
                    <w:rPr>
                      <w:rFonts w:eastAsia="宋体"/>
                      <w:kern w:val="0"/>
                      <w:sz w:val="18"/>
                      <w:szCs w:val="18"/>
                    </w:rPr>
                    <w:t>新增源等量或倍量替代：上一年度水环境质量未完成目标的，新建排放水污染的建设项目按照总量管控要求进行倍量削减替代。</w:t>
                  </w:r>
                  <w:r>
                    <w:rPr>
                      <w:rFonts w:hint="eastAsia" w:eastAsia="宋体"/>
                      <w:kern w:val="0"/>
                      <w:sz w:val="18"/>
                      <w:szCs w:val="18"/>
                    </w:rPr>
                    <w:t>②</w:t>
                  </w:r>
                  <w:r>
                    <w:rPr>
                      <w:rFonts w:eastAsia="宋体"/>
                      <w:kern w:val="0"/>
                      <w:sz w:val="18"/>
                      <w:szCs w:val="18"/>
                    </w:rPr>
                    <w:t>上一年度空气质量年平均浓度不达标的城市，建设项目新增相关污染物按照总量管控要求进行倍量削减替代。对新建排放二氧化硫、氮氧化物、工业烟粉尘和VOCs的项目实施现役源倍量削减量替代。严禁钢铁、水泥、电解铝、平板玻璃等行业新增产能，对确有必要新建的必须实施等量或减量置换，防范过生和落后产能跨地区转移</w:t>
                  </w:r>
                  <w:r>
                    <w:rPr>
                      <w:rFonts w:hint="eastAsia" w:eastAsia="宋体"/>
                      <w:kern w:val="0"/>
                      <w:sz w:val="18"/>
                      <w:szCs w:val="18"/>
                    </w:rPr>
                    <w:t>。③</w:t>
                  </w:r>
                  <w:r>
                    <w:rPr>
                      <w:rFonts w:eastAsia="宋体"/>
                      <w:kern w:val="0"/>
                      <w:sz w:val="18"/>
                      <w:szCs w:val="18"/>
                    </w:rPr>
                    <w:t>污染物排放绩效水平准入要求：新、改扩建项目污染排放指标满足《四川省省级生态工业园区指标》综合类生态工业园区要求。工业固体废弃物利用处置率达100%，危险废物处置率达100%。</w:t>
                  </w:r>
                  <w:r>
                    <w:rPr>
                      <w:rFonts w:hint="eastAsia" w:eastAsia="宋体"/>
                      <w:kern w:val="0"/>
                      <w:sz w:val="18"/>
                      <w:szCs w:val="18"/>
                    </w:rPr>
                    <w:t>④</w:t>
                  </w:r>
                  <w:r>
                    <w:rPr>
                      <w:rFonts w:eastAsia="宋体"/>
                      <w:kern w:val="0"/>
                      <w:sz w:val="18"/>
                      <w:szCs w:val="18"/>
                    </w:rPr>
                    <w:t>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w:t>
                  </w:r>
                  <w:r>
                    <w:rPr>
                      <w:rFonts w:hint="eastAsia" w:eastAsia="宋体"/>
                      <w:kern w:val="0"/>
                      <w:sz w:val="18"/>
                      <w:szCs w:val="18"/>
                    </w:rPr>
                    <w:t>⑤</w:t>
                  </w:r>
                  <w:r>
                    <w:rPr>
                      <w:rFonts w:eastAsia="宋体"/>
                      <w:kern w:val="0"/>
                      <w:sz w:val="18"/>
                      <w:szCs w:val="18"/>
                    </w:rPr>
                    <w:t>钢铁行业新建应参考达州市“三线一单”生态环境分区管控中钢铁行业资源环境绩效准入门槛。</w:t>
                  </w:r>
                  <w:r>
                    <w:rPr>
                      <w:rFonts w:hint="eastAsia" w:eastAsia="宋体"/>
                      <w:kern w:val="0"/>
                      <w:sz w:val="18"/>
                      <w:szCs w:val="18"/>
                    </w:rPr>
                    <w:t>⑥</w:t>
                  </w:r>
                  <w:r>
                    <w:rPr>
                      <w:rFonts w:eastAsia="宋体"/>
                      <w:kern w:val="0"/>
                      <w:sz w:val="18"/>
                      <w:szCs w:val="18"/>
                    </w:rPr>
                    <w:t>2030年，渠江流域用水总量控制在31.61亿立方米以内，渠江干流COD排放总量限制在4.89万t</w:t>
                  </w:r>
                  <w:r>
                    <w:rPr>
                      <w:rFonts w:hint="eastAsia" w:eastAsia="宋体"/>
                      <w:kern w:val="0"/>
                      <w:sz w:val="18"/>
                      <w:szCs w:val="18"/>
                    </w:rPr>
                    <w:t>/</w:t>
                  </w:r>
                  <w:r>
                    <w:rPr>
                      <w:rFonts w:eastAsia="宋体"/>
                      <w:kern w:val="0"/>
                      <w:sz w:val="18"/>
                      <w:szCs w:val="18"/>
                    </w:rPr>
                    <w:t>a内、氨氮排放总量限制在0.54万t</w:t>
                  </w:r>
                  <w:r>
                    <w:rPr>
                      <w:rFonts w:hint="eastAsia" w:eastAsia="宋体"/>
                      <w:kern w:val="0"/>
                      <w:sz w:val="18"/>
                      <w:szCs w:val="18"/>
                    </w:rPr>
                    <w:t>/</w:t>
                  </w:r>
                  <w:r>
                    <w:rPr>
                      <w:rFonts w:eastAsia="宋体"/>
                      <w:kern w:val="0"/>
                      <w:sz w:val="18"/>
                      <w:szCs w:val="18"/>
                    </w:rPr>
                    <w:t>a内。全面推进节水型社会建设，加强河湖（库）水域岸线保护及管理，加强入河排污口规范化建设，加强工业污染、农业农村污染、船舶港口污染防治。对流域内饮用水源地进行有效保护及规范化建设。</w:t>
                  </w:r>
                </w:p>
                <w:p w14:paraId="27BBABE1">
                  <w:pPr>
                    <w:pStyle w:val="71"/>
                    <w:spacing w:line="240" w:lineRule="auto"/>
                    <w:ind w:firstLine="0" w:firstLineChars="0"/>
                    <w:rPr>
                      <w:rFonts w:eastAsia="宋体"/>
                      <w:b/>
                      <w:kern w:val="0"/>
                      <w:sz w:val="18"/>
                      <w:szCs w:val="18"/>
                    </w:rPr>
                  </w:pPr>
                  <w:r>
                    <w:rPr>
                      <w:rFonts w:eastAsia="宋体"/>
                      <w:b/>
                      <w:kern w:val="0"/>
                      <w:sz w:val="18"/>
                      <w:szCs w:val="18"/>
                    </w:rPr>
                    <w:t>环境风险防控：</w:t>
                  </w:r>
                </w:p>
                <w:p w14:paraId="65BD9F7E">
                  <w:pPr>
                    <w:pStyle w:val="71"/>
                    <w:spacing w:line="240" w:lineRule="auto"/>
                    <w:ind w:firstLine="0" w:firstLineChars="0"/>
                    <w:rPr>
                      <w:rFonts w:eastAsia="宋体"/>
                      <w:kern w:val="0"/>
                      <w:sz w:val="18"/>
                      <w:szCs w:val="18"/>
                    </w:rPr>
                  </w:pPr>
                  <w:r>
                    <w:rPr>
                      <w:rFonts w:eastAsia="宋体"/>
                      <w:kern w:val="0"/>
                      <w:sz w:val="18"/>
                      <w:szCs w:val="18"/>
                    </w:rPr>
                    <w:t>联防联控要求</w:t>
                  </w:r>
                  <w:r>
                    <w:rPr>
                      <w:rFonts w:hint="eastAsia" w:eastAsia="宋体"/>
                      <w:kern w:val="0"/>
                      <w:sz w:val="18"/>
                      <w:szCs w:val="18"/>
                    </w:rPr>
                    <w:t>：</w:t>
                  </w:r>
                  <w:r>
                    <w:rPr>
                      <w:rFonts w:eastAsia="宋体"/>
                      <w:kern w:val="0"/>
                      <w:sz w:val="18"/>
                      <w:szCs w:val="18"/>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14:paraId="369C8CED">
                  <w:pPr>
                    <w:pStyle w:val="71"/>
                    <w:spacing w:line="240" w:lineRule="auto"/>
                    <w:ind w:firstLine="0" w:firstLineChars="0"/>
                    <w:rPr>
                      <w:rFonts w:eastAsia="宋体"/>
                      <w:kern w:val="0"/>
                      <w:sz w:val="18"/>
                      <w:szCs w:val="18"/>
                    </w:rPr>
                  </w:pPr>
                  <w:r>
                    <w:rPr>
                      <w:rFonts w:eastAsia="宋体"/>
                      <w:kern w:val="0"/>
                      <w:sz w:val="18"/>
                      <w:szCs w:val="18"/>
                    </w:rPr>
                    <w:t>其他环境风险防控要求</w:t>
                  </w:r>
                  <w:r>
                    <w:rPr>
                      <w:rFonts w:hint="eastAsia" w:eastAsia="宋体"/>
                      <w:kern w:val="0"/>
                      <w:sz w:val="18"/>
                      <w:szCs w:val="18"/>
                    </w:rPr>
                    <w:t>：</w:t>
                  </w:r>
                  <w:r>
                    <w:rPr>
                      <w:rFonts w:eastAsia="宋体"/>
                      <w:kern w:val="0"/>
                      <w:sz w:val="18"/>
                      <w:szCs w:val="18"/>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园区环境风险防控要求：园区风险防控体系要求：构建三级环境风险防控体系，强化危化品泄漏应急处置措施，确保风险可控。针对化工园区进一步强化风险防控。杜绝危化品泄漏、事故排放等，确保环境安全。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14:paraId="2ED72602">
                  <w:pPr>
                    <w:pStyle w:val="71"/>
                    <w:spacing w:line="240" w:lineRule="auto"/>
                    <w:ind w:firstLine="0" w:firstLineChars="0"/>
                    <w:rPr>
                      <w:rFonts w:eastAsia="宋体"/>
                      <w:b/>
                      <w:kern w:val="0"/>
                      <w:sz w:val="18"/>
                      <w:szCs w:val="18"/>
                    </w:rPr>
                  </w:pPr>
                  <w:r>
                    <w:rPr>
                      <w:rFonts w:eastAsia="宋体"/>
                      <w:b/>
                      <w:kern w:val="0"/>
                      <w:sz w:val="18"/>
                      <w:szCs w:val="18"/>
                    </w:rPr>
                    <w:t>资源开发利用效率要求：</w:t>
                  </w:r>
                </w:p>
                <w:p w14:paraId="0ED9E043">
                  <w:pPr>
                    <w:pStyle w:val="71"/>
                    <w:spacing w:line="240" w:lineRule="auto"/>
                    <w:ind w:firstLine="0" w:firstLineChars="0"/>
                    <w:rPr>
                      <w:rFonts w:eastAsia="宋体"/>
                      <w:kern w:val="0"/>
                      <w:sz w:val="18"/>
                      <w:szCs w:val="18"/>
                    </w:rPr>
                  </w:pPr>
                  <w:r>
                    <w:rPr>
                      <w:rFonts w:eastAsia="宋体"/>
                      <w:kern w:val="0"/>
                      <w:sz w:val="18"/>
                      <w:szCs w:val="18"/>
                    </w:rPr>
                    <w:t>水资源利用总量要求</w:t>
                  </w:r>
                  <w:r>
                    <w:rPr>
                      <w:rFonts w:hint="eastAsia" w:eastAsia="宋体"/>
                      <w:kern w:val="0"/>
                      <w:sz w:val="18"/>
                      <w:szCs w:val="18"/>
                    </w:rPr>
                    <w:t>：</w:t>
                  </w:r>
                  <w:r>
                    <w:rPr>
                      <w:rFonts w:eastAsia="宋体"/>
                      <w:kern w:val="0"/>
                      <w:sz w:val="18"/>
                      <w:szCs w:val="18"/>
                    </w:rPr>
                    <w:t>新、改扩建项目污染水耗指标满足《四川省省级生态工业园区指标》综合类生态工业园区要求；到2022年，万元国内生产总值用水量、万元工业增加值用水量较2015年分别下降30%和28%。</w:t>
                  </w:r>
                </w:p>
                <w:p w14:paraId="577D3365">
                  <w:pPr>
                    <w:pStyle w:val="71"/>
                    <w:spacing w:line="240" w:lineRule="auto"/>
                    <w:ind w:firstLine="0" w:firstLineChars="0"/>
                    <w:rPr>
                      <w:rFonts w:eastAsia="宋体"/>
                      <w:kern w:val="0"/>
                      <w:sz w:val="18"/>
                      <w:szCs w:val="18"/>
                    </w:rPr>
                  </w:pPr>
                  <w:r>
                    <w:rPr>
                      <w:rFonts w:eastAsia="宋体"/>
                      <w:kern w:val="0"/>
                      <w:sz w:val="18"/>
                      <w:szCs w:val="18"/>
                    </w:rPr>
                    <w:t>地下水开采要求</w:t>
                  </w:r>
                  <w:r>
                    <w:rPr>
                      <w:rFonts w:hint="eastAsia" w:eastAsia="宋体"/>
                      <w:kern w:val="0"/>
                      <w:sz w:val="18"/>
                      <w:szCs w:val="18"/>
                    </w:rPr>
                    <w:t>：</w:t>
                  </w:r>
                  <w:r>
                    <w:rPr>
                      <w:rFonts w:eastAsia="宋体"/>
                      <w:kern w:val="0"/>
                      <w:sz w:val="18"/>
                      <w:szCs w:val="18"/>
                    </w:rPr>
                    <w:t>以省市下发指标为准</w:t>
                  </w:r>
                </w:p>
                <w:p w14:paraId="79298759">
                  <w:pPr>
                    <w:pStyle w:val="71"/>
                    <w:spacing w:line="240" w:lineRule="auto"/>
                    <w:ind w:firstLine="0" w:firstLineChars="0"/>
                    <w:rPr>
                      <w:rFonts w:eastAsia="宋体"/>
                      <w:kern w:val="0"/>
                      <w:sz w:val="18"/>
                      <w:szCs w:val="18"/>
                    </w:rPr>
                  </w:pPr>
                  <w:r>
                    <w:rPr>
                      <w:rFonts w:eastAsia="宋体"/>
                      <w:kern w:val="0"/>
                      <w:sz w:val="18"/>
                      <w:szCs w:val="18"/>
                    </w:rPr>
                    <w:t>能源利用总量及效率要求</w:t>
                  </w:r>
                  <w:r>
                    <w:rPr>
                      <w:rFonts w:hint="eastAsia" w:eastAsia="宋体"/>
                      <w:kern w:val="0"/>
                      <w:sz w:val="18"/>
                      <w:szCs w:val="18"/>
                    </w:rPr>
                    <w:t>：</w:t>
                  </w:r>
                  <w:r>
                    <w:rPr>
                      <w:rFonts w:eastAsia="宋体"/>
                      <w:kern w:val="0"/>
                      <w:sz w:val="18"/>
                      <w:szCs w:val="18"/>
                    </w:rPr>
                    <w:t>川东北区域实施新建项目与煤炭消费总量控制挂钩机制，耗煤建设项目实行煤炭消耗等量减量替代。提高煤炭利用效率和天然气利用占比，工业领域有序推进“煤改电”和有序推进“煤改气”。</w:t>
                  </w:r>
                  <w:r>
                    <w:rPr>
                      <w:rFonts w:hint="eastAsia" w:ascii="宋体" w:hAnsi="宋体" w:eastAsia="宋体"/>
                      <w:kern w:val="0"/>
                      <w:sz w:val="18"/>
                      <w:szCs w:val="18"/>
                    </w:rPr>
                    <w:t>①</w:t>
                  </w:r>
                  <w:r>
                    <w:rPr>
                      <w:rFonts w:eastAsia="宋体"/>
                      <w:kern w:val="0"/>
                      <w:sz w:val="18"/>
                      <w:szCs w:val="18"/>
                    </w:rPr>
                    <w:t>大力实施和推广以电代煤、以电代油工程，重点在城市交通、工商业等领域实施以电代油、以电代煤。</w:t>
                  </w:r>
                  <w:r>
                    <w:rPr>
                      <w:rFonts w:hint="eastAsia" w:ascii="宋体" w:hAnsi="宋体" w:eastAsia="宋体"/>
                      <w:kern w:val="0"/>
                      <w:sz w:val="18"/>
                      <w:szCs w:val="18"/>
                    </w:rPr>
                    <w:t>②</w:t>
                  </w:r>
                  <w:r>
                    <w:rPr>
                      <w:rFonts w:eastAsia="宋体"/>
                      <w:kern w:val="0"/>
                      <w:sz w:val="18"/>
                      <w:szCs w:val="18"/>
                    </w:rPr>
                    <w:t>增加天然气对煤炭和石油的替代，提高天然气民用、交通、发电、工业领域天然气消费比重。</w:t>
                  </w:r>
                  <w:r>
                    <w:rPr>
                      <w:rFonts w:hint="eastAsia" w:ascii="宋体" w:hAnsi="宋体" w:eastAsia="宋体"/>
                      <w:kern w:val="0"/>
                      <w:sz w:val="18"/>
                      <w:szCs w:val="18"/>
                    </w:rPr>
                    <w:t>③</w:t>
                  </w:r>
                  <w:r>
                    <w:rPr>
                      <w:rFonts w:eastAsia="宋体"/>
                      <w:kern w:val="0"/>
                      <w:sz w:val="18"/>
                      <w:szCs w:val="18"/>
                    </w:rPr>
                    <w:t>实施煤炭消费总量控制：严格控制煤炭消费总量；严格控制新建、改建、扩建耗煤项目，新增耗煤项目实行煤炭消耗减量倍量替代。</w:t>
                  </w:r>
                  <w:r>
                    <w:rPr>
                      <w:rFonts w:hint="eastAsia" w:ascii="宋体" w:hAnsi="宋体" w:eastAsia="宋体"/>
                      <w:kern w:val="0"/>
                      <w:sz w:val="18"/>
                      <w:szCs w:val="18"/>
                    </w:rPr>
                    <w:t>④</w:t>
                  </w:r>
                  <w:r>
                    <w:rPr>
                      <w:rFonts w:eastAsia="宋体"/>
                      <w:kern w:val="0"/>
                      <w:sz w:val="18"/>
                      <w:szCs w:val="18"/>
                    </w:rPr>
                    <w:t>鼓励使用清洁燃料，重点区域建设项目原则上不新建燃煤自备锅炉。鼓励重点区域高炉-转炉长流程钢铁企业转型为电炉短流程企业。大宗物料优先采用铁路、管道或水路运输，短途接驳优先使用新能源车辆运输。</w:t>
                  </w:r>
                  <w:r>
                    <w:rPr>
                      <w:rFonts w:hint="eastAsia" w:ascii="宋体" w:hAnsi="宋体" w:eastAsia="宋体"/>
                      <w:kern w:val="0"/>
                      <w:sz w:val="18"/>
                      <w:szCs w:val="18"/>
                    </w:rPr>
                    <w:t>⑤</w:t>
                  </w:r>
                  <w:r>
                    <w:rPr>
                      <w:rFonts w:eastAsia="宋体"/>
                      <w:kern w:val="0"/>
                      <w:sz w:val="18"/>
                      <w:szCs w:val="18"/>
                    </w:rPr>
                    <w:t>推进清洁能源的推广使用，全面推进散煤清洁化整治；禁止新建每小时10蒸吨以下的燃煤锅炉及其他燃煤设施</w:t>
                  </w:r>
                  <w:r>
                    <w:rPr>
                      <w:rFonts w:hint="eastAsia" w:eastAsia="宋体"/>
                      <w:kern w:val="0"/>
                      <w:sz w:val="18"/>
                      <w:szCs w:val="18"/>
                    </w:rPr>
                    <w:t>。</w:t>
                  </w:r>
                  <w:r>
                    <w:rPr>
                      <w:rFonts w:hint="eastAsia" w:ascii="宋体" w:hAnsi="宋体" w:eastAsia="宋体"/>
                      <w:kern w:val="0"/>
                      <w:sz w:val="18"/>
                      <w:szCs w:val="18"/>
                    </w:rPr>
                    <w:t>⑥</w:t>
                  </w:r>
                  <w:r>
                    <w:rPr>
                      <w:rFonts w:eastAsia="宋体"/>
                      <w:kern w:val="0"/>
                      <w:sz w:val="18"/>
                      <w:szCs w:val="18"/>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r>
                    <w:rPr>
                      <w:rFonts w:hint="eastAsia" w:eastAsia="宋体"/>
                      <w:kern w:val="0"/>
                      <w:sz w:val="18"/>
                      <w:szCs w:val="18"/>
                    </w:rPr>
                    <w:t>。</w:t>
                  </w:r>
                </w:p>
                <w:p w14:paraId="493A637B">
                  <w:pPr>
                    <w:pStyle w:val="71"/>
                    <w:spacing w:line="240" w:lineRule="auto"/>
                    <w:ind w:firstLine="0" w:firstLineChars="0"/>
                    <w:rPr>
                      <w:rFonts w:eastAsia="宋体"/>
                      <w:kern w:val="0"/>
                      <w:sz w:val="18"/>
                      <w:szCs w:val="18"/>
                    </w:rPr>
                  </w:pPr>
                  <w:r>
                    <w:rPr>
                      <w:rFonts w:eastAsia="宋体"/>
                      <w:kern w:val="0"/>
                      <w:sz w:val="18"/>
                      <w:szCs w:val="18"/>
                    </w:rPr>
                    <w:t>禁燃区要求</w:t>
                  </w:r>
                  <w:r>
                    <w:rPr>
                      <w:rFonts w:hint="eastAsia" w:eastAsia="宋体"/>
                      <w:kern w:val="0"/>
                      <w:sz w:val="18"/>
                      <w:szCs w:val="18"/>
                    </w:rPr>
                    <w:t>：①</w:t>
                  </w:r>
                  <w:r>
                    <w:rPr>
                      <w:rFonts w:eastAsia="宋体"/>
                      <w:kern w:val="0"/>
                      <w:sz w:val="18"/>
                      <w:szCs w:val="18"/>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r>
                    <w:rPr>
                      <w:rFonts w:hint="eastAsia" w:ascii="宋体" w:hAnsi="宋体" w:eastAsia="宋体"/>
                      <w:kern w:val="0"/>
                      <w:sz w:val="18"/>
                      <w:szCs w:val="18"/>
                    </w:rPr>
                    <w:t>②</w:t>
                  </w:r>
                  <w:r>
                    <w:rPr>
                      <w:rFonts w:eastAsia="宋体"/>
                      <w:kern w:val="0"/>
                      <w:sz w:val="18"/>
                      <w:szCs w:val="18"/>
                    </w:rPr>
                    <w:t>禁燃区内禁止销售、燃用高污染燃料；禁止新建、改建、扩建燃用高污染燃料的设施和设备。</w:t>
                  </w:r>
                  <w:r>
                    <w:rPr>
                      <w:rFonts w:hint="eastAsia" w:ascii="宋体" w:hAnsi="宋体" w:eastAsia="宋体"/>
                      <w:kern w:val="0"/>
                      <w:sz w:val="18"/>
                      <w:szCs w:val="18"/>
                    </w:rPr>
                    <w:t>③</w:t>
                  </w:r>
                  <w:r>
                    <w:rPr>
                      <w:rFonts w:eastAsia="宋体"/>
                      <w:kern w:val="0"/>
                      <w:sz w:val="18"/>
                      <w:szCs w:val="18"/>
                    </w:rPr>
                    <w:t>禁燃区内已建成的高污染燃料燃用设施由辖区人民政府制定限期改造计划，改用天然气、页岩气、液化石油气、电或其他清洁能源。</w:t>
                  </w:r>
                </w:p>
                <w:p w14:paraId="60075327">
                  <w:pPr>
                    <w:pStyle w:val="71"/>
                    <w:spacing w:line="240" w:lineRule="auto"/>
                    <w:ind w:firstLine="0" w:firstLineChars="0"/>
                    <w:rPr>
                      <w:rFonts w:eastAsia="宋体"/>
                      <w:kern w:val="0"/>
                      <w:sz w:val="18"/>
                      <w:szCs w:val="18"/>
                    </w:rPr>
                  </w:pPr>
                  <w:r>
                    <w:rPr>
                      <w:rFonts w:eastAsia="宋体"/>
                      <w:kern w:val="0"/>
                      <w:sz w:val="18"/>
                      <w:szCs w:val="18"/>
                    </w:rPr>
                    <w:t>其他资源利用效率要求</w:t>
                  </w:r>
                  <w:r>
                    <w:rPr>
                      <w:rFonts w:hint="eastAsia" w:eastAsia="宋体"/>
                      <w:kern w:val="0"/>
                      <w:sz w:val="18"/>
                      <w:szCs w:val="18"/>
                    </w:rPr>
                    <w:t xml:space="preserve"> </w:t>
                  </w:r>
                  <w:r>
                    <w:rPr>
                      <w:rFonts w:eastAsia="宋体"/>
                      <w:kern w:val="0"/>
                      <w:sz w:val="18"/>
                      <w:szCs w:val="18"/>
                    </w:rPr>
                    <w:t>暂无</w:t>
                  </w:r>
                </w:p>
              </w:tc>
              <w:tc>
                <w:tcPr>
                  <w:tcW w:w="337" w:type="pct"/>
                  <w:vAlign w:val="center"/>
                </w:tcPr>
                <w:p w14:paraId="140DE779">
                  <w:pPr>
                    <w:pStyle w:val="71"/>
                    <w:widowControl/>
                    <w:spacing w:line="240" w:lineRule="auto"/>
                    <w:ind w:firstLine="0" w:firstLineChars="0"/>
                    <w:jc w:val="center"/>
                    <w:rPr>
                      <w:rFonts w:eastAsia="宋体"/>
                      <w:sz w:val="18"/>
                      <w:szCs w:val="18"/>
                    </w:rPr>
                  </w:pPr>
                  <w:r>
                    <w:rPr>
                      <w:rFonts w:eastAsia="宋体"/>
                      <w:sz w:val="18"/>
                      <w:szCs w:val="18"/>
                    </w:rPr>
                    <w:t>空间布局约束</w:t>
                  </w:r>
                </w:p>
              </w:tc>
              <w:tc>
                <w:tcPr>
                  <w:tcW w:w="1157" w:type="pct"/>
                  <w:vAlign w:val="center"/>
                </w:tcPr>
                <w:p w14:paraId="7475BA70">
                  <w:pPr>
                    <w:pStyle w:val="71"/>
                    <w:widowControl/>
                    <w:spacing w:line="240" w:lineRule="auto"/>
                    <w:ind w:firstLine="0" w:firstLineChars="0"/>
                    <w:jc w:val="left"/>
                    <w:rPr>
                      <w:rFonts w:eastAsia="宋体"/>
                      <w:sz w:val="18"/>
                      <w:szCs w:val="18"/>
                    </w:rPr>
                  </w:pPr>
                  <w:r>
                    <w:rPr>
                      <w:rFonts w:eastAsia="宋体"/>
                      <w:sz w:val="18"/>
                      <w:szCs w:val="18"/>
                    </w:rPr>
                    <w:t>禁止开发建设活动的要求</w:t>
                  </w:r>
                  <w:r>
                    <w:rPr>
                      <w:rFonts w:hint="eastAsia" w:eastAsia="宋体"/>
                      <w:sz w:val="18"/>
                      <w:szCs w:val="18"/>
                    </w:rPr>
                    <w:t>：</w:t>
                  </w:r>
                  <w:r>
                    <w:rPr>
                      <w:rFonts w:eastAsia="宋体"/>
                      <w:sz w:val="18"/>
                      <w:szCs w:val="18"/>
                    </w:rPr>
                    <w:t>现代物流业禁止引入化工物流其它同达州市工业重点管控单元要求</w:t>
                  </w:r>
                  <w:r>
                    <w:rPr>
                      <w:rFonts w:hint="eastAsia" w:eastAsia="宋体"/>
                      <w:sz w:val="18"/>
                      <w:szCs w:val="18"/>
                    </w:rPr>
                    <w:t>。</w:t>
                  </w:r>
                </w:p>
                <w:p w14:paraId="637E3E57">
                  <w:pPr>
                    <w:pStyle w:val="71"/>
                    <w:widowControl/>
                    <w:spacing w:line="240" w:lineRule="auto"/>
                    <w:ind w:firstLine="0" w:firstLineChars="0"/>
                    <w:jc w:val="left"/>
                    <w:rPr>
                      <w:rFonts w:eastAsia="宋体"/>
                      <w:sz w:val="18"/>
                      <w:szCs w:val="18"/>
                    </w:rPr>
                  </w:pPr>
                  <w:r>
                    <w:rPr>
                      <w:rFonts w:eastAsia="宋体"/>
                      <w:sz w:val="18"/>
                      <w:szCs w:val="18"/>
                    </w:rPr>
                    <w:t>限制开发建设活动的要求</w:t>
                  </w:r>
                  <w:r>
                    <w:rPr>
                      <w:rFonts w:hint="eastAsia" w:eastAsia="宋体"/>
                      <w:sz w:val="18"/>
                      <w:szCs w:val="18"/>
                    </w:rPr>
                    <w:t>：</w:t>
                  </w:r>
                  <w:r>
                    <w:rPr>
                      <w:rFonts w:eastAsia="宋体"/>
                      <w:sz w:val="18"/>
                      <w:szCs w:val="18"/>
                    </w:rPr>
                    <w:t>在引入食品、医药企业时须充分考虑污染特征以及外环境情况等因素，必要时设置相应的卫生防护距离，以确保魏兴场镇不受到周边企业的污染影响其它同达州市工业重点管控单元要求</w:t>
                  </w:r>
                </w:p>
                <w:p w14:paraId="7D2A7FEB">
                  <w:pPr>
                    <w:pStyle w:val="71"/>
                    <w:widowControl/>
                    <w:spacing w:line="240" w:lineRule="auto"/>
                    <w:ind w:firstLine="0" w:firstLineChars="0"/>
                    <w:jc w:val="left"/>
                    <w:rPr>
                      <w:rFonts w:eastAsia="宋体"/>
                      <w:sz w:val="18"/>
                      <w:szCs w:val="18"/>
                    </w:rPr>
                  </w:pPr>
                  <w:r>
                    <w:rPr>
                      <w:rFonts w:eastAsia="宋体"/>
                      <w:sz w:val="18"/>
                      <w:szCs w:val="18"/>
                    </w:rPr>
                    <w:t>允许开发建设活动的要求</w:t>
                  </w:r>
                </w:p>
                <w:p w14:paraId="627A6549">
                  <w:pPr>
                    <w:pStyle w:val="71"/>
                    <w:widowControl/>
                    <w:spacing w:line="240" w:lineRule="auto"/>
                    <w:ind w:firstLine="0" w:firstLineChars="0"/>
                    <w:jc w:val="left"/>
                    <w:rPr>
                      <w:rFonts w:eastAsia="宋体"/>
                      <w:sz w:val="18"/>
                      <w:szCs w:val="18"/>
                    </w:rPr>
                  </w:pPr>
                  <w:r>
                    <w:rPr>
                      <w:rFonts w:eastAsia="宋体"/>
                      <w:sz w:val="18"/>
                      <w:szCs w:val="18"/>
                    </w:rPr>
                    <w:t>不符合空间布局要求活动的退出要求</w:t>
                  </w:r>
                </w:p>
                <w:p w14:paraId="0C8C98BC">
                  <w:pPr>
                    <w:pStyle w:val="71"/>
                    <w:widowControl/>
                    <w:spacing w:line="240" w:lineRule="auto"/>
                    <w:ind w:firstLine="0" w:firstLineChars="0"/>
                    <w:jc w:val="left"/>
                    <w:rPr>
                      <w:rFonts w:eastAsia="宋体"/>
                      <w:sz w:val="18"/>
                      <w:szCs w:val="18"/>
                    </w:rPr>
                  </w:pPr>
                  <w:r>
                    <w:rPr>
                      <w:rFonts w:eastAsia="宋体"/>
                      <w:sz w:val="18"/>
                      <w:szCs w:val="18"/>
                    </w:rPr>
                    <w:t>项目入驻时，优先布局于集中区南北向主干道西面工业用地范围，南北向主干道东侧规划工业用地作为远期备用发展用地执行达州市工业重点管控单元总体要求</w:t>
                  </w:r>
                </w:p>
                <w:p w14:paraId="08CC1767">
                  <w:pPr>
                    <w:pStyle w:val="71"/>
                    <w:widowControl/>
                    <w:spacing w:line="240" w:lineRule="auto"/>
                    <w:ind w:firstLine="0" w:firstLineChars="0"/>
                    <w:jc w:val="left"/>
                    <w:rPr>
                      <w:rFonts w:eastAsia="宋体"/>
                      <w:sz w:val="18"/>
                      <w:szCs w:val="18"/>
                    </w:rPr>
                  </w:pPr>
                  <w:r>
                    <w:rPr>
                      <w:rFonts w:eastAsia="宋体"/>
                      <w:sz w:val="18"/>
                      <w:szCs w:val="18"/>
                    </w:rPr>
                    <w:t>其他空间布局约束要求</w:t>
                  </w:r>
                </w:p>
              </w:tc>
              <w:tc>
                <w:tcPr>
                  <w:tcW w:w="436" w:type="pct"/>
                  <w:vAlign w:val="center"/>
                </w:tcPr>
                <w:p w14:paraId="4412EEA0">
                  <w:pPr>
                    <w:pStyle w:val="71"/>
                    <w:widowControl/>
                    <w:spacing w:line="240" w:lineRule="auto"/>
                    <w:ind w:firstLine="0" w:firstLineChars="0"/>
                    <w:rPr>
                      <w:rFonts w:eastAsia="宋体"/>
                      <w:sz w:val="18"/>
                      <w:szCs w:val="18"/>
                    </w:rPr>
                  </w:pPr>
                  <w:r>
                    <w:rPr>
                      <w:rFonts w:hint="eastAsia" w:eastAsia="宋体"/>
                      <w:sz w:val="18"/>
                      <w:szCs w:val="18"/>
                    </w:rPr>
                    <w:t>项目为中成药生产项目，不属于化工项目；不属于国家、园区禁止、限制引入项目；项目蒸汽发生器电能加热；项目大气污染物主要为颗粒物及中药异味，经合理措施处置后，对周边环境影响较小。</w:t>
                  </w:r>
                </w:p>
                <w:p w14:paraId="18AA7940">
                  <w:pPr>
                    <w:pStyle w:val="71"/>
                    <w:widowControl/>
                    <w:spacing w:line="240" w:lineRule="auto"/>
                    <w:ind w:firstLine="0" w:firstLineChars="0"/>
                    <w:rPr>
                      <w:rFonts w:eastAsia="宋体"/>
                      <w:sz w:val="18"/>
                      <w:szCs w:val="18"/>
                    </w:rPr>
                  </w:pPr>
                  <w:r>
                    <w:rPr>
                      <w:rFonts w:hint="eastAsia" w:eastAsia="宋体"/>
                      <w:sz w:val="18"/>
                      <w:szCs w:val="18"/>
                    </w:rPr>
                    <w:t>项目固体废物均得到妥善处置，去向明确；项目不属于现代物流业。</w:t>
                  </w:r>
                </w:p>
              </w:tc>
              <w:tc>
                <w:tcPr>
                  <w:tcW w:w="234" w:type="pct"/>
                  <w:vAlign w:val="center"/>
                </w:tcPr>
                <w:p w14:paraId="5EFA53E1">
                  <w:pPr>
                    <w:pStyle w:val="71"/>
                    <w:widowControl/>
                    <w:spacing w:line="240" w:lineRule="auto"/>
                    <w:ind w:firstLine="0" w:firstLineChars="0"/>
                    <w:jc w:val="left"/>
                    <w:rPr>
                      <w:rFonts w:eastAsia="宋体"/>
                      <w:sz w:val="18"/>
                      <w:szCs w:val="18"/>
                    </w:rPr>
                  </w:pPr>
                  <w:r>
                    <w:rPr>
                      <w:rFonts w:hint="eastAsia" w:eastAsia="宋体"/>
                      <w:sz w:val="18"/>
                      <w:szCs w:val="18"/>
                    </w:rPr>
                    <w:t>符合</w:t>
                  </w:r>
                </w:p>
              </w:tc>
            </w:tr>
            <w:tr w14:paraId="0ECCE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4" w:type="pct"/>
                  <w:vMerge w:val="continue"/>
                  <w:vAlign w:val="center"/>
                </w:tcPr>
                <w:p w14:paraId="37202C81">
                  <w:pPr>
                    <w:pStyle w:val="71"/>
                    <w:widowControl/>
                    <w:spacing w:line="240" w:lineRule="auto"/>
                    <w:ind w:firstLine="0" w:firstLineChars="0"/>
                    <w:jc w:val="left"/>
                    <w:rPr>
                      <w:rFonts w:eastAsia="宋体"/>
                      <w:color w:val="000000"/>
                      <w:sz w:val="18"/>
                      <w:szCs w:val="18"/>
                    </w:rPr>
                  </w:pPr>
                </w:p>
              </w:tc>
              <w:tc>
                <w:tcPr>
                  <w:tcW w:w="318" w:type="pct"/>
                  <w:vMerge w:val="continue"/>
                  <w:vAlign w:val="center"/>
                </w:tcPr>
                <w:p w14:paraId="685810C6">
                  <w:pPr>
                    <w:pStyle w:val="71"/>
                    <w:widowControl/>
                    <w:spacing w:line="240" w:lineRule="auto"/>
                    <w:ind w:firstLine="0" w:firstLineChars="0"/>
                    <w:jc w:val="left"/>
                    <w:rPr>
                      <w:rFonts w:eastAsia="宋体"/>
                      <w:color w:val="000000"/>
                      <w:sz w:val="18"/>
                      <w:szCs w:val="18"/>
                    </w:rPr>
                  </w:pPr>
                </w:p>
              </w:tc>
              <w:tc>
                <w:tcPr>
                  <w:tcW w:w="2104" w:type="pct"/>
                  <w:vMerge w:val="continue"/>
                  <w:vAlign w:val="center"/>
                </w:tcPr>
                <w:p w14:paraId="158879D0">
                  <w:pPr>
                    <w:pStyle w:val="71"/>
                    <w:spacing w:line="240" w:lineRule="auto"/>
                    <w:ind w:firstLine="0" w:firstLineChars="0"/>
                    <w:rPr>
                      <w:rFonts w:eastAsia="宋体"/>
                      <w:kern w:val="0"/>
                      <w:sz w:val="18"/>
                      <w:szCs w:val="18"/>
                    </w:rPr>
                  </w:pPr>
                </w:p>
              </w:tc>
              <w:tc>
                <w:tcPr>
                  <w:tcW w:w="337" w:type="pct"/>
                  <w:vAlign w:val="center"/>
                </w:tcPr>
                <w:p w14:paraId="2FB5DA09">
                  <w:pPr>
                    <w:pStyle w:val="71"/>
                    <w:widowControl/>
                    <w:spacing w:line="240" w:lineRule="auto"/>
                    <w:ind w:firstLine="0" w:firstLineChars="0"/>
                    <w:jc w:val="center"/>
                    <w:rPr>
                      <w:rFonts w:eastAsia="宋体"/>
                      <w:sz w:val="18"/>
                      <w:szCs w:val="18"/>
                    </w:rPr>
                  </w:pPr>
                  <w:r>
                    <w:rPr>
                      <w:rFonts w:eastAsia="宋体"/>
                      <w:sz w:val="18"/>
                      <w:szCs w:val="18"/>
                    </w:rPr>
                    <w:t>污染物排放管控</w:t>
                  </w:r>
                </w:p>
              </w:tc>
              <w:tc>
                <w:tcPr>
                  <w:tcW w:w="1157" w:type="pct"/>
                  <w:vAlign w:val="center"/>
                </w:tcPr>
                <w:p w14:paraId="6E7A4AF5">
                  <w:pPr>
                    <w:pStyle w:val="71"/>
                    <w:widowControl/>
                    <w:spacing w:line="240" w:lineRule="auto"/>
                    <w:ind w:firstLine="0" w:firstLineChars="0"/>
                    <w:jc w:val="left"/>
                    <w:rPr>
                      <w:rFonts w:eastAsia="宋体"/>
                      <w:sz w:val="18"/>
                      <w:szCs w:val="18"/>
                    </w:rPr>
                  </w:pPr>
                  <w:r>
                    <w:rPr>
                      <w:rFonts w:hint="eastAsia" w:eastAsia="宋体"/>
                      <w:sz w:val="18"/>
                      <w:szCs w:val="18"/>
                    </w:rPr>
                    <w:t>现有源提标升级改造：项目产生的生产废水由企业自行处理达到《污水综合排放标准》三级或相应的行业排放标准后排入园区污水处理厂处理达《城镇污水处理厂污染物排放标准》一级A标或更严格标准后排放，其它同达州市工业重点总体准入要求</w:t>
                  </w:r>
                </w:p>
                <w:p w14:paraId="649A81FA">
                  <w:pPr>
                    <w:pStyle w:val="71"/>
                    <w:widowControl/>
                    <w:spacing w:line="240" w:lineRule="auto"/>
                    <w:ind w:firstLine="0" w:firstLineChars="0"/>
                    <w:jc w:val="left"/>
                    <w:rPr>
                      <w:rFonts w:eastAsia="宋体"/>
                      <w:sz w:val="18"/>
                      <w:szCs w:val="18"/>
                    </w:rPr>
                  </w:pPr>
                  <w:r>
                    <w:rPr>
                      <w:rFonts w:hint="eastAsia" w:eastAsia="宋体"/>
                      <w:sz w:val="18"/>
                      <w:szCs w:val="18"/>
                    </w:rPr>
                    <w:t>新增源等量或倍量替代</w:t>
                  </w:r>
                </w:p>
                <w:p w14:paraId="16794018">
                  <w:pPr>
                    <w:pStyle w:val="71"/>
                    <w:widowControl/>
                    <w:spacing w:line="240" w:lineRule="auto"/>
                    <w:ind w:firstLine="0" w:firstLineChars="0"/>
                    <w:jc w:val="left"/>
                    <w:rPr>
                      <w:rFonts w:eastAsia="宋体"/>
                      <w:sz w:val="18"/>
                      <w:szCs w:val="18"/>
                    </w:rPr>
                  </w:pPr>
                  <w:r>
                    <w:rPr>
                      <w:rFonts w:hint="eastAsia" w:eastAsia="宋体"/>
                      <w:sz w:val="18"/>
                      <w:szCs w:val="18"/>
                    </w:rPr>
                    <w:t>执行达州市工业重点管控单元总体要求</w:t>
                  </w:r>
                </w:p>
                <w:p w14:paraId="449C9E41">
                  <w:pPr>
                    <w:pStyle w:val="71"/>
                    <w:widowControl/>
                    <w:spacing w:line="240" w:lineRule="auto"/>
                    <w:ind w:firstLine="0" w:firstLineChars="0"/>
                    <w:jc w:val="left"/>
                    <w:rPr>
                      <w:rFonts w:eastAsia="宋体"/>
                      <w:sz w:val="18"/>
                      <w:szCs w:val="18"/>
                    </w:rPr>
                  </w:pPr>
                  <w:r>
                    <w:rPr>
                      <w:rFonts w:hint="eastAsia" w:eastAsia="宋体"/>
                      <w:sz w:val="18"/>
                      <w:szCs w:val="18"/>
                    </w:rPr>
                    <w:t>新增源排放标准限值</w:t>
                  </w:r>
                </w:p>
                <w:p w14:paraId="476FECAB">
                  <w:pPr>
                    <w:pStyle w:val="71"/>
                    <w:widowControl/>
                    <w:spacing w:line="240" w:lineRule="auto"/>
                    <w:ind w:firstLine="0" w:firstLineChars="0"/>
                    <w:jc w:val="left"/>
                    <w:rPr>
                      <w:rFonts w:eastAsia="宋体"/>
                      <w:sz w:val="18"/>
                      <w:szCs w:val="18"/>
                    </w:rPr>
                  </w:pPr>
                  <w:r>
                    <w:rPr>
                      <w:rFonts w:hint="eastAsia" w:eastAsia="宋体"/>
                      <w:sz w:val="18"/>
                      <w:szCs w:val="18"/>
                    </w:rPr>
                    <w:t>其他同达州市工业重点总体准入要求</w:t>
                  </w:r>
                </w:p>
                <w:p w14:paraId="2BD739C8">
                  <w:pPr>
                    <w:pStyle w:val="71"/>
                    <w:widowControl/>
                    <w:spacing w:line="240" w:lineRule="auto"/>
                    <w:ind w:firstLine="0" w:firstLineChars="0"/>
                    <w:jc w:val="left"/>
                    <w:rPr>
                      <w:rFonts w:eastAsia="宋体"/>
                      <w:sz w:val="18"/>
                      <w:szCs w:val="18"/>
                    </w:rPr>
                  </w:pPr>
                  <w:r>
                    <w:rPr>
                      <w:rFonts w:hint="eastAsia" w:eastAsia="宋体"/>
                      <w:sz w:val="18"/>
                      <w:szCs w:val="18"/>
                    </w:rPr>
                    <w:t>污染物排放绩效水平准入要求</w:t>
                  </w:r>
                </w:p>
                <w:p w14:paraId="7AD08971">
                  <w:pPr>
                    <w:pStyle w:val="71"/>
                    <w:widowControl/>
                    <w:spacing w:line="240" w:lineRule="auto"/>
                    <w:ind w:firstLine="0" w:firstLineChars="0"/>
                    <w:jc w:val="left"/>
                    <w:rPr>
                      <w:rFonts w:eastAsia="宋体"/>
                      <w:sz w:val="18"/>
                      <w:szCs w:val="18"/>
                    </w:rPr>
                  </w:pPr>
                  <w:r>
                    <w:rPr>
                      <w:rFonts w:hint="eastAsia" w:eastAsia="宋体"/>
                      <w:sz w:val="18"/>
                      <w:szCs w:val="18"/>
                    </w:rPr>
                    <w:t>执行达州市工业重点管控单元总体要求</w:t>
                  </w:r>
                </w:p>
                <w:p w14:paraId="2D35A173">
                  <w:pPr>
                    <w:pStyle w:val="71"/>
                    <w:widowControl/>
                    <w:spacing w:line="240" w:lineRule="auto"/>
                    <w:ind w:firstLine="0" w:firstLineChars="0"/>
                    <w:jc w:val="left"/>
                    <w:rPr>
                      <w:rFonts w:eastAsia="宋体"/>
                      <w:sz w:val="18"/>
                      <w:szCs w:val="18"/>
                    </w:rPr>
                  </w:pPr>
                  <w:r>
                    <w:rPr>
                      <w:rFonts w:hint="eastAsia" w:eastAsia="宋体"/>
                      <w:sz w:val="18"/>
                      <w:szCs w:val="18"/>
                    </w:rPr>
                    <w:t>其他污染物排放管控要求</w:t>
                  </w:r>
                </w:p>
              </w:tc>
              <w:tc>
                <w:tcPr>
                  <w:tcW w:w="436" w:type="pct"/>
                  <w:vAlign w:val="center"/>
                </w:tcPr>
                <w:p w14:paraId="7D7F73BE">
                  <w:pPr>
                    <w:pStyle w:val="71"/>
                    <w:widowControl/>
                    <w:spacing w:line="240" w:lineRule="auto"/>
                    <w:ind w:firstLine="0" w:firstLineChars="0"/>
                    <w:rPr>
                      <w:rFonts w:eastAsia="宋体"/>
                      <w:sz w:val="18"/>
                      <w:szCs w:val="18"/>
                    </w:rPr>
                  </w:pPr>
                  <w:r>
                    <w:rPr>
                      <w:rFonts w:hint="eastAsia" w:eastAsia="宋体"/>
                      <w:sz w:val="18"/>
                      <w:szCs w:val="18"/>
                    </w:rPr>
                    <w:t>项目综合废水经处理达《污水综合排放标准》三级标准后排入魏兴场镇污水处理厂进一步处理；项目污染物排放量远低于达州市污染物允许排放量；</w:t>
                  </w:r>
                </w:p>
              </w:tc>
              <w:tc>
                <w:tcPr>
                  <w:tcW w:w="234" w:type="pct"/>
                  <w:vAlign w:val="center"/>
                </w:tcPr>
                <w:p w14:paraId="1D883E5B">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符合</w:t>
                  </w:r>
                </w:p>
              </w:tc>
            </w:tr>
            <w:tr w14:paraId="71676B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4" w:type="pct"/>
                  <w:vMerge w:val="continue"/>
                  <w:vAlign w:val="center"/>
                </w:tcPr>
                <w:p w14:paraId="65A534E3">
                  <w:pPr>
                    <w:pStyle w:val="71"/>
                    <w:widowControl/>
                    <w:spacing w:line="240" w:lineRule="auto"/>
                    <w:ind w:firstLine="0" w:firstLineChars="0"/>
                    <w:jc w:val="left"/>
                    <w:rPr>
                      <w:rFonts w:eastAsia="宋体"/>
                      <w:color w:val="000000"/>
                      <w:sz w:val="18"/>
                      <w:szCs w:val="18"/>
                    </w:rPr>
                  </w:pPr>
                </w:p>
              </w:tc>
              <w:tc>
                <w:tcPr>
                  <w:tcW w:w="318" w:type="pct"/>
                  <w:vMerge w:val="continue"/>
                  <w:vAlign w:val="center"/>
                </w:tcPr>
                <w:p w14:paraId="0DEACB73">
                  <w:pPr>
                    <w:pStyle w:val="71"/>
                    <w:widowControl/>
                    <w:spacing w:line="240" w:lineRule="auto"/>
                    <w:ind w:firstLine="0" w:firstLineChars="0"/>
                    <w:jc w:val="left"/>
                    <w:rPr>
                      <w:rFonts w:eastAsia="宋体"/>
                      <w:color w:val="000000"/>
                      <w:sz w:val="18"/>
                      <w:szCs w:val="18"/>
                    </w:rPr>
                  </w:pPr>
                </w:p>
              </w:tc>
              <w:tc>
                <w:tcPr>
                  <w:tcW w:w="2104" w:type="pct"/>
                  <w:vMerge w:val="continue"/>
                  <w:vAlign w:val="center"/>
                </w:tcPr>
                <w:p w14:paraId="038BAC3C">
                  <w:pPr>
                    <w:pStyle w:val="71"/>
                    <w:spacing w:line="240" w:lineRule="auto"/>
                    <w:ind w:firstLine="0" w:firstLineChars="0"/>
                    <w:rPr>
                      <w:rFonts w:eastAsia="宋体"/>
                      <w:kern w:val="0"/>
                      <w:sz w:val="18"/>
                      <w:szCs w:val="18"/>
                    </w:rPr>
                  </w:pPr>
                </w:p>
              </w:tc>
              <w:tc>
                <w:tcPr>
                  <w:tcW w:w="337" w:type="pct"/>
                  <w:vAlign w:val="center"/>
                </w:tcPr>
                <w:p w14:paraId="205B28C7">
                  <w:pPr>
                    <w:pStyle w:val="71"/>
                    <w:widowControl/>
                    <w:spacing w:line="240" w:lineRule="auto"/>
                    <w:ind w:firstLine="0" w:firstLineChars="0"/>
                    <w:jc w:val="center"/>
                    <w:rPr>
                      <w:rFonts w:eastAsia="宋体"/>
                      <w:sz w:val="18"/>
                      <w:szCs w:val="18"/>
                    </w:rPr>
                  </w:pPr>
                  <w:r>
                    <w:rPr>
                      <w:rFonts w:eastAsia="宋体"/>
                      <w:sz w:val="18"/>
                      <w:szCs w:val="18"/>
                    </w:rPr>
                    <w:t>环境风险防控</w:t>
                  </w:r>
                </w:p>
              </w:tc>
              <w:tc>
                <w:tcPr>
                  <w:tcW w:w="1157" w:type="pct"/>
                  <w:vAlign w:val="center"/>
                </w:tcPr>
                <w:p w14:paraId="64382FDC">
                  <w:pPr>
                    <w:pStyle w:val="71"/>
                    <w:widowControl/>
                    <w:spacing w:line="240" w:lineRule="auto"/>
                    <w:ind w:firstLine="0" w:firstLineChars="0"/>
                    <w:jc w:val="left"/>
                    <w:rPr>
                      <w:rFonts w:eastAsia="宋体"/>
                      <w:sz w:val="18"/>
                      <w:szCs w:val="18"/>
                    </w:rPr>
                  </w:pPr>
                  <w:r>
                    <w:rPr>
                      <w:rFonts w:hint="eastAsia" w:eastAsia="宋体"/>
                      <w:sz w:val="18"/>
                      <w:szCs w:val="18"/>
                    </w:rPr>
                    <w:t>严格管控类农用地管控要求</w:t>
                  </w:r>
                </w:p>
                <w:p w14:paraId="5A90F565">
                  <w:pPr>
                    <w:pStyle w:val="71"/>
                    <w:widowControl/>
                    <w:spacing w:line="240" w:lineRule="auto"/>
                    <w:ind w:firstLine="0" w:firstLineChars="0"/>
                    <w:jc w:val="left"/>
                    <w:rPr>
                      <w:rFonts w:eastAsia="宋体"/>
                      <w:sz w:val="18"/>
                      <w:szCs w:val="18"/>
                    </w:rPr>
                  </w:pPr>
                  <w:r>
                    <w:rPr>
                      <w:rFonts w:hint="eastAsia" w:eastAsia="宋体"/>
                      <w:sz w:val="18"/>
                      <w:szCs w:val="18"/>
                    </w:rPr>
                    <w:t>执行达州市工业重点管控单元总体要求</w:t>
                  </w:r>
                </w:p>
                <w:p w14:paraId="062301CE">
                  <w:pPr>
                    <w:pStyle w:val="71"/>
                    <w:widowControl/>
                    <w:spacing w:line="240" w:lineRule="auto"/>
                    <w:ind w:firstLine="0" w:firstLineChars="0"/>
                    <w:jc w:val="left"/>
                    <w:rPr>
                      <w:rFonts w:eastAsia="宋体"/>
                      <w:sz w:val="18"/>
                      <w:szCs w:val="18"/>
                    </w:rPr>
                  </w:pPr>
                  <w:r>
                    <w:rPr>
                      <w:rFonts w:hint="eastAsia" w:eastAsia="宋体"/>
                      <w:sz w:val="18"/>
                      <w:szCs w:val="18"/>
                    </w:rPr>
                    <w:t>安全利用类农用地管控要求</w:t>
                  </w:r>
                </w:p>
                <w:p w14:paraId="0808F4B6">
                  <w:pPr>
                    <w:pStyle w:val="71"/>
                    <w:widowControl/>
                    <w:spacing w:line="240" w:lineRule="auto"/>
                    <w:ind w:firstLine="0" w:firstLineChars="0"/>
                    <w:jc w:val="left"/>
                    <w:rPr>
                      <w:rFonts w:eastAsia="宋体"/>
                      <w:sz w:val="18"/>
                      <w:szCs w:val="18"/>
                    </w:rPr>
                  </w:pPr>
                  <w:r>
                    <w:rPr>
                      <w:rFonts w:hint="eastAsia" w:eastAsia="宋体"/>
                      <w:sz w:val="18"/>
                      <w:szCs w:val="18"/>
                    </w:rPr>
                    <w:t>执行达州市工业重点管控单元总体要求</w:t>
                  </w:r>
                </w:p>
                <w:p w14:paraId="5AA0986C">
                  <w:pPr>
                    <w:pStyle w:val="71"/>
                    <w:widowControl/>
                    <w:spacing w:line="240" w:lineRule="auto"/>
                    <w:ind w:firstLine="0" w:firstLineChars="0"/>
                    <w:jc w:val="left"/>
                    <w:rPr>
                      <w:rFonts w:eastAsia="宋体"/>
                      <w:sz w:val="18"/>
                      <w:szCs w:val="18"/>
                    </w:rPr>
                  </w:pPr>
                  <w:r>
                    <w:rPr>
                      <w:rFonts w:hint="eastAsia" w:eastAsia="宋体"/>
                      <w:sz w:val="18"/>
                      <w:szCs w:val="18"/>
                    </w:rPr>
                    <w:t>污染地块管控要求</w:t>
                  </w:r>
                </w:p>
                <w:p w14:paraId="5E044AD0">
                  <w:pPr>
                    <w:pStyle w:val="71"/>
                    <w:widowControl/>
                    <w:spacing w:line="240" w:lineRule="auto"/>
                    <w:ind w:firstLine="0" w:firstLineChars="0"/>
                    <w:jc w:val="left"/>
                    <w:rPr>
                      <w:rFonts w:eastAsia="宋体"/>
                      <w:sz w:val="18"/>
                      <w:szCs w:val="18"/>
                    </w:rPr>
                  </w:pPr>
                  <w:r>
                    <w:rPr>
                      <w:rFonts w:hint="eastAsia" w:eastAsia="宋体"/>
                      <w:sz w:val="18"/>
                      <w:szCs w:val="18"/>
                    </w:rPr>
                    <w:t>执行达州市工业重点管控单元总体要求</w:t>
                  </w:r>
                </w:p>
                <w:p w14:paraId="65B6F6C3">
                  <w:pPr>
                    <w:pStyle w:val="71"/>
                    <w:widowControl/>
                    <w:spacing w:line="240" w:lineRule="auto"/>
                    <w:ind w:firstLine="0" w:firstLineChars="0"/>
                    <w:jc w:val="left"/>
                    <w:rPr>
                      <w:rFonts w:eastAsia="宋体"/>
                      <w:sz w:val="18"/>
                      <w:szCs w:val="18"/>
                    </w:rPr>
                  </w:pPr>
                  <w:r>
                    <w:rPr>
                      <w:rFonts w:hint="eastAsia" w:eastAsia="宋体"/>
                      <w:sz w:val="18"/>
                      <w:szCs w:val="18"/>
                    </w:rPr>
                    <w:t>园区环境风险防控要求</w:t>
                  </w:r>
                </w:p>
                <w:p w14:paraId="37257194">
                  <w:pPr>
                    <w:pStyle w:val="71"/>
                    <w:widowControl/>
                    <w:spacing w:line="240" w:lineRule="auto"/>
                    <w:ind w:firstLine="0" w:firstLineChars="0"/>
                    <w:jc w:val="left"/>
                    <w:rPr>
                      <w:rFonts w:eastAsia="宋体"/>
                      <w:sz w:val="18"/>
                      <w:szCs w:val="18"/>
                    </w:rPr>
                  </w:pPr>
                  <w:r>
                    <w:rPr>
                      <w:rFonts w:hint="eastAsia" w:eastAsia="宋体"/>
                      <w:sz w:val="18"/>
                      <w:szCs w:val="18"/>
                    </w:rPr>
                    <w:t>风险源与环境敏感区保持合理的空间距离，要求各企业原辅料贮运及生产过程中不得构成《危险化学品重大危险源辨识》中一、二级重大危险源，杜绝危化品泄漏、事故排放等。其它同达州市工业重点管控单元总体要求</w:t>
                  </w:r>
                </w:p>
                <w:p w14:paraId="32831355">
                  <w:pPr>
                    <w:pStyle w:val="71"/>
                    <w:widowControl/>
                    <w:spacing w:line="240" w:lineRule="auto"/>
                    <w:ind w:firstLine="0" w:firstLineChars="0"/>
                    <w:jc w:val="left"/>
                    <w:rPr>
                      <w:rFonts w:eastAsia="宋体"/>
                      <w:sz w:val="18"/>
                      <w:szCs w:val="18"/>
                    </w:rPr>
                  </w:pPr>
                  <w:r>
                    <w:rPr>
                      <w:rFonts w:hint="eastAsia" w:eastAsia="宋体"/>
                      <w:sz w:val="18"/>
                      <w:szCs w:val="18"/>
                    </w:rPr>
                    <w:t>企业环境风险防控要求</w:t>
                  </w:r>
                </w:p>
                <w:p w14:paraId="6989722D">
                  <w:pPr>
                    <w:pStyle w:val="71"/>
                    <w:widowControl/>
                    <w:spacing w:line="240" w:lineRule="auto"/>
                    <w:ind w:firstLine="0" w:firstLineChars="0"/>
                    <w:jc w:val="left"/>
                    <w:rPr>
                      <w:rFonts w:eastAsia="宋体"/>
                      <w:sz w:val="18"/>
                      <w:szCs w:val="18"/>
                    </w:rPr>
                  </w:pPr>
                  <w:r>
                    <w:rPr>
                      <w:rFonts w:hint="eastAsia" w:eastAsia="宋体"/>
                      <w:sz w:val="18"/>
                      <w:szCs w:val="18"/>
                    </w:rPr>
                    <w:t>风险源与环境敏感区保持合理的空间距离，要求各企业原辅料贮运及生产过程中不得构成《危险化学品重大危险源辨识》中一、二级重大危险源，杜绝危化品泄漏、事故排放等。执行达州市工业重点管控单元总体要求</w:t>
                  </w:r>
                </w:p>
                <w:p w14:paraId="58EE216E">
                  <w:pPr>
                    <w:pStyle w:val="71"/>
                    <w:widowControl/>
                    <w:spacing w:line="240" w:lineRule="auto"/>
                    <w:ind w:firstLine="0" w:firstLineChars="0"/>
                    <w:jc w:val="left"/>
                    <w:rPr>
                      <w:rFonts w:eastAsia="宋体"/>
                      <w:sz w:val="18"/>
                      <w:szCs w:val="18"/>
                    </w:rPr>
                  </w:pPr>
                  <w:r>
                    <w:rPr>
                      <w:rFonts w:hint="eastAsia" w:eastAsia="宋体"/>
                      <w:sz w:val="18"/>
                      <w:szCs w:val="18"/>
                    </w:rPr>
                    <w:t>其他环境风险防控要求</w:t>
                  </w:r>
                </w:p>
              </w:tc>
              <w:tc>
                <w:tcPr>
                  <w:tcW w:w="436" w:type="pct"/>
                  <w:vAlign w:val="center"/>
                </w:tcPr>
                <w:p w14:paraId="4285672E">
                  <w:pPr>
                    <w:pStyle w:val="71"/>
                    <w:widowControl/>
                    <w:spacing w:line="240" w:lineRule="auto"/>
                    <w:ind w:firstLine="0" w:firstLineChars="0"/>
                    <w:rPr>
                      <w:rFonts w:eastAsia="宋体"/>
                      <w:sz w:val="18"/>
                      <w:szCs w:val="18"/>
                    </w:rPr>
                  </w:pPr>
                  <w:r>
                    <w:rPr>
                      <w:rFonts w:hint="eastAsia" w:eastAsia="宋体"/>
                      <w:sz w:val="18"/>
                      <w:szCs w:val="18"/>
                    </w:rPr>
                    <w:t>项目不涉及危险化学品，在落实本次评价提出的风险防范措施后，环境风险可控。</w:t>
                  </w:r>
                </w:p>
              </w:tc>
              <w:tc>
                <w:tcPr>
                  <w:tcW w:w="234" w:type="pct"/>
                  <w:vAlign w:val="center"/>
                </w:tcPr>
                <w:p w14:paraId="12D430F9">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符合</w:t>
                  </w:r>
                </w:p>
              </w:tc>
            </w:tr>
            <w:tr w14:paraId="253FD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4" w:type="pct"/>
                  <w:vMerge w:val="continue"/>
                  <w:vAlign w:val="center"/>
                </w:tcPr>
                <w:p w14:paraId="278438C2">
                  <w:pPr>
                    <w:pStyle w:val="71"/>
                    <w:widowControl/>
                    <w:spacing w:line="240" w:lineRule="auto"/>
                    <w:ind w:firstLine="0" w:firstLineChars="0"/>
                    <w:jc w:val="left"/>
                    <w:rPr>
                      <w:rFonts w:eastAsia="宋体"/>
                      <w:color w:val="000000"/>
                      <w:sz w:val="18"/>
                      <w:szCs w:val="18"/>
                    </w:rPr>
                  </w:pPr>
                </w:p>
              </w:tc>
              <w:tc>
                <w:tcPr>
                  <w:tcW w:w="318" w:type="pct"/>
                  <w:vMerge w:val="continue"/>
                  <w:vAlign w:val="center"/>
                </w:tcPr>
                <w:p w14:paraId="1682376E">
                  <w:pPr>
                    <w:pStyle w:val="71"/>
                    <w:widowControl/>
                    <w:spacing w:line="240" w:lineRule="auto"/>
                    <w:ind w:firstLine="0" w:firstLineChars="0"/>
                    <w:jc w:val="left"/>
                    <w:rPr>
                      <w:rFonts w:eastAsia="宋体"/>
                      <w:color w:val="000000"/>
                      <w:sz w:val="18"/>
                      <w:szCs w:val="18"/>
                    </w:rPr>
                  </w:pPr>
                </w:p>
              </w:tc>
              <w:tc>
                <w:tcPr>
                  <w:tcW w:w="2104" w:type="pct"/>
                  <w:vMerge w:val="continue"/>
                  <w:vAlign w:val="center"/>
                </w:tcPr>
                <w:p w14:paraId="1C953F58">
                  <w:pPr>
                    <w:pStyle w:val="71"/>
                    <w:spacing w:line="240" w:lineRule="auto"/>
                    <w:ind w:firstLine="0" w:firstLineChars="0"/>
                    <w:rPr>
                      <w:rFonts w:eastAsia="宋体"/>
                      <w:kern w:val="0"/>
                      <w:sz w:val="18"/>
                      <w:szCs w:val="18"/>
                    </w:rPr>
                  </w:pPr>
                </w:p>
              </w:tc>
              <w:tc>
                <w:tcPr>
                  <w:tcW w:w="337" w:type="pct"/>
                  <w:vAlign w:val="center"/>
                </w:tcPr>
                <w:p w14:paraId="24ABD848">
                  <w:pPr>
                    <w:pStyle w:val="71"/>
                    <w:widowControl/>
                    <w:spacing w:line="240" w:lineRule="auto"/>
                    <w:ind w:firstLine="0" w:firstLineChars="0"/>
                    <w:jc w:val="left"/>
                    <w:rPr>
                      <w:rFonts w:eastAsia="宋体"/>
                      <w:sz w:val="18"/>
                      <w:szCs w:val="18"/>
                    </w:rPr>
                  </w:pPr>
                  <w:r>
                    <w:rPr>
                      <w:rFonts w:eastAsia="宋体"/>
                      <w:sz w:val="18"/>
                      <w:szCs w:val="18"/>
                    </w:rPr>
                    <w:t>资源开发效率要求</w:t>
                  </w:r>
                </w:p>
              </w:tc>
              <w:tc>
                <w:tcPr>
                  <w:tcW w:w="1157" w:type="pct"/>
                  <w:vAlign w:val="center"/>
                </w:tcPr>
                <w:p w14:paraId="6F94F64E">
                  <w:pPr>
                    <w:pStyle w:val="71"/>
                    <w:widowControl/>
                    <w:spacing w:line="240" w:lineRule="auto"/>
                    <w:ind w:firstLine="0" w:firstLineChars="0"/>
                    <w:jc w:val="left"/>
                    <w:rPr>
                      <w:rFonts w:eastAsia="宋体"/>
                      <w:sz w:val="18"/>
                      <w:szCs w:val="18"/>
                    </w:rPr>
                  </w:pPr>
                  <w:r>
                    <w:rPr>
                      <w:rFonts w:hint="eastAsia" w:eastAsia="宋体"/>
                      <w:sz w:val="18"/>
                      <w:szCs w:val="18"/>
                    </w:rPr>
                    <w:t>水资源利用效率要求</w:t>
                  </w:r>
                </w:p>
                <w:p w14:paraId="40B9F85C">
                  <w:pPr>
                    <w:pStyle w:val="71"/>
                    <w:widowControl/>
                    <w:spacing w:line="240" w:lineRule="auto"/>
                    <w:ind w:firstLine="0" w:firstLineChars="0"/>
                    <w:jc w:val="left"/>
                    <w:rPr>
                      <w:rFonts w:eastAsia="宋体"/>
                      <w:sz w:val="18"/>
                      <w:szCs w:val="18"/>
                    </w:rPr>
                  </w:pPr>
                  <w:r>
                    <w:rPr>
                      <w:rFonts w:hint="eastAsia" w:eastAsia="宋体"/>
                      <w:sz w:val="18"/>
                      <w:szCs w:val="18"/>
                    </w:rPr>
                    <w:t>执行达州市工业重点管控单元总体要求</w:t>
                  </w:r>
                </w:p>
                <w:p w14:paraId="3979BC29">
                  <w:pPr>
                    <w:pStyle w:val="71"/>
                    <w:widowControl/>
                    <w:spacing w:line="240" w:lineRule="auto"/>
                    <w:ind w:firstLine="0" w:firstLineChars="0"/>
                    <w:jc w:val="left"/>
                    <w:rPr>
                      <w:rFonts w:eastAsia="宋体"/>
                      <w:sz w:val="18"/>
                      <w:szCs w:val="18"/>
                    </w:rPr>
                  </w:pPr>
                  <w:r>
                    <w:rPr>
                      <w:rFonts w:hint="eastAsia" w:eastAsia="宋体"/>
                      <w:sz w:val="18"/>
                      <w:szCs w:val="18"/>
                    </w:rPr>
                    <w:t>地下水开采要求</w:t>
                  </w:r>
                </w:p>
                <w:p w14:paraId="0E344977">
                  <w:pPr>
                    <w:pStyle w:val="71"/>
                    <w:widowControl/>
                    <w:spacing w:line="240" w:lineRule="auto"/>
                    <w:ind w:firstLine="0" w:firstLineChars="0"/>
                    <w:jc w:val="left"/>
                    <w:rPr>
                      <w:rFonts w:eastAsia="宋体"/>
                      <w:sz w:val="18"/>
                      <w:szCs w:val="18"/>
                    </w:rPr>
                  </w:pPr>
                  <w:r>
                    <w:rPr>
                      <w:rFonts w:hint="eastAsia" w:eastAsia="宋体"/>
                      <w:sz w:val="18"/>
                      <w:szCs w:val="18"/>
                    </w:rPr>
                    <w:t>执行达州市工业重点管控单元总体要求</w:t>
                  </w:r>
                </w:p>
                <w:p w14:paraId="06F3022C">
                  <w:pPr>
                    <w:pStyle w:val="71"/>
                    <w:widowControl/>
                    <w:spacing w:line="240" w:lineRule="auto"/>
                    <w:ind w:firstLine="0" w:firstLineChars="0"/>
                    <w:jc w:val="left"/>
                    <w:rPr>
                      <w:rFonts w:eastAsia="宋体"/>
                      <w:sz w:val="18"/>
                      <w:szCs w:val="18"/>
                    </w:rPr>
                  </w:pPr>
                  <w:r>
                    <w:rPr>
                      <w:rFonts w:hint="eastAsia" w:eastAsia="宋体"/>
                      <w:sz w:val="18"/>
                      <w:szCs w:val="18"/>
                    </w:rPr>
                    <w:t>能源利用效率要求</w:t>
                  </w:r>
                </w:p>
                <w:p w14:paraId="33A6FE58">
                  <w:pPr>
                    <w:pStyle w:val="71"/>
                    <w:widowControl/>
                    <w:spacing w:line="240" w:lineRule="auto"/>
                    <w:ind w:firstLine="0" w:firstLineChars="0"/>
                    <w:jc w:val="left"/>
                    <w:rPr>
                      <w:rFonts w:eastAsia="宋体"/>
                      <w:sz w:val="18"/>
                      <w:szCs w:val="18"/>
                    </w:rPr>
                  </w:pPr>
                  <w:r>
                    <w:rPr>
                      <w:rFonts w:hint="eastAsia" w:eastAsia="宋体"/>
                      <w:sz w:val="18"/>
                      <w:szCs w:val="18"/>
                    </w:rPr>
                    <w:t>执行达州市工业重点管控单元总体要求</w:t>
                  </w:r>
                </w:p>
                <w:p w14:paraId="28783DD4">
                  <w:pPr>
                    <w:pStyle w:val="71"/>
                    <w:widowControl/>
                    <w:spacing w:line="240" w:lineRule="auto"/>
                    <w:ind w:firstLine="0" w:firstLineChars="0"/>
                    <w:jc w:val="left"/>
                    <w:rPr>
                      <w:rFonts w:eastAsia="宋体"/>
                      <w:sz w:val="18"/>
                      <w:szCs w:val="18"/>
                    </w:rPr>
                  </w:pPr>
                  <w:r>
                    <w:rPr>
                      <w:rFonts w:hint="eastAsia" w:eastAsia="宋体"/>
                      <w:sz w:val="18"/>
                      <w:szCs w:val="18"/>
                    </w:rPr>
                    <w:t>其他资源利用效率要求</w:t>
                  </w:r>
                </w:p>
                <w:p w14:paraId="27E8A8E9">
                  <w:pPr>
                    <w:pStyle w:val="71"/>
                    <w:widowControl/>
                    <w:spacing w:line="240" w:lineRule="auto"/>
                    <w:ind w:firstLine="0" w:firstLineChars="0"/>
                    <w:jc w:val="left"/>
                    <w:rPr>
                      <w:rFonts w:eastAsia="宋体"/>
                      <w:sz w:val="18"/>
                      <w:szCs w:val="18"/>
                    </w:rPr>
                  </w:pPr>
                  <w:r>
                    <w:rPr>
                      <w:rFonts w:hint="eastAsia" w:eastAsia="宋体"/>
                      <w:sz w:val="18"/>
                      <w:szCs w:val="18"/>
                    </w:rPr>
                    <w:t>禁燃区要求：同达州市工业重点总体准入要求</w:t>
                  </w:r>
                </w:p>
              </w:tc>
              <w:tc>
                <w:tcPr>
                  <w:tcW w:w="436" w:type="pct"/>
                  <w:vAlign w:val="center"/>
                </w:tcPr>
                <w:p w14:paraId="23A4C3A5">
                  <w:pPr>
                    <w:pStyle w:val="71"/>
                    <w:widowControl/>
                    <w:spacing w:line="240" w:lineRule="auto"/>
                    <w:ind w:firstLine="0" w:firstLineChars="0"/>
                    <w:rPr>
                      <w:rFonts w:eastAsia="宋体"/>
                      <w:sz w:val="18"/>
                      <w:szCs w:val="18"/>
                    </w:rPr>
                  </w:pPr>
                  <w:r>
                    <w:rPr>
                      <w:rFonts w:hint="eastAsia" w:eastAsia="宋体"/>
                      <w:sz w:val="18"/>
                      <w:szCs w:val="18"/>
                    </w:rPr>
                    <w:t>项目耗水量较小，满足《四川省省级生态工业园区指标》相关要求；项目使用电能为蒸汽发生器提供能源，不使用煤炭、石油焦、油页岩等高污染燃料。</w:t>
                  </w:r>
                </w:p>
              </w:tc>
              <w:tc>
                <w:tcPr>
                  <w:tcW w:w="234" w:type="pct"/>
                  <w:vAlign w:val="center"/>
                </w:tcPr>
                <w:p w14:paraId="02F251FC">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符合</w:t>
                  </w:r>
                </w:p>
              </w:tc>
            </w:tr>
            <w:tr w14:paraId="03291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4" w:type="pct"/>
                  <w:vMerge w:val="restart"/>
                  <w:vAlign w:val="center"/>
                </w:tcPr>
                <w:p w14:paraId="30921DC0">
                  <w:pPr>
                    <w:pStyle w:val="71"/>
                    <w:widowControl/>
                    <w:spacing w:line="240" w:lineRule="auto"/>
                    <w:ind w:firstLine="0" w:firstLineChars="0"/>
                    <w:jc w:val="center"/>
                    <w:rPr>
                      <w:rFonts w:eastAsia="宋体"/>
                      <w:color w:val="000000"/>
                      <w:sz w:val="18"/>
                      <w:szCs w:val="18"/>
                    </w:rPr>
                  </w:pPr>
                  <w:r>
                    <w:rPr>
                      <w:rFonts w:eastAsia="宋体"/>
                      <w:color w:val="000000"/>
                      <w:sz w:val="18"/>
                      <w:szCs w:val="18"/>
                    </w:rPr>
                    <w:t>YS51170</w:t>
                  </w:r>
                </w:p>
                <w:p w14:paraId="1D2D221A">
                  <w:pPr>
                    <w:pStyle w:val="71"/>
                    <w:widowControl/>
                    <w:spacing w:line="240" w:lineRule="auto"/>
                    <w:ind w:firstLine="0" w:firstLineChars="0"/>
                    <w:jc w:val="center"/>
                    <w:rPr>
                      <w:rFonts w:eastAsia="宋体"/>
                      <w:color w:val="000000"/>
                      <w:sz w:val="18"/>
                      <w:szCs w:val="18"/>
                    </w:rPr>
                  </w:pPr>
                  <w:r>
                    <w:rPr>
                      <w:rFonts w:eastAsia="宋体"/>
                      <w:color w:val="000000"/>
                      <w:sz w:val="18"/>
                      <w:szCs w:val="18"/>
                    </w:rPr>
                    <w:t>22210001</w:t>
                  </w:r>
                </w:p>
              </w:tc>
              <w:tc>
                <w:tcPr>
                  <w:tcW w:w="318" w:type="pct"/>
                  <w:vMerge w:val="restart"/>
                  <w:vAlign w:val="center"/>
                </w:tcPr>
                <w:p w14:paraId="6781F564">
                  <w:pPr>
                    <w:pStyle w:val="71"/>
                    <w:widowControl/>
                    <w:spacing w:line="240" w:lineRule="auto"/>
                    <w:ind w:firstLine="0" w:firstLineChars="0"/>
                    <w:jc w:val="center"/>
                    <w:rPr>
                      <w:rFonts w:eastAsia="宋体"/>
                      <w:color w:val="000000"/>
                      <w:sz w:val="18"/>
                      <w:szCs w:val="18"/>
                    </w:rPr>
                  </w:pPr>
                  <w:r>
                    <w:rPr>
                      <w:rFonts w:hint="eastAsia" w:eastAsia="宋体"/>
                      <w:color w:val="000000"/>
                      <w:sz w:val="18"/>
                      <w:szCs w:val="18"/>
                    </w:rPr>
                    <w:t>州河-通川区-车家河-控制单元</w:t>
                  </w:r>
                </w:p>
              </w:tc>
              <w:tc>
                <w:tcPr>
                  <w:tcW w:w="2104" w:type="pct"/>
                  <w:vMerge w:val="restart"/>
                  <w:vAlign w:val="center"/>
                </w:tcPr>
                <w:p w14:paraId="7FAFF523">
                  <w:pPr>
                    <w:pStyle w:val="71"/>
                    <w:spacing w:line="240" w:lineRule="auto"/>
                    <w:ind w:firstLine="0" w:firstLineChars="0"/>
                    <w:rPr>
                      <w:rFonts w:eastAsia="宋体"/>
                      <w:b/>
                      <w:color w:val="000000"/>
                      <w:kern w:val="0"/>
                      <w:sz w:val="18"/>
                      <w:szCs w:val="18"/>
                    </w:rPr>
                  </w:pPr>
                  <w:r>
                    <w:rPr>
                      <w:rFonts w:eastAsia="宋体"/>
                      <w:b/>
                      <w:color w:val="000000"/>
                      <w:kern w:val="0"/>
                      <w:sz w:val="18"/>
                      <w:szCs w:val="18"/>
                    </w:rPr>
                    <w:t>空间布局约束：</w:t>
                  </w:r>
                </w:p>
                <w:p w14:paraId="1C5C2A91">
                  <w:pPr>
                    <w:pStyle w:val="71"/>
                    <w:spacing w:line="240" w:lineRule="auto"/>
                    <w:ind w:firstLine="0" w:firstLineChars="0"/>
                    <w:rPr>
                      <w:rFonts w:eastAsia="宋体"/>
                      <w:color w:val="000000"/>
                      <w:kern w:val="0"/>
                      <w:sz w:val="18"/>
                      <w:szCs w:val="18"/>
                    </w:rPr>
                  </w:pPr>
                  <w:r>
                    <w:rPr>
                      <w:rFonts w:eastAsia="宋体"/>
                      <w:color w:val="000000"/>
                      <w:kern w:val="0"/>
                      <w:sz w:val="18"/>
                      <w:szCs w:val="18"/>
                    </w:rPr>
                    <w:t>禁止开发建设活动的要求</w:t>
                  </w:r>
                  <w:r>
                    <w:rPr>
                      <w:rFonts w:hint="eastAsia" w:eastAsia="宋体"/>
                      <w:color w:val="000000"/>
                      <w:kern w:val="0"/>
                      <w:sz w:val="18"/>
                      <w:szCs w:val="18"/>
                    </w:rPr>
                    <w:t xml:space="preserve"> </w:t>
                  </w:r>
                  <w:r>
                    <w:rPr>
                      <w:rFonts w:eastAsia="宋体"/>
                      <w:color w:val="000000"/>
                      <w:kern w:val="0"/>
                      <w:sz w:val="18"/>
                      <w:szCs w:val="18"/>
                    </w:rPr>
                    <w:t>暂无</w:t>
                  </w:r>
                </w:p>
                <w:p w14:paraId="16D9B10E">
                  <w:pPr>
                    <w:pStyle w:val="71"/>
                    <w:spacing w:line="240" w:lineRule="auto"/>
                    <w:ind w:firstLine="0" w:firstLineChars="0"/>
                    <w:rPr>
                      <w:rFonts w:eastAsia="宋体"/>
                      <w:color w:val="000000"/>
                      <w:kern w:val="0"/>
                      <w:sz w:val="18"/>
                      <w:szCs w:val="18"/>
                    </w:rPr>
                  </w:pPr>
                  <w:r>
                    <w:rPr>
                      <w:rFonts w:eastAsia="宋体"/>
                      <w:color w:val="000000"/>
                      <w:kern w:val="0"/>
                      <w:sz w:val="18"/>
                      <w:szCs w:val="18"/>
                    </w:rPr>
                    <w:t>限制开发建设活动的要求</w:t>
                  </w:r>
                  <w:r>
                    <w:rPr>
                      <w:rFonts w:hint="eastAsia" w:eastAsia="宋体"/>
                      <w:color w:val="000000"/>
                      <w:kern w:val="0"/>
                      <w:sz w:val="18"/>
                      <w:szCs w:val="18"/>
                    </w:rPr>
                    <w:t xml:space="preserve"> </w:t>
                  </w:r>
                  <w:r>
                    <w:rPr>
                      <w:rFonts w:eastAsia="宋体"/>
                      <w:color w:val="000000"/>
                      <w:kern w:val="0"/>
                      <w:sz w:val="18"/>
                      <w:szCs w:val="18"/>
                    </w:rPr>
                    <w:t>暂无</w:t>
                  </w:r>
                </w:p>
                <w:p w14:paraId="386A184A">
                  <w:pPr>
                    <w:pStyle w:val="71"/>
                    <w:spacing w:line="240" w:lineRule="auto"/>
                    <w:ind w:firstLine="0" w:firstLineChars="0"/>
                    <w:rPr>
                      <w:rFonts w:eastAsia="宋体"/>
                      <w:color w:val="000000"/>
                      <w:kern w:val="0"/>
                      <w:sz w:val="18"/>
                      <w:szCs w:val="18"/>
                    </w:rPr>
                  </w:pPr>
                  <w:r>
                    <w:rPr>
                      <w:rFonts w:eastAsia="宋体"/>
                      <w:color w:val="000000"/>
                      <w:kern w:val="0"/>
                      <w:sz w:val="18"/>
                      <w:szCs w:val="18"/>
                    </w:rPr>
                    <w:t>不符合空间布局要求活动的退出要求</w:t>
                  </w:r>
                  <w:r>
                    <w:rPr>
                      <w:rFonts w:hint="eastAsia" w:eastAsia="宋体"/>
                      <w:color w:val="000000"/>
                      <w:kern w:val="0"/>
                      <w:sz w:val="18"/>
                      <w:szCs w:val="18"/>
                    </w:rPr>
                    <w:t xml:space="preserve"> </w:t>
                  </w:r>
                  <w:r>
                    <w:rPr>
                      <w:rFonts w:eastAsia="宋体"/>
                      <w:color w:val="000000"/>
                      <w:kern w:val="0"/>
                      <w:sz w:val="18"/>
                      <w:szCs w:val="18"/>
                    </w:rPr>
                    <w:t>暂无</w:t>
                  </w:r>
                </w:p>
                <w:p w14:paraId="59329D2F">
                  <w:pPr>
                    <w:pStyle w:val="71"/>
                    <w:spacing w:line="240" w:lineRule="auto"/>
                    <w:ind w:firstLine="0" w:firstLineChars="0"/>
                    <w:rPr>
                      <w:rFonts w:eastAsia="宋体"/>
                      <w:color w:val="000000"/>
                      <w:kern w:val="0"/>
                      <w:sz w:val="18"/>
                      <w:szCs w:val="18"/>
                    </w:rPr>
                  </w:pPr>
                  <w:r>
                    <w:rPr>
                      <w:rFonts w:eastAsia="宋体"/>
                      <w:color w:val="000000"/>
                      <w:kern w:val="0"/>
                      <w:sz w:val="18"/>
                      <w:szCs w:val="18"/>
                    </w:rPr>
                    <w:t>其他空间布局约束要求</w:t>
                  </w:r>
                  <w:r>
                    <w:rPr>
                      <w:rFonts w:hint="eastAsia" w:eastAsia="宋体"/>
                      <w:color w:val="000000"/>
                      <w:kern w:val="0"/>
                      <w:sz w:val="18"/>
                      <w:szCs w:val="18"/>
                    </w:rPr>
                    <w:t xml:space="preserve"> </w:t>
                  </w:r>
                  <w:r>
                    <w:rPr>
                      <w:rFonts w:eastAsia="宋体"/>
                      <w:color w:val="000000"/>
                      <w:kern w:val="0"/>
                      <w:sz w:val="18"/>
                      <w:szCs w:val="18"/>
                    </w:rPr>
                    <w:t>暂无</w:t>
                  </w:r>
                </w:p>
                <w:p w14:paraId="05C4E6CD">
                  <w:pPr>
                    <w:pStyle w:val="71"/>
                    <w:spacing w:line="240" w:lineRule="auto"/>
                    <w:ind w:firstLine="0" w:firstLineChars="0"/>
                    <w:rPr>
                      <w:rFonts w:eastAsia="宋体"/>
                      <w:b/>
                      <w:color w:val="000000"/>
                      <w:kern w:val="0"/>
                      <w:sz w:val="18"/>
                      <w:szCs w:val="18"/>
                    </w:rPr>
                  </w:pPr>
                  <w:r>
                    <w:rPr>
                      <w:rFonts w:eastAsia="宋体"/>
                      <w:b/>
                      <w:color w:val="000000"/>
                      <w:kern w:val="0"/>
                      <w:sz w:val="18"/>
                      <w:szCs w:val="18"/>
                    </w:rPr>
                    <w:t>污染物排放管控：</w:t>
                  </w:r>
                </w:p>
                <w:p w14:paraId="6DD6E7F7">
                  <w:pPr>
                    <w:pStyle w:val="71"/>
                    <w:spacing w:line="240" w:lineRule="auto"/>
                    <w:ind w:firstLine="0" w:firstLineChars="0"/>
                    <w:rPr>
                      <w:rFonts w:eastAsia="宋体"/>
                      <w:color w:val="000000"/>
                      <w:kern w:val="0"/>
                      <w:sz w:val="18"/>
                      <w:szCs w:val="18"/>
                    </w:rPr>
                  </w:pPr>
                  <w:r>
                    <w:rPr>
                      <w:rFonts w:eastAsia="宋体"/>
                      <w:color w:val="000000"/>
                      <w:kern w:val="0"/>
                      <w:sz w:val="18"/>
                      <w:szCs w:val="18"/>
                    </w:rPr>
                    <w:t>允许排放量要求</w:t>
                  </w:r>
                  <w:r>
                    <w:rPr>
                      <w:rFonts w:hint="eastAsia" w:eastAsia="宋体"/>
                      <w:color w:val="000000"/>
                      <w:kern w:val="0"/>
                      <w:sz w:val="18"/>
                      <w:szCs w:val="18"/>
                    </w:rPr>
                    <w:t xml:space="preserve"> </w:t>
                  </w:r>
                  <w:r>
                    <w:rPr>
                      <w:rFonts w:eastAsia="宋体"/>
                      <w:color w:val="000000"/>
                      <w:kern w:val="0"/>
                      <w:sz w:val="18"/>
                      <w:szCs w:val="18"/>
                    </w:rPr>
                    <w:t>暂无</w:t>
                  </w:r>
                </w:p>
                <w:p w14:paraId="688DCFFC">
                  <w:pPr>
                    <w:pStyle w:val="71"/>
                    <w:spacing w:line="240" w:lineRule="auto"/>
                    <w:ind w:firstLine="0" w:firstLineChars="0"/>
                    <w:rPr>
                      <w:rFonts w:eastAsia="宋体"/>
                      <w:color w:val="000000"/>
                      <w:kern w:val="0"/>
                      <w:sz w:val="18"/>
                      <w:szCs w:val="18"/>
                    </w:rPr>
                  </w:pPr>
                  <w:r>
                    <w:rPr>
                      <w:rFonts w:eastAsia="宋体"/>
                      <w:color w:val="000000"/>
                      <w:kern w:val="0"/>
                      <w:sz w:val="18"/>
                      <w:szCs w:val="18"/>
                    </w:rPr>
                    <w:t>现有源提标升级改造</w:t>
                  </w:r>
                  <w:r>
                    <w:rPr>
                      <w:rFonts w:hint="eastAsia" w:eastAsia="宋体"/>
                      <w:color w:val="000000"/>
                      <w:kern w:val="0"/>
                      <w:sz w:val="18"/>
                      <w:szCs w:val="18"/>
                    </w:rPr>
                    <w:t xml:space="preserve"> </w:t>
                  </w:r>
                  <w:r>
                    <w:rPr>
                      <w:rFonts w:eastAsia="宋体"/>
                      <w:color w:val="000000"/>
                      <w:kern w:val="0"/>
                      <w:sz w:val="18"/>
                      <w:szCs w:val="18"/>
                    </w:rPr>
                    <w:t>暂无</w:t>
                  </w:r>
                </w:p>
                <w:p w14:paraId="2370EE0F">
                  <w:pPr>
                    <w:pStyle w:val="71"/>
                    <w:spacing w:line="240" w:lineRule="auto"/>
                    <w:ind w:firstLine="0" w:firstLineChars="0"/>
                    <w:rPr>
                      <w:rFonts w:eastAsia="宋体"/>
                      <w:color w:val="000000"/>
                      <w:kern w:val="0"/>
                      <w:sz w:val="18"/>
                      <w:szCs w:val="18"/>
                    </w:rPr>
                  </w:pPr>
                  <w:r>
                    <w:rPr>
                      <w:rFonts w:eastAsia="宋体"/>
                      <w:color w:val="000000"/>
                      <w:kern w:val="0"/>
                      <w:sz w:val="18"/>
                      <w:szCs w:val="18"/>
                    </w:rPr>
                    <w:t>其他污染物排放管控要求</w:t>
                  </w:r>
                  <w:r>
                    <w:rPr>
                      <w:rFonts w:hint="eastAsia" w:eastAsia="宋体"/>
                      <w:color w:val="000000"/>
                      <w:kern w:val="0"/>
                      <w:sz w:val="18"/>
                      <w:szCs w:val="18"/>
                    </w:rPr>
                    <w:t xml:space="preserve"> </w:t>
                  </w:r>
                  <w:r>
                    <w:rPr>
                      <w:rFonts w:eastAsia="宋体"/>
                      <w:color w:val="000000"/>
                      <w:kern w:val="0"/>
                      <w:sz w:val="18"/>
                      <w:szCs w:val="18"/>
                    </w:rPr>
                    <w:t>暂无</w:t>
                  </w:r>
                </w:p>
                <w:p w14:paraId="3E69846D">
                  <w:pPr>
                    <w:pStyle w:val="71"/>
                    <w:spacing w:line="240" w:lineRule="auto"/>
                    <w:ind w:firstLine="0" w:firstLineChars="0"/>
                    <w:rPr>
                      <w:rFonts w:eastAsia="宋体"/>
                      <w:b/>
                      <w:color w:val="000000"/>
                      <w:kern w:val="0"/>
                      <w:sz w:val="18"/>
                      <w:szCs w:val="18"/>
                    </w:rPr>
                  </w:pPr>
                  <w:r>
                    <w:rPr>
                      <w:rFonts w:eastAsia="宋体"/>
                      <w:b/>
                      <w:color w:val="000000"/>
                      <w:kern w:val="0"/>
                      <w:sz w:val="18"/>
                      <w:szCs w:val="18"/>
                    </w:rPr>
                    <w:t>环境风险防控：</w:t>
                  </w:r>
                </w:p>
                <w:p w14:paraId="710A0E4E">
                  <w:pPr>
                    <w:pStyle w:val="71"/>
                    <w:spacing w:line="240" w:lineRule="auto"/>
                    <w:ind w:firstLine="0" w:firstLineChars="0"/>
                    <w:rPr>
                      <w:rFonts w:eastAsia="宋体"/>
                      <w:color w:val="000000"/>
                      <w:kern w:val="0"/>
                      <w:sz w:val="18"/>
                      <w:szCs w:val="18"/>
                    </w:rPr>
                  </w:pPr>
                  <w:r>
                    <w:rPr>
                      <w:rFonts w:eastAsia="宋体"/>
                      <w:color w:val="000000"/>
                      <w:kern w:val="0"/>
                      <w:sz w:val="18"/>
                      <w:szCs w:val="18"/>
                    </w:rPr>
                    <w:t>联防联控要求</w:t>
                  </w:r>
                  <w:r>
                    <w:rPr>
                      <w:rFonts w:hint="eastAsia" w:eastAsia="宋体"/>
                      <w:color w:val="000000"/>
                      <w:kern w:val="0"/>
                      <w:sz w:val="18"/>
                      <w:szCs w:val="18"/>
                    </w:rPr>
                    <w:t xml:space="preserve"> </w:t>
                  </w:r>
                  <w:r>
                    <w:rPr>
                      <w:rFonts w:eastAsia="宋体"/>
                      <w:color w:val="000000"/>
                      <w:kern w:val="0"/>
                      <w:sz w:val="18"/>
                      <w:szCs w:val="18"/>
                    </w:rPr>
                    <w:t>暂无</w:t>
                  </w:r>
                </w:p>
                <w:p w14:paraId="29D3B5D5">
                  <w:pPr>
                    <w:pStyle w:val="71"/>
                    <w:spacing w:line="240" w:lineRule="auto"/>
                    <w:ind w:firstLine="0" w:firstLineChars="0"/>
                    <w:rPr>
                      <w:rFonts w:eastAsia="宋体"/>
                      <w:color w:val="000000"/>
                      <w:kern w:val="0"/>
                      <w:sz w:val="18"/>
                      <w:szCs w:val="18"/>
                    </w:rPr>
                  </w:pPr>
                  <w:r>
                    <w:rPr>
                      <w:rFonts w:eastAsia="宋体"/>
                      <w:color w:val="000000"/>
                      <w:kern w:val="0"/>
                      <w:sz w:val="18"/>
                      <w:szCs w:val="18"/>
                    </w:rPr>
                    <w:t>其他环境风险防控要求</w:t>
                  </w:r>
                  <w:r>
                    <w:rPr>
                      <w:rFonts w:hint="eastAsia" w:eastAsia="宋体"/>
                      <w:color w:val="000000"/>
                      <w:kern w:val="0"/>
                      <w:sz w:val="18"/>
                      <w:szCs w:val="18"/>
                    </w:rPr>
                    <w:t xml:space="preserve"> </w:t>
                  </w:r>
                  <w:r>
                    <w:rPr>
                      <w:rFonts w:eastAsia="宋体"/>
                      <w:color w:val="000000"/>
                      <w:kern w:val="0"/>
                      <w:sz w:val="18"/>
                      <w:szCs w:val="18"/>
                    </w:rPr>
                    <w:t>暂无</w:t>
                  </w:r>
                </w:p>
                <w:p w14:paraId="39F36AA5">
                  <w:pPr>
                    <w:pStyle w:val="71"/>
                    <w:spacing w:line="240" w:lineRule="auto"/>
                    <w:ind w:firstLine="0" w:firstLineChars="0"/>
                    <w:rPr>
                      <w:rFonts w:eastAsia="宋体"/>
                      <w:color w:val="000000"/>
                      <w:kern w:val="0"/>
                      <w:sz w:val="18"/>
                      <w:szCs w:val="18"/>
                    </w:rPr>
                  </w:pPr>
                  <w:r>
                    <w:rPr>
                      <w:rFonts w:eastAsia="宋体"/>
                      <w:b/>
                      <w:color w:val="000000"/>
                      <w:kern w:val="0"/>
                      <w:sz w:val="18"/>
                      <w:szCs w:val="18"/>
                    </w:rPr>
                    <w:t>资源开发利用效率要求</w:t>
                  </w:r>
                  <w:r>
                    <w:rPr>
                      <w:rFonts w:eastAsia="宋体"/>
                      <w:color w:val="000000"/>
                      <w:kern w:val="0"/>
                      <w:sz w:val="18"/>
                      <w:szCs w:val="18"/>
                    </w:rPr>
                    <w:t>：</w:t>
                  </w:r>
                </w:p>
                <w:p w14:paraId="4A4F139B">
                  <w:pPr>
                    <w:pStyle w:val="71"/>
                    <w:spacing w:line="240" w:lineRule="auto"/>
                    <w:ind w:firstLine="0" w:firstLineChars="0"/>
                    <w:rPr>
                      <w:rFonts w:eastAsia="宋体"/>
                      <w:color w:val="000000"/>
                      <w:kern w:val="0"/>
                      <w:sz w:val="18"/>
                      <w:szCs w:val="18"/>
                    </w:rPr>
                  </w:pPr>
                  <w:r>
                    <w:rPr>
                      <w:rFonts w:eastAsia="宋体"/>
                      <w:color w:val="000000"/>
                      <w:kern w:val="0"/>
                      <w:sz w:val="18"/>
                      <w:szCs w:val="18"/>
                    </w:rPr>
                    <w:t>水资源利用总量要求</w:t>
                  </w:r>
                  <w:r>
                    <w:rPr>
                      <w:rFonts w:hint="eastAsia" w:eastAsia="宋体"/>
                      <w:color w:val="000000"/>
                      <w:kern w:val="0"/>
                      <w:sz w:val="18"/>
                      <w:szCs w:val="18"/>
                    </w:rPr>
                    <w:t xml:space="preserve"> </w:t>
                  </w:r>
                  <w:r>
                    <w:rPr>
                      <w:rFonts w:eastAsia="宋体"/>
                      <w:color w:val="000000"/>
                      <w:kern w:val="0"/>
                      <w:sz w:val="18"/>
                      <w:szCs w:val="18"/>
                    </w:rPr>
                    <w:t>暂无</w:t>
                  </w:r>
                </w:p>
                <w:p w14:paraId="56B00F14">
                  <w:pPr>
                    <w:pStyle w:val="71"/>
                    <w:spacing w:line="240" w:lineRule="auto"/>
                    <w:ind w:firstLine="0" w:firstLineChars="0"/>
                    <w:rPr>
                      <w:rFonts w:eastAsia="宋体"/>
                      <w:color w:val="000000"/>
                      <w:kern w:val="0"/>
                      <w:sz w:val="18"/>
                      <w:szCs w:val="18"/>
                    </w:rPr>
                  </w:pPr>
                  <w:r>
                    <w:rPr>
                      <w:rFonts w:eastAsia="宋体"/>
                      <w:color w:val="000000"/>
                      <w:kern w:val="0"/>
                      <w:sz w:val="18"/>
                      <w:szCs w:val="18"/>
                    </w:rPr>
                    <w:t>地下水开采要求</w:t>
                  </w:r>
                  <w:r>
                    <w:rPr>
                      <w:rFonts w:hint="eastAsia" w:eastAsia="宋体"/>
                      <w:color w:val="000000"/>
                      <w:kern w:val="0"/>
                      <w:sz w:val="18"/>
                      <w:szCs w:val="18"/>
                    </w:rPr>
                    <w:t xml:space="preserve"> </w:t>
                  </w:r>
                  <w:r>
                    <w:rPr>
                      <w:rFonts w:eastAsia="宋体"/>
                      <w:color w:val="000000"/>
                      <w:kern w:val="0"/>
                      <w:sz w:val="18"/>
                      <w:szCs w:val="18"/>
                    </w:rPr>
                    <w:t>暂无</w:t>
                  </w:r>
                </w:p>
                <w:p w14:paraId="3B3F5014">
                  <w:pPr>
                    <w:pStyle w:val="71"/>
                    <w:spacing w:line="240" w:lineRule="auto"/>
                    <w:ind w:firstLine="0" w:firstLineChars="0"/>
                    <w:rPr>
                      <w:rFonts w:eastAsia="宋体"/>
                      <w:color w:val="000000"/>
                      <w:kern w:val="0"/>
                      <w:sz w:val="18"/>
                      <w:szCs w:val="18"/>
                    </w:rPr>
                  </w:pPr>
                  <w:r>
                    <w:rPr>
                      <w:rFonts w:eastAsia="宋体"/>
                      <w:color w:val="000000"/>
                      <w:kern w:val="0"/>
                      <w:sz w:val="18"/>
                      <w:szCs w:val="18"/>
                    </w:rPr>
                    <w:t>能源利用总量及效率要求</w:t>
                  </w:r>
                  <w:r>
                    <w:rPr>
                      <w:rFonts w:hint="eastAsia" w:eastAsia="宋体"/>
                      <w:color w:val="000000"/>
                      <w:kern w:val="0"/>
                      <w:sz w:val="18"/>
                      <w:szCs w:val="18"/>
                    </w:rPr>
                    <w:t xml:space="preserve"> </w:t>
                  </w:r>
                  <w:r>
                    <w:rPr>
                      <w:rFonts w:eastAsia="宋体"/>
                      <w:color w:val="000000"/>
                      <w:kern w:val="0"/>
                      <w:sz w:val="18"/>
                      <w:szCs w:val="18"/>
                    </w:rPr>
                    <w:t>暂无</w:t>
                  </w:r>
                </w:p>
                <w:p w14:paraId="06EFD2A1">
                  <w:pPr>
                    <w:pStyle w:val="71"/>
                    <w:spacing w:line="240" w:lineRule="auto"/>
                    <w:ind w:firstLine="0" w:firstLineChars="0"/>
                    <w:rPr>
                      <w:rFonts w:eastAsia="宋体"/>
                      <w:color w:val="000000"/>
                      <w:kern w:val="0"/>
                      <w:sz w:val="18"/>
                      <w:szCs w:val="18"/>
                    </w:rPr>
                  </w:pPr>
                  <w:r>
                    <w:rPr>
                      <w:rFonts w:eastAsia="宋体"/>
                      <w:color w:val="000000"/>
                      <w:kern w:val="0"/>
                      <w:sz w:val="18"/>
                      <w:szCs w:val="18"/>
                    </w:rPr>
                    <w:t>禁燃区要求</w:t>
                  </w:r>
                  <w:r>
                    <w:rPr>
                      <w:rFonts w:hint="eastAsia" w:eastAsia="宋体"/>
                      <w:color w:val="000000"/>
                      <w:kern w:val="0"/>
                      <w:sz w:val="18"/>
                      <w:szCs w:val="18"/>
                    </w:rPr>
                    <w:t xml:space="preserve"> </w:t>
                  </w:r>
                  <w:r>
                    <w:rPr>
                      <w:rFonts w:eastAsia="宋体"/>
                      <w:color w:val="000000"/>
                      <w:kern w:val="0"/>
                      <w:sz w:val="18"/>
                      <w:szCs w:val="18"/>
                    </w:rPr>
                    <w:t>暂无</w:t>
                  </w:r>
                </w:p>
                <w:p w14:paraId="39702947">
                  <w:pPr>
                    <w:pStyle w:val="71"/>
                    <w:spacing w:line="240" w:lineRule="auto"/>
                    <w:ind w:firstLine="0" w:firstLineChars="0"/>
                    <w:rPr>
                      <w:rFonts w:eastAsia="宋体"/>
                      <w:color w:val="000000"/>
                      <w:kern w:val="0"/>
                      <w:sz w:val="18"/>
                      <w:szCs w:val="18"/>
                    </w:rPr>
                  </w:pPr>
                  <w:r>
                    <w:rPr>
                      <w:rFonts w:eastAsia="宋体"/>
                      <w:color w:val="000000"/>
                      <w:kern w:val="0"/>
                      <w:sz w:val="18"/>
                      <w:szCs w:val="18"/>
                    </w:rPr>
                    <w:t>其他资源利用效率要求</w:t>
                  </w:r>
                  <w:r>
                    <w:rPr>
                      <w:rFonts w:hint="eastAsia" w:eastAsia="宋体"/>
                      <w:color w:val="000000"/>
                      <w:kern w:val="0"/>
                      <w:sz w:val="18"/>
                      <w:szCs w:val="18"/>
                    </w:rPr>
                    <w:t xml:space="preserve"> </w:t>
                  </w:r>
                  <w:r>
                    <w:rPr>
                      <w:rFonts w:eastAsia="宋体"/>
                      <w:color w:val="000000"/>
                      <w:kern w:val="0"/>
                      <w:sz w:val="18"/>
                      <w:szCs w:val="18"/>
                    </w:rPr>
                    <w:t>暂无</w:t>
                  </w:r>
                </w:p>
              </w:tc>
              <w:tc>
                <w:tcPr>
                  <w:tcW w:w="337" w:type="pct"/>
                  <w:vAlign w:val="center"/>
                </w:tcPr>
                <w:p w14:paraId="1EEC6AE0">
                  <w:pPr>
                    <w:pStyle w:val="71"/>
                    <w:widowControl/>
                    <w:spacing w:line="240" w:lineRule="auto"/>
                    <w:ind w:firstLine="0" w:firstLineChars="0"/>
                    <w:jc w:val="left"/>
                    <w:rPr>
                      <w:rFonts w:eastAsia="宋体"/>
                      <w:color w:val="000000"/>
                      <w:sz w:val="18"/>
                      <w:szCs w:val="18"/>
                    </w:rPr>
                  </w:pPr>
                  <w:r>
                    <w:rPr>
                      <w:rFonts w:eastAsia="宋体"/>
                      <w:color w:val="000000"/>
                      <w:sz w:val="18"/>
                      <w:szCs w:val="18"/>
                    </w:rPr>
                    <w:t>空间布局约束</w:t>
                  </w:r>
                </w:p>
              </w:tc>
              <w:tc>
                <w:tcPr>
                  <w:tcW w:w="1157" w:type="pct"/>
                  <w:vAlign w:val="center"/>
                </w:tcPr>
                <w:p w14:paraId="6ECCE44C">
                  <w:pPr>
                    <w:pStyle w:val="71"/>
                    <w:widowControl/>
                    <w:spacing w:line="240" w:lineRule="auto"/>
                    <w:ind w:firstLine="0" w:firstLineChars="0"/>
                    <w:jc w:val="left"/>
                    <w:rPr>
                      <w:rFonts w:eastAsia="宋体"/>
                      <w:sz w:val="18"/>
                      <w:szCs w:val="18"/>
                    </w:rPr>
                  </w:pPr>
                  <w:r>
                    <w:rPr>
                      <w:rFonts w:hint="eastAsia" w:eastAsia="宋体"/>
                      <w:sz w:val="18"/>
                      <w:szCs w:val="18"/>
                    </w:rPr>
                    <w:t>禁止开发建设活动的要求</w:t>
                  </w:r>
                </w:p>
                <w:p w14:paraId="455F180B">
                  <w:pPr>
                    <w:pStyle w:val="71"/>
                    <w:widowControl/>
                    <w:spacing w:line="240" w:lineRule="auto"/>
                    <w:ind w:firstLine="0" w:firstLineChars="0"/>
                    <w:jc w:val="left"/>
                    <w:rPr>
                      <w:rFonts w:eastAsia="宋体"/>
                      <w:sz w:val="18"/>
                      <w:szCs w:val="18"/>
                    </w:rPr>
                  </w:pPr>
                  <w:r>
                    <w:rPr>
                      <w:rFonts w:hint="eastAsia" w:eastAsia="宋体"/>
                      <w:sz w:val="18"/>
                      <w:szCs w:val="18"/>
                    </w:rPr>
                    <w:t>限制开发建设活动的要求</w:t>
                  </w:r>
                </w:p>
                <w:p w14:paraId="6C2A2F24">
                  <w:pPr>
                    <w:pStyle w:val="71"/>
                    <w:widowControl/>
                    <w:spacing w:line="240" w:lineRule="auto"/>
                    <w:ind w:firstLine="0" w:firstLineChars="0"/>
                    <w:jc w:val="left"/>
                    <w:rPr>
                      <w:rFonts w:eastAsia="宋体"/>
                      <w:sz w:val="18"/>
                      <w:szCs w:val="18"/>
                    </w:rPr>
                  </w:pPr>
                  <w:r>
                    <w:rPr>
                      <w:rFonts w:hint="eastAsia" w:eastAsia="宋体"/>
                      <w:sz w:val="18"/>
                      <w:szCs w:val="18"/>
                    </w:rPr>
                    <w:t>允许开发建设活动的要求</w:t>
                  </w:r>
                </w:p>
                <w:p w14:paraId="295F6D6B">
                  <w:pPr>
                    <w:pStyle w:val="71"/>
                    <w:widowControl/>
                    <w:spacing w:line="240" w:lineRule="auto"/>
                    <w:ind w:firstLine="0" w:firstLineChars="0"/>
                    <w:jc w:val="left"/>
                    <w:rPr>
                      <w:rFonts w:eastAsia="宋体"/>
                      <w:sz w:val="18"/>
                      <w:szCs w:val="18"/>
                    </w:rPr>
                  </w:pPr>
                  <w:r>
                    <w:rPr>
                      <w:rFonts w:hint="eastAsia" w:eastAsia="宋体"/>
                      <w:sz w:val="18"/>
                      <w:szCs w:val="18"/>
                    </w:rPr>
                    <w:t>不符合空间布局要求活动的退出要求</w:t>
                  </w:r>
                </w:p>
                <w:p w14:paraId="4CF566BB">
                  <w:pPr>
                    <w:pStyle w:val="71"/>
                    <w:widowControl/>
                    <w:spacing w:line="240" w:lineRule="auto"/>
                    <w:ind w:firstLine="0" w:firstLineChars="0"/>
                    <w:jc w:val="left"/>
                    <w:rPr>
                      <w:rFonts w:eastAsia="宋体"/>
                      <w:sz w:val="18"/>
                      <w:szCs w:val="18"/>
                    </w:rPr>
                  </w:pPr>
                  <w:r>
                    <w:rPr>
                      <w:rFonts w:hint="eastAsia" w:eastAsia="宋体"/>
                      <w:sz w:val="18"/>
                      <w:szCs w:val="18"/>
                    </w:rPr>
                    <w:t>其他空间布局约束要求</w:t>
                  </w:r>
                </w:p>
              </w:tc>
              <w:tc>
                <w:tcPr>
                  <w:tcW w:w="436" w:type="pct"/>
                  <w:vAlign w:val="center"/>
                </w:tcPr>
                <w:p w14:paraId="7D72EAFF">
                  <w:pPr>
                    <w:pStyle w:val="71"/>
                    <w:widowControl/>
                    <w:spacing w:line="240" w:lineRule="auto"/>
                    <w:ind w:firstLine="0" w:firstLineChars="0"/>
                    <w:rPr>
                      <w:rFonts w:eastAsia="宋体"/>
                      <w:sz w:val="18"/>
                      <w:szCs w:val="18"/>
                    </w:rPr>
                  </w:pPr>
                  <w:r>
                    <w:rPr>
                      <w:rFonts w:hint="eastAsia" w:eastAsia="宋体"/>
                      <w:sz w:val="18"/>
                      <w:szCs w:val="18"/>
                    </w:rPr>
                    <w:t>/</w:t>
                  </w:r>
                </w:p>
              </w:tc>
              <w:tc>
                <w:tcPr>
                  <w:tcW w:w="234" w:type="pct"/>
                  <w:vAlign w:val="center"/>
                </w:tcPr>
                <w:p w14:paraId="3CAE3B63">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w:t>
                  </w:r>
                </w:p>
              </w:tc>
            </w:tr>
            <w:tr w14:paraId="65668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4" w:type="pct"/>
                  <w:vMerge w:val="continue"/>
                  <w:vAlign w:val="center"/>
                </w:tcPr>
                <w:p w14:paraId="5B5BD8D6">
                  <w:pPr>
                    <w:pStyle w:val="71"/>
                    <w:widowControl/>
                    <w:spacing w:line="240" w:lineRule="auto"/>
                    <w:ind w:firstLine="0" w:firstLineChars="0"/>
                    <w:jc w:val="left"/>
                    <w:rPr>
                      <w:rFonts w:eastAsia="宋体"/>
                      <w:color w:val="000000"/>
                      <w:sz w:val="18"/>
                      <w:szCs w:val="18"/>
                    </w:rPr>
                  </w:pPr>
                </w:p>
              </w:tc>
              <w:tc>
                <w:tcPr>
                  <w:tcW w:w="318" w:type="pct"/>
                  <w:vMerge w:val="continue"/>
                  <w:vAlign w:val="center"/>
                </w:tcPr>
                <w:p w14:paraId="6D9A6095">
                  <w:pPr>
                    <w:pStyle w:val="71"/>
                    <w:widowControl/>
                    <w:spacing w:line="240" w:lineRule="auto"/>
                    <w:ind w:firstLine="0" w:firstLineChars="0"/>
                    <w:jc w:val="left"/>
                    <w:rPr>
                      <w:rFonts w:eastAsia="宋体"/>
                      <w:color w:val="000000"/>
                      <w:sz w:val="18"/>
                      <w:szCs w:val="18"/>
                    </w:rPr>
                  </w:pPr>
                </w:p>
              </w:tc>
              <w:tc>
                <w:tcPr>
                  <w:tcW w:w="2104" w:type="pct"/>
                  <w:vMerge w:val="continue"/>
                  <w:vAlign w:val="center"/>
                </w:tcPr>
                <w:p w14:paraId="567838FA">
                  <w:pPr>
                    <w:pStyle w:val="71"/>
                    <w:spacing w:line="240" w:lineRule="auto"/>
                    <w:ind w:firstLine="0" w:firstLineChars="0"/>
                    <w:rPr>
                      <w:rFonts w:eastAsia="宋体"/>
                      <w:color w:val="000000"/>
                      <w:kern w:val="0"/>
                      <w:sz w:val="18"/>
                      <w:szCs w:val="18"/>
                    </w:rPr>
                  </w:pPr>
                </w:p>
              </w:tc>
              <w:tc>
                <w:tcPr>
                  <w:tcW w:w="337" w:type="pct"/>
                  <w:vAlign w:val="center"/>
                </w:tcPr>
                <w:p w14:paraId="5D2EAA9B">
                  <w:pPr>
                    <w:pStyle w:val="71"/>
                    <w:widowControl/>
                    <w:spacing w:line="240" w:lineRule="auto"/>
                    <w:ind w:firstLine="0" w:firstLineChars="0"/>
                    <w:jc w:val="center"/>
                    <w:rPr>
                      <w:rFonts w:eastAsia="宋体"/>
                      <w:color w:val="000000"/>
                      <w:sz w:val="18"/>
                      <w:szCs w:val="18"/>
                    </w:rPr>
                  </w:pPr>
                  <w:r>
                    <w:rPr>
                      <w:rFonts w:eastAsia="宋体"/>
                      <w:color w:val="000000"/>
                      <w:sz w:val="18"/>
                      <w:szCs w:val="18"/>
                    </w:rPr>
                    <w:t>污染物排放管控</w:t>
                  </w:r>
                </w:p>
              </w:tc>
              <w:tc>
                <w:tcPr>
                  <w:tcW w:w="1157" w:type="pct"/>
                  <w:vAlign w:val="center"/>
                </w:tcPr>
                <w:p w14:paraId="6253E9B4">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城镇污水污染控制措施要求</w:t>
                  </w:r>
                </w:p>
                <w:p w14:paraId="48397FB9">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工业废水污染控制措施要求</w:t>
                  </w:r>
                </w:p>
                <w:p w14:paraId="60E5B42C">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严格落实排污许可制度，持证排污，达标排放；强化工业企业储存危险化学品监管，完善储存防护设施；加快布局分散的企业向园区集中；推进工业园区“零直排区”建设，加强企业废水预处理和排水管理，严格执行污水处理厂接管标准。新建有色金属矿产采选禁止工矿废水排放；国有企业强化尾矿库、污水处理设施监管。</w:t>
                  </w:r>
                </w:p>
                <w:p w14:paraId="673DDF43">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农业面源水污染控制措施要求</w:t>
                  </w:r>
                </w:p>
                <w:p w14:paraId="4BAB0107">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船舶港口水污染控制措施要求</w:t>
                  </w:r>
                </w:p>
                <w:p w14:paraId="7A5354C3">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饮用水水源和其它特殊水体保护要求</w:t>
                  </w:r>
                </w:p>
              </w:tc>
              <w:tc>
                <w:tcPr>
                  <w:tcW w:w="436" w:type="pct"/>
                  <w:vAlign w:val="center"/>
                </w:tcPr>
                <w:p w14:paraId="69E7BA45">
                  <w:pPr>
                    <w:pStyle w:val="71"/>
                    <w:widowControl/>
                    <w:spacing w:line="240" w:lineRule="auto"/>
                    <w:ind w:firstLine="0" w:firstLineChars="0"/>
                    <w:rPr>
                      <w:rFonts w:eastAsia="宋体"/>
                      <w:color w:val="FF0000"/>
                      <w:sz w:val="18"/>
                      <w:szCs w:val="18"/>
                    </w:rPr>
                  </w:pPr>
                  <w:r>
                    <w:rPr>
                      <w:rFonts w:hint="eastAsia" w:eastAsia="宋体"/>
                      <w:sz w:val="18"/>
                      <w:szCs w:val="18"/>
                    </w:rPr>
                    <w:t>项目严格落实排污许可制度，持证排污，做到达标排放；项目位于工业园区，不涉及危险化学品；项目废水处理达标后经市政污水管网排入魏兴场镇污水处理厂处理。</w:t>
                  </w:r>
                </w:p>
              </w:tc>
              <w:tc>
                <w:tcPr>
                  <w:tcW w:w="234" w:type="pct"/>
                  <w:vAlign w:val="center"/>
                </w:tcPr>
                <w:p w14:paraId="79E1C59A">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符合</w:t>
                  </w:r>
                </w:p>
              </w:tc>
            </w:tr>
            <w:tr w14:paraId="141A1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4" w:type="pct"/>
                  <w:vMerge w:val="continue"/>
                  <w:vAlign w:val="center"/>
                </w:tcPr>
                <w:p w14:paraId="29FAC13F">
                  <w:pPr>
                    <w:pStyle w:val="71"/>
                    <w:widowControl/>
                    <w:spacing w:line="240" w:lineRule="auto"/>
                    <w:ind w:firstLine="0" w:firstLineChars="0"/>
                    <w:jc w:val="left"/>
                    <w:rPr>
                      <w:rFonts w:eastAsia="宋体"/>
                      <w:color w:val="000000"/>
                      <w:sz w:val="18"/>
                      <w:szCs w:val="18"/>
                    </w:rPr>
                  </w:pPr>
                </w:p>
              </w:tc>
              <w:tc>
                <w:tcPr>
                  <w:tcW w:w="318" w:type="pct"/>
                  <w:vMerge w:val="continue"/>
                  <w:vAlign w:val="center"/>
                </w:tcPr>
                <w:p w14:paraId="13D4512D">
                  <w:pPr>
                    <w:pStyle w:val="71"/>
                    <w:widowControl/>
                    <w:spacing w:line="240" w:lineRule="auto"/>
                    <w:ind w:firstLine="0" w:firstLineChars="0"/>
                    <w:jc w:val="left"/>
                    <w:rPr>
                      <w:rFonts w:eastAsia="宋体"/>
                      <w:color w:val="000000"/>
                      <w:sz w:val="18"/>
                      <w:szCs w:val="18"/>
                    </w:rPr>
                  </w:pPr>
                </w:p>
              </w:tc>
              <w:tc>
                <w:tcPr>
                  <w:tcW w:w="2104" w:type="pct"/>
                  <w:vMerge w:val="continue"/>
                  <w:vAlign w:val="center"/>
                </w:tcPr>
                <w:p w14:paraId="533AE32B">
                  <w:pPr>
                    <w:pStyle w:val="71"/>
                    <w:spacing w:line="240" w:lineRule="auto"/>
                    <w:ind w:firstLine="0" w:firstLineChars="0"/>
                    <w:rPr>
                      <w:rFonts w:eastAsia="宋体"/>
                      <w:color w:val="000000"/>
                      <w:kern w:val="0"/>
                      <w:sz w:val="18"/>
                      <w:szCs w:val="18"/>
                    </w:rPr>
                  </w:pPr>
                </w:p>
              </w:tc>
              <w:tc>
                <w:tcPr>
                  <w:tcW w:w="337" w:type="pct"/>
                  <w:vAlign w:val="center"/>
                </w:tcPr>
                <w:p w14:paraId="1529CED4">
                  <w:pPr>
                    <w:pStyle w:val="71"/>
                    <w:widowControl/>
                    <w:spacing w:line="240" w:lineRule="auto"/>
                    <w:ind w:firstLine="0" w:firstLineChars="0"/>
                    <w:jc w:val="center"/>
                    <w:rPr>
                      <w:rFonts w:eastAsia="宋体"/>
                      <w:color w:val="000000"/>
                      <w:sz w:val="18"/>
                      <w:szCs w:val="18"/>
                    </w:rPr>
                  </w:pPr>
                  <w:r>
                    <w:rPr>
                      <w:rFonts w:eastAsia="宋体"/>
                      <w:color w:val="000000"/>
                      <w:sz w:val="18"/>
                      <w:szCs w:val="18"/>
                    </w:rPr>
                    <w:t>环境风险防控</w:t>
                  </w:r>
                </w:p>
              </w:tc>
              <w:tc>
                <w:tcPr>
                  <w:tcW w:w="1157" w:type="pct"/>
                  <w:vAlign w:val="center"/>
                </w:tcPr>
                <w:p w14:paraId="7FF04532">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436" w:type="pct"/>
                  <w:vAlign w:val="center"/>
                </w:tcPr>
                <w:p w14:paraId="3F9B997B">
                  <w:pPr>
                    <w:pStyle w:val="71"/>
                    <w:widowControl/>
                    <w:spacing w:line="240" w:lineRule="auto"/>
                    <w:ind w:firstLine="0" w:firstLineChars="0"/>
                    <w:rPr>
                      <w:rFonts w:eastAsia="宋体"/>
                      <w:color w:val="FF0000"/>
                      <w:sz w:val="18"/>
                      <w:szCs w:val="18"/>
                    </w:rPr>
                  </w:pPr>
                  <w:r>
                    <w:rPr>
                      <w:rFonts w:hint="eastAsia" w:eastAsia="宋体"/>
                      <w:sz w:val="18"/>
                      <w:szCs w:val="18"/>
                    </w:rPr>
                    <w:t>项目严格落实本次评价提出的环境风险防范措施后，环境风险可控。</w:t>
                  </w:r>
                </w:p>
              </w:tc>
              <w:tc>
                <w:tcPr>
                  <w:tcW w:w="234" w:type="pct"/>
                  <w:vAlign w:val="center"/>
                </w:tcPr>
                <w:p w14:paraId="4F5BE983">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符合</w:t>
                  </w:r>
                </w:p>
              </w:tc>
            </w:tr>
            <w:tr w14:paraId="6222D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4" w:type="pct"/>
                  <w:vMerge w:val="continue"/>
                  <w:vAlign w:val="center"/>
                </w:tcPr>
                <w:p w14:paraId="487D9797">
                  <w:pPr>
                    <w:pStyle w:val="71"/>
                    <w:widowControl/>
                    <w:spacing w:line="240" w:lineRule="auto"/>
                    <w:ind w:firstLine="0" w:firstLineChars="0"/>
                    <w:jc w:val="left"/>
                    <w:rPr>
                      <w:rFonts w:eastAsia="宋体"/>
                      <w:color w:val="000000"/>
                      <w:sz w:val="18"/>
                      <w:szCs w:val="18"/>
                    </w:rPr>
                  </w:pPr>
                </w:p>
              </w:tc>
              <w:tc>
                <w:tcPr>
                  <w:tcW w:w="318" w:type="pct"/>
                  <w:vMerge w:val="continue"/>
                  <w:vAlign w:val="center"/>
                </w:tcPr>
                <w:p w14:paraId="152D5FAA">
                  <w:pPr>
                    <w:pStyle w:val="71"/>
                    <w:widowControl/>
                    <w:spacing w:line="240" w:lineRule="auto"/>
                    <w:ind w:firstLine="0" w:firstLineChars="0"/>
                    <w:jc w:val="left"/>
                    <w:rPr>
                      <w:rFonts w:eastAsia="宋体"/>
                      <w:color w:val="000000"/>
                      <w:sz w:val="18"/>
                      <w:szCs w:val="18"/>
                    </w:rPr>
                  </w:pPr>
                </w:p>
              </w:tc>
              <w:tc>
                <w:tcPr>
                  <w:tcW w:w="2104" w:type="pct"/>
                  <w:vMerge w:val="continue"/>
                  <w:vAlign w:val="center"/>
                </w:tcPr>
                <w:p w14:paraId="08BBAE24">
                  <w:pPr>
                    <w:pStyle w:val="71"/>
                    <w:spacing w:line="240" w:lineRule="auto"/>
                    <w:ind w:firstLine="0" w:firstLineChars="0"/>
                    <w:rPr>
                      <w:rFonts w:eastAsia="宋体"/>
                      <w:color w:val="000000"/>
                      <w:kern w:val="0"/>
                      <w:sz w:val="18"/>
                      <w:szCs w:val="18"/>
                    </w:rPr>
                  </w:pPr>
                </w:p>
              </w:tc>
              <w:tc>
                <w:tcPr>
                  <w:tcW w:w="337" w:type="pct"/>
                  <w:vAlign w:val="center"/>
                </w:tcPr>
                <w:p w14:paraId="23144318">
                  <w:pPr>
                    <w:pStyle w:val="71"/>
                    <w:widowControl/>
                    <w:spacing w:line="240" w:lineRule="auto"/>
                    <w:ind w:firstLine="0" w:firstLineChars="0"/>
                    <w:jc w:val="left"/>
                    <w:rPr>
                      <w:rFonts w:eastAsia="宋体"/>
                      <w:color w:val="000000"/>
                      <w:sz w:val="18"/>
                      <w:szCs w:val="18"/>
                    </w:rPr>
                  </w:pPr>
                  <w:r>
                    <w:rPr>
                      <w:rFonts w:eastAsia="宋体"/>
                      <w:color w:val="000000"/>
                      <w:sz w:val="18"/>
                      <w:szCs w:val="18"/>
                    </w:rPr>
                    <w:t>资源开发效率要求</w:t>
                  </w:r>
                </w:p>
              </w:tc>
              <w:tc>
                <w:tcPr>
                  <w:tcW w:w="1157" w:type="pct"/>
                  <w:vAlign w:val="center"/>
                </w:tcPr>
                <w:p w14:paraId="5B5EA30B">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w:t>
                  </w:r>
                </w:p>
              </w:tc>
              <w:tc>
                <w:tcPr>
                  <w:tcW w:w="436" w:type="pct"/>
                  <w:vAlign w:val="center"/>
                </w:tcPr>
                <w:p w14:paraId="58A1C718">
                  <w:pPr>
                    <w:pStyle w:val="71"/>
                    <w:widowControl/>
                    <w:spacing w:line="240" w:lineRule="auto"/>
                    <w:ind w:firstLine="0" w:firstLineChars="0"/>
                    <w:rPr>
                      <w:rFonts w:eastAsia="宋体"/>
                      <w:color w:val="FF0000"/>
                      <w:sz w:val="18"/>
                      <w:szCs w:val="18"/>
                    </w:rPr>
                  </w:pPr>
                  <w:r>
                    <w:rPr>
                      <w:rFonts w:hint="eastAsia" w:eastAsia="宋体"/>
                      <w:color w:val="FF0000"/>
                      <w:sz w:val="18"/>
                      <w:szCs w:val="18"/>
                    </w:rPr>
                    <w:t>/</w:t>
                  </w:r>
                </w:p>
              </w:tc>
              <w:tc>
                <w:tcPr>
                  <w:tcW w:w="234" w:type="pct"/>
                  <w:vAlign w:val="center"/>
                </w:tcPr>
                <w:p w14:paraId="515FC559">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w:t>
                  </w:r>
                </w:p>
              </w:tc>
            </w:tr>
            <w:tr w14:paraId="6AB11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4" w:type="pct"/>
                  <w:vMerge w:val="restart"/>
                  <w:vAlign w:val="center"/>
                </w:tcPr>
                <w:p w14:paraId="6AC1ABEE">
                  <w:pPr>
                    <w:pStyle w:val="71"/>
                    <w:widowControl/>
                    <w:spacing w:line="240" w:lineRule="auto"/>
                    <w:ind w:firstLine="0" w:firstLineChars="0"/>
                    <w:jc w:val="center"/>
                    <w:rPr>
                      <w:rFonts w:eastAsia="宋体"/>
                      <w:color w:val="000000"/>
                      <w:sz w:val="18"/>
                      <w:szCs w:val="18"/>
                    </w:rPr>
                  </w:pPr>
                  <w:r>
                    <w:rPr>
                      <w:rFonts w:eastAsia="宋体"/>
                      <w:color w:val="000000"/>
                      <w:sz w:val="18"/>
                      <w:szCs w:val="18"/>
                    </w:rPr>
                    <w:t>YS51170</w:t>
                  </w:r>
                </w:p>
                <w:p w14:paraId="6E3EF9C7">
                  <w:pPr>
                    <w:pStyle w:val="71"/>
                    <w:widowControl/>
                    <w:spacing w:line="240" w:lineRule="auto"/>
                    <w:ind w:firstLine="0" w:firstLineChars="0"/>
                    <w:jc w:val="center"/>
                    <w:rPr>
                      <w:rFonts w:eastAsia="宋体"/>
                      <w:color w:val="000000"/>
                      <w:sz w:val="18"/>
                      <w:szCs w:val="18"/>
                    </w:rPr>
                  </w:pPr>
                  <w:r>
                    <w:rPr>
                      <w:rFonts w:eastAsia="宋体"/>
                      <w:color w:val="000000"/>
                      <w:sz w:val="18"/>
                      <w:szCs w:val="18"/>
                    </w:rPr>
                    <w:t>22310001</w:t>
                  </w:r>
                </w:p>
              </w:tc>
              <w:tc>
                <w:tcPr>
                  <w:tcW w:w="318" w:type="pct"/>
                  <w:vMerge w:val="restart"/>
                  <w:vAlign w:val="center"/>
                </w:tcPr>
                <w:p w14:paraId="01013C7C">
                  <w:pPr>
                    <w:pStyle w:val="71"/>
                    <w:widowControl/>
                    <w:spacing w:line="240" w:lineRule="auto"/>
                    <w:ind w:firstLine="0" w:firstLineChars="0"/>
                    <w:jc w:val="center"/>
                    <w:rPr>
                      <w:rFonts w:eastAsia="宋体"/>
                      <w:color w:val="000000"/>
                      <w:sz w:val="18"/>
                      <w:szCs w:val="18"/>
                    </w:rPr>
                  </w:pPr>
                  <w:r>
                    <w:rPr>
                      <w:rFonts w:eastAsia="宋体"/>
                      <w:color w:val="000000"/>
                      <w:sz w:val="18"/>
                      <w:szCs w:val="18"/>
                    </w:rPr>
                    <w:t>达州市农产品加工集中区</w:t>
                  </w:r>
                </w:p>
              </w:tc>
              <w:tc>
                <w:tcPr>
                  <w:tcW w:w="2104" w:type="pct"/>
                  <w:vMerge w:val="restart"/>
                  <w:vAlign w:val="center"/>
                </w:tcPr>
                <w:p w14:paraId="277A17D2">
                  <w:pPr>
                    <w:pStyle w:val="71"/>
                    <w:spacing w:line="240" w:lineRule="auto"/>
                    <w:ind w:firstLine="0" w:firstLineChars="0"/>
                    <w:rPr>
                      <w:rFonts w:eastAsia="宋体"/>
                      <w:b/>
                      <w:color w:val="000000"/>
                      <w:kern w:val="0"/>
                      <w:sz w:val="18"/>
                      <w:szCs w:val="18"/>
                    </w:rPr>
                  </w:pPr>
                  <w:r>
                    <w:rPr>
                      <w:rFonts w:eastAsia="宋体"/>
                      <w:b/>
                      <w:color w:val="000000"/>
                      <w:kern w:val="0"/>
                      <w:sz w:val="18"/>
                      <w:szCs w:val="18"/>
                    </w:rPr>
                    <w:t>空间布局约束：</w:t>
                  </w:r>
                </w:p>
                <w:p w14:paraId="11F0A4AA">
                  <w:pPr>
                    <w:pStyle w:val="71"/>
                    <w:spacing w:line="240" w:lineRule="auto"/>
                    <w:ind w:firstLine="0" w:firstLineChars="0"/>
                    <w:rPr>
                      <w:rFonts w:eastAsia="宋体"/>
                      <w:color w:val="000000"/>
                      <w:kern w:val="0"/>
                      <w:sz w:val="18"/>
                      <w:szCs w:val="18"/>
                    </w:rPr>
                  </w:pPr>
                  <w:r>
                    <w:rPr>
                      <w:rFonts w:eastAsia="宋体"/>
                      <w:color w:val="000000"/>
                      <w:kern w:val="0"/>
                      <w:sz w:val="18"/>
                      <w:szCs w:val="18"/>
                    </w:rPr>
                    <w:t>禁止开发建设活动的要求</w:t>
                  </w:r>
                  <w:r>
                    <w:rPr>
                      <w:rFonts w:hint="eastAsia" w:eastAsia="宋体"/>
                      <w:color w:val="000000"/>
                      <w:kern w:val="0"/>
                      <w:sz w:val="18"/>
                      <w:szCs w:val="18"/>
                    </w:rPr>
                    <w:t xml:space="preserve"> </w:t>
                  </w:r>
                  <w:r>
                    <w:rPr>
                      <w:rFonts w:eastAsia="宋体"/>
                      <w:color w:val="000000"/>
                      <w:kern w:val="0"/>
                      <w:sz w:val="18"/>
                      <w:szCs w:val="18"/>
                    </w:rPr>
                    <w:t>暂无</w:t>
                  </w:r>
                </w:p>
                <w:p w14:paraId="57E9D6C6">
                  <w:pPr>
                    <w:pStyle w:val="71"/>
                    <w:spacing w:line="240" w:lineRule="auto"/>
                    <w:ind w:firstLine="0" w:firstLineChars="0"/>
                    <w:rPr>
                      <w:rFonts w:eastAsia="宋体"/>
                      <w:color w:val="000000"/>
                      <w:kern w:val="0"/>
                      <w:sz w:val="18"/>
                      <w:szCs w:val="18"/>
                    </w:rPr>
                  </w:pPr>
                  <w:r>
                    <w:rPr>
                      <w:rFonts w:eastAsia="宋体"/>
                      <w:color w:val="000000"/>
                      <w:kern w:val="0"/>
                      <w:sz w:val="18"/>
                      <w:szCs w:val="18"/>
                    </w:rPr>
                    <w:t>限制开发建设活动的要求</w:t>
                  </w:r>
                  <w:r>
                    <w:rPr>
                      <w:rFonts w:hint="eastAsia" w:eastAsia="宋体"/>
                      <w:color w:val="000000"/>
                      <w:kern w:val="0"/>
                      <w:sz w:val="18"/>
                      <w:szCs w:val="18"/>
                    </w:rPr>
                    <w:t xml:space="preserve"> </w:t>
                  </w:r>
                  <w:r>
                    <w:rPr>
                      <w:rFonts w:eastAsia="宋体"/>
                      <w:color w:val="000000"/>
                      <w:kern w:val="0"/>
                      <w:sz w:val="18"/>
                      <w:szCs w:val="18"/>
                    </w:rPr>
                    <w:t>暂无</w:t>
                  </w:r>
                </w:p>
                <w:p w14:paraId="40E1574A">
                  <w:pPr>
                    <w:pStyle w:val="71"/>
                    <w:spacing w:line="240" w:lineRule="auto"/>
                    <w:ind w:firstLine="0" w:firstLineChars="0"/>
                    <w:rPr>
                      <w:rFonts w:eastAsia="宋体"/>
                      <w:color w:val="000000"/>
                      <w:kern w:val="0"/>
                      <w:sz w:val="18"/>
                      <w:szCs w:val="18"/>
                    </w:rPr>
                  </w:pPr>
                  <w:r>
                    <w:rPr>
                      <w:rFonts w:eastAsia="宋体"/>
                      <w:color w:val="000000"/>
                      <w:kern w:val="0"/>
                      <w:sz w:val="18"/>
                      <w:szCs w:val="18"/>
                    </w:rPr>
                    <w:t>不符合空间布局要求活动的退出要求</w:t>
                  </w:r>
                  <w:r>
                    <w:rPr>
                      <w:rFonts w:hint="eastAsia" w:eastAsia="宋体"/>
                      <w:color w:val="000000"/>
                      <w:kern w:val="0"/>
                      <w:sz w:val="18"/>
                      <w:szCs w:val="18"/>
                    </w:rPr>
                    <w:t xml:space="preserve"> </w:t>
                  </w:r>
                  <w:r>
                    <w:rPr>
                      <w:rFonts w:eastAsia="宋体"/>
                      <w:color w:val="000000"/>
                      <w:kern w:val="0"/>
                      <w:sz w:val="18"/>
                      <w:szCs w:val="18"/>
                    </w:rPr>
                    <w:t>暂无</w:t>
                  </w:r>
                </w:p>
                <w:p w14:paraId="1FDE7C84">
                  <w:pPr>
                    <w:pStyle w:val="71"/>
                    <w:spacing w:line="240" w:lineRule="auto"/>
                    <w:ind w:firstLine="0" w:firstLineChars="0"/>
                    <w:rPr>
                      <w:rFonts w:eastAsia="宋体"/>
                      <w:color w:val="000000"/>
                      <w:kern w:val="0"/>
                      <w:sz w:val="18"/>
                      <w:szCs w:val="18"/>
                    </w:rPr>
                  </w:pPr>
                  <w:r>
                    <w:rPr>
                      <w:rFonts w:eastAsia="宋体"/>
                      <w:color w:val="000000"/>
                      <w:kern w:val="0"/>
                      <w:sz w:val="18"/>
                      <w:szCs w:val="18"/>
                    </w:rPr>
                    <w:t>其他空间布局约束要求</w:t>
                  </w:r>
                  <w:r>
                    <w:rPr>
                      <w:rFonts w:hint="eastAsia" w:eastAsia="宋体"/>
                      <w:color w:val="000000"/>
                      <w:kern w:val="0"/>
                      <w:sz w:val="18"/>
                      <w:szCs w:val="18"/>
                    </w:rPr>
                    <w:t xml:space="preserve"> </w:t>
                  </w:r>
                  <w:r>
                    <w:rPr>
                      <w:rFonts w:eastAsia="宋体"/>
                      <w:color w:val="000000"/>
                      <w:kern w:val="0"/>
                      <w:sz w:val="18"/>
                      <w:szCs w:val="18"/>
                    </w:rPr>
                    <w:t>暂无</w:t>
                  </w:r>
                </w:p>
                <w:p w14:paraId="355B8422">
                  <w:pPr>
                    <w:pStyle w:val="71"/>
                    <w:spacing w:line="240" w:lineRule="auto"/>
                    <w:ind w:firstLine="0" w:firstLineChars="0"/>
                    <w:rPr>
                      <w:rFonts w:eastAsia="宋体"/>
                      <w:b/>
                      <w:color w:val="000000"/>
                      <w:kern w:val="0"/>
                      <w:sz w:val="18"/>
                      <w:szCs w:val="18"/>
                    </w:rPr>
                  </w:pPr>
                  <w:r>
                    <w:rPr>
                      <w:rFonts w:eastAsia="宋体"/>
                      <w:b/>
                      <w:color w:val="000000"/>
                      <w:kern w:val="0"/>
                      <w:sz w:val="18"/>
                      <w:szCs w:val="18"/>
                    </w:rPr>
                    <w:t>污染物排放管控：</w:t>
                  </w:r>
                </w:p>
                <w:p w14:paraId="12E8DE54">
                  <w:pPr>
                    <w:pStyle w:val="71"/>
                    <w:spacing w:line="240" w:lineRule="auto"/>
                    <w:ind w:firstLine="0" w:firstLineChars="0"/>
                    <w:rPr>
                      <w:rFonts w:eastAsia="宋体"/>
                      <w:color w:val="000000"/>
                      <w:kern w:val="0"/>
                      <w:sz w:val="18"/>
                      <w:szCs w:val="18"/>
                    </w:rPr>
                  </w:pPr>
                  <w:r>
                    <w:rPr>
                      <w:rFonts w:eastAsia="宋体"/>
                      <w:color w:val="000000"/>
                      <w:kern w:val="0"/>
                      <w:sz w:val="18"/>
                      <w:szCs w:val="18"/>
                    </w:rPr>
                    <w:t>允许排放量要求</w:t>
                  </w:r>
                  <w:r>
                    <w:rPr>
                      <w:rFonts w:hint="eastAsia" w:eastAsia="宋体"/>
                      <w:color w:val="000000"/>
                      <w:kern w:val="0"/>
                      <w:sz w:val="18"/>
                      <w:szCs w:val="18"/>
                    </w:rPr>
                    <w:t xml:space="preserve"> </w:t>
                  </w:r>
                  <w:r>
                    <w:rPr>
                      <w:rFonts w:eastAsia="宋体"/>
                      <w:color w:val="000000"/>
                      <w:kern w:val="0"/>
                      <w:sz w:val="18"/>
                      <w:szCs w:val="18"/>
                    </w:rPr>
                    <w:t>暂无</w:t>
                  </w:r>
                </w:p>
                <w:p w14:paraId="0AA5E50E">
                  <w:pPr>
                    <w:pStyle w:val="71"/>
                    <w:spacing w:line="240" w:lineRule="auto"/>
                    <w:ind w:firstLine="0" w:firstLineChars="0"/>
                    <w:rPr>
                      <w:rFonts w:eastAsia="宋体"/>
                      <w:color w:val="000000"/>
                      <w:kern w:val="0"/>
                      <w:sz w:val="18"/>
                      <w:szCs w:val="18"/>
                    </w:rPr>
                  </w:pPr>
                  <w:r>
                    <w:rPr>
                      <w:rFonts w:eastAsia="宋体"/>
                      <w:color w:val="000000"/>
                      <w:kern w:val="0"/>
                      <w:sz w:val="18"/>
                      <w:szCs w:val="18"/>
                    </w:rPr>
                    <w:t>现有源提标升级改造</w:t>
                  </w:r>
                  <w:r>
                    <w:rPr>
                      <w:rFonts w:hint="eastAsia" w:eastAsia="宋体"/>
                      <w:color w:val="000000"/>
                      <w:kern w:val="0"/>
                      <w:sz w:val="18"/>
                      <w:szCs w:val="18"/>
                    </w:rPr>
                    <w:t xml:space="preserve"> </w:t>
                  </w:r>
                  <w:r>
                    <w:rPr>
                      <w:rFonts w:eastAsia="宋体"/>
                      <w:color w:val="000000"/>
                      <w:kern w:val="0"/>
                      <w:sz w:val="18"/>
                      <w:szCs w:val="18"/>
                    </w:rPr>
                    <w:t>暂无</w:t>
                  </w:r>
                </w:p>
                <w:p w14:paraId="195107D4">
                  <w:pPr>
                    <w:pStyle w:val="71"/>
                    <w:spacing w:line="240" w:lineRule="auto"/>
                    <w:ind w:firstLine="0" w:firstLineChars="0"/>
                    <w:rPr>
                      <w:rFonts w:eastAsia="宋体"/>
                      <w:color w:val="000000"/>
                      <w:kern w:val="0"/>
                      <w:sz w:val="18"/>
                      <w:szCs w:val="18"/>
                    </w:rPr>
                  </w:pPr>
                  <w:r>
                    <w:rPr>
                      <w:rFonts w:eastAsia="宋体"/>
                      <w:color w:val="000000"/>
                      <w:kern w:val="0"/>
                      <w:sz w:val="18"/>
                      <w:szCs w:val="18"/>
                    </w:rPr>
                    <w:t>其他污染物排放管控要求</w:t>
                  </w:r>
                  <w:r>
                    <w:rPr>
                      <w:rFonts w:hint="eastAsia" w:eastAsia="宋体"/>
                      <w:color w:val="000000"/>
                      <w:kern w:val="0"/>
                      <w:sz w:val="18"/>
                      <w:szCs w:val="18"/>
                    </w:rPr>
                    <w:t xml:space="preserve"> </w:t>
                  </w:r>
                  <w:r>
                    <w:rPr>
                      <w:rFonts w:eastAsia="宋体"/>
                      <w:color w:val="000000"/>
                      <w:kern w:val="0"/>
                      <w:sz w:val="18"/>
                      <w:szCs w:val="18"/>
                    </w:rPr>
                    <w:t>暂无</w:t>
                  </w:r>
                </w:p>
                <w:p w14:paraId="54A61D44">
                  <w:pPr>
                    <w:pStyle w:val="71"/>
                    <w:spacing w:line="240" w:lineRule="auto"/>
                    <w:ind w:firstLine="0" w:firstLineChars="0"/>
                    <w:rPr>
                      <w:rFonts w:eastAsia="宋体"/>
                      <w:b/>
                      <w:color w:val="000000"/>
                      <w:kern w:val="0"/>
                      <w:sz w:val="18"/>
                      <w:szCs w:val="18"/>
                    </w:rPr>
                  </w:pPr>
                  <w:r>
                    <w:rPr>
                      <w:rFonts w:eastAsia="宋体"/>
                      <w:b/>
                      <w:color w:val="000000"/>
                      <w:kern w:val="0"/>
                      <w:sz w:val="18"/>
                      <w:szCs w:val="18"/>
                    </w:rPr>
                    <w:t>环境风险防控：</w:t>
                  </w:r>
                </w:p>
                <w:p w14:paraId="03BD9DF6">
                  <w:pPr>
                    <w:pStyle w:val="71"/>
                    <w:spacing w:line="240" w:lineRule="auto"/>
                    <w:ind w:firstLine="0" w:firstLineChars="0"/>
                    <w:rPr>
                      <w:rFonts w:eastAsia="宋体"/>
                      <w:color w:val="000000"/>
                      <w:kern w:val="0"/>
                      <w:sz w:val="18"/>
                      <w:szCs w:val="18"/>
                    </w:rPr>
                  </w:pPr>
                  <w:r>
                    <w:rPr>
                      <w:rFonts w:eastAsia="宋体"/>
                      <w:color w:val="000000"/>
                      <w:kern w:val="0"/>
                      <w:sz w:val="18"/>
                      <w:szCs w:val="18"/>
                    </w:rPr>
                    <w:t>联防联控要求</w:t>
                  </w:r>
                  <w:r>
                    <w:rPr>
                      <w:rFonts w:hint="eastAsia" w:eastAsia="宋体"/>
                      <w:color w:val="000000"/>
                      <w:kern w:val="0"/>
                      <w:sz w:val="18"/>
                      <w:szCs w:val="18"/>
                    </w:rPr>
                    <w:t xml:space="preserve"> </w:t>
                  </w:r>
                  <w:r>
                    <w:rPr>
                      <w:rFonts w:eastAsia="宋体"/>
                      <w:color w:val="000000"/>
                      <w:kern w:val="0"/>
                      <w:sz w:val="18"/>
                      <w:szCs w:val="18"/>
                    </w:rPr>
                    <w:t>暂无</w:t>
                  </w:r>
                </w:p>
                <w:p w14:paraId="1C619B32">
                  <w:pPr>
                    <w:pStyle w:val="71"/>
                    <w:spacing w:line="240" w:lineRule="auto"/>
                    <w:ind w:firstLine="0" w:firstLineChars="0"/>
                    <w:rPr>
                      <w:rFonts w:eastAsia="宋体"/>
                      <w:color w:val="000000"/>
                      <w:kern w:val="0"/>
                      <w:sz w:val="18"/>
                      <w:szCs w:val="18"/>
                    </w:rPr>
                  </w:pPr>
                  <w:r>
                    <w:rPr>
                      <w:rFonts w:eastAsia="宋体"/>
                      <w:color w:val="000000"/>
                      <w:kern w:val="0"/>
                      <w:sz w:val="18"/>
                      <w:szCs w:val="18"/>
                    </w:rPr>
                    <w:t>其他环境风险防控要求</w:t>
                  </w:r>
                  <w:r>
                    <w:rPr>
                      <w:rFonts w:hint="eastAsia" w:eastAsia="宋体"/>
                      <w:color w:val="000000"/>
                      <w:kern w:val="0"/>
                      <w:sz w:val="18"/>
                      <w:szCs w:val="18"/>
                    </w:rPr>
                    <w:t xml:space="preserve"> </w:t>
                  </w:r>
                  <w:r>
                    <w:rPr>
                      <w:rFonts w:eastAsia="宋体"/>
                      <w:color w:val="000000"/>
                      <w:kern w:val="0"/>
                      <w:sz w:val="18"/>
                      <w:szCs w:val="18"/>
                    </w:rPr>
                    <w:t>暂无</w:t>
                  </w:r>
                </w:p>
                <w:p w14:paraId="678B82D0">
                  <w:pPr>
                    <w:pStyle w:val="71"/>
                    <w:spacing w:line="240" w:lineRule="auto"/>
                    <w:ind w:firstLine="0" w:firstLineChars="0"/>
                    <w:rPr>
                      <w:rFonts w:eastAsia="宋体"/>
                      <w:b/>
                      <w:color w:val="000000"/>
                      <w:kern w:val="0"/>
                      <w:sz w:val="18"/>
                      <w:szCs w:val="18"/>
                    </w:rPr>
                  </w:pPr>
                  <w:r>
                    <w:rPr>
                      <w:rFonts w:eastAsia="宋体"/>
                      <w:b/>
                      <w:color w:val="000000"/>
                      <w:kern w:val="0"/>
                      <w:sz w:val="18"/>
                      <w:szCs w:val="18"/>
                    </w:rPr>
                    <w:t>资源开发利用效率要求：</w:t>
                  </w:r>
                </w:p>
                <w:p w14:paraId="6E26417F">
                  <w:pPr>
                    <w:pStyle w:val="71"/>
                    <w:spacing w:line="240" w:lineRule="auto"/>
                    <w:ind w:firstLine="0" w:firstLineChars="0"/>
                    <w:rPr>
                      <w:rFonts w:eastAsia="宋体"/>
                      <w:color w:val="000000"/>
                      <w:kern w:val="0"/>
                      <w:sz w:val="18"/>
                      <w:szCs w:val="18"/>
                    </w:rPr>
                  </w:pPr>
                  <w:r>
                    <w:rPr>
                      <w:rFonts w:eastAsia="宋体"/>
                      <w:color w:val="000000"/>
                      <w:kern w:val="0"/>
                      <w:sz w:val="18"/>
                      <w:szCs w:val="18"/>
                    </w:rPr>
                    <w:t>水资源利用总量要求</w:t>
                  </w:r>
                  <w:r>
                    <w:rPr>
                      <w:rFonts w:hint="eastAsia" w:eastAsia="宋体"/>
                      <w:color w:val="000000"/>
                      <w:kern w:val="0"/>
                      <w:sz w:val="18"/>
                      <w:szCs w:val="18"/>
                    </w:rPr>
                    <w:t xml:space="preserve"> </w:t>
                  </w:r>
                  <w:r>
                    <w:rPr>
                      <w:rFonts w:eastAsia="宋体"/>
                      <w:color w:val="000000"/>
                      <w:kern w:val="0"/>
                      <w:sz w:val="18"/>
                      <w:szCs w:val="18"/>
                    </w:rPr>
                    <w:t>暂无</w:t>
                  </w:r>
                </w:p>
                <w:p w14:paraId="4CABA078">
                  <w:pPr>
                    <w:pStyle w:val="71"/>
                    <w:spacing w:line="240" w:lineRule="auto"/>
                    <w:ind w:firstLine="0" w:firstLineChars="0"/>
                    <w:rPr>
                      <w:rFonts w:eastAsia="宋体"/>
                      <w:color w:val="000000"/>
                      <w:kern w:val="0"/>
                      <w:sz w:val="18"/>
                      <w:szCs w:val="18"/>
                    </w:rPr>
                  </w:pPr>
                  <w:r>
                    <w:rPr>
                      <w:rFonts w:eastAsia="宋体"/>
                      <w:color w:val="000000"/>
                      <w:kern w:val="0"/>
                      <w:sz w:val="18"/>
                      <w:szCs w:val="18"/>
                    </w:rPr>
                    <w:t>地下水开采要求</w:t>
                  </w:r>
                  <w:r>
                    <w:rPr>
                      <w:rFonts w:hint="eastAsia" w:eastAsia="宋体"/>
                      <w:color w:val="000000"/>
                      <w:kern w:val="0"/>
                      <w:sz w:val="18"/>
                      <w:szCs w:val="18"/>
                    </w:rPr>
                    <w:t xml:space="preserve"> </w:t>
                  </w:r>
                  <w:r>
                    <w:rPr>
                      <w:rFonts w:eastAsia="宋体"/>
                      <w:color w:val="000000"/>
                      <w:kern w:val="0"/>
                      <w:sz w:val="18"/>
                      <w:szCs w:val="18"/>
                    </w:rPr>
                    <w:t>暂无</w:t>
                  </w:r>
                </w:p>
                <w:p w14:paraId="6F37F4D5">
                  <w:pPr>
                    <w:pStyle w:val="71"/>
                    <w:spacing w:line="240" w:lineRule="auto"/>
                    <w:ind w:firstLine="0" w:firstLineChars="0"/>
                    <w:rPr>
                      <w:rFonts w:eastAsia="宋体"/>
                      <w:color w:val="000000"/>
                      <w:kern w:val="0"/>
                      <w:sz w:val="18"/>
                      <w:szCs w:val="18"/>
                    </w:rPr>
                  </w:pPr>
                  <w:r>
                    <w:rPr>
                      <w:rFonts w:eastAsia="宋体"/>
                      <w:color w:val="000000"/>
                      <w:kern w:val="0"/>
                      <w:sz w:val="18"/>
                      <w:szCs w:val="18"/>
                    </w:rPr>
                    <w:t>能源利用总量及效率要求</w:t>
                  </w:r>
                  <w:r>
                    <w:rPr>
                      <w:rFonts w:hint="eastAsia" w:eastAsia="宋体"/>
                      <w:color w:val="000000"/>
                      <w:kern w:val="0"/>
                      <w:sz w:val="18"/>
                      <w:szCs w:val="18"/>
                    </w:rPr>
                    <w:t xml:space="preserve"> </w:t>
                  </w:r>
                  <w:r>
                    <w:rPr>
                      <w:rFonts w:eastAsia="宋体"/>
                      <w:color w:val="000000"/>
                      <w:kern w:val="0"/>
                      <w:sz w:val="18"/>
                      <w:szCs w:val="18"/>
                    </w:rPr>
                    <w:t>暂无</w:t>
                  </w:r>
                </w:p>
                <w:p w14:paraId="50B87608">
                  <w:pPr>
                    <w:pStyle w:val="71"/>
                    <w:spacing w:line="240" w:lineRule="auto"/>
                    <w:ind w:firstLine="0" w:firstLineChars="0"/>
                    <w:rPr>
                      <w:rFonts w:eastAsia="宋体"/>
                      <w:color w:val="000000"/>
                      <w:kern w:val="0"/>
                      <w:sz w:val="18"/>
                      <w:szCs w:val="18"/>
                    </w:rPr>
                  </w:pPr>
                  <w:r>
                    <w:rPr>
                      <w:rFonts w:eastAsia="宋体"/>
                      <w:color w:val="000000"/>
                      <w:kern w:val="0"/>
                      <w:sz w:val="18"/>
                      <w:szCs w:val="18"/>
                    </w:rPr>
                    <w:t>禁燃区要求</w:t>
                  </w:r>
                  <w:r>
                    <w:rPr>
                      <w:rFonts w:hint="eastAsia" w:eastAsia="宋体"/>
                      <w:color w:val="000000"/>
                      <w:kern w:val="0"/>
                      <w:sz w:val="18"/>
                      <w:szCs w:val="18"/>
                    </w:rPr>
                    <w:t xml:space="preserve"> </w:t>
                  </w:r>
                  <w:r>
                    <w:rPr>
                      <w:rFonts w:eastAsia="宋体"/>
                      <w:color w:val="000000"/>
                      <w:kern w:val="0"/>
                      <w:sz w:val="18"/>
                      <w:szCs w:val="18"/>
                    </w:rPr>
                    <w:t>暂无</w:t>
                  </w:r>
                </w:p>
                <w:p w14:paraId="4F94E50D">
                  <w:pPr>
                    <w:pStyle w:val="71"/>
                    <w:spacing w:line="240" w:lineRule="auto"/>
                    <w:ind w:firstLine="0" w:firstLineChars="0"/>
                    <w:rPr>
                      <w:rFonts w:eastAsia="宋体"/>
                      <w:color w:val="000000"/>
                      <w:kern w:val="0"/>
                      <w:sz w:val="18"/>
                      <w:szCs w:val="18"/>
                    </w:rPr>
                  </w:pPr>
                  <w:r>
                    <w:rPr>
                      <w:rFonts w:eastAsia="宋体"/>
                      <w:color w:val="000000"/>
                      <w:kern w:val="0"/>
                      <w:sz w:val="18"/>
                      <w:szCs w:val="18"/>
                    </w:rPr>
                    <w:t>其他资源利用效率要求</w:t>
                  </w:r>
                  <w:r>
                    <w:rPr>
                      <w:rFonts w:hint="eastAsia" w:eastAsia="宋体"/>
                      <w:color w:val="000000"/>
                      <w:kern w:val="0"/>
                      <w:sz w:val="18"/>
                      <w:szCs w:val="18"/>
                    </w:rPr>
                    <w:t xml:space="preserve"> </w:t>
                  </w:r>
                  <w:r>
                    <w:rPr>
                      <w:rFonts w:eastAsia="宋体"/>
                      <w:color w:val="000000"/>
                      <w:kern w:val="0"/>
                      <w:sz w:val="18"/>
                      <w:szCs w:val="18"/>
                    </w:rPr>
                    <w:t>暂无</w:t>
                  </w:r>
                </w:p>
              </w:tc>
              <w:tc>
                <w:tcPr>
                  <w:tcW w:w="337" w:type="pct"/>
                  <w:vAlign w:val="center"/>
                </w:tcPr>
                <w:p w14:paraId="1E23FCE4">
                  <w:pPr>
                    <w:pStyle w:val="71"/>
                    <w:widowControl/>
                    <w:spacing w:line="240" w:lineRule="auto"/>
                    <w:ind w:firstLine="0" w:firstLineChars="0"/>
                    <w:jc w:val="center"/>
                    <w:rPr>
                      <w:rFonts w:eastAsia="宋体"/>
                      <w:color w:val="000000"/>
                      <w:sz w:val="18"/>
                      <w:szCs w:val="18"/>
                    </w:rPr>
                  </w:pPr>
                  <w:r>
                    <w:rPr>
                      <w:rFonts w:eastAsia="宋体"/>
                      <w:color w:val="000000"/>
                      <w:sz w:val="18"/>
                      <w:szCs w:val="18"/>
                    </w:rPr>
                    <w:t>空间布局约束</w:t>
                  </w:r>
                </w:p>
              </w:tc>
              <w:tc>
                <w:tcPr>
                  <w:tcW w:w="1157" w:type="pct"/>
                  <w:vAlign w:val="center"/>
                </w:tcPr>
                <w:p w14:paraId="65A97025">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禁止开发建设活动的要求</w:t>
                  </w:r>
                </w:p>
                <w:p w14:paraId="304039EC">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限制开发建设活动的要求</w:t>
                  </w:r>
                </w:p>
                <w:p w14:paraId="2AFADD97">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允许开发建设活动的要求</w:t>
                  </w:r>
                </w:p>
                <w:p w14:paraId="7513AEF0">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不符合空间布局要求活动的退出要求</w:t>
                  </w:r>
                </w:p>
                <w:p w14:paraId="0F2B192A">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其他空间布局约束要求</w:t>
                  </w:r>
                </w:p>
              </w:tc>
              <w:tc>
                <w:tcPr>
                  <w:tcW w:w="436" w:type="pct"/>
                  <w:vAlign w:val="center"/>
                </w:tcPr>
                <w:p w14:paraId="037109FF">
                  <w:pPr>
                    <w:pStyle w:val="71"/>
                    <w:widowControl/>
                    <w:spacing w:line="240" w:lineRule="auto"/>
                    <w:ind w:firstLine="0" w:firstLineChars="0"/>
                    <w:rPr>
                      <w:rFonts w:eastAsia="宋体"/>
                      <w:color w:val="FF0000"/>
                      <w:sz w:val="18"/>
                      <w:szCs w:val="18"/>
                    </w:rPr>
                  </w:pPr>
                  <w:r>
                    <w:rPr>
                      <w:rFonts w:hint="eastAsia" w:eastAsia="宋体"/>
                      <w:color w:val="FF0000"/>
                      <w:sz w:val="18"/>
                      <w:szCs w:val="18"/>
                    </w:rPr>
                    <w:t>/</w:t>
                  </w:r>
                </w:p>
              </w:tc>
              <w:tc>
                <w:tcPr>
                  <w:tcW w:w="234" w:type="pct"/>
                  <w:vAlign w:val="center"/>
                </w:tcPr>
                <w:p w14:paraId="229935C8">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w:t>
                  </w:r>
                </w:p>
              </w:tc>
            </w:tr>
            <w:tr w14:paraId="02464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4" w:type="pct"/>
                  <w:vMerge w:val="continue"/>
                  <w:vAlign w:val="center"/>
                </w:tcPr>
                <w:p w14:paraId="2600C3EA">
                  <w:pPr>
                    <w:pStyle w:val="71"/>
                    <w:widowControl/>
                    <w:spacing w:line="240" w:lineRule="auto"/>
                    <w:ind w:firstLine="0" w:firstLineChars="0"/>
                    <w:jc w:val="left"/>
                    <w:rPr>
                      <w:rFonts w:eastAsia="宋体"/>
                      <w:color w:val="000000"/>
                      <w:sz w:val="18"/>
                      <w:szCs w:val="18"/>
                    </w:rPr>
                  </w:pPr>
                </w:p>
              </w:tc>
              <w:tc>
                <w:tcPr>
                  <w:tcW w:w="318" w:type="pct"/>
                  <w:vMerge w:val="continue"/>
                  <w:vAlign w:val="center"/>
                </w:tcPr>
                <w:p w14:paraId="0668B137">
                  <w:pPr>
                    <w:pStyle w:val="71"/>
                    <w:widowControl/>
                    <w:spacing w:line="240" w:lineRule="auto"/>
                    <w:ind w:firstLine="0" w:firstLineChars="0"/>
                    <w:jc w:val="left"/>
                    <w:rPr>
                      <w:rFonts w:eastAsia="宋体"/>
                      <w:color w:val="000000"/>
                      <w:sz w:val="18"/>
                      <w:szCs w:val="18"/>
                    </w:rPr>
                  </w:pPr>
                </w:p>
              </w:tc>
              <w:tc>
                <w:tcPr>
                  <w:tcW w:w="2104" w:type="pct"/>
                  <w:vMerge w:val="continue"/>
                  <w:vAlign w:val="center"/>
                </w:tcPr>
                <w:p w14:paraId="79635036">
                  <w:pPr>
                    <w:pStyle w:val="71"/>
                    <w:spacing w:line="240" w:lineRule="auto"/>
                    <w:ind w:firstLine="0" w:firstLineChars="0"/>
                    <w:rPr>
                      <w:rFonts w:eastAsia="宋体"/>
                      <w:color w:val="000000"/>
                      <w:kern w:val="0"/>
                      <w:sz w:val="18"/>
                      <w:szCs w:val="18"/>
                    </w:rPr>
                  </w:pPr>
                </w:p>
              </w:tc>
              <w:tc>
                <w:tcPr>
                  <w:tcW w:w="337" w:type="pct"/>
                  <w:vAlign w:val="center"/>
                </w:tcPr>
                <w:p w14:paraId="72092186">
                  <w:pPr>
                    <w:pStyle w:val="71"/>
                    <w:widowControl/>
                    <w:spacing w:line="240" w:lineRule="auto"/>
                    <w:ind w:firstLine="0" w:firstLineChars="0"/>
                    <w:jc w:val="center"/>
                    <w:rPr>
                      <w:rFonts w:eastAsia="宋体"/>
                      <w:color w:val="000000"/>
                      <w:sz w:val="18"/>
                      <w:szCs w:val="18"/>
                    </w:rPr>
                  </w:pPr>
                  <w:r>
                    <w:rPr>
                      <w:rFonts w:eastAsia="宋体"/>
                      <w:color w:val="000000"/>
                      <w:sz w:val="18"/>
                      <w:szCs w:val="18"/>
                    </w:rPr>
                    <w:t>污染物排放管控</w:t>
                  </w:r>
                </w:p>
              </w:tc>
              <w:tc>
                <w:tcPr>
                  <w:tcW w:w="1157" w:type="pct"/>
                  <w:vAlign w:val="center"/>
                </w:tcPr>
                <w:p w14:paraId="6357FFE6">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大气环境质量执行标准</w:t>
                  </w:r>
                </w:p>
                <w:p w14:paraId="4200FBE3">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《环境空气质量标准》（GB3095-2012）：二级</w:t>
                  </w:r>
                </w:p>
                <w:p w14:paraId="3ACC0B6E">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区域大气污染物削减/替代要求</w:t>
                  </w:r>
                </w:p>
                <w:p w14:paraId="40DF5E3E">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新增大气污染物排放的建设项目实施总量削减替代。</w:t>
                  </w:r>
                </w:p>
                <w:p w14:paraId="542F3DD9">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燃煤和其他能源大气污染控制要求</w:t>
                  </w:r>
                </w:p>
                <w:p w14:paraId="3364990E">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工业废气污染控制要求</w:t>
                  </w:r>
                </w:p>
                <w:p w14:paraId="35508527">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机动车船大气污染控制要求</w:t>
                  </w:r>
                </w:p>
                <w:p w14:paraId="6D11058D">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扬尘污染控制要求</w:t>
                  </w:r>
                </w:p>
                <w:p w14:paraId="410EF100">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农业生产经营活动大气污染控制要求</w:t>
                  </w:r>
                </w:p>
                <w:p w14:paraId="754073B9">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重点行业企业专项治理要求</w:t>
                  </w:r>
                </w:p>
                <w:p w14:paraId="44A48189">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其他大气污染物排放管控要求</w:t>
                  </w:r>
                </w:p>
              </w:tc>
              <w:tc>
                <w:tcPr>
                  <w:tcW w:w="436" w:type="pct"/>
                  <w:vAlign w:val="center"/>
                </w:tcPr>
                <w:p w14:paraId="760A2C06">
                  <w:pPr>
                    <w:pStyle w:val="71"/>
                    <w:widowControl/>
                    <w:spacing w:line="240" w:lineRule="auto"/>
                    <w:ind w:firstLine="0" w:firstLineChars="0"/>
                    <w:rPr>
                      <w:rFonts w:eastAsia="宋体"/>
                      <w:color w:val="FF0000"/>
                      <w:sz w:val="18"/>
                      <w:szCs w:val="18"/>
                    </w:rPr>
                  </w:pPr>
                  <w:r>
                    <w:rPr>
                      <w:rFonts w:hint="eastAsia" w:eastAsia="宋体"/>
                      <w:color w:val="FF0000"/>
                      <w:sz w:val="18"/>
                      <w:szCs w:val="18"/>
                    </w:rPr>
                    <w:t>/</w:t>
                  </w:r>
                </w:p>
              </w:tc>
              <w:tc>
                <w:tcPr>
                  <w:tcW w:w="234" w:type="pct"/>
                  <w:vAlign w:val="center"/>
                </w:tcPr>
                <w:p w14:paraId="7F47D86A">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符合</w:t>
                  </w:r>
                </w:p>
              </w:tc>
            </w:tr>
            <w:tr w14:paraId="05928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4" w:type="pct"/>
                  <w:vMerge w:val="continue"/>
                  <w:vAlign w:val="center"/>
                </w:tcPr>
                <w:p w14:paraId="5DF6622D">
                  <w:pPr>
                    <w:pStyle w:val="71"/>
                    <w:widowControl/>
                    <w:spacing w:line="240" w:lineRule="auto"/>
                    <w:ind w:firstLine="0" w:firstLineChars="0"/>
                    <w:jc w:val="left"/>
                    <w:rPr>
                      <w:rFonts w:eastAsia="宋体"/>
                      <w:color w:val="000000"/>
                      <w:sz w:val="18"/>
                      <w:szCs w:val="18"/>
                    </w:rPr>
                  </w:pPr>
                </w:p>
              </w:tc>
              <w:tc>
                <w:tcPr>
                  <w:tcW w:w="318" w:type="pct"/>
                  <w:vMerge w:val="continue"/>
                  <w:vAlign w:val="center"/>
                </w:tcPr>
                <w:p w14:paraId="50214033">
                  <w:pPr>
                    <w:pStyle w:val="71"/>
                    <w:widowControl/>
                    <w:spacing w:line="240" w:lineRule="auto"/>
                    <w:ind w:firstLine="0" w:firstLineChars="0"/>
                    <w:jc w:val="left"/>
                    <w:rPr>
                      <w:rFonts w:eastAsia="宋体"/>
                      <w:color w:val="000000"/>
                      <w:sz w:val="18"/>
                      <w:szCs w:val="18"/>
                    </w:rPr>
                  </w:pPr>
                </w:p>
              </w:tc>
              <w:tc>
                <w:tcPr>
                  <w:tcW w:w="2104" w:type="pct"/>
                  <w:vMerge w:val="continue"/>
                  <w:vAlign w:val="center"/>
                </w:tcPr>
                <w:p w14:paraId="26A8CBEE">
                  <w:pPr>
                    <w:pStyle w:val="71"/>
                    <w:spacing w:line="240" w:lineRule="auto"/>
                    <w:ind w:firstLine="0" w:firstLineChars="0"/>
                    <w:rPr>
                      <w:rFonts w:eastAsia="宋体"/>
                      <w:color w:val="000000"/>
                      <w:kern w:val="0"/>
                      <w:sz w:val="18"/>
                      <w:szCs w:val="18"/>
                    </w:rPr>
                  </w:pPr>
                </w:p>
              </w:tc>
              <w:tc>
                <w:tcPr>
                  <w:tcW w:w="337" w:type="pct"/>
                  <w:vAlign w:val="center"/>
                </w:tcPr>
                <w:p w14:paraId="34A4366A">
                  <w:pPr>
                    <w:pStyle w:val="71"/>
                    <w:widowControl/>
                    <w:spacing w:line="240" w:lineRule="auto"/>
                    <w:ind w:firstLine="0" w:firstLineChars="0"/>
                    <w:jc w:val="left"/>
                    <w:rPr>
                      <w:rFonts w:eastAsia="宋体"/>
                      <w:color w:val="000000"/>
                      <w:sz w:val="18"/>
                      <w:szCs w:val="18"/>
                    </w:rPr>
                  </w:pPr>
                  <w:r>
                    <w:rPr>
                      <w:rFonts w:eastAsia="宋体"/>
                      <w:color w:val="000000"/>
                      <w:sz w:val="18"/>
                      <w:szCs w:val="18"/>
                    </w:rPr>
                    <w:t>环境风险防控</w:t>
                  </w:r>
                </w:p>
              </w:tc>
              <w:tc>
                <w:tcPr>
                  <w:tcW w:w="1157" w:type="pct"/>
                  <w:vAlign w:val="center"/>
                </w:tcPr>
                <w:p w14:paraId="1AC848E4">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w:t>
                  </w:r>
                </w:p>
              </w:tc>
              <w:tc>
                <w:tcPr>
                  <w:tcW w:w="436" w:type="pct"/>
                  <w:vAlign w:val="center"/>
                </w:tcPr>
                <w:p w14:paraId="10A11824">
                  <w:pPr>
                    <w:pStyle w:val="71"/>
                    <w:widowControl/>
                    <w:spacing w:line="240" w:lineRule="auto"/>
                    <w:ind w:firstLine="0" w:firstLineChars="0"/>
                    <w:rPr>
                      <w:rFonts w:eastAsia="宋体"/>
                      <w:color w:val="FF0000"/>
                      <w:sz w:val="18"/>
                      <w:szCs w:val="18"/>
                    </w:rPr>
                  </w:pPr>
                  <w:r>
                    <w:rPr>
                      <w:rFonts w:hint="eastAsia" w:eastAsia="宋体"/>
                      <w:color w:val="FF0000"/>
                      <w:sz w:val="18"/>
                      <w:szCs w:val="18"/>
                    </w:rPr>
                    <w:t>/</w:t>
                  </w:r>
                </w:p>
              </w:tc>
              <w:tc>
                <w:tcPr>
                  <w:tcW w:w="234" w:type="pct"/>
                  <w:vAlign w:val="center"/>
                </w:tcPr>
                <w:p w14:paraId="0F27D13B">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w:t>
                  </w:r>
                </w:p>
              </w:tc>
            </w:tr>
            <w:tr w14:paraId="56447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4" w:type="pct"/>
                  <w:vMerge w:val="continue"/>
                  <w:vAlign w:val="center"/>
                </w:tcPr>
                <w:p w14:paraId="617BDB61">
                  <w:pPr>
                    <w:pStyle w:val="71"/>
                    <w:widowControl/>
                    <w:spacing w:line="240" w:lineRule="auto"/>
                    <w:ind w:firstLine="0" w:firstLineChars="0"/>
                    <w:jc w:val="left"/>
                    <w:rPr>
                      <w:rFonts w:eastAsia="宋体"/>
                      <w:color w:val="000000"/>
                      <w:sz w:val="18"/>
                      <w:szCs w:val="18"/>
                    </w:rPr>
                  </w:pPr>
                </w:p>
              </w:tc>
              <w:tc>
                <w:tcPr>
                  <w:tcW w:w="318" w:type="pct"/>
                  <w:vMerge w:val="continue"/>
                  <w:vAlign w:val="center"/>
                </w:tcPr>
                <w:p w14:paraId="679C1032">
                  <w:pPr>
                    <w:pStyle w:val="71"/>
                    <w:widowControl/>
                    <w:spacing w:line="240" w:lineRule="auto"/>
                    <w:ind w:firstLine="0" w:firstLineChars="0"/>
                    <w:jc w:val="left"/>
                    <w:rPr>
                      <w:rFonts w:eastAsia="宋体"/>
                      <w:color w:val="000000"/>
                      <w:sz w:val="18"/>
                      <w:szCs w:val="18"/>
                    </w:rPr>
                  </w:pPr>
                </w:p>
              </w:tc>
              <w:tc>
                <w:tcPr>
                  <w:tcW w:w="2104" w:type="pct"/>
                  <w:vMerge w:val="continue"/>
                  <w:vAlign w:val="center"/>
                </w:tcPr>
                <w:p w14:paraId="692646F2">
                  <w:pPr>
                    <w:pStyle w:val="71"/>
                    <w:spacing w:line="240" w:lineRule="auto"/>
                    <w:ind w:firstLine="0" w:firstLineChars="0"/>
                    <w:rPr>
                      <w:rFonts w:eastAsia="宋体"/>
                      <w:color w:val="000000"/>
                      <w:kern w:val="0"/>
                      <w:sz w:val="18"/>
                      <w:szCs w:val="18"/>
                    </w:rPr>
                  </w:pPr>
                </w:p>
              </w:tc>
              <w:tc>
                <w:tcPr>
                  <w:tcW w:w="337" w:type="pct"/>
                  <w:vAlign w:val="center"/>
                </w:tcPr>
                <w:p w14:paraId="7C7CAA9F">
                  <w:pPr>
                    <w:pStyle w:val="71"/>
                    <w:widowControl/>
                    <w:spacing w:line="240" w:lineRule="auto"/>
                    <w:ind w:firstLine="0" w:firstLineChars="0"/>
                    <w:jc w:val="left"/>
                    <w:rPr>
                      <w:rFonts w:eastAsia="宋体"/>
                      <w:color w:val="000000"/>
                      <w:sz w:val="18"/>
                      <w:szCs w:val="18"/>
                    </w:rPr>
                  </w:pPr>
                  <w:r>
                    <w:rPr>
                      <w:rFonts w:eastAsia="宋体"/>
                      <w:color w:val="000000"/>
                      <w:sz w:val="18"/>
                      <w:szCs w:val="18"/>
                    </w:rPr>
                    <w:t>资源开发效率要求</w:t>
                  </w:r>
                </w:p>
              </w:tc>
              <w:tc>
                <w:tcPr>
                  <w:tcW w:w="1157" w:type="pct"/>
                  <w:vAlign w:val="center"/>
                </w:tcPr>
                <w:p w14:paraId="55AA8780">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w:t>
                  </w:r>
                </w:p>
              </w:tc>
              <w:tc>
                <w:tcPr>
                  <w:tcW w:w="436" w:type="pct"/>
                  <w:vAlign w:val="center"/>
                </w:tcPr>
                <w:p w14:paraId="0A1D2F84">
                  <w:pPr>
                    <w:pStyle w:val="71"/>
                    <w:widowControl/>
                    <w:spacing w:line="240" w:lineRule="auto"/>
                    <w:ind w:firstLine="0" w:firstLineChars="0"/>
                    <w:rPr>
                      <w:rFonts w:eastAsia="宋体"/>
                      <w:color w:val="FF0000"/>
                      <w:sz w:val="18"/>
                      <w:szCs w:val="18"/>
                    </w:rPr>
                  </w:pPr>
                  <w:r>
                    <w:rPr>
                      <w:rFonts w:hint="eastAsia" w:eastAsia="宋体"/>
                      <w:color w:val="FF0000"/>
                      <w:sz w:val="18"/>
                      <w:szCs w:val="18"/>
                    </w:rPr>
                    <w:t>/</w:t>
                  </w:r>
                </w:p>
              </w:tc>
              <w:tc>
                <w:tcPr>
                  <w:tcW w:w="234" w:type="pct"/>
                  <w:vAlign w:val="center"/>
                </w:tcPr>
                <w:p w14:paraId="1CB491A7">
                  <w:pPr>
                    <w:pStyle w:val="71"/>
                    <w:widowControl/>
                    <w:spacing w:line="240" w:lineRule="auto"/>
                    <w:ind w:firstLine="0" w:firstLineChars="0"/>
                    <w:jc w:val="left"/>
                    <w:rPr>
                      <w:rFonts w:eastAsia="宋体"/>
                      <w:color w:val="000000"/>
                      <w:sz w:val="18"/>
                      <w:szCs w:val="18"/>
                    </w:rPr>
                  </w:pPr>
                  <w:r>
                    <w:rPr>
                      <w:rFonts w:hint="eastAsia" w:eastAsia="宋体"/>
                      <w:color w:val="000000"/>
                      <w:sz w:val="18"/>
                      <w:szCs w:val="18"/>
                    </w:rPr>
                    <w:t>/</w:t>
                  </w:r>
                </w:p>
              </w:tc>
            </w:tr>
          </w:tbl>
          <w:p w14:paraId="12FB9D46">
            <w:pPr>
              <w:tabs>
                <w:tab w:val="left" w:pos="679"/>
              </w:tabs>
              <w:ind w:firstLine="420" w:firstLineChars="200"/>
            </w:pPr>
            <w:r>
              <w:rPr>
                <w:rFonts w:hint="eastAsia"/>
              </w:rPr>
              <w:t>综上所述，项目不在生态保护红线内、未超出环境质量底线及资源利用上线、不属于当地环境准入负面清单，项目与“三线一单”规定相符。</w:t>
            </w:r>
          </w:p>
          <w:p w14:paraId="59CD407F">
            <w:pPr>
              <w:tabs>
                <w:tab w:val="left" w:pos="679"/>
              </w:tabs>
              <w:ind w:firstLine="420"/>
            </w:pPr>
          </w:p>
        </w:tc>
      </w:tr>
    </w:tbl>
    <w:p w14:paraId="54843B9D">
      <w:pPr>
        <w:tabs>
          <w:tab w:val="left" w:pos="679"/>
        </w:tabs>
        <w:ind w:firstLine="600"/>
        <w:rPr>
          <w:rFonts w:eastAsia="黑体"/>
          <w:sz w:val="30"/>
        </w:rPr>
        <w:sectPr>
          <w:pgSz w:w="16838" w:h="11906" w:orient="landscape"/>
          <w:pgMar w:top="1531" w:right="1701" w:bottom="1531" w:left="1701" w:header="851" w:footer="1077" w:gutter="0"/>
          <w:cols w:space="720" w:num="1"/>
          <w:docGrid w:linePitch="312" w:charSpace="0"/>
        </w:sect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413"/>
      </w:tblGrid>
      <w:tr w14:paraId="3F75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shd w:val="clear" w:color="auto" w:fill="auto"/>
            <w:vAlign w:val="center"/>
          </w:tcPr>
          <w:p w14:paraId="28E02EFA">
            <w:pPr>
              <w:tabs>
                <w:tab w:val="left" w:pos="679"/>
              </w:tabs>
              <w:spacing w:line="360" w:lineRule="auto"/>
              <w:jc w:val="center"/>
            </w:pPr>
            <w:r>
              <w:t>其他符合性分析</w:t>
            </w:r>
          </w:p>
        </w:tc>
        <w:tc>
          <w:tcPr>
            <w:tcW w:w="8413" w:type="dxa"/>
            <w:shd w:val="clear" w:color="auto" w:fill="auto"/>
          </w:tcPr>
          <w:p w14:paraId="3B76F594">
            <w:pPr>
              <w:autoSpaceDE w:val="0"/>
              <w:autoSpaceDN w:val="0"/>
              <w:adjustRightInd w:val="0"/>
              <w:snapToGrid w:val="0"/>
              <w:spacing w:line="360" w:lineRule="auto"/>
              <w:ind w:firstLine="422" w:firstLineChars="200"/>
              <w:rPr>
                <w:b/>
              </w:rPr>
            </w:pPr>
            <w:r>
              <w:rPr>
                <w:rFonts w:hint="eastAsia"/>
                <w:b/>
              </w:rPr>
              <w:t>3、与相关法规、规范符合性分析</w:t>
            </w:r>
          </w:p>
          <w:p w14:paraId="5DB7FE60">
            <w:pPr>
              <w:autoSpaceDE w:val="0"/>
              <w:autoSpaceDN w:val="0"/>
              <w:adjustRightInd w:val="0"/>
              <w:snapToGrid w:val="0"/>
              <w:spacing w:line="360" w:lineRule="auto"/>
              <w:ind w:firstLine="420" w:firstLineChars="200"/>
              <w:rPr>
                <w:bCs/>
              </w:rPr>
            </w:pPr>
            <w:r>
              <w:rPr>
                <w:rFonts w:hint="eastAsia"/>
                <w:bCs/>
              </w:rPr>
              <w:t>（1）与《中华人民共和国长江保护法》《长江经济带发展负面清单指南（试行，2022 年版）》《四川省、重庆市长江经济带发展负面清单实施细则（试行，2022 年版）》《四川省嘉陵江流域生态环境保护条例》的符合性分析</w:t>
            </w:r>
          </w:p>
          <w:p w14:paraId="76A695AB">
            <w:pPr>
              <w:autoSpaceDE w:val="0"/>
              <w:autoSpaceDN w:val="0"/>
              <w:adjustRightInd w:val="0"/>
              <w:snapToGrid w:val="0"/>
              <w:jc w:val="center"/>
              <w:rPr>
                <w:b/>
              </w:rPr>
            </w:pPr>
            <w:r>
              <w:rPr>
                <w:rFonts w:hint="eastAsia"/>
                <w:b/>
              </w:rPr>
              <w:t>表1-9</w:t>
            </w:r>
            <w:r>
              <w:rPr>
                <w:b/>
              </w:rPr>
              <w:t xml:space="preserve">  </w:t>
            </w:r>
            <w:r>
              <w:rPr>
                <w:rFonts w:hint="eastAsia"/>
                <w:b/>
              </w:rPr>
              <w:t>项目与相关法规、规范的符合性分析表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4036"/>
              <w:gridCol w:w="2489"/>
              <w:gridCol w:w="798"/>
            </w:tblGrid>
            <w:tr w14:paraId="4B864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shd w:val="clear" w:color="auto" w:fill="auto"/>
                  <w:vAlign w:val="center"/>
                </w:tcPr>
                <w:p w14:paraId="6FC8B76E">
                  <w:pPr>
                    <w:pStyle w:val="2"/>
                    <w:ind w:left="-105" w:leftChars="-50" w:right="-105" w:rightChars="-50"/>
                    <w:rPr>
                      <w:b/>
                      <w:bCs/>
                      <w:sz w:val="18"/>
                      <w:szCs w:val="18"/>
                    </w:rPr>
                  </w:pPr>
                  <w:r>
                    <w:rPr>
                      <w:rFonts w:hint="eastAsia"/>
                      <w:b/>
                      <w:bCs/>
                      <w:sz w:val="18"/>
                      <w:szCs w:val="18"/>
                    </w:rPr>
                    <w:t>文件名称</w:t>
                  </w:r>
                </w:p>
              </w:tc>
              <w:tc>
                <w:tcPr>
                  <w:tcW w:w="2462" w:type="pct"/>
                  <w:shd w:val="clear" w:color="auto" w:fill="auto"/>
                  <w:vAlign w:val="center"/>
                </w:tcPr>
                <w:p w14:paraId="0231EFF9">
                  <w:pPr>
                    <w:pStyle w:val="2"/>
                    <w:ind w:left="-105" w:leftChars="-50" w:right="-105" w:rightChars="-50"/>
                    <w:rPr>
                      <w:b/>
                      <w:bCs/>
                      <w:sz w:val="18"/>
                      <w:szCs w:val="18"/>
                    </w:rPr>
                  </w:pPr>
                  <w:r>
                    <w:rPr>
                      <w:rFonts w:hint="eastAsia"/>
                      <w:b/>
                      <w:bCs/>
                      <w:sz w:val="18"/>
                      <w:szCs w:val="18"/>
                    </w:rPr>
                    <w:t>文件要求</w:t>
                  </w:r>
                </w:p>
              </w:tc>
              <w:tc>
                <w:tcPr>
                  <w:tcW w:w="1518" w:type="pct"/>
                  <w:shd w:val="clear" w:color="auto" w:fill="auto"/>
                  <w:vAlign w:val="center"/>
                </w:tcPr>
                <w:p w14:paraId="50CFE46B">
                  <w:pPr>
                    <w:pStyle w:val="2"/>
                    <w:ind w:left="-105" w:leftChars="-50" w:right="-105" w:rightChars="-50"/>
                    <w:rPr>
                      <w:b/>
                      <w:bCs/>
                      <w:sz w:val="18"/>
                      <w:szCs w:val="18"/>
                    </w:rPr>
                  </w:pPr>
                  <w:r>
                    <w:rPr>
                      <w:rFonts w:hint="eastAsia"/>
                      <w:b/>
                      <w:bCs/>
                      <w:sz w:val="18"/>
                      <w:szCs w:val="18"/>
                    </w:rPr>
                    <w:t>项目情况</w:t>
                  </w:r>
                </w:p>
              </w:tc>
              <w:tc>
                <w:tcPr>
                  <w:tcW w:w="487" w:type="pct"/>
                  <w:shd w:val="clear" w:color="auto" w:fill="auto"/>
                  <w:vAlign w:val="center"/>
                </w:tcPr>
                <w:p w14:paraId="527AC938">
                  <w:pPr>
                    <w:pStyle w:val="2"/>
                    <w:ind w:left="-105" w:leftChars="-50" w:right="-105" w:rightChars="-50"/>
                    <w:rPr>
                      <w:b/>
                      <w:bCs/>
                      <w:sz w:val="18"/>
                      <w:szCs w:val="18"/>
                    </w:rPr>
                  </w:pPr>
                  <w:r>
                    <w:rPr>
                      <w:rFonts w:hint="eastAsia"/>
                      <w:b/>
                      <w:bCs/>
                      <w:sz w:val="18"/>
                      <w:szCs w:val="18"/>
                    </w:rPr>
                    <w:t>符合性</w:t>
                  </w:r>
                </w:p>
              </w:tc>
            </w:tr>
            <w:tr w14:paraId="53053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restart"/>
                  <w:shd w:val="clear" w:color="auto" w:fill="auto"/>
                  <w:vAlign w:val="center"/>
                </w:tcPr>
                <w:p w14:paraId="7A3F030F">
                  <w:pPr>
                    <w:pStyle w:val="2"/>
                    <w:rPr>
                      <w:sz w:val="18"/>
                      <w:szCs w:val="18"/>
                    </w:rPr>
                  </w:pPr>
                  <w:r>
                    <w:rPr>
                      <w:rFonts w:hint="eastAsia"/>
                      <w:sz w:val="18"/>
                      <w:szCs w:val="18"/>
                    </w:rPr>
                    <w:t>《中华人民共和国长江保护法》</w:t>
                  </w:r>
                </w:p>
              </w:tc>
              <w:tc>
                <w:tcPr>
                  <w:tcW w:w="2462" w:type="pct"/>
                  <w:shd w:val="clear" w:color="auto" w:fill="auto"/>
                  <w:vAlign w:val="center"/>
                </w:tcPr>
                <w:p w14:paraId="5E655BAC">
                  <w:pPr>
                    <w:pStyle w:val="2"/>
                    <w:jc w:val="both"/>
                    <w:rPr>
                      <w:sz w:val="18"/>
                      <w:szCs w:val="18"/>
                    </w:rPr>
                  </w:pPr>
                  <w:r>
                    <w:rPr>
                      <w:rFonts w:hint="eastAsia"/>
                      <w:sz w:val="18"/>
                      <w:szCs w:val="18"/>
                    </w:rPr>
                    <w:t>第二十六条 禁止在长江干支流岸线一公里范围内新建、扩建化工园区和化工项目。禁止在长江干流岸线三公里范围内和重要支流岸线一公里范围内新建、改建、扩建尾矿库；但是以提升安全、生态环境保护水平为目的改建除外。</w:t>
                  </w:r>
                </w:p>
              </w:tc>
              <w:tc>
                <w:tcPr>
                  <w:tcW w:w="1518" w:type="pct"/>
                  <w:shd w:val="clear" w:color="auto" w:fill="auto"/>
                  <w:vAlign w:val="center"/>
                </w:tcPr>
                <w:p w14:paraId="717AADD2">
                  <w:pPr>
                    <w:autoSpaceDE w:val="0"/>
                    <w:autoSpaceDN w:val="0"/>
                    <w:adjustRightInd w:val="0"/>
                    <w:contextualSpacing/>
                    <w:rPr>
                      <w:sz w:val="18"/>
                      <w:szCs w:val="18"/>
                    </w:rPr>
                  </w:pPr>
                  <w:r>
                    <w:rPr>
                      <w:rFonts w:hint="eastAsia"/>
                      <w:sz w:val="18"/>
                      <w:szCs w:val="18"/>
                    </w:rPr>
                    <w:t>本项目属于C2740 中成药生产项目，不属于长江保护法规定的禁止建设区域和建设项目。</w:t>
                  </w:r>
                </w:p>
              </w:tc>
              <w:tc>
                <w:tcPr>
                  <w:tcW w:w="487" w:type="pct"/>
                  <w:shd w:val="clear" w:color="auto" w:fill="auto"/>
                  <w:vAlign w:val="center"/>
                </w:tcPr>
                <w:p w14:paraId="0A6B576A">
                  <w:pPr>
                    <w:pStyle w:val="2"/>
                    <w:rPr>
                      <w:sz w:val="18"/>
                      <w:szCs w:val="18"/>
                    </w:rPr>
                  </w:pPr>
                  <w:r>
                    <w:rPr>
                      <w:rFonts w:hint="eastAsia"/>
                      <w:sz w:val="18"/>
                      <w:szCs w:val="18"/>
                    </w:rPr>
                    <w:t>符合</w:t>
                  </w:r>
                </w:p>
              </w:tc>
            </w:tr>
            <w:tr w14:paraId="2D2E2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0A03FBE9">
                  <w:pPr>
                    <w:pStyle w:val="2"/>
                    <w:rPr>
                      <w:sz w:val="18"/>
                      <w:szCs w:val="18"/>
                    </w:rPr>
                  </w:pPr>
                </w:p>
              </w:tc>
              <w:tc>
                <w:tcPr>
                  <w:tcW w:w="2462" w:type="pct"/>
                  <w:shd w:val="clear" w:color="auto" w:fill="auto"/>
                  <w:vAlign w:val="center"/>
                </w:tcPr>
                <w:p w14:paraId="55E3D6DC">
                  <w:pPr>
                    <w:pStyle w:val="2"/>
                    <w:jc w:val="both"/>
                    <w:rPr>
                      <w:sz w:val="18"/>
                      <w:szCs w:val="18"/>
                    </w:rPr>
                  </w:pPr>
                  <w:r>
                    <w:rPr>
                      <w:rFonts w:hint="eastAsia"/>
                      <w:sz w:val="18"/>
                      <w:szCs w:val="18"/>
                    </w:rPr>
                    <w:t>第四十九条禁止在长江流域河湖管理范围内倾倒、填埋、堆放、弃置、处理固体废物。</w:t>
                  </w:r>
                </w:p>
              </w:tc>
              <w:tc>
                <w:tcPr>
                  <w:tcW w:w="1518" w:type="pct"/>
                  <w:shd w:val="clear" w:color="auto" w:fill="auto"/>
                  <w:vAlign w:val="center"/>
                </w:tcPr>
                <w:p w14:paraId="20B69F20">
                  <w:pPr>
                    <w:autoSpaceDE w:val="0"/>
                    <w:autoSpaceDN w:val="0"/>
                    <w:adjustRightInd w:val="0"/>
                    <w:contextualSpacing/>
                    <w:rPr>
                      <w:sz w:val="18"/>
                      <w:szCs w:val="18"/>
                    </w:rPr>
                  </w:pPr>
                  <w:r>
                    <w:rPr>
                      <w:rFonts w:hint="eastAsia"/>
                      <w:sz w:val="18"/>
                      <w:szCs w:val="18"/>
                    </w:rPr>
                    <w:t>本项目建成后产生的固废均得到合理收集、暂存、处置。</w:t>
                  </w:r>
                </w:p>
              </w:tc>
              <w:tc>
                <w:tcPr>
                  <w:tcW w:w="487" w:type="pct"/>
                  <w:shd w:val="clear" w:color="auto" w:fill="auto"/>
                  <w:vAlign w:val="center"/>
                </w:tcPr>
                <w:p w14:paraId="19034301">
                  <w:pPr>
                    <w:pStyle w:val="2"/>
                    <w:rPr>
                      <w:sz w:val="18"/>
                      <w:szCs w:val="18"/>
                    </w:rPr>
                  </w:pPr>
                  <w:r>
                    <w:rPr>
                      <w:rFonts w:hint="eastAsia"/>
                      <w:sz w:val="18"/>
                      <w:szCs w:val="18"/>
                    </w:rPr>
                    <w:t>符合</w:t>
                  </w:r>
                </w:p>
              </w:tc>
            </w:tr>
            <w:tr w14:paraId="17549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restart"/>
                  <w:shd w:val="clear" w:color="auto" w:fill="auto"/>
                  <w:vAlign w:val="center"/>
                </w:tcPr>
                <w:p w14:paraId="5FE39BF9">
                  <w:pPr>
                    <w:pStyle w:val="2"/>
                    <w:rPr>
                      <w:sz w:val="18"/>
                      <w:szCs w:val="18"/>
                    </w:rPr>
                  </w:pPr>
                  <w:r>
                    <w:rPr>
                      <w:rFonts w:hint="eastAsia"/>
                      <w:sz w:val="18"/>
                      <w:szCs w:val="18"/>
                    </w:rPr>
                    <w:t>《长江经济带发展负面清单指南（试行，2022年版）》</w:t>
                  </w:r>
                </w:p>
              </w:tc>
              <w:tc>
                <w:tcPr>
                  <w:tcW w:w="2462" w:type="pct"/>
                  <w:shd w:val="clear" w:color="auto" w:fill="auto"/>
                  <w:vAlign w:val="center"/>
                </w:tcPr>
                <w:p w14:paraId="39E3988B">
                  <w:pPr>
                    <w:pStyle w:val="2"/>
                    <w:jc w:val="both"/>
                    <w:rPr>
                      <w:sz w:val="18"/>
                      <w:szCs w:val="18"/>
                    </w:rPr>
                  </w:pPr>
                  <w:r>
                    <w:rPr>
                      <w:rFonts w:hint="eastAsia"/>
                      <w:sz w:val="18"/>
                      <w:szCs w:val="18"/>
                    </w:rPr>
                    <w:t>第6条 禁止未经许可在长江干支流及湖泊新设、改设或扩大排污口。</w:t>
                  </w:r>
                </w:p>
              </w:tc>
              <w:tc>
                <w:tcPr>
                  <w:tcW w:w="1518" w:type="pct"/>
                  <w:shd w:val="clear" w:color="auto" w:fill="auto"/>
                  <w:vAlign w:val="center"/>
                </w:tcPr>
                <w:p w14:paraId="6B5FD45A">
                  <w:pPr>
                    <w:autoSpaceDE w:val="0"/>
                    <w:autoSpaceDN w:val="0"/>
                    <w:adjustRightInd w:val="0"/>
                    <w:contextualSpacing/>
                    <w:rPr>
                      <w:sz w:val="18"/>
                      <w:szCs w:val="18"/>
                    </w:rPr>
                  </w:pPr>
                  <w:r>
                    <w:rPr>
                      <w:rFonts w:hint="eastAsia"/>
                      <w:sz w:val="18"/>
                      <w:szCs w:val="18"/>
                    </w:rPr>
                    <w:t>本项目不在长江干支流及湖泊新设、改设或扩大排污口。</w:t>
                  </w:r>
                </w:p>
              </w:tc>
              <w:tc>
                <w:tcPr>
                  <w:tcW w:w="487" w:type="pct"/>
                  <w:shd w:val="clear" w:color="auto" w:fill="auto"/>
                  <w:vAlign w:val="center"/>
                </w:tcPr>
                <w:p w14:paraId="566261F4">
                  <w:pPr>
                    <w:pStyle w:val="2"/>
                    <w:rPr>
                      <w:sz w:val="18"/>
                      <w:szCs w:val="18"/>
                    </w:rPr>
                  </w:pPr>
                  <w:r>
                    <w:rPr>
                      <w:rFonts w:hint="eastAsia"/>
                      <w:sz w:val="18"/>
                      <w:szCs w:val="18"/>
                    </w:rPr>
                    <w:t>符合</w:t>
                  </w:r>
                </w:p>
              </w:tc>
            </w:tr>
            <w:tr w14:paraId="63FD0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245C7A5C">
                  <w:pPr>
                    <w:pStyle w:val="2"/>
                    <w:rPr>
                      <w:sz w:val="18"/>
                      <w:szCs w:val="18"/>
                    </w:rPr>
                  </w:pPr>
                </w:p>
              </w:tc>
              <w:tc>
                <w:tcPr>
                  <w:tcW w:w="2462" w:type="pct"/>
                  <w:shd w:val="clear" w:color="auto" w:fill="auto"/>
                  <w:vAlign w:val="center"/>
                </w:tcPr>
                <w:p w14:paraId="0ACEE022">
                  <w:pPr>
                    <w:pStyle w:val="2"/>
                    <w:jc w:val="both"/>
                    <w:rPr>
                      <w:sz w:val="18"/>
                      <w:szCs w:val="18"/>
                    </w:rPr>
                  </w:pPr>
                  <w:r>
                    <w:rPr>
                      <w:rFonts w:hint="eastAsia"/>
                      <w:sz w:val="18"/>
                      <w:szCs w:val="18"/>
                    </w:rPr>
                    <w:t>第8条 禁止在长江干支流、湖泊岸线一公里范围内新建、扩建化工园区和化工项目。禁止在长江干支流岸线三公里范围内和重要支流岸线一公里范围内新建、扩建、改建尾矿库、冶炼渣库和磷石膏库，以提升安全、生态环境保护水平为目的改建除外。</w:t>
                  </w:r>
                </w:p>
              </w:tc>
              <w:tc>
                <w:tcPr>
                  <w:tcW w:w="1518" w:type="pct"/>
                  <w:shd w:val="clear" w:color="auto" w:fill="auto"/>
                  <w:vAlign w:val="center"/>
                </w:tcPr>
                <w:p w14:paraId="3D79417B">
                  <w:pPr>
                    <w:autoSpaceDE w:val="0"/>
                    <w:autoSpaceDN w:val="0"/>
                    <w:adjustRightInd w:val="0"/>
                    <w:contextualSpacing/>
                    <w:rPr>
                      <w:sz w:val="18"/>
                      <w:szCs w:val="18"/>
                    </w:rPr>
                  </w:pPr>
                  <w:r>
                    <w:rPr>
                      <w:rFonts w:hint="eastAsia"/>
                      <w:sz w:val="18"/>
                      <w:szCs w:val="18"/>
                    </w:rPr>
                    <w:t>本项目属于C2740 中成药生产项目，不属于禁止建设区域和建设项目。</w:t>
                  </w:r>
                </w:p>
              </w:tc>
              <w:tc>
                <w:tcPr>
                  <w:tcW w:w="487" w:type="pct"/>
                  <w:shd w:val="clear" w:color="auto" w:fill="auto"/>
                  <w:vAlign w:val="center"/>
                </w:tcPr>
                <w:p w14:paraId="6FD1F04F">
                  <w:pPr>
                    <w:pStyle w:val="2"/>
                    <w:rPr>
                      <w:sz w:val="18"/>
                      <w:szCs w:val="18"/>
                    </w:rPr>
                  </w:pPr>
                  <w:r>
                    <w:rPr>
                      <w:rFonts w:hint="eastAsia"/>
                      <w:sz w:val="18"/>
                      <w:szCs w:val="18"/>
                    </w:rPr>
                    <w:t>符合</w:t>
                  </w:r>
                </w:p>
              </w:tc>
            </w:tr>
            <w:tr w14:paraId="4DE7E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7CAB417D">
                  <w:pPr>
                    <w:pStyle w:val="2"/>
                    <w:rPr>
                      <w:sz w:val="18"/>
                      <w:szCs w:val="18"/>
                    </w:rPr>
                  </w:pPr>
                </w:p>
              </w:tc>
              <w:tc>
                <w:tcPr>
                  <w:tcW w:w="2462" w:type="pct"/>
                  <w:shd w:val="clear" w:color="auto" w:fill="auto"/>
                  <w:vAlign w:val="center"/>
                </w:tcPr>
                <w:p w14:paraId="50FC4428">
                  <w:pPr>
                    <w:pStyle w:val="2"/>
                    <w:jc w:val="both"/>
                    <w:rPr>
                      <w:sz w:val="18"/>
                      <w:szCs w:val="18"/>
                    </w:rPr>
                  </w:pPr>
                  <w:r>
                    <w:rPr>
                      <w:rFonts w:hint="eastAsia"/>
                      <w:sz w:val="18"/>
                      <w:szCs w:val="18"/>
                    </w:rPr>
                    <w:t>第9条 禁止在合规园区外新建、扩建钢铁、石化、化工、焦化、建材、有色、制浆造纸等高污染项目。</w:t>
                  </w:r>
                </w:p>
              </w:tc>
              <w:tc>
                <w:tcPr>
                  <w:tcW w:w="1518" w:type="pct"/>
                  <w:shd w:val="clear" w:color="auto" w:fill="auto"/>
                  <w:vAlign w:val="center"/>
                </w:tcPr>
                <w:p w14:paraId="78CF9429">
                  <w:pPr>
                    <w:autoSpaceDE w:val="0"/>
                    <w:autoSpaceDN w:val="0"/>
                    <w:adjustRightInd w:val="0"/>
                    <w:contextualSpacing/>
                    <w:rPr>
                      <w:sz w:val="18"/>
                      <w:szCs w:val="18"/>
                    </w:rPr>
                  </w:pPr>
                  <w:r>
                    <w:rPr>
                      <w:rFonts w:hint="eastAsia"/>
                      <w:sz w:val="18"/>
                      <w:szCs w:val="18"/>
                    </w:rPr>
                    <w:t>本项目属于C2740 中成药生产项目，不属于钢铁、石化、化工、焦化、建材、有色、制浆造纸等高污染项目。</w:t>
                  </w:r>
                </w:p>
              </w:tc>
              <w:tc>
                <w:tcPr>
                  <w:tcW w:w="487" w:type="pct"/>
                  <w:shd w:val="clear" w:color="auto" w:fill="auto"/>
                  <w:vAlign w:val="center"/>
                </w:tcPr>
                <w:p w14:paraId="4E73DCBC">
                  <w:pPr>
                    <w:pStyle w:val="2"/>
                    <w:rPr>
                      <w:sz w:val="18"/>
                      <w:szCs w:val="18"/>
                    </w:rPr>
                  </w:pPr>
                  <w:r>
                    <w:rPr>
                      <w:rFonts w:hint="eastAsia"/>
                      <w:sz w:val="18"/>
                      <w:szCs w:val="18"/>
                    </w:rPr>
                    <w:t>符合</w:t>
                  </w:r>
                </w:p>
              </w:tc>
            </w:tr>
            <w:tr w14:paraId="44F2C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55388649">
                  <w:pPr>
                    <w:pStyle w:val="2"/>
                    <w:rPr>
                      <w:sz w:val="18"/>
                      <w:szCs w:val="18"/>
                    </w:rPr>
                  </w:pPr>
                </w:p>
              </w:tc>
              <w:tc>
                <w:tcPr>
                  <w:tcW w:w="2462" w:type="pct"/>
                  <w:shd w:val="clear" w:color="auto" w:fill="auto"/>
                  <w:vAlign w:val="center"/>
                </w:tcPr>
                <w:p w14:paraId="74847369">
                  <w:pPr>
                    <w:pStyle w:val="2"/>
                    <w:jc w:val="both"/>
                    <w:rPr>
                      <w:sz w:val="18"/>
                      <w:szCs w:val="18"/>
                    </w:rPr>
                  </w:pPr>
                  <w:r>
                    <w:rPr>
                      <w:rFonts w:hint="eastAsia"/>
                      <w:sz w:val="18"/>
                      <w:szCs w:val="18"/>
                    </w:rPr>
                    <w:t>第11条 禁止新建、扩建法律法规和相关政策明令禁止的落后产能项目。禁止新建、扩建不符合国家产能置换要求的严重过剩产能行业的项目。禁止新建、扩建不符合要求的高耗能高排放项目。</w:t>
                  </w:r>
                </w:p>
              </w:tc>
              <w:tc>
                <w:tcPr>
                  <w:tcW w:w="1518" w:type="pct"/>
                  <w:shd w:val="clear" w:color="auto" w:fill="auto"/>
                  <w:vAlign w:val="center"/>
                </w:tcPr>
                <w:p w14:paraId="184C7BA2">
                  <w:pPr>
                    <w:autoSpaceDE w:val="0"/>
                    <w:autoSpaceDN w:val="0"/>
                    <w:adjustRightInd w:val="0"/>
                    <w:contextualSpacing/>
                    <w:rPr>
                      <w:sz w:val="18"/>
                      <w:szCs w:val="18"/>
                    </w:rPr>
                  </w:pPr>
                  <w:r>
                    <w:rPr>
                      <w:rFonts w:hint="eastAsia"/>
                      <w:sz w:val="18"/>
                      <w:szCs w:val="18"/>
                    </w:rPr>
                    <w:t>本项目属于C2740 中成药生产项目，不属于明令禁止的落后产能项目，不属于国家严重过剩产能行业，不属于高耗能高排放项目。</w:t>
                  </w:r>
                </w:p>
              </w:tc>
              <w:tc>
                <w:tcPr>
                  <w:tcW w:w="487" w:type="pct"/>
                  <w:shd w:val="clear" w:color="auto" w:fill="auto"/>
                  <w:vAlign w:val="center"/>
                </w:tcPr>
                <w:p w14:paraId="492FAC53">
                  <w:pPr>
                    <w:pStyle w:val="2"/>
                    <w:rPr>
                      <w:sz w:val="18"/>
                      <w:szCs w:val="18"/>
                    </w:rPr>
                  </w:pPr>
                  <w:r>
                    <w:rPr>
                      <w:rFonts w:hint="eastAsia"/>
                      <w:sz w:val="18"/>
                      <w:szCs w:val="18"/>
                    </w:rPr>
                    <w:t>符合</w:t>
                  </w:r>
                </w:p>
              </w:tc>
            </w:tr>
            <w:tr w14:paraId="09D96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restart"/>
                  <w:shd w:val="clear" w:color="auto" w:fill="auto"/>
                  <w:vAlign w:val="center"/>
                </w:tcPr>
                <w:p w14:paraId="62E34E5F">
                  <w:pPr>
                    <w:pStyle w:val="2"/>
                    <w:rPr>
                      <w:sz w:val="18"/>
                      <w:szCs w:val="18"/>
                    </w:rPr>
                  </w:pPr>
                  <w:r>
                    <w:rPr>
                      <w:rFonts w:hint="eastAsia"/>
                      <w:sz w:val="18"/>
                      <w:szCs w:val="18"/>
                    </w:rPr>
                    <w:t>《四川省、重庆市长江经济带发展负面清单实施细则（试行，2022年版）》</w:t>
                  </w:r>
                </w:p>
              </w:tc>
              <w:tc>
                <w:tcPr>
                  <w:tcW w:w="2462" w:type="pct"/>
                  <w:shd w:val="clear" w:color="auto" w:fill="auto"/>
                  <w:vAlign w:val="center"/>
                </w:tcPr>
                <w:p w14:paraId="4C2E5B25">
                  <w:pPr>
                    <w:pStyle w:val="89"/>
                    <w:spacing w:line="320" w:lineRule="exact"/>
                    <w:rPr>
                      <w:rFonts w:ascii="Times New Roman" w:cs="Times New Roman"/>
                      <w:sz w:val="18"/>
                      <w:szCs w:val="18"/>
                    </w:rPr>
                  </w:pPr>
                  <w:r>
                    <w:rPr>
                      <w:rFonts w:ascii="Times New Roman" w:cs="Times New Roman"/>
                      <w:sz w:val="18"/>
                      <w:szCs w:val="18"/>
                    </w:rPr>
                    <w:t>窗体顶端</w:t>
                  </w:r>
                </w:p>
                <w:p w14:paraId="45428620">
                  <w:pPr>
                    <w:pStyle w:val="2"/>
                    <w:jc w:val="both"/>
                    <w:rPr>
                      <w:sz w:val="18"/>
                      <w:szCs w:val="18"/>
                    </w:rPr>
                  </w:pPr>
                  <w:r>
                    <w:rPr>
                      <w:sz w:val="18"/>
                      <w:szCs w:val="18"/>
                    </w:rPr>
                    <w:t>第五条</w:t>
                  </w:r>
                  <w:r>
                    <w:rPr>
                      <w:rFonts w:hint="eastAsia"/>
                      <w:sz w:val="18"/>
                      <w:szCs w:val="18"/>
                    </w:rPr>
                    <w:t xml:space="preserve"> </w:t>
                  </w:r>
                  <w:r>
                    <w:rPr>
                      <w:sz w:val="18"/>
                      <w:szCs w:val="18"/>
                    </w:rPr>
                    <w:t>禁止新建、改建和扩建不符合全国港口布局规划，以及《四川省内河水运发展规划《泸州—宜宾—乐山港口群布局规划》《重庆港总体规划（2035年</w:t>
                  </w:r>
                  <w:r>
                    <w:rPr>
                      <w:rFonts w:hint="eastAsia"/>
                      <w:sz w:val="18"/>
                      <w:szCs w:val="18"/>
                    </w:rPr>
                    <w:t>）</w:t>
                  </w:r>
                  <w:r>
                    <w:rPr>
                      <w:sz w:val="18"/>
                      <w:szCs w:val="18"/>
                    </w:rPr>
                    <w:t>》等省级港口布局规划及市级港口总体规划的码头项目。</w:t>
                  </w:r>
                </w:p>
              </w:tc>
              <w:tc>
                <w:tcPr>
                  <w:tcW w:w="1518" w:type="pct"/>
                  <w:shd w:val="clear" w:color="auto" w:fill="auto"/>
                  <w:vAlign w:val="center"/>
                </w:tcPr>
                <w:p w14:paraId="24205DE2">
                  <w:pPr>
                    <w:pStyle w:val="2"/>
                    <w:jc w:val="both"/>
                    <w:rPr>
                      <w:color w:val="FF0000"/>
                      <w:sz w:val="18"/>
                      <w:szCs w:val="18"/>
                    </w:rPr>
                  </w:pPr>
                  <w:r>
                    <w:rPr>
                      <w:rFonts w:hint="eastAsia" w:cs="Times New Roman"/>
                      <w:sz w:val="18"/>
                      <w:szCs w:val="18"/>
                    </w:rPr>
                    <w:t>拟建项目不属于码头项目，符合要求。</w:t>
                  </w:r>
                </w:p>
              </w:tc>
              <w:tc>
                <w:tcPr>
                  <w:tcW w:w="487" w:type="pct"/>
                  <w:shd w:val="clear" w:color="auto" w:fill="auto"/>
                  <w:vAlign w:val="center"/>
                </w:tcPr>
                <w:p w14:paraId="08BE5BEE">
                  <w:pPr>
                    <w:pStyle w:val="2"/>
                    <w:rPr>
                      <w:sz w:val="18"/>
                      <w:szCs w:val="18"/>
                    </w:rPr>
                  </w:pPr>
                  <w:r>
                    <w:rPr>
                      <w:rFonts w:hint="eastAsia"/>
                      <w:sz w:val="18"/>
                      <w:szCs w:val="18"/>
                    </w:rPr>
                    <w:t>符合</w:t>
                  </w:r>
                </w:p>
              </w:tc>
            </w:tr>
            <w:tr w14:paraId="1F39A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1B83074B">
                  <w:pPr>
                    <w:pStyle w:val="2"/>
                    <w:rPr>
                      <w:sz w:val="18"/>
                      <w:szCs w:val="18"/>
                    </w:rPr>
                  </w:pPr>
                </w:p>
              </w:tc>
              <w:tc>
                <w:tcPr>
                  <w:tcW w:w="2462" w:type="pct"/>
                  <w:shd w:val="clear" w:color="auto" w:fill="auto"/>
                  <w:vAlign w:val="center"/>
                </w:tcPr>
                <w:p w14:paraId="0CBB956D">
                  <w:pPr>
                    <w:pStyle w:val="2"/>
                    <w:jc w:val="both"/>
                    <w:rPr>
                      <w:sz w:val="18"/>
                      <w:szCs w:val="18"/>
                    </w:rPr>
                  </w:pPr>
                  <w:r>
                    <w:rPr>
                      <w:sz w:val="18"/>
                      <w:szCs w:val="18"/>
                    </w:rPr>
                    <w:t>第六条</w:t>
                  </w:r>
                  <w:r>
                    <w:rPr>
                      <w:rFonts w:hint="eastAsia"/>
                      <w:sz w:val="18"/>
                      <w:szCs w:val="18"/>
                    </w:rPr>
                    <w:t xml:space="preserve"> </w:t>
                  </w:r>
                  <w:r>
                    <w:rPr>
                      <w:sz w:val="18"/>
                      <w:szCs w:val="18"/>
                    </w:rPr>
                    <w:t>禁止新建、改建和扩建不符合《长江干线过江通道布局规划</w:t>
                  </w:r>
                  <w:r>
                    <w:rPr>
                      <w:rFonts w:hint="eastAsia"/>
                      <w:sz w:val="18"/>
                      <w:szCs w:val="18"/>
                    </w:rPr>
                    <w:t>（</w:t>
                  </w:r>
                  <w:r>
                    <w:rPr>
                      <w:sz w:val="18"/>
                      <w:szCs w:val="18"/>
                    </w:rPr>
                    <w:t>2020—2035年</w:t>
                  </w:r>
                  <w:r>
                    <w:rPr>
                      <w:rFonts w:hint="eastAsia"/>
                      <w:sz w:val="18"/>
                      <w:szCs w:val="18"/>
                    </w:rPr>
                    <w:t>）</w:t>
                  </w:r>
                  <w:r>
                    <w:rPr>
                      <w:sz w:val="18"/>
                      <w:szCs w:val="18"/>
                    </w:rPr>
                    <w:t>》的过长江通道项目（含桥梁、隧道</w:t>
                  </w:r>
                  <w:r>
                    <w:rPr>
                      <w:rFonts w:hint="eastAsia"/>
                      <w:sz w:val="18"/>
                      <w:szCs w:val="18"/>
                    </w:rPr>
                    <w:t>），</w:t>
                  </w:r>
                  <w:r>
                    <w:rPr>
                      <w:sz w:val="18"/>
                      <w:szCs w:val="18"/>
                    </w:rPr>
                    <w:t>国家发展改革委同意过长江通道线位调整的除外。</w:t>
                  </w:r>
                </w:p>
              </w:tc>
              <w:tc>
                <w:tcPr>
                  <w:tcW w:w="1518" w:type="pct"/>
                  <w:shd w:val="clear" w:color="auto" w:fill="auto"/>
                  <w:vAlign w:val="center"/>
                </w:tcPr>
                <w:p w14:paraId="13602D86">
                  <w:pPr>
                    <w:pStyle w:val="2"/>
                    <w:jc w:val="both"/>
                    <w:rPr>
                      <w:color w:val="FF0000"/>
                      <w:sz w:val="18"/>
                      <w:szCs w:val="18"/>
                    </w:rPr>
                  </w:pPr>
                  <w:r>
                    <w:rPr>
                      <w:rFonts w:hint="eastAsia" w:cs="Times New Roman"/>
                      <w:sz w:val="18"/>
                      <w:szCs w:val="18"/>
                    </w:rPr>
                    <w:t>拟建项目不属于</w:t>
                  </w:r>
                  <w:r>
                    <w:rPr>
                      <w:rFonts w:cs="Times New Roman"/>
                      <w:sz w:val="18"/>
                      <w:szCs w:val="18"/>
                    </w:rPr>
                    <w:t>过江通道</w:t>
                  </w:r>
                  <w:r>
                    <w:rPr>
                      <w:rFonts w:hint="eastAsia" w:cs="Times New Roman"/>
                      <w:sz w:val="18"/>
                      <w:szCs w:val="18"/>
                    </w:rPr>
                    <w:t>项目，符合要求。</w:t>
                  </w:r>
                </w:p>
              </w:tc>
              <w:tc>
                <w:tcPr>
                  <w:tcW w:w="487" w:type="pct"/>
                  <w:shd w:val="clear" w:color="auto" w:fill="auto"/>
                  <w:vAlign w:val="center"/>
                </w:tcPr>
                <w:p w14:paraId="6BBF269F">
                  <w:pPr>
                    <w:pStyle w:val="2"/>
                    <w:rPr>
                      <w:sz w:val="18"/>
                      <w:szCs w:val="18"/>
                    </w:rPr>
                  </w:pPr>
                  <w:r>
                    <w:rPr>
                      <w:rFonts w:hint="eastAsia"/>
                      <w:sz w:val="18"/>
                      <w:szCs w:val="18"/>
                    </w:rPr>
                    <w:t>符合</w:t>
                  </w:r>
                </w:p>
              </w:tc>
            </w:tr>
            <w:tr w14:paraId="51133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4C902AB9">
                  <w:pPr>
                    <w:pStyle w:val="2"/>
                    <w:rPr>
                      <w:sz w:val="18"/>
                      <w:szCs w:val="18"/>
                    </w:rPr>
                  </w:pPr>
                </w:p>
              </w:tc>
              <w:tc>
                <w:tcPr>
                  <w:tcW w:w="2462" w:type="pct"/>
                  <w:shd w:val="clear" w:color="auto" w:fill="auto"/>
                  <w:vAlign w:val="center"/>
                </w:tcPr>
                <w:p w14:paraId="51C3D379">
                  <w:pPr>
                    <w:pStyle w:val="2"/>
                    <w:jc w:val="both"/>
                    <w:rPr>
                      <w:sz w:val="18"/>
                      <w:szCs w:val="18"/>
                    </w:rPr>
                  </w:pPr>
                  <w:r>
                    <w:rPr>
                      <w:sz w:val="18"/>
                      <w:szCs w:val="18"/>
                    </w:rPr>
                    <w:t>第七条</w:t>
                  </w:r>
                  <w:r>
                    <w:rPr>
                      <w:rFonts w:hint="eastAsia"/>
                      <w:sz w:val="18"/>
                      <w:szCs w:val="18"/>
                    </w:rPr>
                    <w:t xml:space="preserve"> </w:t>
                  </w:r>
                  <w:r>
                    <w:rPr>
                      <w:sz w:val="18"/>
                      <w:szCs w:val="18"/>
                    </w:rPr>
                    <w:t>禁止在自然保护区核心区、缓冲区的岸线和河段范围内投资建设旅游和生产经营项目。自然保护区的内部未分区的，依照核心区和缓冲区的规定管控。</w:t>
                  </w:r>
                </w:p>
              </w:tc>
              <w:tc>
                <w:tcPr>
                  <w:tcW w:w="1518" w:type="pct"/>
                  <w:shd w:val="clear" w:color="auto" w:fill="auto"/>
                  <w:vAlign w:val="center"/>
                </w:tcPr>
                <w:p w14:paraId="6094A1BF">
                  <w:pPr>
                    <w:pStyle w:val="2"/>
                    <w:jc w:val="both"/>
                    <w:rPr>
                      <w:color w:val="FF0000"/>
                      <w:sz w:val="18"/>
                      <w:szCs w:val="18"/>
                    </w:rPr>
                  </w:pPr>
                  <w:r>
                    <w:rPr>
                      <w:rFonts w:hint="eastAsia" w:cs="Times New Roman"/>
                      <w:sz w:val="18"/>
                      <w:szCs w:val="18"/>
                    </w:rPr>
                    <w:t>拟建项目不在前述管控区域，符合要求。</w:t>
                  </w:r>
                </w:p>
              </w:tc>
              <w:tc>
                <w:tcPr>
                  <w:tcW w:w="487" w:type="pct"/>
                  <w:shd w:val="clear" w:color="auto" w:fill="auto"/>
                  <w:vAlign w:val="center"/>
                </w:tcPr>
                <w:p w14:paraId="410DFF98">
                  <w:pPr>
                    <w:pStyle w:val="2"/>
                    <w:rPr>
                      <w:sz w:val="18"/>
                      <w:szCs w:val="18"/>
                    </w:rPr>
                  </w:pPr>
                  <w:r>
                    <w:rPr>
                      <w:rFonts w:hint="eastAsia"/>
                      <w:sz w:val="18"/>
                      <w:szCs w:val="18"/>
                    </w:rPr>
                    <w:t>符合</w:t>
                  </w:r>
                </w:p>
              </w:tc>
            </w:tr>
            <w:tr w14:paraId="3D3A7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024446F3">
                  <w:pPr>
                    <w:pStyle w:val="2"/>
                    <w:rPr>
                      <w:sz w:val="18"/>
                      <w:szCs w:val="18"/>
                    </w:rPr>
                  </w:pPr>
                </w:p>
              </w:tc>
              <w:tc>
                <w:tcPr>
                  <w:tcW w:w="2462" w:type="pct"/>
                  <w:shd w:val="clear" w:color="auto" w:fill="auto"/>
                  <w:vAlign w:val="center"/>
                </w:tcPr>
                <w:p w14:paraId="10628ADB">
                  <w:pPr>
                    <w:pStyle w:val="2"/>
                    <w:jc w:val="both"/>
                    <w:rPr>
                      <w:sz w:val="18"/>
                      <w:szCs w:val="18"/>
                    </w:rPr>
                  </w:pPr>
                  <w:r>
                    <w:rPr>
                      <w:sz w:val="18"/>
                      <w:szCs w:val="18"/>
                    </w:rPr>
                    <w:t>第八条</w:t>
                  </w:r>
                  <w:r>
                    <w:rPr>
                      <w:rFonts w:hint="eastAsia"/>
                      <w:sz w:val="18"/>
                      <w:szCs w:val="18"/>
                    </w:rPr>
                    <w:t xml:space="preserve"> </w:t>
                  </w:r>
                  <w:r>
                    <w:rPr>
                      <w:sz w:val="18"/>
                      <w:szCs w:val="18"/>
                    </w:rPr>
                    <w:t>禁止违反风景名胜区规划，在风景名胜区内设立各类开发区。禁止在风景名胜区核心景区的岸线和河段范围内建设宾馆、招待所、培训中心、疗养院以及与风景名</w:t>
                  </w:r>
                  <w:r>
                    <w:rPr>
                      <w:rFonts w:hint="eastAsia"/>
                      <w:sz w:val="18"/>
                      <w:szCs w:val="18"/>
                    </w:rPr>
                    <w:t>胜区</w:t>
                  </w:r>
                  <w:r>
                    <w:rPr>
                      <w:sz w:val="18"/>
                      <w:szCs w:val="18"/>
                    </w:rPr>
                    <w:t>资源保护无关的项目。</w:t>
                  </w:r>
                </w:p>
              </w:tc>
              <w:tc>
                <w:tcPr>
                  <w:tcW w:w="1518" w:type="pct"/>
                  <w:shd w:val="clear" w:color="auto" w:fill="auto"/>
                  <w:vAlign w:val="center"/>
                </w:tcPr>
                <w:p w14:paraId="2F75BE57">
                  <w:pPr>
                    <w:pStyle w:val="2"/>
                    <w:jc w:val="both"/>
                    <w:rPr>
                      <w:color w:val="FF0000"/>
                      <w:sz w:val="18"/>
                      <w:szCs w:val="18"/>
                    </w:rPr>
                  </w:pPr>
                  <w:r>
                    <w:rPr>
                      <w:rFonts w:hint="eastAsia" w:cs="Times New Roman"/>
                      <w:sz w:val="18"/>
                      <w:szCs w:val="18"/>
                    </w:rPr>
                    <w:t>拟建项目不在前述管控区域，符合要求。</w:t>
                  </w:r>
                </w:p>
              </w:tc>
              <w:tc>
                <w:tcPr>
                  <w:tcW w:w="487" w:type="pct"/>
                  <w:shd w:val="clear" w:color="auto" w:fill="auto"/>
                  <w:vAlign w:val="center"/>
                </w:tcPr>
                <w:p w14:paraId="5313E4B9">
                  <w:pPr>
                    <w:pStyle w:val="2"/>
                    <w:rPr>
                      <w:sz w:val="18"/>
                      <w:szCs w:val="18"/>
                    </w:rPr>
                  </w:pPr>
                  <w:r>
                    <w:rPr>
                      <w:rFonts w:hint="eastAsia"/>
                      <w:sz w:val="18"/>
                      <w:szCs w:val="18"/>
                    </w:rPr>
                    <w:t>符合</w:t>
                  </w:r>
                </w:p>
              </w:tc>
            </w:tr>
            <w:tr w14:paraId="4B168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1294DF3D">
                  <w:pPr>
                    <w:pStyle w:val="2"/>
                    <w:rPr>
                      <w:sz w:val="18"/>
                      <w:szCs w:val="18"/>
                    </w:rPr>
                  </w:pPr>
                </w:p>
              </w:tc>
              <w:tc>
                <w:tcPr>
                  <w:tcW w:w="2462" w:type="pct"/>
                  <w:shd w:val="clear" w:color="auto" w:fill="auto"/>
                  <w:vAlign w:val="center"/>
                </w:tcPr>
                <w:p w14:paraId="7444E68C">
                  <w:pPr>
                    <w:pStyle w:val="2"/>
                    <w:jc w:val="both"/>
                    <w:rPr>
                      <w:sz w:val="18"/>
                      <w:szCs w:val="18"/>
                    </w:rPr>
                  </w:pPr>
                  <w:r>
                    <w:rPr>
                      <w:rFonts w:hint="eastAsia"/>
                      <w:sz w:val="18"/>
                      <w:szCs w:val="18"/>
                    </w:rPr>
                    <w:t>第九条 禁止在饮用水水源准保护区的岸线和河段范围内新建、扩建对水体污染严重的建设项目，禁止改建增加排污量的建设项目。</w:t>
                  </w:r>
                </w:p>
              </w:tc>
              <w:tc>
                <w:tcPr>
                  <w:tcW w:w="1518" w:type="pct"/>
                  <w:shd w:val="clear" w:color="auto" w:fill="auto"/>
                  <w:vAlign w:val="center"/>
                </w:tcPr>
                <w:p w14:paraId="124D7C54">
                  <w:pPr>
                    <w:pStyle w:val="2"/>
                    <w:jc w:val="both"/>
                    <w:rPr>
                      <w:color w:val="FF0000"/>
                      <w:sz w:val="18"/>
                      <w:szCs w:val="18"/>
                    </w:rPr>
                  </w:pPr>
                  <w:r>
                    <w:rPr>
                      <w:rFonts w:hint="eastAsia" w:cs="Times New Roman"/>
                      <w:sz w:val="18"/>
                      <w:szCs w:val="18"/>
                    </w:rPr>
                    <w:t>拟建项目不在前述管控区域，符合要求。</w:t>
                  </w:r>
                </w:p>
              </w:tc>
              <w:tc>
                <w:tcPr>
                  <w:tcW w:w="487" w:type="pct"/>
                  <w:shd w:val="clear" w:color="auto" w:fill="auto"/>
                  <w:vAlign w:val="center"/>
                </w:tcPr>
                <w:p w14:paraId="41A7528B">
                  <w:pPr>
                    <w:pStyle w:val="2"/>
                    <w:rPr>
                      <w:sz w:val="18"/>
                      <w:szCs w:val="18"/>
                    </w:rPr>
                  </w:pPr>
                  <w:r>
                    <w:rPr>
                      <w:rFonts w:hint="eastAsia"/>
                      <w:sz w:val="18"/>
                      <w:szCs w:val="18"/>
                    </w:rPr>
                    <w:t>符合</w:t>
                  </w:r>
                </w:p>
              </w:tc>
            </w:tr>
            <w:tr w14:paraId="38955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5417C04C">
                  <w:pPr>
                    <w:pStyle w:val="2"/>
                    <w:rPr>
                      <w:sz w:val="18"/>
                      <w:szCs w:val="18"/>
                    </w:rPr>
                  </w:pPr>
                </w:p>
              </w:tc>
              <w:tc>
                <w:tcPr>
                  <w:tcW w:w="2462" w:type="pct"/>
                  <w:shd w:val="clear" w:color="auto" w:fill="auto"/>
                  <w:vAlign w:val="center"/>
                </w:tcPr>
                <w:p w14:paraId="2E390159">
                  <w:pPr>
                    <w:pStyle w:val="2"/>
                    <w:jc w:val="both"/>
                    <w:rPr>
                      <w:sz w:val="18"/>
                      <w:szCs w:val="18"/>
                    </w:rPr>
                  </w:pPr>
                  <w:r>
                    <w:rPr>
                      <w:rFonts w:hint="eastAsia"/>
                      <w:sz w:val="18"/>
                      <w:szCs w:val="18"/>
                    </w:rPr>
                    <w:t>第十条 饮用水水源二级保护区的岸线和河段范围内，除遵守准保护区规定外，禁止新建、改建、扩建排放污染物的投资建设项目﹔禁止从事对水体有污染的水产养殖等活动。</w:t>
                  </w:r>
                </w:p>
              </w:tc>
              <w:tc>
                <w:tcPr>
                  <w:tcW w:w="1518" w:type="pct"/>
                  <w:shd w:val="clear" w:color="auto" w:fill="auto"/>
                  <w:vAlign w:val="center"/>
                </w:tcPr>
                <w:p w14:paraId="5BF56FB9">
                  <w:pPr>
                    <w:pStyle w:val="2"/>
                    <w:jc w:val="both"/>
                    <w:rPr>
                      <w:color w:val="FF0000"/>
                      <w:sz w:val="18"/>
                      <w:szCs w:val="18"/>
                    </w:rPr>
                  </w:pPr>
                  <w:r>
                    <w:rPr>
                      <w:rFonts w:hint="eastAsia" w:cs="Times New Roman"/>
                      <w:sz w:val="18"/>
                      <w:szCs w:val="18"/>
                    </w:rPr>
                    <w:t>拟建项目不在前述管控区域，符合要求。</w:t>
                  </w:r>
                </w:p>
              </w:tc>
              <w:tc>
                <w:tcPr>
                  <w:tcW w:w="487" w:type="pct"/>
                  <w:shd w:val="clear" w:color="auto" w:fill="auto"/>
                  <w:vAlign w:val="center"/>
                </w:tcPr>
                <w:p w14:paraId="71CBF57B">
                  <w:pPr>
                    <w:pStyle w:val="2"/>
                    <w:rPr>
                      <w:sz w:val="18"/>
                      <w:szCs w:val="18"/>
                    </w:rPr>
                  </w:pPr>
                  <w:r>
                    <w:rPr>
                      <w:rFonts w:hint="eastAsia"/>
                      <w:sz w:val="18"/>
                      <w:szCs w:val="18"/>
                    </w:rPr>
                    <w:t>符合</w:t>
                  </w:r>
                </w:p>
              </w:tc>
            </w:tr>
            <w:tr w14:paraId="0D4AC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0AD335BC">
                  <w:pPr>
                    <w:pStyle w:val="2"/>
                    <w:rPr>
                      <w:sz w:val="18"/>
                      <w:szCs w:val="18"/>
                    </w:rPr>
                  </w:pPr>
                </w:p>
              </w:tc>
              <w:tc>
                <w:tcPr>
                  <w:tcW w:w="2462" w:type="pct"/>
                  <w:shd w:val="clear" w:color="auto" w:fill="auto"/>
                  <w:vAlign w:val="center"/>
                </w:tcPr>
                <w:p w14:paraId="63C132C1">
                  <w:pPr>
                    <w:pStyle w:val="2"/>
                    <w:jc w:val="both"/>
                    <w:rPr>
                      <w:sz w:val="18"/>
                      <w:szCs w:val="18"/>
                    </w:rPr>
                  </w:pPr>
                  <w:r>
                    <w:rPr>
                      <w:rFonts w:hint="eastAsia"/>
                      <w:sz w:val="18"/>
                      <w:szCs w:val="18"/>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1518" w:type="pct"/>
                  <w:shd w:val="clear" w:color="auto" w:fill="auto"/>
                  <w:vAlign w:val="center"/>
                </w:tcPr>
                <w:p w14:paraId="05C4FE91">
                  <w:pPr>
                    <w:pStyle w:val="2"/>
                    <w:jc w:val="both"/>
                    <w:rPr>
                      <w:color w:val="FF0000"/>
                      <w:sz w:val="18"/>
                      <w:szCs w:val="18"/>
                    </w:rPr>
                  </w:pPr>
                  <w:r>
                    <w:rPr>
                      <w:rFonts w:hint="eastAsia" w:cs="Times New Roman"/>
                      <w:sz w:val="18"/>
                      <w:szCs w:val="18"/>
                    </w:rPr>
                    <w:t>拟建项目不在前述管控区域，符合要求。</w:t>
                  </w:r>
                </w:p>
              </w:tc>
              <w:tc>
                <w:tcPr>
                  <w:tcW w:w="487" w:type="pct"/>
                  <w:shd w:val="clear" w:color="auto" w:fill="auto"/>
                  <w:vAlign w:val="center"/>
                </w:tcPr>
                <w:p w14:paraId="7166BC17">
                  <w:pPr>
                    <w:pStyle w:val="2"/>
                    <w:rPr>
                      <w:sz w:val="18"/>
                      <w:szCs w:val="18"/>
                    </w:rPr>
                  </w:pPr>
                  <w:r>
                    <w:rPr>
                      <w:rFonts w:hint="eastAsia"/>
                      <w:sz w:val="18"/>
                      <w:szCs w:val="18"/>
                    </w:rPr>
                    <w:t>符合</w:t>
                  </w:r>
                </w:p>
              </w:tc>
            </w:tr>
            <w:tr w14:paraId="303B2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7ED32F68">
                  <w:pPr>
                    <w:pStyle w:val="2"/>
                    <w:rPr>
                      <w:sz w:val="18"/>
                      <w:szCs w:val="18"/>
                    </w:rPr>
                  </w:pPr>
                </w:p>
              </w:tc>
              <w:tc>
                <w:tcPr>
                  <w:tcW w:w="2462" w:type="pct"/>
                  <w:shd w:val="clear" w:color="auto" w:fill="auto"/>
                  <w:vAlign w:val="center"/>
                </w:tcPr>
                <w:p w14:paraId="06CEA145">
                  <w:pPr>
                    <w:pStyle w:val="2"/>
                    <w:jc w:val="both"/>
                    <w:rPr>
                      <w:sz w:val="18"/>
                      <w:szCs w:val="18"/>
                    </w:rPr>
                  </w:pPr>
                  <w:r>
                    <w:rPr>
                      <w:rFonts w:hint="eastAsia"/>
                      <w:sz w:val="18"/>
                      <w:szCs w:val="18"/>
                    </w:rPr>
                    <w:t>第十二条 禁止在水产种质资源保护区岸线和河段范围内新建围湖造田、围湖造地或挖沙采石等投资建设项目。</w:t>
                  </w:r>
                </w:p>
              </w:tc>
              <w:tc>
                <w:tcPr>
                  <w:tcW w:w="1518" w:type="pct"/>
                  <w:shd w:val="clear" w:color="auto" w:fill="auto"/>
                  <w:vAlign w:val="center"/>
                </w:tcPr>
                <w:p w14:paraId="400D8A8A">
                  <w:pPr>
                    <w:pStyle w:val="2"/>
                    <w:jc w:val="both"/>
                    <w:rPr>
                      <w:color w:val="FF0000"/>
                      <w:sz w:val="18"/>
                      <w:szCs w:val="18"/>
                    </w:rPr>
                  </w:pPr>
                  <w:r>
                    <w:rPr>
                      <w:rFonts w:hint="eastAsia" w:cs="Times New Roman"/>
                      <w:sz w:val="18"/>
                      <w:szCs w:val="18"/>
                    </w:rPr>
                    <w:t>拟建项目不在前述管控区域，符合要求。</w:t>
                  </w:r>
                </w:p>
              </w:tc>
              <w:tc>
                <w:tcPr>
                  <w:tcW w:w="487" w:type="pct"/>
                  <w:shd w:val="clear" w:color="auto" w:fill="auto"/>
                  <w:vAlign w:val="center"/>
                </w:tcPr>
                <w:p w14:paraId="6288ABFE">
                  <w:pPr>
                    <w:pStyle w:val="2"/>
                    <w:rPr>
                      <w:sz w:val="18"/>
                      <w:szCs w:val="18"/>
                    </w:rPr>
                  </w:pPr>
                  <w:r>
                    <w:rPr>
                      <w:rFonts w:hint="eastAsia"/>
                      <w:sz w:val="18"/>
                      <w:szCs w:val="18"/>
                    </w:rPr>
                    <w:t>符合</w:t>
                  </w:r>
                </w:p>
              </w:tc>
            </w:tr>
            <w:tr w14:paraId="11DC8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12E68F71">
                  <w:pPr>
                    <w:pStyle w:val="2"/>
                    <w:rPr>
                      <w:sz w:val="18"/>
                      <w:szCs w:val="18"/>
                    </w:rPr>
                  </w:pPr>
                </w:p>
              </w:tc>
              <w:tc>
                <w:tcPr>
                  <w:tcW w:w="2462" w:type="pct"/>
                  <w:shd w:val="clear" w:color="auto" w:fill="auto"/>
                  <w:vAlign w:val="center"/>
                </w:tcPr>
                <w:p w14:paraId="32199993">
                  <w:pPr>
                    <w:pStyle w:val="2"/>
                    <w:jc w:val="both"/>
                    <w:rPr>
                      <w:sz w:val="18"/>
                      <w:szCs w:val="18"/>
                    </w:rPr>
                  </w:pPr>
                  <w:r>
                    <w:rPr>
                      <w:rFonts w:hint="eastAsia"/>
                      <w:sz w:val="18"/>
                      <w:szCs w:val="18"/>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518" w:type="pct"/>
                  <w:shd w:val="clear" w:color="auto" w:fill="auto"/>
                  <w:vAlign w:val="center"/>
                </w:tcPr>
                <w:p w14:paraId="1B2566BC">
                  <w:pPr>
                    <w:pStyle w:val="2"/>
                    <w:jc w:val="both"/>
                    <w:rPr>
                      <w:color w:val="FF0000"/>
                      <w:sz w:val="18"/>
                      <w:szCs w:val="18"/>
                    </w:rPr>
                  </w:pPr>
                  <w:r>
                    <w:rPr>
                      <w:rFonts w:hint="eastAsia" w:cs="Times New Roman"/>
                      <w:sz w:val="18"/>
                      <w:szCs w:val="18"/>
                    </w:rPr>
                    <w:t>拟建项目不在前述管控区域，符合要求。</w:t>
                  </w:r>
                </w:p>
              </w:tc>
              <w:tc>
                <w:tcPr>
                  <w:tcW w:w="487" w:type="pct"/>
                  <w:shd w:val="clear" w:color="auto" w:fill="auto"/>
                  <w:vAlign w:val="center"/>
                </w:tcPr>
                <w:p w14:paraId="04E2F4F8">
                  <w:pPr>
                    <w:pStyle w:val="2"/>
                    <w:rPr>
                      <w:sz w:val="18"/>
                      <w:szCs w:val="18"/>
                    </w:rPr>
                  </w:pPr>
                  <w:r>
                    <w:rPr>
                      <w:rFonts w:hint="eastAsia"/>
                      <w:sz w:val="18"/>
                      <w:szCs w:val="18"/>
                    </w:rPr>
                    <w:t>符合</w:t>
                  </w:r>
                </w:p>
              </w:tc>
            </w:tr>
            <w:tr w14:paraId="06643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54F3AA0C">
                  <w:pPr>
                    <w:pStyle w:val="2"/>
                    <w:rPr>
                      <w:sz w:val="18"/>
                      <w:szCs w:val="18"/>
                    </w:rPr>
                  </w:pPr>
                </w:p>
              </w:tc>
              <w:tc>
                <w:tcPr>
                  <w:tcW w:w="2462" w:type="pct"/>
                  <w:shd w:val="clear" w:color="auto" w:fill="auto"/>
                  <w:vAlign w:val="center"/>
                </w:tcPr>
                <w:p w14:paraId="22CF6F2B">
                  <w:pPr>
                    <w:pStyle w:val="2"/>
                    <w:jc w:val="both"/>
                    <w:rPr>
                      <w:sz w:val="18"/>
                      <w:szCs w:val="18"/>
                    </w:rPr>
                  </w:pPr>
                  <w:r>
                    <w:rPr>
                      <w:rFonts w:hint="eastAsia"/>
                      <w:sz w:val="18"/>
                      <w:szCs w:val="18"/>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518" w:type="pct"/>
                  <w:shd w:val="clear" w:color="auto" w:fill="auto"/>
                  <w:vAlign w:val="center"/>
                </w:tcPr>
                <w:p w14:paraId="0AE8922D">
                  <w:pPr>
                    <w:pStyle w:val="2"/>
                    <w:jc w:val="both"/>
                    <w:rPr>
                      <w:color w:val="FF0000"/>
                      <w:sz w:val="18"/>
                      <w:szCs w:val="18"/>
                    </w:rPr>
                  </w:pPr>
                  <w:r>
                    <w:rPr>
                      <w:rFonts w:hint="eastAsia" w:cs="Times New Roman"/>
                      <w:sz w:val="18"/>
                      <w:szCs w:val="18"/>
                    </w:rPr>
                    <w:t>拟建项目不在前述管控区域，符合要求。</w:t>
                  </w:r>
                </w:p>
              </w:tc>
              <w:tc>
                <w:tcPr>
                  <w:tcW w:w="487" w:type="pct"/>
                  <w:shd w:val="clear" w:color="auto" w:fill="auto"/>
                  <w:vAlign w:val="center"/>
                </w:tcPr>
                <w:p w14:paraId="173C7BC0">
                  <w:pPr>
                    <w:pStyle w:val="2"/>
                    <w:rPr>
                      <w:sz w:val="18"/>
                      <w:szCs w:val="18"/>
                    </w:rPr>
                  </w:pPr>
                  <w:r>
                    <w:rPr>
                      <w:rFonts w:hint="eastAsia"/>
                      <w:sz w:val="18"/>
                      <w:szCs w:val="18"/>
                    </w:rPr>
                    <w:t>符合</w:t>
                  </w:r>
                </w:p>
              </w:tc>
            </w:tr>
            <w:tr w14:paraId="5AD1C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053C212B">
                  <w:pPr>
                    <w:pStyle w:val="2"/>
                    <w:rPr>
                      <w:sz w:val="18"/>
                      <w:szCs w:val="18"/>
                    </w:rPr>
                  </w:pPr>
                </w:p>
              </w:tc>
              <w:tc>
                <w:tcPr>
                  <w:tcW w:w="2462" w:type="pct"/>
                  <w:shd w:val="clear" w:color="auto" w:fill="auto"/>
                  <w:vAlign w:val="center"/>
                </w:tcPr>
                <w:p w14:paraId="6ED131C1">
                  <w:pPr>
                    <w:pStyle w:val="2"/>
                    <w:jc w:val="both"/>
                    <w:rPr>
                      <w:sz w:val="18"/>
                      <w:szCs w:val="18"/>
                    </w:rPr>
                  </w:pPr>
                  <w:r>
                    <w:rPr>
                      <w:rFonts w:hint="eastAsia"/>
                      <w:sz w:val="18"/>
                      <w:szCs w:val="18"/>
                    </w:rPr>
                    <w:t>第十五条 禁止在《全国重要江河湖泊水功能区划》划定的河段及湖泊保护区、保留区内投资建设不利于水资源及自然生态保护的项目。</w:t>
                  </w:r>
                </w:p>
              </w:tc>
              <w:tc>
                <w:tcPr>
                  <w:tcW w:w="1518" w:type="pct"/>
                  <w:shd w:val="clear" w:color="auto" w:fill="auto"/>
                  <w:vAlign w:val="center"/>
                </w:tcPr>
                <w:p w14:paraId="6A6EAFB9">
                  <w:pPr>
                    <w:pStyle w:val="2"/>
                    <w:jc w:val="both"/>
                    <w:rPr>
                      <w:sz w:val="18"/>
                      <w:szCs w:val="18"/>
                    </w:rPr>
                  </w:pPr>
                  <w:r>
                    <w:rPr>
                      <w:rFonts w:hint="eastAsia" w:cs="Times New Roman"/>
                      <w:sz w:val="18"/>
                      <w:szCs w:val="18"/>
                    </w:rPr>
                    <w:t>拟建项目不在前述管控区域，符合要求。</w:t>
                  </w:r>
                </w:p>
              </w:tc>
              <w:tc>
                <w:tcPr>
                  <w:tcW w:w="487" w:type="pct"/>
                  <w:shd w:val="clear" w:color="auto" w:fill="auto"/>
                  <w:vAlign w:val="center"/>
                </w:tcPr>
                <w:p w14:paraId="33583ABA">
                  <w:pPr>
                    <w:pStyle w:val="2"/>
                    <w:rPr>
                      <w:sz w:val="18"/>
                      <w:szCs w:val="18"/>
                    </w:rPr>
                  </w:pPr>
                  <w:r>
                    <w:rPr>
                      <w:rFonts w:hint="eastAsia"/>
                      <w:sz w:val="18"/>
                      <w:szCs w:val="18"/>
                    </w:rPr>
                    <w:t>符合</w:t>
                  </w:r>
                </w:p>
              </w:tc>
            </w:tr>
            <w:tr w14:paraId="2EF0D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30F00F74">
                  <w:pPr>
                    <w:pStyle w:val="2"/>
                    <w:rPr>
                      <w:sz w:val="18"/>
                      <w:szCs w:val="18"/>
                    </w:rPr>
                  </w:pPr>
                </w:p>
              </w:tc>
              <w:tc>
                <w:tcPr>
                  <w:tcW w:w="2462" w:type="pct"/>
                  <w:shd w:val="clear" w:color="auto" w:fill="auto"/>
                  <w:vAlign w:val="center"/>
                </w:tcPr>
                <w:p w14:paraId="048DB25B">
                  <w:pPr>
                    <w:pStyle w:val="2"/>
                    <w:jc w:val="both"/>
                    <w:rPr>
                      <w:sz w:val="18"/>
                      <w:szCs w:val="18"/>
                    </w:rPr>
                  </w:pPr>
                  <w:r>
                    <w:rPr>
                      <w:rFonts w:hint="eastAsia"/>
                      <w:sz w:val="18"/>
                      <w:szCs w:val="18"/>
                    </w:rPr>
                    <w:t>第十六条 禁止在长江流域江河、湖泊新设、改设或者扩大排污口。经有管辖权的生态环境主管部门或者长江流域生态环境监督管理机构同意的除外。</w:t>
                  </w:r>
                </w:p>
              </w:tc>
              <w:tc>
                <w:tcPr>
                  <w:tcW w:w="1518" w:type="pct"/>
                  <w:shd w:val="clear" w:color="auto" w:fill="auto"/>
                  <w:vAlign w:val="center"/>
                </w:tcPr>
                <w:p w14:paraId="4AFFFF09">
                  <w:pPr>
                    <w:pStyle w:val="2"/>
                    <w:jc w:val="both"/>
                    <w:rPr>
                      <w:sz w:val="18"/>
                      <w:szCs w:val="18"/>
                    </w:rPr>
                  </w:pPr>
                  <w:r>
                    <w:rPr>
                      <w:rFonts w:hint="eastAsia"/>
                      <w:sz w:val="18"/>
                      <w:szCs w:val="18"/>
                    </w:rPr>
                    <w:t>本项目的建设不涉及在长江流域江河、湖泊新设、改设或者扩大排污口。</w:t>
                  </w:r>
                </w:p>
              </w:tc>
              <w:tc>
                <w:tcPr>
                  <w:tcW w:w="487" w:type="pct"/>
                  <w:shd w:val="clear" w:color="auto" w:fill="auto"/>
                  <w:vAlign w:val="center"/>
                </w:tcPr>
                <w:p w14:paraId="59E7DC07">
                  <w:pPr>
                    <w:pStyle w:val="2"/>
                    <w:rPr>
                      <w:sz w:val="18"/>
                      <w:szCs w:val="18"/>
                    </w:rPr>
                  </w:pPr>
                  <w:r>
                    <w:rPr>
                      <w:rFonts w:hint="eastAsia"/>
                      <w:sz w:val="18"/>
                      <w:szCs w:val="18"/>
                    </w:rPr>
                    <w:t>符合</w:t>
                  </w:r>
                </w:p>
              </w:tc>
            </w:tr>
            <w:tr w14:paraId="7BB33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5C167F60">
                  <w:pPr>
                    <w:pStyle w:val="2"/>
                    <w:rPr>
                      <w:sz w:val="18"/>
                      <w:szCs w:val="18"/>
                    </w:rPr>
                  </w:pPr>
                </w:p>
              </w:tc>
              <w:tc>
                <w:tcPr>
                  <w:tcW w:w="2462" w:type="pct"/>
                  <w:shd w:val="clear" w:color="auto" w:fill="auto"/>
                  <w:vAlign w:val="center"/>
                </w:tcPr>
                <w:p w14:paraId="66216914">
                  <w:pPr>
                    <w:pStyle w:val="2"/>
                    <w:jc w:val="both"/>
                    <w:rPr>
                      <w:sz w:val="18"/>
                      <w:szCs w:val="18"/>
                    </w:rPr>
                  </w:pPr>
                  <w:r>
                    <w:rPr>
                      <w:rFonts w:hint="eastAsia"/>
                      <w:sz w:val="18"/>
                      <w:szCs w:val="18"/>
                    </w:rPr>
                    <w:t>第十七条 禁止在长江干流、大渡河、岷江、赤水河、沱江、嘉陵江、乌江、汉江和51个（四川省45个、重庆市6个）水生生物保护区开展生产性捕捞。</w:t>
                  </w:r>
                </w:p>
              </w:tc>
              <w:tc>
                <w:tcPr>
                  <w:tcW w:w="1518" w:type="pct"/>
                  <w:shd w:val="clear" w:color="auto" w:fill="auto"/>
                  <w:vAlign w:val="center"/>
                </w:tcPr>
                <w:p w14:paraId="2AC910FD">
                  <w:pPr>
                    <w:pStyle w:val="2"/>
                    <w:jc w:val="both"/>
                    <w:rPr>
                      <w:color w:val="FF0000"/>
                      <w:sz w:val="18"/>
                      <w:szCs w:val="18"/>
                    </w:rPr>
                  </w:pPr>
                  <w:r>
                    <w:rPr>
                      <w:rFonts w:hint="eastAsia" w:cs="Times New Roman"/>
                      <w:sz w:val="18"/>
                      <w:szCs w:val="18"/>
                    </w:rPr>
                    <w:t>拟建项目不在前述管控区域、不属于生产性捕捞，符合要求。</w:t>
                  </w:r>
                </w:p>
              </w:tc>
              <w:tc>
                <w:tcPr>
                  <w:tcW w:w="487" w:type="pct"/>
                  <w:shd w:val="clear" w:color="auto" w:fill="auto"/>
                  <w:vAlign w:val="center"/>
                </w:tcPr>
                <w:p w14:paraId="7E9D82E3">
                  <w:pPr>
                    <w:pStyle w:val="2"/>
                    <w:rPr>
                      <w:sz w:val="18"/>
                      <w:szCs w:val="18"/>
                    </w:rPr>
                  </w:pPr>
                  <w:r>
                    <w:rPr>
                      <w:rFonts w:hint="eastAsia"/>
                      <w:sz w:val="18"/>
                      <w:szCs w:val="18"/>
                    </w:rPr>
                    <w:t>符合</w:t>
                  </w:r>
                </w:p>
              </w:tc>
            </w:tr>
            <w:tr w14:paraId="47CF7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30B2BAD1">
                  <w:pPr>
                    <w:pStyle w:val="2"/>
                    <w:rPr>
                      <w:sz w:val="18"/>
                      <w:szCs w:val="18"/>
                    </w:rPr>
                  </w:pPr>
                </w:p>
              </w:tc>
              <w:tc>
                <w:tcPr>
                  <w:tcW w:w="2462" w:type="pct"/>
                  <w:shd w:val="clear" w:color="auto" w:fill="auto"/>
                  <w:vAlign w:val="center"/>
                </w:tcPr>
                <w:p w14:paraId="53B5AABB">
                  <w:pPr>
                    <w:pStyle w:val="2"/>
                    <w:jc w:val="both"/>
                    <w:rPr>
                      <w:sz w:val="18"/>
                      <w:szCs w:val="18"/>
                    </w:rPr>
                  </w:pPr>
                  <w:r>
                    <w:rPr>
                      <w:rFonts w:hint="eastAsia"/>
                      <w:sz w:val="18"/>
                      <w:szCs w:val="18"/>
                    </w:rPr>
                    <w:t>第十八条 禁止在长江干支流、重要湖泊岸线一公里范围内新建、扩建化工园区和化工项目。</w:t>
                  </w:r>
                </w:p>
              </w:tc>
              <w:tc>
                <w:tcPr>
                  <w:tcW w:w="1518" w:type="pct"/>
                  <w:shd w:val="clear" w:color="auto" w:fill="auto"/>
                  <w:vAlign w:val="center"/>
                </w:tcPr>
                <w:p w14:paraId="7B63BAB8">
                  <w:pPr>
                    <w:pStyle w:val="2"/>
                    <w:jc w:val="both"/>
                    <w:rPr>
                      <w:color w:val="FF0000"/>
                      <w:sz w:val="18"/>
                      <w:szCs w:val="18"/>
                    </w:rPr>
                  </w:pPr>
                  <w:r>
                    <w:rPr>
                      <w:rFonts w:hint="eastAsia" w:cs="Times New Roman"/>
                      <w:sz w:val="18"/>
                      <w:szCs w:val="18"/>
                    </w:rPr>
                    <w:t>拟建项目不属于化工项目，符合要求。</w:t>
                  </w:r>
                </w:p>
              </w:tc>
              <w:tc>
                <w:tcPr>
                  <w:tcW w:w="487" w:type="pct"/>
                  <w:shd w:val="clear" w:color="auto" w:fill="auto"/>
                  <w:vAlign w:val="center"/>
                </w:tcPr>
                <w:p w14:paraId="3BFF2F89">
                  <w:pPr>
                    <w:pStyle w:val="2"/>
                    <w:rPr>
                      <w:sz w:val="18"/>
                      <w:szCs w:val="18"/>
                    </w:rPr>
                  </w:pPr>
                  <w:r>
                    <w:rPr>
                      <w:rFonts w:hint="eastAsia"/>
                      <w:sz w:val="18"/>
                      <w:szCs w:val="18"/>
                    </w:rPr>
                    <w:t>符合</w:t>
                  </w:r>
                </w:p>
              </w:tc>
            </w:tr>
            <w:tr w14:paraId="4A9BF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2B1928D7">
                  <w:pPr>
                    <w:pStyle w:val="2"/>
                    <w:rPr>
                      <w:sz w:val="18"/>
                      <w:szCs w:val="18"/>
                    </w:rPr>
                  </w:pPr>
                </w:p>
              </w:tc>
              <w:tc>
                <w:tcPr>
                  <w:tcW w:w="2462" w:type="pct"/>
                  <w:shd w:val="clear" w:color="auto" w:fill="auto"/>
                  <w:vAlign w:val="center"/>
                </w:tcPr>
                <w:p w14:paraId="7F408CFA">
                  <w:pPr>
                    <w:pStyle w:val="2"/>
                    <w:jc w:val="both"/>
                    <w:rPr>
                      <w:sz w:val="18"/>
                      <w:szCs w:val="18"/>
                    </w:rPr>
                  </w:pPr>
                  <w:r>
                    <w:rPr>
                      <w:rFonts w:hint="eastAsia"/>
                      <w:sz w:val="18"/>
                      <w:szCs w:val="18"/>
                    </w:rPr>
                    <w:t>第十九条 禁止在长江干流岸线三公里范围内和重要支流岸线一公里范围内新建、改建、扩建尾矿库、冶炼渣库、磷石膏库，以提升安全、生态环境保护水平为目的改建除外。</w:t>
                  </w:r>
                </w:p>
              </w:tc>
              <w:tc>
                <w:tcPr>
                  <w:tcW w:w="1518" w:type="pct"/>
                  <w:shd w:val="clear" w:color="auto" w:fill="auto"/>
                  <w:vAlign w:val="center"/>
                </w:tcPr>
                <w:p w14:paraId="6A6D60F5">
                  <w:pPr>
                    <w:pStyle w:val="2"/>
                    <w:jc w:val="both"/>
                    <w:rPr>
                      <w:color w:val="FF0000"/>
                      <w:sz w:val="18"/>
                      <w:szCs w:val="18"/>
                    </w:rPr>
                  </w:pPr>
                  <w:r>
                    <w:rPr>
                      <w:rFonts w:hint="eastAsia" w:cs="Times New Roman"/>
                      <w:sz w:val="18"/>
                      <w:szCs w:val="18"/>
                    </w:rPr>
                    <w:t>拟建项目不属于前述管控项目，符合要求。</w:t>
                  </w:r>
                </w:p>
              </w:tc>
              <w:tc>
                <w:tcPr>
                  <w:tcW w:w="487" w:type="pct"/>
                  <w:shd w:val="clear" w:color="auto" w:fill="auto"/>
                  <w:vAlign w:val="center"/>
                </w:tcPr>
                <w:p w14:paraId="012D86E0">
                  <w:pPr>
                    <w:pStyle w:val="2"/>
                    <w:rPr>
                      <w:sz w:val="18"/>
                      <w:szCs w:val="18"/>
                    </w:rPr>
                  </w:pPr>
                  <w:r>
                    <w:rPr>
                      <w:rFonts w:hint="eastAsia"/>
                      <w:sz w:val="18"/>
                      <w:szCs w:val="18"/>
                    </w:rPr>
                    <w:t>符合</w:t>
                  </w:r>
                </w:p>
              </w:tc>
            </w:tr>
            <w:tr w14:paraId="43FA2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479B29C6">
                  <w:pPr>
                    <w:pStyle w:val="2"/>
                    <w:rPr>
                      <w:sz w:val="18"/>
                      <w:szCs w:val="18"/>
                    </w:rPr>
                  </w:pPr>
                </w:p>
              </w:tc>
              <w:tc>
                <w:tcPr>
                  <w:tcW w:w="2462" w:type="pct"/>
                  <w:shd w:val="clear" w:color="auto" w:fill="auto"/>
                  <w:vAlign w:val="center"/>
                </w:tcPr>
                <w:p w14:paraId="269E65FA">
                  <w:pPr>
                    <w:pStyle w:val="2"/>
                    <w:jc w:val="both"/>
                    <w:rPr>
                      <w:sz w:val="18"/>
                      <w:szCs w:val="18"/>
                    </w:rPr>
                  </w:pPr>
                  <w:r>
                    <w:rPr>
                      <w:rFonts w:hint="eastAsia"/>
                      <w:sz w:val="18"/>
                      <w:szCs w:val="18"/>
                    </w:rPr>
                    <w:t>第二十条 禁止在生态保护红线区域、永久基本农田集中区域和其他需要特别保护的区域内选址建设尾矿库、冶炼渣库、磷石膏库。</w:t>
                  </w:r>
                </w:p>
              </w:tc>
              <w:tc>
                <w:tcPr>
                  <w:tcW w:w="1518" w:type="pct"/>
                  <w:shd w:val="clear" w:color="auto" w:fill="auto"/>
                  <w:vAlign w:val="center"/>
                </w:tcPr>
                <w:p w14:paraId="25BAE184">
                  <w:pPr>
                    <w:pStyle w:val="2"/>
                    <w:jc w:val="both"/>
                    <w:rPr>
                      <w:color w:val="FF0000"/>
                      <w:sz w:val="18"/>
                      <w:szCs w:val="18"/>
                    </w:rPr>
                  </w:pPr>
                  <w:r>
                    <w:rPr>
                      <w:rFonts w:hint="eastAsia" w:cs="Times New Roman"/>
                      <w:sz w:val="18"/>
                      <w:szCs w:val="18"/>
                    </w:rPr>
                    <w:t>拟建项目不属于前述管控范围和管控项目，符合要求。</w:t>
                  </w:r>
                </w:p>
              </w:tc>
              <w:tc>
                <w:tcPr>
                  <w:tcW w:w="487" w:type="pct"/>
                  <w:shd w:val="clear" w:color="auto" w:fill="auto"/>
                  <w:vAlign w:val="center"/>
                </w:tcPr>
                <w:p w14:paraId="0D6A598D">
                  <w:pPr>
                    <w:pStyle w:val="2"/>
                    <w:rPr>
                      <w:sz w:val="18"/>
                      <w:szCs w:val="18"/>
                    </w:rPr>
                  </w:pPr>
                  <w:r>
                    <w:rPr>
                      <w:rFonts w:hint="eastAsia"/>
                      <w:sz w:val="18"/>
                      <w:szCs w:val="18"/>
                    </w:rPr>
                    <w:t>符合</w:t>
                  </w:r>
                </w:p>
              </w:tc>
            </w:tr>
            <w:tr w14:paraId="5960F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688D0238">
                  <w:pPr>
                    <w:pStyle w:val="2"/>
                    <w:rPr>
                      <w:sz w:val="18"/>
                      <w:szCs w:val="18"/>
                    </w:rPr>
                  </w:pPr>
                </w:p>
              </w:tc>
              <w:tc>
                <w:tcPr>
                  <w:tcW w:w="2462" w:type="pct"/>
                  <w:shd w:val="clear" w:color="auto" w:fill="auto"/>
                  <w:vAlign w:val="center"/>
                </w:tcPr>
                <w:p w14:paraId="049B0A2B">
                  <w:pPr>
                    <w:pStyle w:val="2"/>
                    <w:jc w:val="both"/>
                    <w:rPr>
                      <w:sz w:val="18"/>
                      <w:szCs w:val="18"/>
                    </w:rPr>
                  </w:pPr>
                  <w:r>
                    <w:rPr>
                      <w:rFonts w:hint="eastAsia"/>
                      <w:sz w:val="18"/>
                      <w:szCs w:val="18"/>
                    </w:rPr>
                    <w:t>第二十一条 禁止在合规园区外新建、扩建钢铁、石化、化工、焦化、建材、有色、制浆造纸等高污染项目。</w:t>
                  </w:r>
                </w:p>
              </w:tc>
              <w:tc>
                <w:tcPr>
                  <w:tcW w:w="1518" w:type="pct"/>
                  <w:shd w:val="clear" w:color="auto" w:fill="auto"/>
                  <w:vAlign w:val="center"/>
                </w:tcPr>
                <w:p w14:paraId="4AE1D5B5">
                  <w:pPr>
                    <w:pStyle w:val="2"/>
                    <w:jc w:val="both"/>
                    <w:rPr>
                      <w:sz w:val="18"/>
                      <w:szCs w:val="18"/>
                    </w:rPr>
                  </w:pPr>
                  <w:r>
                    <w:rPr>
                      <w:rFonts w:hint="eastAsia"/>
                      <w:sz w:val="18"/>
                      <w:szCs w:val="18"/>
                    </w:rPr>
                    <w:t>本项目在合规园区内，不属于高污染项目。</w:t>
                  </w:r>
                </w:p>
              </w:tc>
              <w:tc>
                <w:tcPr>
                  <w:tcW w:w="487" w:type="pct"/>
                  <w:shd w:val="clear" w:color="auto" w:fill="auto"/>
                  <w:vAlign w:val="center"/>
                </w:tcPr>
                <w:p w14:paraId="54D06289">
                  <w:pPr>
                    <w:pStyle w:val="2"/>
                    <w:rPr>
                      <w:sz w:val="18"/>
                      <w:szCs w:val="18"/>
                    </w:rPr>
                  </w:pPr>
                  <w:r>
                    <w:rPr>
                      <w:rFonts w:hint="eastAsia"/>
                      <w:sz w:val="18"/>
                      <w:szCs w:val="18"/>
                    </w:rPr>
                    <w:t>符合</w:t>
                  </w:r>
                </w:p>
              </w:tc>
            </w:tr>
            <w:tr w14:paraId="41E6A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78DDBEA0">
                  <w:pPr>
                    <w:pStyle w:val="2"/>
                    <w:rPr>
                      <w:sz w:val="18"/>
                      <w:szCs w:val="18"/>
                    </w:rPr>
                  </w:pPr>
                </w:p>
              </w:tc>
              <w:tc>
                <w:tcPr>
                  <w:tcW w:w="2462" w:type="pct"/>
                  <w:shd w:val="clear" w:color="auto" w:fill="auto"/>
                  <w:vAlign w:val="center"/>
                </w:tcPr>
                <w:p w14:paraId="6DE6F60F">
                  <w:pPr>
                    <w:pStyle w:val="2"/>
                    <w:jc w:val="both"/>
                    <w:rPr>
                      <w:sz w:val="18"/>
                      <w:szCs w:val="18"/>
                    </w:rPr>
                  </w:pPr>
                  <w:r>
                    <w:rPr>
                      <w:rFonts w:hint="eastAsia"/>
                      <w:sz w:val="18"/>
                      <w:szCs w:val="18"/>
                    </w:rPr>
                    <w:t>第二十二条 禁止新建、扩建不符合国家石化、现代煤化工等产业布局规划的项目。</w:t>
                  </w:r>
                </w:p>
              </w:tc>
              <w:tc>
                <w:tcPr>
                  <w:tcW w:w="1518" w:type="pct"/>
                  <w:shd w:val="clear" w:color="auto" w:fill="auto"/>
                  <w:vAlign w:val="center"/>
                </w:tcPr>
                <w:p w14:paraId="507A9A0E">
                  <w:pPr>
                    <w:pStyle w:val="2"/>
                    <w:jc w:val="both"/>
                    <w:rPr>
                      <w:sz w:val="18"/>
                      <w:szCs w:val="18"/>
                    </w:rPr>
                  </w:pPr>
                  <w:r>
                    <w:rPr>
                      <w:rFonts w:hint="eastAsia"/>
                      <w:sz w:val="18"/>
                      <w:szCs w:val="18"/>
                    </w:rPr>
                    <w:t>本项目不属于石化、现代煤化工项目。</w:t>
                  </w:r>
                </w:p>
              </w:tc>
              <w:tc>
                <w:tcPr>
                  <w:tcW w:w="487" w:type="pct"/>
                  <w:shd w:val="clear" w:color="auto" w:fill="auto"/>
                  <w:vAlign w:val="center"/>
                </w:tcPr>
                <w:p w14:paraId="0A74E7A0">
                  <w:pPr>
                    <w:pStyle w:val="2"/>
                    <w:rPr>
                      <w:sz w:val="18"/>
                      <w:szCs w:val="18"/>
                    </w:rPr>
                  </w:pPr>
                  <w:r>
                    <w:rPr>
                      <w:rFonts w:hint="eastAsia"/>
                      <w:sz w:val="18"/>
                      <w:szCs w:val="18"/>
                    </w:rPr>
                    <w:t>符合</w:t>
                  </w:r>
                </w:p>
              </w:tc>
            </w:tr>
            <w:tr w14:paraId="4549F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48592805">
                  <w:pPr>
                    <w:pStyle w:val="2"/>
                    <w:rPr>
                      <w:sz w:val="18"/>
                      <w:szCs w:val="18"/>
                    </w:rPr>
                  </w:pPr>
                </w:p>
              </w:tc>
              <w:tc>
                <w:tcPr>
                  <w:tcW w:w="2462" w:type="pct"/>
                  <w:shd w:val="clear" w:color="auto" w:fill="auto"/>
                  <w:vAlign w:val="center"/>
                </w:tcPr>
                <w:p w14:paraId="1F612388">
                  <w:pPr>
                    <w:pStyle w:val="2"/>
                    <w:jc w:val="both"/>
                    <w:rPr>
                      <w:sz w:val="18"/>
                      <w:szCs w:val="18"/>
                    </w:rPr>
                  </w:pPr>
                  <w:r>
                    <w:rPr>
                      <w:rFonts w:hint="eastAsia"/>
                      <w:sz w:val="18"/>
                      <w:szCs w:val="18"/>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518" w:type="pct"/>
                  <w:shd w:val="clear" w:color="auto" w:fill="auto"/>
                  <w:vAlign w:val="center"/>
                </w:tcPr>
                <w:p w14:paraId="6C9CD878">
                  <w:pPr>
                    <w:pStyle w:val="2"/>
                    <w:jc w:val="both"/>
                    <w:rPr>
                      <w:sz w:val="18"/>
                      <w:szCs w:val="18"/>
                    </w:rPr>
                  </w:pPr>
                  <w:r>
                    <w:rPr>
                      <w:rFonts w:hint="eastAsia"/>
                      <w:sz w:val="18"/>
                      <w:szCs w:val="18"/>
                    </w:rPr>
                    <w:t>项目为中成药生产，经对照，本项目不属于法律法规和相关政策明令禁止的落后产能项目，不属于《产业结构调整指导目录》中淘汰类项目和禁止投资限制类项目。</w:t>
                  </w:r>
                </w:p>
              </w:tc>
              <w:tc>
                <w:tcPr>
                  <w:tcW w:w="487" w:type="pct"/>
                  <w:shd w:val="clear" w:color="auto" w:fill="auto"/>
                  <w:vAlign w:val="center"/>
                </w:tcPr>
                <w:p w14:paraId="5829590C">
                  <w:pPr>
                    <w:pStyle w:val="2"/>
                    <w:rPr>
                      <w:sz w:val="18"/>
                      <w:szCs w:val="18"/>
                    </w:rPr>
                  </w:pPr>
                  <w:r>
                    <w:rPr>
                      <w:rFonts w:hint="eastAsia"/>
                      <w:sz w:val="18"/>
                      <w:szCs w:val="18"/>
                    </w:rPr>
                    <w:t>符合</w:t>
                  </w:r>
                </w:p>
              </w:tc>
            </w:tr>
            <w:tr w14:paraId="1BCDA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41E628D2">
                  <w:pPr>
                    <w:pStyle w:val="2"/>
                    <w:rPr>
                      <w:sz w:val="18"/>
                      <w:szCs w:val="18"/>
                    </w:rPr>
                  </w:pPr>
                </w:p>
              </w:tc>
              <w:tc>
                <w:tcPr>
                  <w:tcW w:w="2462" w:type="pct"/>
                  <w:shd w:val="clear" w:color="auto" w:fill="auto"/>
                  <w:vAlign w:val="center"/>
                </w:tcPr>
                <w:p w14:paraId="35B8D9FB">
                  <w:pPr>
                    <w:pStyle w:val="2"/>
                    <w:jc w:val="both"/>
                    <w:rPr>
                      <w:sz w:val="18"/>
                      <w:szCs w:val="18"/>
                    </w:rPr>
                  </w:pPr>
                  <w:r>
                    <w:rPr>
                      <w:rFonts w:hint="eastAsia"/>
                      <w:sz w:val="18"/>
                      <w:szCs w:val="18"/>
                    </w:rPr>
                    <w:t>第二十四条 禁止新建、扩建不符合国家产能置换要求的严重过剩产能行业的项目。对于不符合国家产能置换要求的严重过剩产能行业，不得以其他任何名义任何方式备案新增产能项目。</w:t>
                  </w:r>
                </w:p>
              </w:tc>
              <w:tc>
                <w:tcPr>
                  <w:tcW w:w="1518" w:type="pct"/>
                  <w:shd w:val="clear" w:color="auto" w:fill="auto"/>
                  <w:vAlign w:val="center"/>
                </w:tcPr>
                <w:p w14:paraId="0F8F35EC">
                  <w:pPr>
                    <w:pStyle w:val="2"/>
                    <w:jc w:val="both"/>
                    <w:rPr>
                      <w:sz w:val="18"/>
                      <w:szCs w:val="18"/>
                    </w:rPr>
                  </w:pPr>
                  <w:r>
                    <w:rPr>
                      <w:rFonts w:hint="eastAsia"/>
                      <w:sz w:val="18"/>
                      <w:szCs w:val="18"/>
                    </w:rPr>
                    <w:t>经对照，本项目不属于国家产能置换要求的严重过剩产能行业的项目。</w:t>
                  </w:r>
                </w:p>
              </w:tc>
              <w:tc>
                <w:tcPr>
                  <w:tcW w:w="487" w:type="pct"/>
                  <w:shd w:val="clear" w:color="auto" w:fill="auto"/>
                  <w:vAlign w:val="center"/>
                </w:tcPr>
                <w:p w14:paraId="04145A02">
                  <w:pPr>
                    <w:pStyle w:val="2"/>
                    <w:rPr>
                      <w:sz w:val="18"/>
                      <w:szCs w:val="18"/>
                    </w:rPr>
                  </w:pPr>
                  <w:r>
                    <w:rPr>
                      <w:rFonts w:hint="eastAsia"/>
                      <w:sz w:val="18"/>
                      <w:szCs w:val="18"/>
                    </w:rPr>
                    <w:t>符合</w:t>
                  </w:r>
                </w:p>
              </w:tc>
            </w:tr>
            <w:tr w14:paraId="75709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58FB2D50">
                  <w:pPr>
                    <w:pStyle w:val="2"/>
                    <w:rPr>
                      <w:sz w:val="18"/>
                      <w:szCs w:val="18"/>
                    </w:rPr>
                  </w:pPr>
                </w:p>
              </w:tc>
              <w:tc>
                <w:tcPr>
                  <w:tcW w:w="2462" w:type="pct"/>
                  <w:shd w:val="clear" w:color="auto" w:fill="auto"/>
                  <w:vAlign w:val="center"/>
                </w:tcPr>
                <w:p w14:paraId="35EFDF9B">
                  <w:pPr>
                    <w:pStyle w:val="15"/>
                    <w:spacing w:line="320" w:lineRule="exact"/>
                    <w:rPr>
                      <w:rFonts w:ascii="Times New Roman" w:hAnsi="Times New Roman"/>
                      <w:sz w:val="18"/>
                      <w:szCs w:val="18"/>
                    </w:rPr>
                  </w:pPr>
                  <w:r>
                    <w:rPr>
                      <w:rFonts w:hint="eastAsia" w:ascii="Times New Roman" w:hAnsi="Times New Roman"/>
                      <w:sz w:val="18"/>
                      <w:szCs w:val="18"/>
                    </w:rPr>
                    <w:t>第二十五条 禁止建设以下燃油汽车投资项目（不在中国境内销售产品的投资项目除外）：</w:t>
                  </w:r>
                </w:p>
                <w:p w14:paraId="4E61FC17">
                  <w:pPr>
                    <w:pStyle w:val="15"/>
                    <w:spacing w:line="320" w:lineRule="exact"/>
                    <w:rPr>
                      <w:rFonts w:ascii="Times New Roman" w:hAnsi="Times New Roman"/>
                      <w:sz w:val="18"/>
                      <w:szCs w:val="18"/>
                    </w:rPr>
                  </w:pPr>
                  <w:r>
                    <w:rPr>
                      <w:rFonts w:hint="eastAsia" w:ascii="Times New Roman" w:hAnsi="Times New Roman"/>
                      <w:sz w:val="18"/>
                      <w:szCs w:val="18"/>
                    </w:rPr>
                    <w:t>（一）新建独立燃油汽车企业；</w:t>
                  </w:r>
                </w:p>
                <w:p w14:paraId="2010D127">
                  <w:pPr>
                    <w:pStyle w:val="15"/>
                    <w:spacing w:line="320" w:lineRule="exact"/>
                    <w:rPr>
                      <w:rFonts w:ascii="Times New Roman" w:hAnsi="Times New Roman"/>
                      <w:sz w:val="18"/>
                      <w:szCs w:val="18"/>
                    </w:rPr>
                  </w:pPr>
                  <w:r>
                    <w:rPr>
                      <w:rFonts w:hint="eastAsia" w:ascii="Times New Roman" w:hAnsi="Times New Roman"/>
                      <w:sz w:val="18"/>
                      <w:szCs w:val="18"/>
                    </w:rPr>
                    <w:t>（二）现有汽车企业跨乘用车、商用车类别建设燃油汽车生产能力；</w:t>
                  </w:r>
                </w:p>
                <w:p w14:paraId="403493FE">
                  <w:pPr>
                    <w:pStyle w:val="15"/>
                    <w:spacing w:line="320" w:lineRule="exact"/>
                    <w:rPr>
                      <w:rFonts w:ascii="Times New Roman" w:hAnsi="Times New Roman"/>
                      <w:sz w:val="18"/>
                      <w:szCs w:val="18"/>
                    </w:rPr>
                  </w:pPr>
                  <w:r>
                    <w:rPr>
                      <w:rFonts w:hint="eastAsia" w:ascii="Times New Roman" w:hAnsi="Times New Roman"/>
                      <w:sz w:val="18"/>
                      <w:szCs w:val="18"/>
                    </w:rPr>
                    <w:t>（三）外省现有燃油汽车企业整体搬迁至本省（列入国家级区域发展规划或不改变企业股权结构的项目除外）；</w:t>
                  </w:r>
                </w:p>
                <w:p w14:paraId="3706469B">
                  <w:pPr>
                    <w:pStyle w:val="2"/>
                    <w:jc w:val="both"/>
                    <w:rPr>
                      <w:sz w:val="18"/>
                      <w:szCs w:val="18"/>
                    </w:rPr>
                  </w:pPr>
                  <w:r>
                    <w:rPr>
                      <w:rFonts w:hint="eastAsia"/>
                      <w:sz w:val="18"/>
                      <w:szCs w:val="18"/>
                    </w:rPr>
                    <w:t>（四）对行业管理部门特别公示的燃油汽车企业进行投资（企业原有股东投资或将该企业转为非独立法人的投资项目除外）。</w:t>
                  </w:r>
                </w:p>
              </w:tc>
              <w:tc>
                <w:tcPr>
                  <w:tcW w:w="1518" w:type="pct"/>
                  <w:shd w:val="clear" w:color="auto" w:fill="auto"/>
                  <w:vAlign w:val="center"/>
                </w:tcPr>
                <w:p w14:paraId="06CF7B68">
                  <w:pPr>
                    <w:pStyle w:val="2"/>
                    <w:jc w:val="both"/>
                    <w:rPr>
                      <w:color w:val="FF0000"/>
                      <w:sz w:val="18"/>
                      <w:szCs w:val="18"/>
                    </w:rPr>
                  </w:pPr>
                  <w:r>
                    <w:rPr>
                      <w:rFonts w:hint="eastAsia" w:cs="Times New Roman"/>
                      <w:sz w:val="18"/>
                      <w:szCs w:val="18"/>
                    </w:rPr>
                    <w:t>拟建项目不属于前述管控项目，符合要求。</w:t>
                  </w:r>
                </w:p>
              </w:tc>
              <w:tc>
                <w:tcPr>
                  <w:tcW w:w="487" w:type="pct"/>
                  <w:shd w:val="clear" w:color="auto" w:fill="auto"/>
                  <w:vAlign w:val="center"/>
                </w:tcPr>
                <w:p w14:paraId="60BE091D">
                  <w:pPr>
                    <w:pStyle w:val="2"/>
                    <w:rPr>
                      <w:sz w:val="18"/>
                      <w:szCs w:val="18"/>
                    </w:rPr>
                  </w:pPr>
                  <w:r>
                    <w:rPr>
                      <w:rFonts w:hint="eastAsia"/>
                      <w:sz w:val="18"/>
                      <w:szCs w:val="18"/>
                    </w:rPr>
                    <w:t>符合</w:t>
                  </w:r>
                </w:p>
              </w:tc>
            </w:tr>
            <w:tr w14:paraId="5319D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3B5FFBE7">
                  <w:pPr>
                    <w:pStyle w:val="2"/>
                    <w:rPr>
                      <w:sz w:val="18"/>
                      <w:szCs w:val="18"/>
                    </w:rPr>
                  </w:pPr>
                </w:p>
              </w:tc>
              <w:tc>
                <w:tcPr>
                  <w:tcW w:w="2462" w:type="pct"/>
                  <w:shd w:val="clear" w:color="auto" w:fill="auto"/>
                  <w:vAlign w:val="center"/>
                </w:tcPr>
                <w:p w14:paraId="6C4F9BBD">
                  <w:pPr>
                    <w:pStyle w:val="2"/>
                    <w:jc w:val="both"/>
                    <w:rPr>
                      <w:sz w:val="18"/>
                      <w:szCs w:val="18"/>
                    </w:rPr>
                  </w:pPr>
                  <w:r>
                    <w:rPr>
                      <w:rFonts w:hint="eastAsia"/>
                      <w:sz w:val="18"/>
                      <w:szCs w:val="18"/>
                    </w:rPr>
                    <w:t>第二十六条 禁止新建、扩建不符合要求的高耗能、高排放、低水平项目。</w:t>
                  </w:r>
                </w:p>
              </w:tc>
              <w:tc>
                <w:tcPr>
                  <w:tcW w:w="1518" w:type="pct"/>
                  <w:shd w:val="clear" w:color="auto" w:fill="auto"/>
                  <w:vAlign w:val="center"/>
                </w:tcPr>
                <w:p w14:paraId="4516A529">
                  <w:pPr>
                    <w:pStyle w:val="2"/>
                    <w:jc w:val="both"/>
                    <w:rPr>
                      <w:sz w:val="18"/>
                      <w:szCs w:val="18"/>
                    </w:rPr>
                  </w:pPr>
                  <w:r>
                    <w:rPr>
                      <w:rFonts w:hint="eastAsia"/>
                      <w:sz w:val="18"/>
                      <w:szCs w:val="18"/>
                    </w:rPr>
                    <w:t>经对照，本项目不属于高耗能、高排放、低水平项目。</w:t>
                  </w:r>
                </w:p>
              </w:tc>
              <w:tc>
                <w:tcPr>
                  <w:tcW w:w="487" w:type="pct"/>
                  <w:shd w:val="clear" w:color="auto" w:fill="auto"/>
                  <w:vAlign w:val="center"/>
                </w:tcPr>
                <w:p w14:paraId="10CAE758">
                  <w:pPr>
                    <w:pStyle w:val="2"/>
                    <w:rPr>
                      <w:sz w:val="18"/>
                      <w:szCs w:val="18"/>
                    </w:rPr>
                  </w:pPr>
                  <w:r>
                    <w:rPr>
                      <w:rFonts w:hint="eastAsia"/>
                      <w:sz w:val="18"/>
                      <w:szCs w:val="18"/>
                    </w:rPr>
                    <w:t>符合</w:t>
                  </w:r>
                </w:p>
              </w:tc>
            </w:tr>
            <w:tr w14:paraId="78AD2EF2">
              <w:tblPrEx>
                <w:tblCellMar>
                  <w:top w:w="0" w:type="dxa"/>
                  <w:left w:w="108" w:type="dxa"/>
                  <w:bottom w:w="0" w:type="dxa"/>
                  <w:right w:w="108" w:type="dxa"/>
                </w:tblCellMar>
              </w:tblPrEx>
              <w:trPr>
                <w:jc w:val="center"/>
              </w:trPr>
              <w:tc>
                <w:tcPr>
                  <w:tcW w:w="533" w:type="pct"/>
                  <w:vMerge w:val="restart"/>
                  <w:shd w:val="clear" w:color="auto" w:fill="auto"/>
                  <w:vAlign w:val="center"/>
                </w:tcPr>
                <w:p w14:paraId="6B54189F">
                  <w:pPr>
                    <w:pStyle w:val="2"/>
                    <w:rPr>
                      <w:sz w:val="18"/>
                      <w:szCs w:val="18"/>
                    </w:rPr>
                  </w:pPr>
                  <w:r>
                    <w:rPr>
                      <w:rFonts w:hint="eastAsia"/>
                      <w:sz w:val="18"/>
                      <w:szCs w:val="18"/>
                    </w:rPr>
                    <w:t>《四川省嘉陵江流域生态环境保护条例》（2021年）</w:t>
                  </w:r>
                </w:p>
              </w:tc>
              <w:tc>
                <w:tcPr>
                  <w:tcW w:w="2462" w:type="pct"/>
                  <w:shd w:val="clear" w:color="auto" w:fill="auto"/>
                  <w:vAlign w:val="center"/>
                </w:tcPr>
                <w:p w14:paraId="14418A65">
                  <w:pPr>
                    <w:pStyle w:val="2"/>
                    <w:jc w:val="both"/>
                    <w:rPr>
                      <w:sz w:val="18"/>
                      <w:szCs w:val="18"/>
                    </w:rPr>
                  </w:pPr>
                  <w:r>
                    <w:rPr>
                      <w:rFonts w:hint="eastAsia"/>
                      <w:sz w:val="18"/>
                      <w:szCs w:val="18"/>
                    </w:rPr>
                    <w:t>第二十一条、排污单位排放污染物不得超过国家和省污染物排放标准，不得超过重点水污染物排放总量控制指标。按照国家规定试行排污许可管理的企业事业单位和其他生产经营者，应当依法向设区的市级以上地方人民政府生态环境主管部门申请取得排污许可证，按照排污许可证的规定排放污染物；禁止未取得排污许可证或者违反排污许可证的规定排放污染物。</w:t>
                  </w:r>
                </w:p>
              </w:tc>
              <w:tc>
                <w:tcPr>
                  <w:tcW w:w="1518" w:type="pct"/>
                  <w:shd w:val="clear" w:color="auto" w:fill="auto"/>
                  <w:vAlign w:val="center"/>
                </w:tcPr>
                <w:p w14:paraId="3166F745">
                  <w:pPr>
                    <w:pStyle w:val="2"/>
                    <w:jc w:val="both"/>
                    <w:rPr>
                      <w:sz w:val="18"/>
                      <w:szCs w:val="18"/>
                    </w:rPr>
                  </w:pPr>
                  <w:r>
                    <w:rPr>
                      <w:rFonts w:hint="eastAsia"/>
                      <w:sz w:val="18"/>
                      <w:szCs w:val="18"/>
                    </w:rPr>
                    <w:t>拟建项目废水污染物不超过国家和省污染物排放标准，不超过重点水污染物排放总量控制指标。</w:t>
                  </w:r>
                </w:p>
              </w:tc>
              <w:tc>
                <w:tcPr>
                  <w:tcW w:w="487" w:type="pct"/>
                  <w:shd w:val="clear" w:color="auto" w:fill="auto"/>
                  <w:vAlign w:val="center"/>
                </w:tcPr>
                <w:p w14:paraId="5628DCD8">
                  <w:pPr>
                    <w:pStyle w:val="2"/>
                    <w:rPr>
                      <w:sz w:val="18"/>
                      <w:szCs w:val="18"/>
                    </w:rPr>
                  </w:pPr>
                  <w:r>
                    <w:rPr>
                      <w:rFonts w:hint="eastAsia"/>
                      <w:sz w:val="18"/>
                      <w:szCs w:val="18"/>
                    </w:rPr>
                    <w:t>符合</w:t>
                  </w:r>
                </w:p>
              </w:tc>
            </w:tr>
            <w:tr w14:paraId="4AED5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52D40CBD">
                  <w:pPr>
                    <w:pStyle w:val="2"/>
                    <w:rPr>
                      <w:sz w:val="18"/>
                      <w:szCs w:val="18"/>
                    </w:rPr>
                  </w:pPr>
                </w:p>
              </w:tc>
              <w:tc>
                <w:tcPr>
                  <w:tcW w:w="2462" w:type="pct"/>
                  <w:shd w:val="clear" w:color="auto" w:fill="auto"/>
                  <w:vAlign w:val="center"/>
                </w:tcPr>
                <w:p w14:paraId="2BF99AC9">
                  <w:pPr>
                    <w:pStyle w:val="2"/>
                    <w:jc w:val="both"/>
                    <w:rPr>
                      <w:sz w:val="18"/>
                      <w:szCs w:val="18"/>
                    </w:rPr>
                  </w:pPr>
                  <w:r>
                    <w:rPr>
                      <w:rFonts w:hint="eastAsia"/>
                      <w:sz w:val="18"/>
                      <w:szCs w:val="18"/>
                    </w:rPr>
                    <w:t>第二十二条、嘉陵江流域县级以上地方人民政府生态环境主管部门应当依法加强流域入河排污口的监督管理。企业实业单位和其他生产经营者向嘉陵江流域排放污水的，应当按照生态环境主管部门的规定建设规范化污染物排放口，并设置标志牌。</w:t>
                  </w:r>
                </w:p>
              </w:tc>
              <w:tc>
                <w:tcPr>
                  <w:tcW w:w="1518" w:type="pct"/>
                  <w:shd w:val="clear" w:color="auto" w:fill="auto"/>
                  <w:vAlign w:val="center"/>
                </w:tcPr>
                <w:p w14:paraId="21B3C89E">
                  <w:pPr>
                    <w:pStyle w:val="2"/>
                    <w:jc w:val="both"/>
                    <w:rPr>
                      <w:sz w:val="18"/>
                      <w:szCs w:val="18"/>
                    </w:rPr>
                  </w:pPr>
                  <w:r>
                    <w:rPr>
                      <w:rFonts w:hint="eastAsia"/>
                      <w:sz w:val="18"/>
                      <w:szCs w:val="18"/>
                    </w:rPr>
                    <w:t>拟建项目污水经处理后排入市政污水管网，进魏兴场镇污水处理厂处理。</w:t>
                  </w:r>
                </w:p>
              </w:tc>
              <w:tc>
                <w:tcPr>
                  <w:tcW w:w="487" w:type="pct"/>
                  <w:shd w:val="clear" w:color="auto" w:fill="auto"/>
                  <w:vAlign w:val="center"/>
                </w:tcPr>
                <w:p w14:paraId="092426B3">
                  <w:pPr>
                    <w:pStyle w:val="2"/>
                    <w:rPr>
                      <w:sz w:val="18"/>
                      <w:szCs w:val="18"/>
                    </w:rPr>
                  </w:pPr>
                  <w:r>
                    <w:rPr>
                      <w:rFonts w:hint="eastAsia"/>
                      <w:sz w:val="18"/>
                      <w:szCs w:val="18"/>
                    </w:rPr>
                    <w:t>符合</w:t>
                  </w:r>
                </w:p>
              </w:tc>
            </w:tr>
            <w:tr w14:paraId="27ABEF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4E30A398">
                  <w:pPr>
                    <w:pStyle w:val="2"/>
                    <w:rPr>
                      <w:sz w:val="18"/>
                      <w:szCs w:val="18"/>
                    </w:rPr>
                  </w:pPr>
                </w:p>
              </w:tc>
              <w:tc>
                <w:tcPr>
                  <w:tcW w:w="2462" w:type="pct"/>
                  <w:shd w:val="clear" w:color="auto" w:fill="auto"/>
                  <w:vAlign w:val="center"/>
                </w:tcPr>
                <w:p w14:paraId="3B00DF2D">
                  <w:pPr>
                    <w:pStyle w:val="2"/>
                    <w:jc w:val="both"/>
                    <w:rPr>
                      <w:sz w:val="18"/>
                      <w:szCs w:val="18"/>
                    </w:rPr>
                  </w:pPr>
                  <w:r>
                    <w:rPr>
                      <w:rFonts w:hint="eastAsia"/>
                      <w:sz w:val="18"/>
                      <w:szCs w:val="18"/>
                    </w:rPr>
                    <w:t>第六十七条、嘉陵江流域县级以上地方人民政府应当根据国土空间规划和本行政区域的资源环境承载能力与水环境质量改善目标等要求，合理规划工业布局，引导现有工业企业入驻工业集聚区。新建排放重点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排污单位对污水进行预处理后向污水集中处理设施排放的，应当符合污水集中处理设施的接纳标准。</w:t>
                  </w:r>
                </w:p>
              </w:tc>
              <w:tc>
                <w:tcPr>
                  <w:tcW w:w="1518" w:type="pct"/>
                  <w:shd w:val="clear" w:color="auto" w:fill="auto"/>
                  <w:vAlign w:val="center"/>
                </w:tcPr>
                <w:p w14:paraId="2B7E9CD6">
                  <w:pPr>
                    <w:pStyle w:val="2"/>
                    <w:jc w:val="both"/>
                    <w:rPr>
                      <w:sz w:val="18"/>
                      <w:szCs w:val="18"/>
                    </w:rPr>
                  </w:pPr>
                  <w:r>
                    <w:rPr>
                      <w:rFonts w:hint="eastAsia"/>
                      <w:sz w:val="18"/>
                      <w:szCs w:val="18"/>
                    </w:rPr>
                    <w:t>拟建项目不属于钢铁、石化化工等高污染项目；项目污水经处理后排入市政污水管网，进魏兴场镇污水处理厂处理。</w:t>
                  </w:r>
                </w:p>
              </w:tc>
              <w:tc>
                <w:tcPr>
                  <w:tcW w:w="487" w:type="pct"/>
                  <w:shd w:val="clear" w:color="auto" w:fill="auto"/>
                  <w:vAlign w:val="center"/>
                </w:tcPr>
                <w:p w14:paraId="33538F44">
                  <w:pPr>
                    <w:pStyle w:val="2"/>
                    <w:rPr>
                      <w:sz w:val="18"/>
                      <w:szCs w:val="18"/>
                    </w:rPr>
                  </w:pPr>
                  <w:r>
                    <w:rPr>
                      <w:rFonts w:hint="eastAsia"/>
                      <w:sz w:val="18"/>
                      <w:szCs w:val="18"/>
                    </w:rPr>
                    <w:t>符合</w:t>
                  </w:r>
                </w:p>
              </w:tc>
            </w:tr>
            <w:tr w14:paraId="4DA70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388F94BA">
                  <w:pPr>
                    <w:pStyle w:val="2"/>
                    <w:rPr>
                      <w:sz w:val="18"/>
                      <w:szCs w:val="18"/>
                    </w:rPr>
                  </w:pPr>
                </w:p>
              </w:tc>
              <w:tc>
                <w:tcPr>
                  <w:tcW w:w="2462" w:type="pct"/>
                  <w:shd w:val="clear" w:color="auto" w:fill="auto"/>
                  <w:vAlign w:val="center"/>
                </w:tcPr>
                <w:p w14:paraId="77497D08">
                  <w:pPr>
                    <w:pStyle w:val="2"/>
                    <w:jc w:val="both"/>
                    <w:rPr>
                      <w:sz w:val="18"/>
                      <w:szCs w:val="18"/>
                    </w:rPr>
                  </w:pPr>
                  <w:r>
                    <w:rPr>
                      <w:rFonts w:hint="eastAsia"/>
                      <w:sz w:val="18"/>
                      <w:szCs w:val="18"/>
                    </w:rPr>
                    <w:t>第七十三条、嘉陵江流域县级以上地方人民政府应当加强对固体废物非法转移和倾倒的管控。禁止在嘉陵江流域河湖管理范围内倾倒、填埋、堆放、弃置、处理固体废物。</w:t>
                  </w:r>
                </w:p>
              </w:tc>
              <w:tc>
                <w:tcPr>
                  <w:tcW w:w="1518" w:type="pct"/>
                  <w:shd w:val="clear" w:color="auto" w:fill="auto"/>
                  <w:vAlign w:val="center"/>
                </w:tcPr>
                <w:p w14:paraId="594E9776">
                  <w:pPr>
                    <w:pStyle w:val="2"/>
                    <w:jc w:val="both"/>
                    <w:rPr>
                      <w:sz w:val="18"/>
                      <w:szCs w:val="18"/>
                    </w:rPr>
                  </w:pPr>
                  <w:r>
                    <w:rPr>
                      <w:rFonts w:hint="eastAsia"/>
                      <w:sz w:val="18"/>
                      <w:szCs w:val="18"/>
                    </w:rPr>
                    <w:t>拟建项目固体废物处置方式合理，去向明确。</w:t>
                  </w:r>
                </w:p>
              </w:tc>
              <w:tc>
                <w:tcPr>
                  <w:tcW w:w="487" w:type="pct"/>
                  <w:shd w:val="clear" w:color="auto" w:fill="auto"/>
                  <w:vAlign w:val="center"/>
                </w:tcPr>
                <w:p w14:paraId="371577F0">
                  <w:pPr>
                    <w:pStyle w:val="2"/>
                    <w:rPr>
                      <w:sz w:val="18"/>
                      <w:szCs w:val="18"/>
                    </w:rPr>
                  </w:pPr>
                  <w:r>
                    <w:rPr>
                      <w:rFonts w:hint="eastAsia"/>
                      <w:sz w:val="18"/>
                      <w:szCs w:val="18"/>
                    </w:rPr>
                    <w:t>符合</w:t>
                  </w:r>
                </w:p>
              </w:tc>
            </w:tr>
            <w:tr w14:paraId="30B0B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46D87EA0">
                  <w:pPr>
                    <w:pStyle w:val="2"/>
                    <w:rPr>
                      <w:sz w:val="18"/>
                      <w:szCs w:val="18"/>
                    </w:rPr>
                  </w:pPr>
                </w:p>
              </w:tc>
              <w:tc>
                <w:tcPr>
                  <w:tcW w:w="2462" w:type="pct"/>
                  <w:shd w:val="clear" w:color="auto" w:fill="auto"/>
                  <w:vAlign w:val="center"/>
                </w:tcPr>
                <w:p w14:paraId="7A7E977D">
                  <w:pPr>
                    <w:pStyle w:val="2"/>
                    <w:jc w:val="both"/>
                    <w:rPr>
                      <w:sz w:val="18"/>
                      <w:szCs w:val="18"/>
                    </w:rPr>
                  </w:pPr>
                  <w:r>
                    <w:rPr>
                      <w:rFonts w:hint="eastAsia"/>
                      <w:sz w:val="18"/>
                      <w:szCs w:val="18"/>
                    </w:rPr>
                    <w:t>第八十条、嘉陵江流域县级以上地方人民政府应当依法依规限期淘汰严重污染水环境的落后工艺和设备。限期禁止生产、销售、进口、使用、转让严重污染水环境的工艺和设备。</w:t>
                  </w:r>
                </w:p>
              </w:tc>
              <w:tc>
                <w:tcPr>
                  <w:tcW w:w="1518" w:type="pct"/>
                  <w:shd w:val="clear" w:color="auto" w:fill="auto"/>
                  <w:vAlign w:val="center"/>
                </w:tcPr>
                <w:p w14:paraId="65868EAB">
                  <w:pPr>
                    <w:pStyle w:val="2"/>
                    <w:jc w:val="both"/>
                    <w:rPr>
                      <w:sz w:val="18"/>
                      <w:szCs w:val="18"/>
                    </w:rPr>
                  </w:pPr>
                  <w:r>
                    <w:rPr>
                      <w:rFonts w:hint="eastAsia"/>
                      <w:sz w:val="18"/>
                      <w:szCs w:val="18"/>
                    </w:rPr>
                    <w:t>拟建项目不涉及。</w:t>
                  </w:r>
                </w:p>
              </w:tc>
              <w:tc>
                <w:tcPr>
                  <w:tcW w:w="487" w:type="pct"/>
                  <w:shd w:val="clear" w:color="auto" w:fill="auto"/>
                  <w:vAlign w:val="center"/>
                </w:tcPr>
                <w:p w14:paraId="761C247D">
                  <w:pPr>
                    <w:pStyle w:val="2"/>
                    <w:rPr>
                      <w:sz w:val="18"/>
                      <w:szCs w:val="18"/>
                    </w:rPr>
                  </w:pPr>
                  <w:r>
                    <w:rPr>
                      <w:rFonts w:hint="eastAsia"/>
                      <w:sz w:val="18"/>
                      <w:szCs w:val="18"/>
                    </w:rPr>
                    <w:t>符合</w:t>
                  </w:r>
                </w:p>
              </w:tc>
            </w:tr>
            <w:tr w14:paraId="3A547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3" w:type="pct"/>
                  <w:vMerge w:val="continue"/>
                  <w:shd w:val="clear" w:color="auto" w:fill="auto"/>
                  <w:vAlign w:val="center"/>
                </w:tcPr>
                <w:p w14:paraId="108C2198">
                  <w:pPr>
                    <w:pStyle w:val="2"/>
                    <w:rPr>
                      <w:sz w:val="18"/>
                      <w:szCs w:val="18"/>
                    </w:rPr>
                  </w:pPr>
                </w:p>
              </w:tc>
              <w:tc>
                <w:tcPr>
                  <w:tcW w:w="2462" w:type="pct"/>
                  <w:shd w:val="clear" w:color="auto" w:fill="auto"/>
                  <w:vAlign w:val="center"/>
                </w:tcPr>
                <w:p w14:paraId="6AF17B83">
                  <w:pPr>
                    <w:pStyle w:val="2"/>
                    <w:jc w:val="both"/>
                    <w:rPr>
                      <w:sz w:val="18"/>
                      <w:szCs w:val="18"/>
                    </w:rPr>
                  </w:pPr>
                  <w:r>
                    <w:rPr>
                      <w:rFonts w:hint="eastAsia"/>
                      <w:sz w:val="18"/>
                      <w:szCs w:val="18"/>
                    </w:rPr>
                    <w:t>第八十一条、嘉陵江流域县级以上地方人民政府应当加强节水型城市和节水型园区建设，促进节水型行业产业和企业发展，并加快建设雨水自然积存、自然渗透、自然净化的海绵城市。鼓励企业事业单位和其他生产经营者配套建设工业用水回收利用设施和中水回用管网设施，采取循环用水、综合利用以及废水处理回用等措施，提高水的重复利用率。</w:t>
                  </w:r>
                </w:p>
              </w:tc>
              <w:tc>
                <w:tcPr>
                  <w:tcW w:w="1518" w:type="pct"/>
                  <w:shd w:val="clear" w:color="auto" w:fill="auto"/>
                  <w:vAlign w:val="center"/>
                </w:tcPr>
                <w:p w14:paraId="4D1C52BD">
                  <w:pPr>
                    <w:pStyle w:val="2"/>
                    <w:jc w:val="both"/>
                    <w:rPr>
                      <w:color w:val="FF0000"/>
                      <w:sz w:val="18"/>
                      <w:szCs w:val="18"/>
                    </w:rPr>
                  </w:pPr>
                  <w:r>
                    <w:rPr>
                      <w:rFonts w:hint="eastAsia"/>
                      <w:sz w:val="18"/>
                      <w:szCs w:val="18"/>
                    </w:rPr>
                    <w:t>拟建项目不涉及。</w:t>
                  </w:r>
                </w:p>
              </w:tc>
              <w:tc>
                <w:tcPr>
                  <w:tcW w:w="487" w:type="pct"/>
                  <w:shd w:val="clear" w:color="auto" w:fill="auto"/>
                  <w:vAlign w:val="center"/>
                </w:tcPr>
                <w:p w14:paraId="529F0A21">
                  <w:pPr>
                    <w:pStyle w:val="2"/>
                    <w:rPr>
                      <w:sz w:val="18"/>
                      <w:szCs w:val="18"/>
                    </w:rPr>
                  </w:pPr>
                  <w:r>
                    <w:rPr>
                      <w:rFonts w:hint="eastAsia"/>
                      <w:sz w:val="18"/>
                      <w:szCs w:val="18"/>
                    </w:rPr>
                    <w:t>符合</w:t>
                  </w:r>
                </w:p>
              </w:tc>
            </w:tr>
          </w:tbl>
          <w:p w14:paraId="229E3FBB">
            <w:pPr>
              <w:autoSpaceDE w:val="0"/>
              <w:autoSpaceDN w:val="0"/>
              <w:adjustRightInd w:val="0"/>
              <w:snapToGrid w:val="0"/>
              <w:spacing w:line="360" w:lineRule="auto"/>
              <w:ind w:firstLine="422" w:firstLineChars="200"/>
              <w:rPr>
                <w:b/>
              </w:rPr>
            </w:pPr>
            <w:r>
              <w:rPr>
                <w:rFonts w:hint="eastAsia"/>
                <w:b/>
              </w:rPr>
              <w:t>（2）与大气污染防治行动计划、水污染防治行动计划符合性分析的符合性</w:t>
            </w:r>
          </w:p>
          <w:p w14:paraId="683B0C84">
            <w:pPr>
              <w:autoSpaceDE w:val="0"/>
              <w:autoSpaceDN w:val="0"/>
              <w:adjustRightInd w:val="0"/>
              <w:snapToGrid w:val="0"/>
              <w:spacing w:line="360" w:lineRule="auto"/>
              <w:ind w:firstLine="420" w:firstLineChars="200"/>
              <w:rPr>
                <w:bCs/>
              </w:rPr>
            </w:pPr>
            <w:r>
              <w:rPr>
                <w:rFonts w:hint="eastAsia"/>
                <w:bCs/>
              </w:rPr>
              <w:t>根据《大气污染防治行动计划》  (国发〔2013〕37  号) 和《四川省大 气污染防治行动计划实施细则》，推进挥发性有机物综合整治，淘汰其他挥发性有机物污染严重、开展挥发性有机物削减和控制无经济可行性的工艺和产品；地级及以上城市建成区基本淘汰每小时 10 蒸吨及以下的燃煤锅炉， 禁止新建每小时 20 蒸吨以下的燃煤锅炉。本项目无挥发性有机物产生，项目设置蒸汽发生器以电作为能源，符合大气污染防治行动计划的要求。</w:t>
            </w:r>
          </w:p>
          <w:p w14:paraId="3DED51D7">
            <w:pPr>
              <w:autoSpaceDE w:val="0"/>
              <w:autoSpaceDN w:val="0"/>
              <w:adjustRightInd w:val="0"/>
              <w:snapToGrid w:val="0"/>
              <w:spacing w:line="360" w:lineRule="auto"/>
              <w:ind w:firstLine="420" w:firstLineChars="200"/>
              <w:rPr>
                <w:bCs/>
              </w:rPr>
            </w:pPr>
            <w:r>
              <w:rPr>
                <w:rFonts w:hint="eastAsia"/>
                <w:bCs/>
              </w:rPr>
              <w:t>根据《水污染防治行动计划》  (国发〔2015〕17  号) 和《水污染防治 行动计划四川省工作方案》，抓好工业节水，严格执行国家鼓励和淘汰的用水技术、工艺、产品的设备目录。开展节水诊断、水平衡测试、用水效率评估，加大节水改造力度。本项目使用的设备均符合国家规定，项目采取了多种节水措施；项目的建设符合水污染防治行动计划的要求。</w:t>
            </w:r>
          </w:p>
          <w:p w14:paraId="282AF64A">
            <w:pPr>
              <w:autoSpaceDE w:val="0"/>
              <w:autoSpaceDN w:val="0"/>
              <w:adjustRightInd w:val="0"/>
              <w:snapToGrid w:val="0"/>
              <w:spacing w:line="360" w:lineRule="auto"/>
              <w:ind w:firstLine="422" w:firstLineChars="200"/>
              <w:rPr>
                <w:b/>
              </w:rPr>
            </w:pPr>
            <w:r>
              <w:rPr>
                <w:rFonts w:hint="eastAsia"/>
                <w:b/>
              </w:rPr>
              <w:t>4、项目与《制药工业污染防治技术政策》符合性分析</w:t>
            </w:r>
          </w:p>
          <w:p w14:paraId="13374223">
            <w:pPr>
              <w:autoSpaceDE w:val="0"/>
              <w:autoSpaceDN w:val="0"/>
              <w:adjustRightInd w:val="0"/>
              <w:snapToGrid w:val="0"/>
              <w:spacing w:line="360" w:lineRule="auto"/>
              <w:ind w:firstLine="420" w:firstLineChars="200"/>
            </w:pPr>
            <w:r>
              <w:rPr>
                <w:rFonts w:hint="eastAsia"/>
              </w:rPr>
              <w:t>对比《制药工业污染防治技术政策》(环境保护部公告 2012 年第 18 号， 2012.3.7) ，本项目符合该技术政策中的规定，具体见表 1-10</w:t>
            </w:r>
          </w:p>
          <w:p w14:paraId="3E28B482">
            <w:pPr>
              <w:autoSpaceDE w:val="0"/>
              <w:autoSpaceDN w:val="0"/>
              <w:adjustRightInd w:val="0"/>
              <w:snapToGrid w:val="0"/>
              <w:jc w:val="center"/>
              <w:rPr>
                <w:b/>
              </w:rPr>
            </w:pPr>
            <w:r>
              <w:rPr>
                <w:rFonts w:hint="eastAsia"/>
                <w:b/>
              </w:rPr>
              <w:t>表1</w:t>
            </w:r>
            <w:r>
              <w:rPr>
                <w:b/>
              </w:rPr>
              <w:t>-1</w:t>
            </w:r>
            <w:r>
              <w:rPr>
                <w:rFonts w:hint="eastAsia"/>
                <w:b/>
              </w:rPr>
              <w:t>0</w:t>
            </w:r>
            <w:r>
              <w:rPr>
                <w:b/>
              </w:rPr>
              <w:t xml:space="preserve">  </w:t>
            </w:r>
            <w:r>
              <w:rPr>
                <w:rFonts w:hint="eastAsia"/>
                <w:b/>
              </w:rPr>
              <w:t>项目与《制药工业污染防治技术政策》的符合性分析</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4112"/>
              <w:gridCol w:w="2553"/>
              <w:gridCol w:w="795"/>
            </w:tblGrid>
            <w:tr w14:paraId="0DE0F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450" w:type="pct"/>
                  <w:shd w:val="clear" w:color="auto" w:fill="auto"/>
                  <w:vAlign w:val="center"/>
                </w:tcPr>
                <w:p w14:paraId="3AA1ACDA">
                  <w:pPr>
                    <w:autoSpaceDE w:val="0"/>
                    <w:autoSpaceDN w:val="0"/>
                    <w:adjustRightInd w:val="0"/>
                    <w:jc w:val="center"/>
                    <w:rPr>
                      <w:b/>
                      <w:bCs/>
                      <w:sz w:val="18"/>
                      <w:szCs w:val="18"/>
                    </w:rPr>
                  </w:pPr>
                  <w:r>
                    <w:rPr>
                      <w:rFonts w:hint="eastAsia"/>
                      <w:b/>
                      <w:bCs/>
                      <w:sz w:val="18"/>
                      <w:szCs w:val="18"/>
                    </w:rPr>
                    <w:t>类别</w:t>
                  </w:r>
                </w:p>
              </w:tc>
              <w:tc>
                <w:tcPr>
                  <w:tcW w:w="2508" w:type="pct"/>
                  <w:vAlign w:val="center"/>
                </w:tcPr>
                <w:p w14:paraId="677107ED">
                  <w:pPr>
                    <w:autoSpaceDE w:val="0"/>
                    <w:autoSpaceDN w:val="0"/>
                    <w:adjustRightInd w:val="0"/>
                    <w:jc w:val="center"/>
                    <w:rPr>
                      <w:b/>
                      <w:sz w:val="18"/>
                      <w:szCs w:val="18"/>
                    </w:rPr>
                  </w:pPr>
                  <w:r>
                    <w:rPr>
                      <w:rFonts w:hint="eastAsia"/>
                      <w:b/>
                      <w:sz w:val="18"/>
                      <w:szCs w:val="18"/>
                    </w:rPr>
                    <w:t>要求</w:t>
                  </w:r>
                </w:p>
              </w:tc>
              <w:tc>
                <w:tcPr>
                  <w:tcW w:w="1557" w:type="pct"/>
                  <w:vAlign w:val="center"/>
                </w:tcPr>
                <w:p w14:paraId="7649FC0A">
                  <w:pPr>
                    <w:autoSpaceDE w:val="0"/>
                    <w:autoSpaceDN w:val="0"/>
                    <w:adjustRightInd w:val="0"/>
                    <w:jc w:val="center"/>
                    <w:rPr>
                      <w:b/>
                      <w:sz w:val="18"/>
                      <w:szCs w:val="18"/>
                    </w:rPr>
                  </w:pPr>
                  <w:r>
                    <w:rPr>
                      <w:rFonts w:hint="eastAsia"/>
                      <w:b/>
                      <w:sz w:val="18"/>
                      <w:szCs w:val="18"/>
                    </w:rPr>
                    <w:t>本项目</w:t>
                  </w:r>
                </w:p>
              </w:tc>
              <w:tc>
                <w:tcPr>
                  <w:tcW w:w="485" w:type="pct"/>
                  <w:vAlign w:val="center"/>
                </w:tcPr>
                <w:p w14:paraId="0F570FE2">
                  <w:pPr>
                    <w:autoSpaceDE w:val="0"/>
                    <w:autoSpaceDN w:val="0"/>
                    <w:adjustRightInd w:val="0"/>
                    <w:jc w:val="center"/>
                    <w:rPr>
                      <w:b/>
                      <w:sz w:val="18"/>
                      <w:szCs w:val="18"/>
                    </w:rPr>
                  </w:pPr>
                  <w:r>
                    <w:rPr>
                      <w:rFonts w:hint="eastAsia"/>
                      <w:b/>
                      <w:sz w:val="18"/>
                      <w:szCs w:val="18"/>
                    </w:rPr>
                    <w:t>符合性</w:t>
                  </w:r>
                </w:p>
              </w:tc>
            </w:tr>
            <w:tr w14:paraId="2B031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450" w:type="pct"/>
                  <w:vMerge w:val="restart"/>
                  <w:shd w:val="clear" w:color="auto" w:fill="auto"/>
                  <w:vAlign w:val="center"/>
                </w:tcPr>
                <w:p w14:paraId="43E0149A">
                  <w:pPr>
                    <w:autoSpaceDE w:val="0"/>
                    <w:autoSpaceDN w:val="0"/>
                    <w:adjustRightInd w:val="0"/>
                    <w:jc w:val="center"/>
                    <w:rPr>
                      <w:sz w:val="18"/>
                      <w:szCs w:val="18"/>
                    </w:rPr>
                  </w:pPr>
                  <w:r>
                    <w:rPr>
                      <w:rFonts w:hint="eastAsia"/>
                      <w:sz w:val="18"/>
                      <w:szCs w:val="18"/>
                    </w:rPr>
                    <w:t>总则</w:t>
                  </w:r>
                </w:p>
              </w:tc>
              <w:tc>
                <w:tcPr>
                  <w:tcW w:w="2508" w:type="pct"/>
                  <w:vAlign w:val="center"/>
                </w:tcPr>
                <w:p w14:paraId="06832D71">
                  <w:pPr>
                    <w:autoSpaceDE w:val="0"/>
                    <w:autoSpaceDN w:val="0"/>
                    <w:adjustRightInd w:val="0"/>
                    <w:rPr>
                      <w:sz w:val="18"/>
                      <w:szCs w:val="18"/>
                    </w:rPr>
                  </w:pPr>
                  <w:r>
                    <w:rPr>
                      <w:rFonts w:ascii="宋体" w:hAnsi="宋体"/>
                      <w:spacing w:val="13"/>
                      <w:sz w:val="18"/>
                      <w:szCs w:val="18"/>
                    </w:rPr>
                    <w:t>(</w:t>
                  </w:r>
                  <w:r>
                    <w:rPr>
                      <w:rFonts w:ascii="宋体" w:hAnsi="宋体"/>
                      <w:spacing w:val="12"/>
                      <w:sz w:val="18"/>
                      <w:szCs w:val="18"/>
                    </w:rPr>
                    <w:t>四) 新 (改、扩) 建制药企业选</w:t>
                  </w:r>
                  <w:r>
                    <w:rPr>
                      <w:rFonts w:ascii="宋体" w:hAnsi="宋体"/>
                      <w:sz w:val="18"/>
                      <w:szCs w:val="18"/>
                    </w:rPr>
                    <w:t xml:space="preserve"> </w:t>
                  </w:r>
                  <w:r>
                    <w:rPr>
                      <w:rFonts w:ascii="宋体" w:hAnsi="宋体"/>
                      <w:spacing w:val="14"/>
                      <w:sz w:val="18"/>
                      <w:szCs w:val="18"/>
                    </w:rPr>
                    <w:t>址</w:t>
                  </w:r>
                  <w:r>
                    <w:rPr>
                      <w:rFonts w:ascii="宋体" w:hAnsi="宋体"/>
                      <w:spacing w:val="9"/>
                      <w:sz w:val="18"/>
                      <w:szCs w:val="18"/>
                    </w:rPr>
                    <w:t>应符合当地规划和环境功能区</w:t>
                  </w:r>
                  <w:r>
                    <w:rPr>
                      <w:rFonts w:ascii="宋体" w:hAnsi="宋体"/>
                      <w:spacing w:val="16"/>
                      <w:sz w:val="18"/>
                      <w:szCs w:val="18"/>
                    </w:rPr>
                    <w:t>划</w:t>
                  </w:r>
                  <w:r>
                    <w:rPr>
                      <w:rFonts w:ascii="宋体" w:hAnsi="宋体"/>
                      <w:spacing w:val="10"/>
                      <w:sz w:val="18"/>
                      <w:szCs w:val="18"/>
                    </w:rPr>
                    <w:t>，</w:t>
                  </w:r>
                  <w:r>
                    <w:rPr>
                      <w:rFonts w:ascii="宋体" w:hAnsi="宋体"/>
                      <w:spacing w:val="8"/>
                      <w:sz w:val="18"/>
                      <w:szCs w:val="18"/>
                    </w:rPr>
                    <w:t>并根据当地的自然条件和环境</w:t>
                  </w:r>
                  <w:r>
                    <w:rPr>
                      <w:rFonts w:ascii="宋体" w:hAnsi="宋体"/>
                      <w:sz w:val="18"/>
                      <w:szCs w:val="18"/>
                    </w:rPr>
                    <w:t xml:space="preserve"> </w:t>
                  </w:r>
                  <w:r>
                    <w:rPr>
                      <w:rFonts w:ascii="宋体" w:hAnsi="宋体"/>
                      <w:spacing w:val="14"/>
                      <w:sz w:val="18"/>
                      <w:szCs w:val="18"/>
                    </w:rPr>
                    <w:t>敏</w:t>
                  </w:r>
                  <w:r>
                    <w:rPr>
                      <w:rFonts w:ascii="宋体" w:hAnsi="宋体"/>
                      <w:spacing w:val="9"/>
                      <w:sz w:val="18"/>
                      <w:szCs w:val="18"/>
                    </w:rPr>
                    <w:t>感区域的方位，确定适宜的厂</w:t>
                  </w:r>
                  <w:r>
                    <w:rPr>
                      <w:rFonts w:ascii="宋体" w:hAnsi="宋体"/>
                      <w:spacing w:val="1"/>
                      <w:sz w:val="18"/>
                      <w:szCs w:val="18"/>
                    </w:rPr>
                    <w:t>址。</w:t>
                  </w:r>
                </w:p>
              </w:tc>
              <w:tc>
                <w:tcPr>
                  <w:tcW w:w="1557" w:type="pct"/>
                  <w:vAlign w:val="center"/>
                </w:tcPr>
                <w:p w14:paraId="71730531">
                  <w:pPr>
                    <w:rPr>
                      <w:sz w:val="18"/>
                      <w:szCs w:val="18"/>
                    </w:rPr>
                  </w:pPr>
                  <w:r>
                    <w:rPr>
                      <w:rFonts w:ascii="宋体" w:hAnsi="宋体"/>
                      <w:spacing w:val="9"/>
                      <w:sz w:val="18"/>
                      <w:szCs w:val="18"/>
                    </w:rPr>
                    <w:t>本项目位于</w:t>
                  </w:r>
                  <w:r>
                    <w:rPr>
                      <w:rFonts w:hint="eastAsia" w:ascii="宋体" w:hAnsi="宋体"/>
                      <w:spacing w:val="9"/>
                      <w:sz w:val="18"/>
                      <w:szCs w:val="18"/>
                    </w:rPr>
                    <w:t>四川省达州市通川经开区医药产业园11 栋3 层</w:t>
                  </w:r>
                  <w:r>
                    <w:rPr>
                      <w:rFonts w:ascii="宋体" w:hAnsi="宋体"/>
                      <w:spacing w:val="9"/>
                      <w:sz w:val="18"/>
                      <w:szCs w:val="18"/>
                    </w:rPr>
                    <w:t>，符合园区规划及</w:t>
                  </w:r>
                  <w:r>
                    <w:rPr>
                      <w:rFonts w:ascii="宋体" w:hAnsi="宋体"/>
                      <w:spacing w:val="7"/>
                      <w:sz w:val="18"/>
                      <w:szCs w:val="18"/>
                    </w:rPr>
                    <w:t>环</w:t>
                  </w:r>
                  <w:r>
                    <w:rPr>
                      <w:rFonts w:ascii="宋体" w:hAnsi="宋体"/>
                      <w:spacing w:val="9"/>
                      <w:sz w:val="18"/>
                      <w:szCs w:val="18"/>
                    </w:rPr>
                    <w:t>境</w:t>
                  </w:r>
                  <w:r>
                    <w:rPr>
                      <w:rFonts w:ascii="宋体" w:hAnsi="宋体"/>
                      <w:spacing w:val="6"/>
                      <w:sz w:val="18"/>
                      <w:szCs w:val="18"/>
                    </w:rPr>
                    <w:t>功能区划。</w:t>
                  </w:r>
                </w:p>
              </w:tc>
              <w:tc>
                <w:tcPr>
                  <w:tcW w:w="485" w:type="pct"/>
                  <w:vAlign w:val="center"/>
                </w:tcPr>
                <w:p w14:paraId="649B0B08">
                  <w:pPr>
                    <w:autoSpaceDE w:val="0"/>
                    <w:autoSpaceDN w:val="0"/>
                    <w:adjustRightInd w:val="0"/>
                    <w:jc w:val="center"/>
                    <w:rPr>
                      <w:sz w:val="18"/>
                      <w:szCs w:val="18"/>
                    </w:rPr>
                  </w:pPr>
                  <w:r>
                    <w:rPr>
                      <w:rFonts w:ascii="宋体" w:hAnsi="宋体"/>
                      <w:spacing w:val="4"/>
                      <w:sz w:val="18"/>
                      <w:szCs w:val="18"/>
                    </w:rPr>
                    <w:t>符</w:t>
                  </w:r>
                  <w:r>
                    <w:rPr>
                      <w:rFonts w:ascii="宋体" w:hAnsi="宋体"/>
                      <w:spacing w:val="3"/>
                      <w:sz w:val="18"/>
                      <w:szCs w:val="18"/>
                    </w:rPr>
                    <w:t>合</w:t>
                  </w:r>
                </w:p>
              </w:tc>
            </w:tr>
            <w:tr w14:paraId="62046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450" w:type="pct"/>
                  <w:vMerge w:val="continue"/>
                  <w:shd w:val="clear" w:color="auto" w:fill="auto"/>
                  <w:vAlign w:val="center"/>
                </w:tcPr>
                <w:p w14:paraId="21C9DE78">
                  <w:pPr>
                    <w:autoSpaceDE w:val="0"/>
                    <w:autoSpaceDN w:val="0"/>
                    <w:adjustRightInd w:val="0"/>
                    <w:jc w:val="center"/>
                    <w:rPr>
                      <w:sz w:val="18"/>
                      <w:szCs w:val="18"/>
                    </w:rPr>
                  </w:pPr>
                </w:p>
              </w:tc>
              <w:tc>
                <w:tcPr>
                  <w:tcW w:w="2508" w:type="pct"/>
                  <w:vAlign w:val="center"/>
                </w:tcPr>
                <w:p w14:paraId="5868688D">
                  <w:pPr>
                    <w:autoSpaceDE w:val="0"/>
                    <w:autoSpaceDN w:val="0"/>
                    <w:adjustRightInd w:val="0"/>
                    <w:rPr>
                      <w:sz w:val="18"/>
                      <w:szCs w:val="18"/>
                    </w:rPr>
                  </w:pPr>
                  <w:r>
                    <w:rPr>
                      <w:rFonts w:ascii="宋体" w:hAnsi="宋体"/>
                      <w:spacing w:val="22"/>
                      <w:sz w:val="18"/>
                      <w:szCs w:val="18"/>
                    </w:rPr>
                    <w:t>(</w:t>
                  </w:r>
                  <w:r>
                    <w:rPr>
                      <w:rFonts w:ascii="宋体" w:hAnsi="宋体"/>
                      <w:spacing w:val="13"/>
                      <w:sz w:val="18"/>
                      <w:szCs w:val="18"/>
                    </w:rPr>
                    <w:t>六) 应对制药工业产生的化学需</w:t>
                  </w:r>
                  <w:r>
                    <w:rPr>
                      <w:rFonts w:ascii="宋体" w:hAnsi="宋体"/>
                      <w:spacing w:val="12"/>
                      <w:sz w:val="18"/>
                      <w:szCs w:val="18"/>
                    </w:rPr>
                    <w:t>氧</w:t>
                  </w:r>
                  <w:r>
                    <w:rPr>
                      <w:rFonts w:ascii="宋体" w:hAnsi="宋体"/>
                      <w:spacing w:val="7"/>
                      <w:sz w:val="18"/>
                      <w:szCs w:val="18"/>
                    </w:rPr>
                    <w:t>量(</w:t>
                  </w:r>
                  <w:r>
                    <w:rPr>
                      <w:rFonts w:eastAsia="Times New Roman" w:cs="Times New Roman"/>
                      <w:sz w:val="18"/>
                      <w:szCs w:val="18"/>
                    </w:rPr>
                    <w:t>COD</w:t>
                  </w:r>
                  <w:r>
                    <w:rPr>
                      <w:rFonts w:ascii="宋体" w:hAnsi="宋体"/>
                      <w:spacing w:val="7"/>
                      <w:sz w:val="18"/>
                      <w:szCs w:val="18"/>
                    </w:rPr>
                    <w:t>)、氨氮、残留药物活</w:t>
                  </w:r>
                  <w:r>
                    <w:rPr>
                      <w:rFonts w:ascii="宋体" w:hAnsi="宋体"/>
                      <w:spacing w:val="9"/>
                      <w:sz w:val="18"/>
                      <w:szCs w:val="18"/>
                    </w:rPr>
                    <w:t>性成份、恶臭物质、挥发性有机</w:t>
                  </w:r>
                  <w:r>
                    <w:rPr>
                      <w:rFonts w:ascii="宋体" w:hAnsi="宋体"/>
                      <w:spacing w:val="7"/>
                      <w:sz w:val="18"/>
                      <w:szCs w:val="18"/>
                    </w:rPr>
                    <w:t>物</w:t>
                  </w:r>
                  <w:r>
                    <w:rPr>
                      <w:rFonts w:ascii="宋体" w:hAnsi="宋体"/>
                      <w:spacing w:val="3"/>
                      <w:sz w:val="18"/>
                      <w:szCs w:val="18"/>
                    </w:rPr>
                    <w:t>(</w:t>
                  </w:r>
                  <w:r>
                    <w:rPr>
                      <w:rFonts w:eastAsia="Times New Roman" w:cs="Times New Roman"/>
                      <w:sz w:val="18"/>
                      <w:szCs w:val="18"/>
                    </w:rPr>
                    <w:t>VOC</w:t>
                  </w:r>
                  <w:r>
                    <w:rPr>
                      <w:rFonts w:ascii="宋体" w:hAnsi="宋体"/>
                      <w:spacing w:val="2"/>
                      <w:sz w:val="18"/>
                      <w:szCs w:val="18"/>
                    </w:rPr>
                    <w:t>)</w:t>
                  </w:r>
                  <w:r>
                    <w:rPr>
                      <w:rFonts w:hint="eastAsia" w:ascii="宋体" w:hAnsi="宋体"/>
                      <w:spacing w:val="2"/>
                      <w:sz w:val="18"/>
                      <w:szCs w:val="18"/>
                    </w:rPr>
                    <w:t>、</w:t>
                  </w:r>
                  <w:r>
                    <w:rPr>
                      <w:rFonts w:ascii="宋体" w:hAnsi="宋体"/>
                      <w:spacing w:val="2"/>
                      <w:sz w:val="18"/>
                      <w:szCs w:val="18"/>
                    </w:rPr>
                    <w:t>抗生素菌渣等污染物</w:t>
                  </w:r>
                  <w:r>
                    <w:rPr>
                      <w:rFonts w:ascii="宋体" w:hAnsi="宋体"/>
                      <w:spacing w:val="11"/>
                      <w:sz w:val="18"/>
                      <w:szCs w:val="18"/>
                    </w:rPr>
                    <w:t>进</w:t>
                  </w:r>
                  <w:r>
                    <w:rPr>
                      <w:rFonts w:ascii="宋体" w:hAnsi="宋体"/>
                      <w:spacing w:val="7"/>
                      <w:sz w:val="18"/>
                      <w:szCs w:val="18"/>
                    </w:rPr>
                    <w:t>行重点防治。</w:t>
                  </w:r>
                </w:p>
              </w:tc>
              <w:tc>
                <w:tcPr>
                  <w:tcW w:w="1557" w:type="pct"/>
                  <w:vAlign w:val="center"/>
                </w:tcPr>
                <w:p w14:paraId="387FC396">
                  <w:pPr>
                    <w:autoSpaceDE w:val="0"/>
                    <w:autoSpaceDN w:val="0"/>
                    <w:adjustRightInd w:val="0"/>
                    <w:rPr>
                      <w:sz w:val="18"/>
                      <w:szCs w:val="18"/>
                    </w:rPr>
                  </w:pPr>
                  <w:r>
                    <w:rPr>
                      <w:rFonts w:ascii="宋体" w:hAnsi="宋体"/>
                      <w:spacing w:val="9"/>
                      <w:sz w:val="18"/>
                      <w:szCs w:val="18"/>
                    </w:rPr>
                    <w:t>本项目设废气处理装置对</w:t>
                  </w:r>
                  <w:r>
                    <w:rPr>
                      <w:rFonts w:ascii="宋体" w:hAnsi="宋体"/>
                      <w:sz w:val="18"/>
                      <w:szCs w:val="18"/>
                    </w:rPr>
                    <w:t xml:space="preserve">  </w:t>
                  </w:r>
                  <w:r>
                    <w:rPr>
                      <w:rFonts w:ascii="宋体" w:hAnsi="宋体"/>
                      <w:spacing w:val="9"/>
                      <w:sz w:val="18"/>
                      <w:szCs w:val="18"/>
                    </w:rPr>
                    <w:t>各项废气污染物进行</w:t>
                  </w:r>
                  <w:r>
                    <w:rPr>
                      <w:rFonts w:ascii="宋体" w:hAnsi="宋体"/>
                      <w:spacing w:val="7"/>
                      <w:sz w:val="18"/>
                      <w:szCs w:val="18"/>
                    </w:rPr>
                    <w:t>治</w:t>
                  </w:r>
                  <w:r>
                    <w:rPr>
                      <w:rFonts w:ascii="宋体" w:hAnsi="宋体"/>
                      <w:sz w:val="18"/>
                      <w:szCs w:val="18"/>
                    </w:rPr>
                    <w:t xml:space="preserve">    </w:t>
                  </w:r>
                  <w:r>
                    <w:rPr>
                      <w:rFonts w:ascii="宋体" w:hAnsi="宋体"/>
                      <w:spacing w:val="10"/>
                      <w:sz w:val="18"/>
                      <w:szCs w:val="18"/>
                    </w:rPr>
                    <w:t>理</w:t>
                  </w:r>
                  <w:r>
                    <w:rPr>
                      <w:rFonts w:ascii="宋体" w:hAnsi="宋体"/>
                      <w:spacing w:val="9"/>
                      <w:sz w:val="18"/>
                      <w:szCs w:val="18"/>
                    </w:rPr>
                    <w:t>。设污水处理设施对废水</w:t>
                  </w:r>
                  <w:r>
                    <w:rPr>
                      <w:rFonts w:ascii="宋体" w:hAnsi="宋体"/>
                      <w:sz w:val="18"/>
                      <w:szCs w:val="18"/>
                    </w:rPr>
                    <w:t xml:space="preserve"> </w:t>
                  </w:r>
                  <w:r>
                    <w:rPr>
                      <w:rFonts w:ascii="宋体" w:hAnsi="宋体"/>
                      <w:spacing w:val="8"/>
                      <w:sz w:val="18"/>
                      <w:szCs w:val="18"/>
                    </w:rPr>
                    <w:t>各项污染物重点防治</w:t>
                  </w:r>
                  <w:r>
                    <w:rPr>
                      <w:rFonts w:ascii="宋体" w:hAnsi="宋体"/>
                      <w:spacing w:val="7"/>
                      <w:sz w:val="18"/>
                      <w:szCs w:val="18"/>
                    </w:rPr>
                    <w:t>。</w:t>
                  </w:r>
                </w:p>
              </w:tc>
              <w:tc>
                <w:tcPr>
                  <w:tcW w:w="485" w:type="pct"/>
                  <w:vAlign w:val="center"/>
                </w:tcPr>
                <w:p w14:paraId="187F2D95">
                  <w:pPr>
                    <w:autoSpaceDE w:val="0"/>
                    <w:autoSpaceDN w:val="0"/>
                    <w:adjustRightInd w:val="0"/>
                    <w:jc w:val="center"/>
                    <w:rPr>
                      <w:sz w:val="18"/>
                      <w:szCs w:val="18"/>
                    </w:rPr>
                  </w:pPr>
                  <w:r>
                    <w:rPr>
                      <w:rFonts w:ascii="宋体" w:hAnsi="宋体"/>
                      <w:spacing w:val="4"/>
                      <w:sz w:val="18"/>
                      <w:szCs w:val="18"/>
                    </w:rPr>
                    <w:t>符</w:t>
                  </w:r>
                  <w:r>
                    <w:rPr>
                      <w:rFonts w:ascii="宋体" w:hAnsi="宋体"/>
                      <w:spacing w:val="3"/>
                      <w:sz w:val="18"/>
                      <w:szCs w:val="18"/>
                    </w:rPr>
                    <w:t>合</w:t>
                  </w:r>
                </w:p>
              </w:tc>
            </w:tr>
            <w:tr w14:paraId="55289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450" w:type="pct"/>
                  <w:vMerge w:val="continue"/>
                  <w:shd w:val="clear" w:color="auto" w:fill="auto"/>
                  <w:vAlign w:val="center"/>
                </w:tcPr>
                <w:p w14:paraId="07172D48">
                  <w:pPr>
                    <w:autoSpaceDE w:val="0"/>
                    <w:autoSpaceDN w:val="0"/>
                    <w:adjustRightInd w:val="0"/>
                    <w:jc w:val="center"/>
                    <w:rPr>
                      <w:sz w:val="18"/>
                      <w:szCs w:val="18"/>
                    </w:rPr>
                  </w:pPr>
                </w:p>
              </w:tc>
              <w:tc>
                <w:tcPr>
                  <w:tcW w:w="2508" w:type="pct"/>
                  <w:vAlign w:val="center"/>
                </w:tcPr>
                <w:p w14:paraId="1F30E971">
                  <w:pPr>
                    <w:rPr>
                      <w:sz w:val="18"/>
                      <w:szCs w:val="18"/>
                    </w:rPr>
                  </w:pPr>
                  <w:r>
                    <w:rPr>
                      <w:rFonts w:ascii="宋体" w:hAnsi="宋体"/>
                      <w:spacing w:val="22"/>
                      <w:sz w:val="18"/>
                      <w:szCs w:val="18"/>
                    </w:rPr>
                    <w:t>(</w:t>
                  </w:r>
                  <w:r>
                    <w:rPr>
                      <w:rFonts w:ascii="宋体" w:hAnsi="宋体"/>
                      <w:spacing w:val="13"/>
                      <w:sz w:val="18"/>
                      <w:szCs w:val="18"/>
                    </w:rPr>
                    <w:t>七) 制药工业污染防治应遵循清</w:t>
                  </w:r>
                  <w:r>
                    <w:rPr>
                      <w:rFonts w:ascii="宋体" w:hAnsi="宋体"/>
                      <w:spacing w:val="9"/>
                      <w:sz w:val="18"/>
                      <w:szCs w:val="18"/>
                    </w:rPr>
                    <w:t>洁生产与末端治理相结合、综合</w:t>
                  </w:r>
                  <w:r>
                    <w:rPr>
                      <w:rFonts w:ascii="宋体" w:hAnsi="宋体"/>
                      <w:spacing w:val="7"/>
                      <w:sz w:val="18"/>
                      <w:szCs w:val="18"/>
                    </w:rPr>
                    <w:t>利</w:t>
                  </w:r>
                  <w:r>
                    <w:rPr>
                      <w:rFonts w:ascii="宋体" w:hAnsi="宋体"/>
                      <w:spacing w:val="16"/>
                      <w:sz w:val="18"/>
                      <w:szCs w:val="18"/>
                    </w:rPr>
                    <w:t>用</w:t>
                  </w:r>
                  <w:r>
                    <w:rPr>
                      <w:rFonts w:ascii="宋体" w:hAnsi="宋体"/>
                      <w:spacing w:val="10"/>
                      <w:sz w:val="18"/>
                      <w:szCs w:val="18"/>
                    </w:rPr>
                    <w:t>与</w:t>
                  </w:r>
                  <w:r>
                    <w:rPr>
                      <w:rFonts w:ascii="宋体" w:hAnsi="宋体"/>
                      <w:spacing w:val="8"/>
                      <w:sz w:val="18"/>
                      <w:szCs w:val="18"/>
                    </w:rPr>
                    <w:t>无害化处置相结合的原则；注</w:t>
                  </w:r>
                  <w:r>
                    <w:rPr>
                      <w:rFonts w:ascii="宋体" w:hAnsi="宋体"/>
                      <w:spacing w:val="16"/>
                      <w:sz w:val="18"/>
                      <w:szCs w:val="18"/>
                    </w:rPr>
                    <w:t>重</w:t>
                  </w:r>
                  <w:r>
                    <w:rPr>
                      <w:rFonts w:ascii="宋体" w:hAnsi="宋体"/>
                      <w:spacing w:val="10"/>
                      <w:sz w:val="18"/>
                      <w:szCs w:val="18"/>
                    </w:rPr>
                    <w:t>源</w:t>
                  </w:r>
                  <w:r>
                    <w:rPr>
                      <w:rFonts w:ascii="宋体" w:hAnsi="宋体"/>
                      <w:spacing w:val="8"/>
                      <w:sz w:val="18"/>
                      <w:szCs w:val="18"/>
                    </w:rPr>
                    <w:t>头控污，加强精细化管理，提</w:t>
                  </w:r>
                  <w:r>
                    <w:rPr>
                      <w:rFonts w:ascii="宋体" w:hAnsi="宋体"/>
                      <w:spacing w:val="16"/>
                      <w:sz w:val="18"/>
                      <w:szCs w:val="18"/>
                    </w:rPr>
                    <w:t>倡</w:t>
                  </w:r>
                  <w:r>
                    <w:rPr>
                      <w:rFonts w:ascii="宋体" w:hAnsi="宋体"/>
                      <w:spacing w:val="10"/>
                      <w:sz w:val="18"/>
                      <w:szCs w:val="18"/>
                    </w:rPr>
                    <w:t>废</w:t>
                  </w:r>
                  <w:r>
                    <w:rPr>
                      <w:rFonts w:ascii="宋体" w:hAnsi="宋体"/>
                      <w:spacing w:val="8"/>
                      <w:sz w:val="18"/>
                      <w:szCs w:val="18"/>
                    </w:rPr>
                    <w:t>水分类收集、分质处理，采用</w:t>
                  </w:r>
                  <w:r>
                    <w:rPr>
                      <w:rFonts w:ascii="宋体" w:hAnsi="宋体"/>
                      <w:spacing w:val="16"/>
                      <w:sz w:val="18"/>
                      <w:szCs w:val="18"/>
                    </w:rPr>
                    <w:t>先</w:t>
                  </w:r>
                  <w:r>
                    <w:rPr>
                      <w:rFonts w:ascii="宋体" w:hAnsi="宋体"/>
                      <w:spacing w:val="10"/>
                      <w:sz w:val="18"/>
                      <w:szCs w:val="18"/>
                    </w:rPr>
                    <w:t>进</w:t>
                  </w:r>
                  <w:r>
                    <w:rPr>
                      <w:rFonts w:ascii="宋体" w:hAnsi="宋体"/>
                      <w:spacing w:val="8"/>
                      <w:sz w:val="18"/>
                      <w:szCs w:val="18"/>
                    </w:rPr>
                    <w:t>、成熟的污染防治技术，减少</w:t>
                  </w:r>
                  <w:r>
                    <w:rPr>
                      <w:rFonts w:ascii="宋体" w:hAnsi="宋体"/>
                      <w:spacing w:val="14"/>
                      <w:sz w:val="18"/>
                      <w:szCs w:val="18"/>
                    </w:rPr>
                    <w:t>废</w:t>
                  </w:r>
                  <w:r>
                    <w:rPr>
                      <w:rFonts w:ascii="宋体" w:hAnsi="宋体"/>
                      <w:spacing w:val="9"/>
                      <w:sz w:val="18"/>
                      <w:szCs w:val="18"/>
                    </w:rPr>
                    <w:t>气排放，提高废物综合利用水平，加强环境风</w:t>
                  </w:r>
                  <w:r>
                    <w:rPr>
                      <w:rFonts w:ascii="宋体" w:hAnsi="宋体"/>
                      <w:spacing w:val="8"/>
                      <w:sz w:val="18"/>
                      <w:szCs w:val="18"/>
                    </w:rPr>
                    <w:t>险</w:t>
                  </w:r>
                  <w:r>
                    <w:rPr>
                      <w:rFonts w:ascii="宋体" w:hAnsi="宋体"/>
                      <w:spacing w:val="-1"/>
                      <w:sz w:val="18"/>
                      <w:szCs w:val="18"/>
                    </w:rPr>
                    <w:t>防范。</w:t>
                  </w:r>
                </w:p>
              </w:tc>
              <w:tc>
                <w:tcPr>
                  <w:tcW w:w="1557" w:type="pct"/>
                  <w:vAlign w:val="center"/>
                </w:tcPr>
                <w:p w14:paraId="32785610">
                  <w:pPr>
                    <w:autoSpaceDE w:val="0"/>
                    <w:autoSpaceDN w:val="0"/>
                    <w:adjustRightInd w:val="0"/>
                    <w:rPr>
                      <w:sz w:val="18"/>
                      <w:szCs w:val="18"/>
                    </w:rPr>
                  </w:pPr>
                  <w:r>
                    <w:rPr>
                      <w:rFonts w:ascii="宋体" w:hAnsi="宋体"/>
                      <w:spacing w:val="9"/>
                      <w:sz w:val="18"/>
                      <w:szCs w:val="18"/>
                    </w:rPr>
                    <w:t>本项目采用先进的生产技</w:t>
                  </w:r>
                  <w:r>
                    <w:rPr>
                      <w:rFonts w:ascii="宋体" w:hAnsi="宋体"/>
                      <w:sz w:val="18"/>
                      <w:szCs w:val="18"/>
                    </w:rPr>
                    <w:t xml:space="preserve">  </w:t>
                  </w:r>
                  <w:r>
                    <w:rPr>
                      <w:rFonts w:ascii="宋体" w:hAnsi="宋体"/>
                      <w:spacing w:val="12"/>
                      <w:sz w:val="18"/>
                      <w:szCs w:val="18"/>
                    </w:rPr>
                    <w:t>术</w:t>
                  </w:r>
                  <w:r>
                    <w:rPr>
                      <w:rFonts w:ascii="宋体" w:hAnsi="宋体"/>
                      <w:spacing w:val="9"/>
                      <w:sz w:val="18"/>
                      <w:szCs w:val="18"/>
                    </w:rPr>
                    <w:t>，遵循清洁生产原则；生</w:t>
                  </w:r>
                  <w:r>
                    <w:rPr>
                      <w:rFonts w:ascii="宋体" w:hAnsi="宋体"/>
                      <w:sz w:val="18"/>
                      <w:szCs w:val="18"/>
                    </w:rPr>
                    <w:t xml:space="preserve"> </w:t>
                  </w:r>
                  <w:r>
                    <w:rPr>
                      <w:rFonts w:ascii="宋体" w:hAnsi="宋体"/>
                      <w:spacing w:val="-2"/>
                      <w:sz w:val="18"/>
                      <w:szCs w:val="18"/>
                    </w:rPr>
                    <w:t>产废水分类收</w:t>
                  </w:r>
                  <w:r>
                    <w:rPr>
                      <w:rFonts w:ascii="宋体" w:hAnsi="宋体"/>
                      <w:spacing w:val="-1"/>
                      <w:sz w:val="18"/>
                      <w:szCs w:val="18"/>
                    </w:rPr>
                    <w:t>集，分质处理，</w:t>
                  </w:r>
                  <w:r>
                    <w:rPr>
                      <w:rFonts w:ascii="宋体" w:hAnsi="宋体"/>
                      <w:sz w:val="18"/>
                      <w:szCs w:val="18"/>
                    </w:rPr>
                    <w:t xml:space="preserve"> </w:t>
                  </w:r>
                  <w:r>
                    <w:rPr>
                      <w:rFonts w:ascii="宋体" w:hAnsi="宋体"/>
                      <w:spacing w:val="12"/>
                      <w:sz w:val="18"/>
                      <w:szCs w:val="18"/>
                    </w:rPr>
                    <w:t>各</w:t>
                  </w:r>
                  <w:r>
                    <w:rPr>
                      <w:rFonts w:ascii="宋体" w:hAnsi="宋体"/>
                      <w:spacing w:val="9"/>
                      <w:sz w:val="18"/>
                      <w:szCs w:val="18"/>
                    </w:rPr>
                    <w:t>类废气末端进行治理，减</w:t>
                  </w:r>
                  <w:r>
                    <w:rPr>
                      <w:rFonts w:ascii="宋体" w:hAnsi="宋体"/>
                      <w:sz w:val="18"/>
                      <w:szCs w:val="18"/>
                    </w:rPr>
                    <w:t xml:space="preserve"> </w:t>
                  </w:r>
                  <w:r>
                    <w:rPr>
                      <w:rFonts w:ascii="宋体" w:hAnsi="宋体"/>
                      <w:spacing w:val="12"/>
                      <w:sz w:val="18"/>
                      <w:szCs w:val="18"/>
                    </w:rPr>
                    <w:t>少</w:t>
                  </w:r>
                  <w:r>
                    <w:rPr>
                      <w:rFonts w:ascii="宋体" w:hAnsi="宋体"/>
                      <w:spacing w:val="9"/>
                      <w:sz w:val="18"/>
                      <w:szCs w:val="18"/>
                    </w:rPr>
                    <w:t>废气排放；制定严格的风</w:t>
                  </w:r>
                  <w:r>
                    <w:rPr>
                      <w:rFonts w:ascii="宋体" w:hAnsi="宋体"/>
                      <w:sz w:val="18"/>
                      <w:szCs w:val="18"/>
                    </w:rPr>
                    <w:t xml:space="preserve"> </w:t>
                  </w:r>
                  <w:r>
                    <w:rPr>
                      <w:rFonts w:ascii="宋体" w:hAnsi="宋体"/>
                      <w:spacing w:val="10"/>
                      <w:sz w:val="18"/>
                      <w:szCs w:val="18"/>
                    </w:rPr>
                    <w:t>险</w:t>
                  </w:r>
                  <w:r>
                    <w:rPr>
                      <w:rFonts w:ascii="宋体" w:hAnsi="宋体"/>
                      <w:spacing w:val="6"/>
                      <w:sz w:val="18"/>
                      <w:szCs w:val="18"/>
                    </w:rPr>
                    <w:t>防范措施。</w:t>
                  </w:r>
                </w:p>
              </w:tc>
              <w:tc>
                <w:tcPr>
                  <w:tcW w:w="485" w:type="pct"/>
                  <w:vAlign w:val="center"/>
                </w:tcPr>
                <w:p w14:paraId="4D8A7EA0">
                  <w:pPr>
                    <w:autoSpaceDE w:val="0"/>
                    <w:autoSpaceDN w:val="0"/>
                    <w:adjustRightInd w:val="0"/>
                    <w:jc w:val="center"/>
                    <w:rPr>
                      <w:sz w:val="18"/>
                      <w:szCs w:val="18"/>
                    </w:rPr>
                  </w:pPr>
                  <w:r>
                    <w:rPr>
                      <w:rFonts w:ascii="宋体" w:hAnsi="宋体"/>
                      <w:spacing w:val="4"/>
                      <w:sz w:val="18"/>
                      <w:szCs w:val="18"/>
                    </w:rPr>
                    <w:t>符</w:t>
                  </w:r>
                  <w:r>
                    <w:rPr>
                      <w:rFonts w:ascii="宋体" w:hAnsi="宋体"/>
                      <w:spacing w:val="3"/>
                      <w:sz w:val="18"/>
                      <w:szCs w:val="18"/>
                    </w:rPr>
                    <w:t>合</w:t>
                  </w:r>
                </w:p>
              </w:tc>
            </w:tr>
            <w:tr w14:paraId="1979D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450" w:type="pct"/>
                  <w:shd w:val="clear" w:color="auto" w:fill="auto"/>
                  <w:vAlign w:val="center"/>
                </w:tcPr>
                <w:p w14:paraId="6041BF8F">
                  <w:pPr>
                    <w:autoSpaceDE w:val="0"/>
                    <w:autoSpaceDN w:val="0"/>
                    <w:adjustRightInd w:val="0"/>
                    <w:jc w:val="center"/>
                    <w:rPr>
                      <w:sz w:val="18"/>
                      <w:szCs w:val="18"/>
                    </w:rPr>
                  </w:pPr>
                  <w:r>
                    <w:rPr>
                      <w:rFonts w:hint="eastAsia"/>
                      <w:sz w:val="18"/>
                      <w:szCs w:val="18"/>
                    </w:rPr>
                    <w:t>水污染 防治</w:t>
                  </w:r>
                </w:p>
              </w:tc>
              <w:tc>
                <w:tcPr>
                  <w:tcW w:w="2508" w:type="pct"/>
                  <w:vAlign w:val="center"/>
                </w:tcPr>
                <w:p w14:paraId="514886A9">
                  <w:pPr>
                    <w:autoSpaceDE w:val="0"/>
                    <w:autoSpaceDN w:val="0"/>
                    <w:adjustRightInd w:val="0"/>
                    <w:rPr>
                      <w:sz w:val="18"/>
                      <w:szCs w:val="18"/>
                    </w:rPr>
                  </w:pPr>
                  <w:r>
                    <w:rPr>
                      <w:rFonts w:hint="eastAsia"/>
                      <w:sz w:val="18"/>
                      <w:szCs w:val="18"/>
                    </w:rPr>
                    <w:t xml:space="preserve">( 一) 废水宜分类收集、分质处理； 高浓度废水、含有药物活性成份的 废水应进行预处理。企业向工业园 区的公共污水处理厂或城镇排水  系统排放废水，应进行处理，并按 法律法规达到国家或地方规定的  排放标准。  (五) 可生化降解的高 浓度废水应进行常规预处理，难生 化降解的高浓度废水应进行强化  预处理。预处理后的高浓度废水， 先经“厌氧生化”处理后，与低浓度 废水混合，再进行“好氧生化”处理 及深度处理；或预处理后的高浓度 废水与低浓度废水混合，进行“厌氧 </w:t>
                  </w:r>
                  <w:r>
                    <w:rPr>
                      <w:rFonts w:hint="eastAsia"/>
                      <w:sz w:val="18"/>
                      <w:szCs w:val="18"/>
                    </w:rPr>
                    <w:tab/>
                  </w:r>
                  <w:r>
                    <w:rPr>
                      <w:rFonts w:hint="eastAsia"/>
                      <w:sz w:val="18"/>
                      <w:szCs w:val="18"/>
                    </w:rPr>
                    <w:t>(或水解酸化)－好氧”生化处理及 深度处理。</w:t>
                  </w:r>
                </w:p>
                <w:p w14:paraId="555ECD1B">
                  <w:pPr>
                    <w:autoSpaceDE w:val="0"/>
                    <w:autoSpaceDN w:val="0"/>
                    <w:adjustRightInd w:val="0"/>
                    <w:rPr>
                      <w:sz w:val="18"/>
                      <w:szCs w:val="18"/>
                    </w:rPr>
                  </w:pPr>
                  <w:r>
                    <w:rPr>
                      <w:rFonts w:hint="eastAsia"/>
                      <w:sz w:val="18"/>
                      <w:szCs w:val="18"/>
                    </w:rPr>
                    <w:t>(二)  (十) 低浓度有机废水，宜 采用“好氧生化”或“水解酸化－好 氧生 化”工艺进行处理。</w:t>
                  </w:r>
                </w:p>
              </w:tc>
              <w:tc>
                <w:tcPr>
                  <w:tcW w:w="1557" w:type="pct"/>
                  <w:vAlign w:val="center"/>
                </w:tcPr>
                <w:p w14:paraId="30EF5DD3">
                  <w:pPr>
                    <w:autoSpaceDE w:val="0"/>
                    <w:autoSpaceDN w:val="0"/>
                    <w:adjustRightInd w:val="0"/>
                    <w:rPr>
                      <w:sz w:val="18"/>
                      <w:szCs w:val="18"/>
                    </w:rPr>
                  </w:pPr>
                  <w:r>
                    <w:rPr>
                      <w:rFonts w:hint="eastAsia"/>
                      <w:sz w:val="18"/>
                      <w:szCs w:val="18"/>
                    </w:rPr>
                    <w:t>本项目尽可能减少新鲜水消耗及废水排放；废水进厂内污水处理设施处理达标后排放 。</w:t>
                  </w:r>
                </w:p>
              </w:tc>
              <w:tc>
                <w:tcPr>
                  <w:tcW w:w="485" w:type="pct"/>
                  <w:vAlign w:val="center"/>
                </w:tcPr>
                <w:p w14:paraId="69EF3966">
                  <w:pPr>
                    <w:autoSpaceDE w:val="0"/>
                    <w:autoSpaceDN w:val="0"/>
                    <w:adjustRightInd w:val="0"/>
                    <w:jc w:val="center"/>
                    <w:rPr>
                      <w:sz w:val="18"/>
                      <w:szCs w:val="18"/>
                    </w:rPr>
                  </w:pPr>
                  <w:r>
                    <w:rPr>
                      <w:rFonts w:ascii="宋体" w:hAnsi="宋体"/>
                      <w:spacing w:val="4"/>
                      <w:sz w:val="18"/>
                      <w:szCs w:val="18"/>
                    </w:rPr>
                    <w:t>符</w:t>
                  </w:r>
                  <w:r>
                    <w:rPr>
                      <w:rFonts w:ascii="宋体" w:hAnsi="宋体"/>
                      <w:spacing w:val="3"/>
                      <w:sz w:val="18"/>
                      <w:szCs w:val="18"/>
                    </w:rPr>
                    <w:t>合</w:t>
                  </w:r>
                </w:p>
              </w:tc>
            </w:tr>
            <w:tr w14:paraId="56163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450" w:type="pct"/>
                  <w:shd w:val="clear" w:color="auto" w:fill="auto"/>
                  <w:vAlign w:val="center"/>
                </w:tcPr>
                <w:p w14:paraId="6B1BBCDE">
                  <w:pPr>
                    <w:autoSpaceDE w:val="0"/>
                    <w:autoSpaceDN w:val="0"/>
                    <w:adjustRightInd w:val="0"/>
                    <w:jc w:val="center"/>
                    <w:rPr>
                      <w:sz w:val="18"/>
                      <w:szCs w:val="18"/>
                    </w:rPr>
                  </w:pPr>
                  <w:r>
                    <w:rPr>
                      <w:rFonts w:hint="eastAsia"/>
                      <w:sz w:val="18"/>
                      <w:szCs w:val="18"/>
                    </w:rPr>
                    <w:t>大气污 染防治</w:t>
                  </w:r>
                </w:p>
              </w:tc>
              <w:tc>
                <w:tcPr>
                  <w:tcW w:w="2508" w:type="pct"/>
                  <w:vAlign w:val="center"/>
                </w:tcPr>
                <w:p w14:paraId="4F6106CF">
                  <w:pPr>
                    <w:autoSpaceDE w:val="0"/>
                    <w:autoSpaceDN w:val="0"/>
                    <w:adjustRightInd w:val="0"/>
                    <w:rPr>
                      <w:sz w:val="18"/>
                      <w:szCs w:val="18"/>
                    </w:rPr>
                  </w:pPr>
                  <w:r>
                    <w:rPr>
                      <w:rFonts w:hint="eastAsia"/>
                      <w:sz w:val="18"/>
                      <w:szCs w:val="18"/>
                    </w:rPr>
                    <w:t>( 一) 粉碎、筛分、总混、过滤、 干燥、包装等工序产生的含药尘废 气，应安装袋式、湿式等高效除尘 器捕集。</w:t>
                  </w:r>
                </w:p>
                <w:p w14:paraId="22297B0C">
                  <w:pPr>
                    <w:autoSpaceDE w:val="0"/>
                    <w:autoSpaceDN w:val="0"/>
                    <w:adjustRightInd w:val="0"/>
                    <w:rPr>
                      <w:sz w:val="18"/>
                      <w:szCs w:val="18"/>
                    </w:rPr>
                  </w:pPr>
                  <w:r>
                    <w:rPr>
                      <w:rFonts w:hint="eastAsia"/>
                      <w:sz w:val="18"/>
                      <w:szCs w:val="18"/>
                    </w:rPr>
                    <w:t>(二) 有机溶剂废气优先采用冷  凝、  吸附－冷凝、离子液吸收等 工艺进行回收，不能回收的应采用 燃烧法等进行处理。</w:t>
                  </w:r>
                </w:p>
              </w:tc>
              <w:tc>
                <w:tcPr>
                  <w:tcW w:w="1557" w:type="pct"/>
                  <w:vAlign w:val="center"/>
                </w:tcPr>
                <w:p w14:paraId="2C625281">
                  <w:pPr>
                    <w:autoSpaceDE w:val="0"/>
                    <w:autoSpaceDN w:val="0"/>
                    <w:adjustRightInd w:val="0"/>
                    <w:rPr>
                      <w:sz w:val="18"/>
                      <w:szCs w:val="18"/>
                    </w:rPr>
                  </w:pPr>
                  <w:r>
                    <w:rPr>
                      <w:rFonts w:hint="eastAsia"/>
                      <w:sz w:val="18"/>
                      <w:szCs w:val="18"/>
                    </w:rPr>
                    <w:t>生产过程中产生的粉尘采用 布袋除尘器收集处理。</w:t>
                  </w:r>
                </w:p>
              </w:tc>
              <w:tc>
                <w:tcPr>
                  <w:tcW w:w="485" w:type="pct"/>
                  <w:vAlign w:val="center"/>
                </w:tcPr>
                <w:p w14:paraId="5303DBDB">
                  <w:pPr>
                    <w:autoSpaceDE w:val="0"/>
                    <w:autoSpaceDN w:val="0"/>
                    <w:adjustRightInd w:val="0"/>
                    <w:jc w:val="center"/>
                    <w:rPr>
                      <w:sz w:val="18"/>
                      <w:szCs w:val="18"/>
                    </w:rPr>
                  </w:pPr>
                  <w:r>
                    <w:rPr>
                      <w:rFonts w:ascii="宋体" w:hAnsi="宋体"/>
                      <w:spacing w:val="4"/>
                      <w:sz w:val="18"/>
                      <w:szCs w:val="18"/>
                    </w:rPr>
                    <w:t>符</w:t>
                  </w:r>
                  <w:r>
                    <w:rPr>
                      <w:rFonts w:ascii="宋体" w:hAnsi="宋体"/>
                      <w:spacing w:val="3"/>
                      <w:sz w:val="18"/>
                      <w:szCs w:val="18"/>
                    </w:rPr>
                    <w:t>合</w:t>
                  </w:r>
                </w:p>
              </w:tc>
            </w:tr>
            <w:tr w14:paraId="10FE4D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450" w:type="pct"/>
                  <w:shd w:val="clear" w:color="auto" w:fill="auto"/>
                  <w:vAlign w:val="center"/>
                </w:tcPr>
                <w:p w14:paraId="0C97965C">
                  <w:pPr>
                    <w:autoSpaceDE w:val="0"/>
                    <w:autoSpaceDN w:val="0"/>
                    <w:adjustRightInd w:val="0"/>
                    <w:jc w:val="center"/>
                    <w:rPr>
                      <w:sz w:val="18"/>
                      <w:szCs w:val="18"/>
                    </w:rPr>
                  </w:pPr>
                  <w:r>
                    <w:rPr>
                      <w:rFonts w:hint="eastAsia"/>
                      <w:sz w:val="18"/>
                      <w:szCs w:val="18"/>
                    </w:rPr>
                    <w:t>固体废物处置和综合利用</w:t>
                  </w:r>
                </w:p>
              </w:tc>
              <w:tc>
                <w:tcPr>
                  <w:tcW w:w="2508" w:type="pct"/>
                  <w:vAlign w:val="center"/>
                </w:tcPr>
                <w:p w14:paraId="2E7010C7">
                  <w:pPr>
                    <w:autoSpaceDE w:val="0"/>
                    <w:autoSpaceDN w:val="0"/>
                    <w:adjustRightInd w:val="0"/>
                    <w:rPr>
                      <w:sz w:val="18"/>
                      <w:szCs w:val="18"/>
                    </w:rPr>
                  </w:pPr>
                  <w:r>
                    <w:rPr>
                      <w:rFonts w:hint="eastAsia"/>
                      <w:sz w:val="18"/>
                      <w:szCs w:val="18"/>
                    </w:rPr>
                    <w:t>( 一) 制药工业产生的列入《国家 危险废物名录》的废物，应按危险 废物处置，包括：高浓度釜残液、 基因工程药物过程中的母液、生产 抗生素类药物和生物工程类药物  产生的菌丝废渣、报废药品、过期 原料、废吸附剂、废催化剂和溶剂、 含有或者直接沾染危险废物的废  包装材料、废滤芯 (膜) 等。</w:t>
                  </w:r>
                </w:p>
              </w:tc>
              <w:tc>
                <w:tcPr>
                  <w:tcW w:w="1557" w:type="pct"/>
                  <w:vAlign w:val="center"/>
                </w:tcPr>
                <w:p w14:paraId="1C407577">
                  <w:pPr>
                    <w:autoSpaceDE w:val="0"/>
                    <w:autoSpaceDN w:val="0"/>
                    <w:adjustRightInd w:val="0"/>
                    <w:rPr>
                      <w:sz w:val="18"/>
                      <w:szCs w:val="18"/>
                    </w:rPr>
                  </w:pPr>
                  <w:r>
                    <w:rPr>
                      <w:rFonts w:hint="eastAsia"/>
                      <w:sz w:val="18"/>
                      <w:szCs w:val="18"/>
                    </w:rPr>
                    <w:t>本项目危险废物全部送有资质的危废处理机构处置。</w:t>
                  </w:r>
                </w:p>
              </w:tc>
              <w:tc>
                <w:tcPr>
                  <w:tcW w:w="485" w:type="pct"/>
                  <w:vAlign w:val="center"/>
                </w:tcPr>
                <w:p w14:paraId="6FE72188">
                  <w:pPr>
                    <w:autoSpaceDE w:val="0"/>
                    <w:autoSpaceDN w:val="0"/>
                    <w:adjustRightInd w:val="0"/>
                    <w:jc w:val="center"/>
                    <w:rPr>
                      <w:sz w:val="18"/>
                      <w:szCs w:val="18"/>
                    </w:rPr>
                  </w:pPr>
                  <w:r>
                    <w:rPr>
                      <w:rFonts w:ascii="宋体" w:hAnsi="宋体"/>
                      <w:spacing w:val="4"/>
                      <w:sz w:val="18"/>
                      <w:szCs w:val="18"/>
                    </w:rPr>
                    <w:t>符</w:t>
                  </w:r>
                  <w:r>
                    <w:rPr>
                      <w:rFonts w:ascii="宋体" w:hAnsi="宋体"/>
                      <w:spacing w:val="3"/>
                      <w:sz w:val="18"/>
                      <w:szCs w:val="18"/>
                    </w:rPr>
                    <w:t>合</w:t>
                  </w:r>
                </w:p>
              </w:tc>
            </w:tr>
          </w:tbl>
          <w:p w14:paraId="343C1583">
            <w:pPr>
              <w:autoSpaceDE w:val="0"/>
              <w:autoSpaceDN w:val="0"/>
              <w:adjustRightInd w:val="0"/>
              <w:snapToGrid w:val="0"/>
              <w:spacing w:before="120" w:beforeLines="50" w:line="360" w:lineRule="auto"/>
              <w:ind w:firstLine="422" w:firstLineChars="200"/>
              <w:rPr>
                <w:b/>
              </w:rPr>
            </w:pPr>
            <w:r>
              <w:rPr>
                <w:rFonts w:hint="eastAsia"/>
                <w:b/>
              </w:rPr>
              <w:t>5、选址合理性及外环境相容性分析</w:t>
            </w:r>
          </w:p>
          <w:p w14:paraId="041F74F5">
            <w:pPr>
              <w:autoSpaceDE w:val="0"/>
              <w:autoSpaceDN w:val="0"/>
              <w:adjustRightInd w:val="0"/>
              <w:snapToGrid w:val="0"/>
              <w:spacing w:line="360" w:lineRule="auto"/>
              <w:ind w:firstLine="42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（1）与《药品生产质量管理规范 (2010  年修订)》和《制药企业GMP的实施与认证指南》选址符合性分析</w:t>
            </w:r>
          </w:p>
          <w:p w14:paraId="51954855">
            <w:pPr>
              <w:autoSpaceDE w:val="0"/>
              <w:autoSpaceDN w:val="0"/>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根据《药品生产质量管理规范 (2010 年修订)》(卫生部令第 79 号) 相 关规定可知，该规范选址原则为：应当根据厂房及生产防护措施综合考虑选址，厂房所处的环境应当能够最大限度地降低物料或产品遭受污染的风险。</w:t>
            </w:r>
          </w:p>
          <w:p w14:paraId="3B9F8FD2">
            <w:pPr>
              <w:autoSpaceDE w:val="0"/>
              <w:autoSpaceDN w:val="0"/>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制药企业GMP的实施与认证指南》可知，药品生产企业选址应遵循以下原则：在大气含尘、含菌浓度低，无有害气体，自然环境好，对药品质量无有害因素，卫生条件较好的区域；应远离铁路、码头、机场、交通要道以及散发大量粉尘和有害气体的工厂 (如化工厂、染料厂及屠宰厂等〉、 贮仓、堆场等有严重空气污染、水质污染、振动和噪音干扰的区域。如不能远离严重空气污染区，则应位于其最大频率风向上风侧，或全年最小频率风向下风侧；排水良好，应无洪水淹没危险；目前和可预见的市政区域规划， 不会使厂址环境卫生不利于药品质量的影响；水、电、燃料、排污、物资供应和公用服务条件较好。</w:t>
            </w:r>
          </w:p>
          <w:p w14:paraId="7943B96B">
            <w:pPr>
              <w:autoSpaceDE w:val="0"/>
              <w:autoSpaceDN w:val="0"/>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拟建项目位于达州市农产品加工集中区，租用四川达州通川经济开发区医疗产业园标准厂房。项目选址远离了铁路、码头、 飞机场、  交通要道以及散发大量粉尘和有害气体的工厂、严重空气污染、 振动或噪声干扰的区域。项目周围主要为食品类、医药类工业企业，根据后文“与周边环境相容性分析”可知，项目周围企业对本项目影响较小，本项目与周围企业相容。因此，本项目选址符合《药品生产质量管理规范 (2010年修订)》和《制药企业GMP的实施与认证指南》选址要求。</w:t>
            </w:r>
          </w:p>
          <w:p w14:paraId="7D9264E3">
            <w:pPr>
              <w:autoSpaceDE w:val="0"/>
              <w:autoSpaceDN w:val="0"/>
              <w:adjustRightInd w:val="0"/>
              <w:snapToGrid w:val="0"/>
              <w:spacing w:line="360" w:lineRule="auto"/>
              <w:ind w:firstLine="42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（2）项目选址与外环境相容性分析</w:t>
            </w:r>
          </w:p>
          <w:p w14:paraId="0535153B">
            <w:pPr>
              <w:autoSpaceDE w:val="0"/>
              <w:autoSpaceDN w:val="0"/>
              <w:adjustRightInd w:val="0"/>
              <w:snapToGrid w:val="0"/>
              <w:spacing w:line="360" w:lineRule="auto"/>
              <w:ind w:firstLine="420" w:firstLineChars="200"/>
            </w:pPr>
            <w:r>
              <w:rPr>
                <w:rFonts w:hint="eastAsia"/>
              </w:rPr>
              <w:t>本项目位于</w:t>
            </w:r>
            <w:r>
              <w:t>四川省达州市通川经开区医药产业园11 栋3 层</w:t>
            </w:r>
            <w:r>
              <w:rPr>
                <w:rFonts w:hint="eastAsia"/>
              </w:rPr>
              <w:t>，通过租用四川达州通川经济开发区医疗产业园标准厂房进行建设。</w:t>
            </w:r>
          </w:p>
          <w:p w14:paraId="757C167A">
            <w:pPr>
              <w:autoSpaceDE w:val="0"/>
              <w:autoSpaceDN w:val="0"/>
              <w:adjustRightInd w:val="0"/>
              <w:snapToGrid w:val="0"/>
              <w:spacing w:line="360" w:lineRule="auto"/>
              <w:ind w:firstLine="420" w:firstLineChars="200"/>
              <w:rPr>
                <w:color w:val="000000" w:themeColor="text1"/>
                <w14:textFill>
                  <w14:solidFill>
                    <w14:schemeClr w14:val="tx1"/>
                  </w14:solidFill>
                </w14:textFill>
              </w:rPr>
            </w:pPr>
            <w:r>
              <w:rPr>
                <w:rFonts w:hint="eastAsia"/>
              </w:rPr>
              <w:t>根据建设单位提供资料，医疗产业园规划发展医疗产业，规划入驻项目包括固源集团西南区产业园项目、爱生生命生物科技项目、</w:t>
            </w:r>
            <w:r>
              <w:t>通川区九州通医药产业链</w:t>
            </w:r>
            <w:r>
              <w:rPr>
                <w:rFonts w:hint="eastAsia"/>
              </w:rPr>
              <w:t>项目（本项目）等，符合达州市农产</w:t>
            </w:r>
            <w:r>
              <w:rPr>
                <w:rFonts w:hint="eastAsia"/>
                <w:color w:val="000000" w:themeColor="text1"/>
                <w14:textFill>
                  <w14:solidFill>
                    <w14:schemeClr w14:val="tx1"/>
                  </w14:solidFill>
                </w14:textFill>
              </w:rPr>
              <w:t>品加工集中区的产业定位；同时，产业示范园规划入驻企业与拟建项目产业不冲突。项目外环境详见下表。</w:t>
            </w:r>
          </w:p>
          <w:p w14:paraId="324220E7">
            <w:pPr>
              <w:autoSpaceDE w:val="0"/>
              <w:autoSpaceDN w:val="0"/>
              <w:adjustRightInd w:val="0"/>
              <w:snapToGrid w:val="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表1</w:t>
            </w: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5</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外环境情况明细表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3218"/>
              <w:gridCol w:w="851"/>
              <w:gridCol w:w="851"/>
              <w:gridCol w:w="1418"/>
              <w:gridCol w:w="1362"/>
            </w:tblGrid>
            <w:tr w14:paraId="2D4F4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303" w:type="pct"/>
                  <w:shd w:val="clear" w:color="auto" w:fill="auto"/>
                  <w:vAlign w:val="center"/>
                </w:tcPr>
                <w:p w14:paraId="2DF51BE1">
                  <w:pPr>
                    <w:autoSpaceDE w:val="0"/>
                    <w:autoSpaceDN w:val="0"/>
                    <w:adjustRightInd w:val="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序号</w:t>
                  </w:r>
                </w:p>
              </w:tc>
              <w:tc>
                <w:tcPr>
                  <w:tcW w:w="1963" w:type="pct"/>
                  <w:vAlign w:val="center"/>
                </w:tcPr>
                <w:p w14:paraId="2F3B5809">
                  <w:pPr>
                    <w:autoSpaceDE w:val="0"/>
                    <w:autoSpaceDN w:val="0"/>
                    <w:adjustRightIn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名称</w:t>
                  </w:r>
                </w:p>
              </w:tc>
              <w:tc>
                <w:tcPr>
                  <w:tcW w:w="519" w:type="pct"/>
                  <w:vAlign w:val="center"/>
                </w:tcPr>
                <w:p w14:paraId="12AD2E2F">
                  <w:pPr>
                    <w:autoSpaceDE w:val="0"/>
                    <w:autoSpaceDN w:val="0"/>
                    <w:adjustRightIn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方位</w:t>
                  </w:r>
                </w:p>
              </w:tc>
              <w:tc>
                <w:tcPr>
                  <w:tcW w:w="519" w:type="pct"/>
                  <w:vAlign w:val="center"/>
                </w:tcPr>
                <w:p w14:paraId="18D17D8B">
                  <w:pPr>
                    <w:autoSpaceDE w:val="0"/>
                    <w:autoSpaceDN w:val="0"/>
                    <w:adjustRightIn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距离（m）</w:t>
                  </w:r>
                </w:p>
              </w:tc>
              <w:tc>
                <w:tcPr>
                  <w:tcW w:w="865" w:type="pct"/>
                  <w:vAlign w:val="center"/>
                </w:tcPr>
                <w:p w14:paraId="37CA0760">
                  <w:pPr>
                    <w:autoSpaceDE w:val="0"/>
                    <w:autoSpaceDN w:val="0"/>
                    <w:adjustRightIn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规模</w:t>
                  </w:r>
                </w:p>
              </w:tc>
              <w:tc>
                <w:tcPr>
                  <w:tcW w:w="831" w:type="pct"/>
                  <w:shd w:val="clear" w:color="auto" w:fill="auto"/>
                  <w:vAlign w:val="center"/>
                </w:tcPr>
                <w:p w14:paraId="5C89CB76">
                  <w:pPr>
                    <w:autoSpaceDE w:val="0"/>
                    <w:autoSpaceDN w:val="0"/>
                    <w:adjustRightIn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性质</w:t>
                  </w:r>
                </w:p>
              </w:tc>
            </w:tr>
            <w:tr w14:paraId="3AF7A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3" w:type="pct"/>
                  <w:shd w:val="clear" w:color="auto" w:fill="auto"/>
                  <w:vAlign w:val="center"/>
                </w:tcPr>
                <w:p w14:paraId="54BE251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1963" w:type="pct"/>
                  <w:vAlign w:val="center"/>
                </w:tcPr>
                <w:p w14:paraId="1DA1C45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通川区中医药产业示范园厂房</w:t>
                  </w:r>
                </w:p>
              </w:tc>
              <w:tc>
                <w:tcPr>
                  <w:tcW w:w="519" w:type="pct"/>
                  <w:vAlign w:val="center"/>
                </w:tcPr>
                <w:p w14:paraId="61F50C8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北侧</w:t>
                  </w:r>
                </w:p>
              </w:tc>
              <w:tc>
                <w:tcPr>
                  <w:tcW w:w="519" w:type="pct"/>
                  <w:vAlign w:val="center"/>
                </w:tcPr>
                <w:p w14:paraId="10EF4EBF">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10m</w:t>
                  </w:r>
                </w:p>
              </w:tc>
              <w:tc>
                <w:tcPr>
                  <w:tcW w:w="865" w:type="pct"/>
                  <w:vAlign w:val="center"/>
                </w:tcPr>
                <w:p w14:paraId="47ACC0D7">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831" w:type="pct"/>
                  <w:shd w:val="clear" w:color="auto" w:fill="auto"/>
                  <w:vAlign w:val="center"/>
                </w:tcPr>
                <w:p w14:paraId="496ECE9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工业厂房</w:t>
                  </w:r>
                </w:p>
              </w:tc>
            </w:tr>
            <w:tr w14:paraId="3D656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3" w:type="pct"/>
                  <w:shd w:val="clear" w:color="auto" w:fill="auto"/>
                  <w:vAlign w:val="center"/>
                </w:tcPr>
                <w:p w14:paraId="6525967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1963" w:type="pct"/>
                  <w:vAlign w:val="center"/>
                </w:tcPr>
                <w:p w14:paraId="6E0977D1">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医药大道</w:t>
                  </w:r>
                </w:p>
              </w:tc>
              <w:tc>
                <w:tcPr>
                  <w:tcW w:w="519" w:type="pct"/>
                  <w:vMerge w:val="restart"/>
                  <w:vAlign w:val="center"/>
                </w:tcPr>
                <w:p w14:paraId="7C46760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东侧</w:t>
                  </w:r>
                </w:p>
              </w:tc>
              <w:tc>
                <w:tcPr>
                  <w:tcW w:w="519" w:type="pct"/>
                  <w:vAlign w:val="center"/>
                </w:tcPr>
                <w:p w14:paraId="362BA491">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145m</w:t>
                  </w:r>
                </w:p>
              </w:tc>
              <w:tc>
                <w:tcPr>
                  <w:tcW w:w="865" w:type="pct"/>
                  <w:vAlign w:val="center"/>
                </w:tcPr>
                <w:p w14:paraId="4355326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831" w:type="pct"/>
                  <w:shd w:val="clear" w:color="auto" w:fill="auto"/>
                  <w:vAlign w:val="center"/>
                </w:tcPr>
                <w:p w14:paraId="367B908E">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道路</w:t>
                  </w:r>
                </w:p>
              </w:tc>
            </w:tr>
            <w:tr w14:paraId="2AB01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3" w:type="pct"/>
                  <w:shd w:val="clear" w:color="auto" w:fill="auto"/>
                  <w:vAlign w:val="center"/>
                </w:tcPr>
                <w:p w14:paraId="76A380F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p>
              </w:tc>
              <w:tc>
                <w:tcPr>
                  <w:tcW w:w="1963" w:type="pct"/>
                  <w:vAlign w:val="center"/>
                </w:tcPr>
                <w:p w14:paraId="79968B2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成都地奥集团天府药业股份有限公司</w:t>
                  </w:r>
                </w:p>
              </w:tc>
              <w:tc>
                <w:tcPr>
                  <w:tcW w:w="519" w:type="pct"/>
                  <w:vMerge w:val="continue"/>
                  <w:vAlign w:val="center"/>
                </w:tcPr>
                <w:p w14:paraId="1F65E6EF">
                  <w:pPr>
                    <w:jc w:val="center"/>
                    <w:rPr>
                      <w:color w:val="000000" w:themeColor="text1"/>
                      <w:sz w:val="18"/>
                      <w:szCs w:val="18"/>
                      <w14:textFill>
                        <w14:solidFill>
                          <w14:schemeClr w14:val="tx1"/>
                        </w14:solidFill>
                      </w14:textFill>
                    </w:rPr>
                  </w:pPr>
                </w:p>
              </w:tc>
              <w:tc>
                <w:tcPr>
                  <w:tcW w:w="519" w:type="pct"/>
                  <w:vAlign w:val="center"/>
                </w:tcPr>
                <w:p w14:paraId="23593179">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175m</w:t>
                  </w:r>
                </w:p>
              </w:tc>
              <w:tc>
                <w:tcPr>
                  <w:tcW w:w="865" w:type="pct"/>
                  <w:vAlign w:val="center"/>
                </w:tcPr>
                <w:p w14:paraId="2FCBAFD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831" w:type="pct"/>
                  <w:shd w:val="clear" w:color="auto" w:fill="auto"/>
                  <w:vAlign w:val="center"/>
                </w:tcPr>
                <w:p w14:paraId="3425D6D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医药企业</w:t>
                  </w:r>
                </w:p>
              </w:tc>
            </w:tr>
            <w:tr w14:paraId="04B38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3" w:type="pct"/>
                  <w:shd w:val="clear" w:color="auto" w:fill="auto"/>
                  <w:vAlign w:val="center"/>
                </w:tcPr>
                <w:p w14:paraId="3FE7341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w:t>
                  </w:r>
                </w:p>
              </w:tc>
              <w:tc>
                <w:tcPr>
                  <w:tcW w:w="1963" w:type="pct"/>
                  <w:vAlign w:val="center"/>
                </w:tcPr>
                <w:p w14:paraId="23C52B5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川虎食品</w:t>
                  </w:r>
                </w:p>
              </w:tc>
              <w:tc>
                <w:tcPr>
                  <w:tcW w:w="519" w:type="pct"/>
                  <w:vMerge w:val="continue"/>
                  <w:vAlign w:val="center"/>
                </w:tcPr>
                <w:p w14:paraId="5E1DA205">
                  <w:pPr>
                    <w:jc w:val="center"/>
                    <w:rPr>
                      <w:color w:val="000000" w:themeColor="text1"/>
                      <w:sz w:val="18"/>
                      <w:szCs w:val="18"/>
                      <w14:textFill>
                        <w14:solidFill>
                          <w14:schemeClr w14:val="tx1"/>
                        </w14:solidFill>
                      </w14:textFill>
                    </w:rPr>
                  </w:pPr>
                </w:p>
              </w:tc>
              <w:tc>
                <w:tcPr>
                  <w:tcW w:w="519" w:type="pct"/>
                  <w:vAlign w:val="center"/>
                </w:tcPr>
                <w:p w14:paraId="31DD70BC">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355m</w:t>
                  </w:r>
                </w:p>
              </w:tc>
              <w:tc>
                <w:tcPr>
                  <w:tcW w:w="865" w:type="pct"/>
                  <w:vAlign w:val="center"/>
                </w:tcPr>
                <w:p w14:paraId="173AAAC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831" w:type="pct"/>
                  <w:shd w:val="clear" w:color="auto" w:fill="auto"/>
                  <w:vAlign w:val="center"/>
                </w:tcPr>
                <w:p w14:paraId="40B5420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食品加工企业</w:t>
                  </w:r>
                </w:p>
              </w:tc>
            </w:tr>
            <w:tr w14:paraId="56CE7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3" w:type="pct"/>
                  <w:shd w:val="clear" w:color="auto" w:fill="auto"/>
                  <w:vAlign w:val="center"/>
                </w:tcPr>
                <w:p w14:paraId="7627837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w:t>
                  </w:r>
                </w:p>
              </w:tc>
              <w:tc>
                <w:tcPr>
                  <w:tcW w:w="1963" w:type="pct"/>
                  <w:vAlign w:val="center"/>
                </w:tcPr>
                <w:p w14:paraId="64EB362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达州市宏隆肉类制品有限公司</w:t>
                  </w:r>
                </w:p>
              </w:tc>
              <w:tc>
                <w:tcPr>
                  <w:tcW w:w="519" w:type="pct"/>
                  <w:vMerge w:val="continue"/>
                  <w:vAlign w:val="center"/>
                </w:tcPr>
                <w:p w14:paraId="2E8A8DB4">
                  <w:pPr>
                    <w:jc w:val="center"/>
                    <w:rPr>
                      <w:color w:val="000000" w:themeColor="text1"/>
                      <w:sz w:val="18"/>
                      <w:szCs w:val="18"/>
                      <w14:textFill>
                        <w14:solidFill>
                          <w14:schemeClr w14:val="tx1"/>
                        </w14:solidFill>
                      </w14:textFill>
                    </w:rPr>
                  </w:pPr>
                </w:p>
              </w:tc>
              <w:tc>
                <w:tcPr>
                  <w:tcW w:w="519" w:type="pct"/>
                  <w:vAlign w:val="center"/>
                </w:tcPr>
                <w:p w14:paraId="146B0A0F">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510m</w:t>
                  </w:r>
                </w:p>
              </w:tc>
              <w:tc>
                <w:tcPr>
                  <w:tcW w:w="865" w:type="pct"/>
                  <w:vAlign w:val="center"/>
                </w:tcPr>
                <w:p w14:paraId="696DA8D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831" w:type="pct"/>
                  <w:shd w:val="clear" w:color="auto" w:fill="auto"/>
                  <w:vAlign w:val="center"/>
                </w:tcPr>
                <w:p w14:paraId="2EF3B75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食品加工企业</w:t>
                  </w:r>
                </w:p>
              </w:tc>
            </w:tr>
            <w:tr w14:paraId="585E3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3" w:type="pct"/>
                  <w:shd w:val="clear" w:color="auto" w:fill="auto"/>
                  <w:vAlign w:val="center"/>
                </w:tcPr>
                <w:p w14:paraId="4A4CA22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w:t>
                  </w:r>
                </w:p>
              </w:tc>
              <w:tc>
                <w:tcPr>
                  <w:tcW w:w="1963" w:type="pct"/>
                  <w:vAlign w:val="center"/>
                </w:tcPr>
                <w:p w14:paraId="78F6075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魏兴派出所</w:t>
                  </w:r>
                </w:p>
              </w:tc>
              <w:tc>
                <w:tcPr>
                  <w:tcW w:w="519" w:type="pct"/>
                  <w:vMerge w:val="restart"/>
                  <w:vAlign w:val="center"/>
                </w:tcPr>
                <w:p w14:paraId="1184658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东南侧</w:t>
                  </w:r>
                </w:p>
              </w:tc>
              <w:tc>
                <w:tcPr>
                  <w:tcW w:w="519" w:type="pct"/>
                  <w:vAlign w:val="center"/>
                </w:tcPr>
                <w:p w14:paraId="1F37CC7A">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120m</w:t>
                  </w:r>
                </w:p>
              </w:tc>
              <w:tc>
                <w:tcPr>
                  <w:tcW w:w="865" w:type="pct"/>
                  <w:vAlign w:val="center"/>
                </w:tcPr>
                <w:p w14:paraId="3AAC356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831" w:type="pct"/>
                  <w:shd w:val="clear" w:color="auto" w:fill="auto"/>
                  <w:vAlign w:val="center"/>
                </w:tcPr>
                <w:p w14:paraId="7B892BB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机关单位</w:t>
                  </w:r>
                </w:p>
              </w:tc>
            </w:tr>
            <w:tr w14:paraId="247BE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3" w:type="pct"/>
                  <w:shd w:val="clear" w:color="auto" w:fill="auto"/>
                  <w:vAlign w:val="center"/>
                </w:tcPr>
                <w:p w14:paraId="3204D2A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w:t>
                  </w:r>
                </w:p>
              </w:tc>
              <w:tc>
                <w:tcPr>
                  <w:tcW w:w="1963" w:type="pct"/>
                  <w:vAlign w:val="center"/>
                </w:tcPr>
                <w:p w14:paraId="7E131EF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谭山湾综合体小区</w:t>
                  </w:r>
                </w:p>
              </w:tc>
              <w:tc>
                <w:tcPr>
                  <w:tcW w:w="519" w:type="pct"/>
                  <w:vMerge w:val="continue"/>
                  <w:vAlign w:val="center"/>
                </w:tcPr>
                <w:p w14:paraId="3E9908E9">
                  <w:pPr>
                    <w:jc w:val="center"/>
                    <w:rPr>
                      <w:color w:val="000000" w:themeColor="text1"/>
                      <w:sz w:val="18"/>
                      <w:szCs w:val="18"/>
                      <w14:textFill>
                        <w14:solidFill>
                          <w14:schemeClr w14:val="tx1"/>
                        </w14:solidFill>
                      </w14:textFill>
                    </w:rPr>
                  </w:pPr>
                </w:p>
              </w:tc>
              <w:tc>
                <w:tcPr>
                  <w:tcW w:w="519" w:type="pct"/>
                  <w:vAlign w:val="center"/>
                </w:tcPr>
                <w:p w14:paraId="0FF79842">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250m</w:t>
                  </w:r>
                </w:p>
              </w:tc>
              <w:tc>
                <w:tcPr>
                  <w:tcW w:w="865" w:type="pct"/>
                  <w:vAlign w:val="center"/>
                </w:tcPr>
                <w:p w14:paraId="2898C5A3">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330户，900人</w:t>
                  </w:r>
                </w:p>
              </w:tc>
              <w:tc>
                <w:tcPr>
                  <w:tcW w:w="831" w:type="pct"/>
                  <w:shd w:val="clear" w:color="auto" w:fill="auto"/>
                  <w:vAlign w:val="center"/>
                </w:tcPr>
                <w:p w14:paraId="07E2D7C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居住小区</w:t>
                  </w:r>
                </w:p>
              </w:tc>
            </w:tr>
            <w:tr w14:paraId="376AD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3" w:type="pct"/>
                  <w:shd w:val="clear" w:color="auto" w:fill="auto"/>
                  <w:vAlign w:val="center"/>
                </w:tcPr>
                <w:p w14:paraId="3FCADE4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w:t>
                  </w:r>
                </w:p>
              </w:tc>
              <w:tc>
                <w:tcPr>
                  <w:tcW w:w="1963" w:type="pct"/>
                  <w:vAlign w:val="center"/>
                </w:tcPr>
                <w:p w14:paraId="64BF231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世纪锦城</w:t>
                  </w:r>
                </w:p>
              </w:tc>
              <w:tc>
                <w:tcPr>
                  <w:tcW w:w="519" w:type="pct"/>
                  <w:vMerge w:val="continue"/>
                  <w:vAlign w:val="center"/>
                </w:tcPr>
                <w:p w14:paraId="13B0F6A8">
                  <w:pPr>
                    <w:jc w:val="center"/>
                    <w:rPr>
                      <w:color w:val="000000" w:themeColor="text1"/>
                      <w:sz w:val="18"/>
                      <w:szCs w:val="18"/>
                      <w14:textFill>
                        <w14:solidFill>
                          <w14:schemeClr w14:val="tx1"/>
                        </w14:solidFill>
                      </w14:textFill>
                    </w:rPr>
                  </w:pPr>
                </w:p>
              </w:tc>
              <w:tc>
                <w:tcPr>
                  <w:tcW w:w="519" w:type="pct"/>
                  <w:vAlign w:val="center"/>
                </w:tcPr>
                <w:p w14:paraId="06F33658">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490m</w:t>
                  </w:r>
                </w:p>
              </w:tc>
              <w:tc>
                <w:tcPr>
                  <w:tcW w:w="865" w:type="pct"/>
                  <w:vAlign w:val="center"/>
                </w:tcPr>
                <w:p w14:paraId="3B7880FF">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200户，500人</w:t>
                  </w:r>
                </w:p>
              </w:tc>
              <w:tc>
                <w:tcPr>
                  <w:tcW w:w="831" w:type="pct"/>
                  <w:shd w:val="clear" w:color="auto" w:fill="auto"/>
                  <w:vAlign w:val="center"/>
                </w:tcPr>
                <w:p w14:paraId="18F984D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居住小区</w:t>
                  </w:r>
                </w:p>
              </w:tc>
            </w:tr>
            <w:tr w14:paraId="75106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4" w:hRule="atLeast"/>
                <w:jc w:val="center"/>
              </w:trPr>
              <w:tc>
                <w:tcPr>
                  <w:tcW w:w="303" w:type="pct"/>
                  <w:shd w:val="clear" w:color="auto" w:fill="auto"/>
                  <w:vAlign w:val="center"/>
                </w:tcPr>
                <w:p w14:paraId="19D4F19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w:t>
                  </w:r>
                </w:p>
              </w:tc>
              <w:tc>
                <w:tcPr>
                  <w:tcW w:w="1963" w:type="pct"/>
                  <w:vAlign w:val="center"/>
                </w:tcPr>
                <w:p w14:paraId="1945CE8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魏复路</w:t>
                  </w:r>
                </w:p>
              </w:tc>
              <w:tc>
                <w:tcPr>
                  <w:tcW w:w="519" w:type="pct"/>
                  <w:vMerge w:val="restart"/>
                  <w:vAlign w:val="center"/>
                </w:tcPr>
                <w:p w14:paraId="2611F21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南侧</w:t>
                  </w:r>
                </w:p>
              </w:tc>
              <w:tc>
                <w:tcPr>
                  <w:tcW w:w="519" w:type="pct"/>
                  <w:vAlign w:val="center"/>
                </w:tcPr>
                <w:p w14:paraId="1981CB74">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45m</w:t>
                  </w:r>
                </w:p>
              </w:tc>
              <w:tc>
                <w:tcPr>
                  <w:tcW w:w="865" w:type="pct"/>
                  <w:vAlign w:val="center"/>
                </w:tcPr>
                <w:p w14:paraId="2366EC3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831" w:type="pct"/>
                  <w:shd w:val="clear" w:color="auto" w:fill="auto"/>
                  <w:vAlign w:val="center"/>
                </w:tcPr>
                <w:p w14:paraId="3E80FA5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道路</w:t>
                  </w:r>
                </w:p>
              </w:tc>
            </w:tr>
            <w:tr w14:paraId="34B6D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3" w:type="pct"/>
                  <w:shd w:val="clear" w:color="auto" w:fill="auto"/>
                  <w:vAlign w:val="center"/>
                </w:tcPr>
                <w:p w14:paraId="126B829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r>
                    <w:rPr>
                      <w:color w:val="000000" w:themeColor="text1"/>
                      <w:sz w:val="18"/>
                      <w:szCs w:val="18"/>
                      <w14:textFill>
                        <w14:solidFill>
                          <w14:schemeClr w14:val="tx1"/>
                        </w14:solidFill>
                      </w14:textFill>
                    </w:rPr>
                    <w:t>0</w:t>
                  </w:r>
                </w:p>
              </w:tc>
              <w:tc>
                <w:tcPr>
                  <w:tcW w:w="1963" w:type="pct"/>
                  <w:vAlign w:val="center"/>
                </w:tcPr>
                <w:p w14:paraId="417C770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方家浩</w:t>
                  </w:r>
                </w:p>
              </w:tc>
              <w:tc>
                <w:tcPr>
                  <w:tcW w:w="519" w:type="pct"/>
                  <w:vMerge w:val="continue"/>
                  <w:vAlign w:val="center"/>
                </w:tcPr>
                <w:p w14:paraId="5EEE06AD">
                  <w:pPr>
                    <w:jc w:val="center"/>
                    <w:rPr>
                      <w:color w:val="000000" w:themeColor="text1"/>
                      <w:sz w:val="18"/>
                      <w:szCs w:val="18"/>
                      <w14:textFill>
                        <w14:solidFill>
                          <w14:schemeClr w14:val="tx1"/>
                        </w14:solidFill>
                      </w14:textFill>
                    </w:rPr>
                  </w:pPr>
                </w:p>
              </w:tc>
              <w:tc>
                <w:tcPr>
                  <w:tcW w:w="519" w:type="pct"/>
                  <w:vAlign w:val="center"/>
                </w:tcPr>
                <w:p w14:paraId="6C83063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150m</w:t>
                  </w:r>
                </w:p>
              </w:tc>
              <w:tc>
                <w:tcPr>
                  <w:tcW w:w="865" w:type="pct"/>
                  <w:vAlign w:val="center"/>
                </w:tcPr>
                <w:p w14:paraId="79927758">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10户，20人</w:t>
                  </w:r>
                </w:p>
              </w:tc>
              <w:tc>
                <w:tcPr>
                  <w:tcW w:w="831" w:type="pct"/>
                  <w:shd w:val="clear" w:color="auto" w:fill="auto"/>
                  <w:vAlign w:val="center"/>
                </w:tcPr>
                <w:p w14:paraId="02F9657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农村住户</w:t>
                  </w:r>
                </w:p>
              </w:tc>
            </w:tr>
            <w:tr w14:paraId="37BDFB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3" w:type="pct"/>
                  <w:shd w:val="clear" w:color="auto" w:fill="auto"/>
                  <w:vAlign w:val="center"/>
                </w:tcPr>
                <w:p w14:paraId="64B89E9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r>
                    <w:rPr>
                      <w:color w:val="000000" w:themeColor="text1"/>
                      <w:sz w:val="18"/>
                      <w:szCs w:val="18"/>
                      <w14:textFill>
                        <w14:solidFill>
                          <w14:schemeClr w14:val="tx1"/>
                        </w14:solidFill>
                      </w14:textFill>
                    </w:rPr>
                    <w:t>1</w:t>
                  </w:r>
                </w:p>
              </w:tc>
              <w:tc>
                <w:tcPr>
                  <w:tcW w:w="1963" w:type="pct"/>
                  <w:vAlign w:val="center"/>
                </w:tcPr>
                <w:p w14:paraId="19A964F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恩广高速</w:t>
                  </w:r>
                </w:p>
              </w:tc>
              <w:tc>
                <w:tcPr>
                  <w:tcW w:w="519" w:type="pct"/>
                  <w:vAlign w:val="center"/>
                </w:tcPr>
                <w:p w14:paraId="12925A1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西侧</w:t>
                  </w:r>
                </w:p>
              </w:tc>
              <w:tc>
                <w:tcPr>
                  <w:tcW w:w="519" w:type="pct"/>
                  <w:vAlign w:val="center"/>
                </w:tcPr>
                <w:p w14:paraId="139673A8">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210m</w:t>
                  </w:r>
                </w:p>
              </w:tc>
              <w:tc>
                <w:tcPr>
                  <w:tcW w:w="865" w:type="pct"/>
                  <w:vAlign w:val="center"/>
                </w:tcPr>
                <w:p w14:paraId="0DDFA4F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831" w:type="pct"/>
                  <w:shd w:val="clear" w:color="auto" w:fill="auto"/>
                  <w:vAlign w:val="center"/>
                </w:tcPr>
                <w:p w14:paraId="57C83C4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道路</w:t>
                  </w:r>
                </w:p>
              </w:tc>
            </w:tr>
            <w:tr w14:paraId="42AD2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3" w:type="pct"/>
                  <w:shd w:val="clear" w:color="auto" w:fill="auto"/>
                  <w:vAlign w:val="center"/>
                </w:tcPr>
                <w:p w14:paraId="0E6C6A4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r>
                    <w:rPr>
                      <w:color w:val="000000" w:themeColor="text1"/>
                      <w:sz w:val="18"/>
                      <w:szCs w:val="18"/>
                      <w14:textFill>
                        <w14:solidFill>
                          <w14:schemeClr w14:val="tx1"/>
                        </w14:solidFill>
                      </w14:textFill>
                    </w:rPr>
                    <w:t>2</w:t>
                  </w:r>
                </w:p>
              </w:tc>
              <w:tc>
                <w:tcPr>
                  <w:tcW w:w="1963" w:type="pct"/>
                  <w:vAlign w:val="center"/>
                </w:tcPr>
                <w:p w14:paraId="7034C34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四川自强中药有限公司</w:t>
                  </w:r>
                </w:p>
              </w:tc>
              <w:tc>
                <w:tcPr>
                  <w:tcW w:w="519" w:type="pct"/>
                  <w:vMerge w:val="restart"/>
                  <w:vAlign w:val="center"/>
                </w:tcPr>
                <w:p w14:paraId="33349D8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东北侧</w:t>
                  </w:r>
                </w:p>
              </w:tc>
              <w:tc>
                <w:tcPr>
                  <w:tcW w:w="519" w:type="pct"/>
                  <w:vAlign w:val="center"/>
                </w:tcPr>
                <w:p w14:paraId="048C7EB1">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330m</w:t>
                  </w:r>
                </w:p>
              </w:tc>
              <w:tc>
                <w:tcPr>
                  <w:tcW w:w="865" w:type="pct"/>
                  <w:vAlign w:val="center"/>
                </w:tcPr>
                <w:p w14:paraId="1CE511B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831" w:type="pct"/>
                  <w:shd w:val="clear" w:color="auto" w:fill="auto"/>
                  <w:vAlign w:val="center"/>
                </w:tcPr>
                <w:p w14:paraId="1AE4480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医药企业</w:t>
                  </w:r>
                </w:p>
              </w:tc>
            </w:tr>
            <w:tr w14:paraId="5DD12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3" w:type="pct"/>
                  <w:shd w:val="clear" w:color="auto" w:fill="auto"/>
                  <w:vAlign w:val="center"/>
                </w:tcPr>
                <w:p w14:paraId="07BD92F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r>
                    <w:rPr>
                      <w:color w:val="000000" w:themeColor="text1"/>
                      <w:sz w:val="18"/>
                      <w:szCs w:val="18"/>
                      <w14:textFill>
                        <w14:solidFill>
                          <w14:schemeClr w14:val="tx1"/>
                        </w14:solidFill>
                      </w14:textFill>
                    </w:rPr>
                    <w:t>3</w:t>
                  </w:r>
                </w:p>
              </w:tc>
              <w:tc>
                <w:tcPr>
                  <w:tcW w:w="1963" w:type="pct"/>
                  <w:vAlign w:val="center"/>
                </w:tcPr>
                <w:p w14:paraId="0EBB425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四川民发药业有限公司</w:t>
                  </w:r>
                </w:p>
              </w:tc>
              <w:tc>
                <w:tcPr>
                  <w:tcW w:w="519" w:type="pct"/>
                  <w:vMerge w:val="continue"/>
                  <w:vAlign w:val="center"/>
                </w:tcPr>
                <w:p w14:paraId="40ED5AE0">
                  <w:pPr>
                    <w:jc w:val="center"/>
                    <w:rPr>
                      <w:color w:val="000000" w:themeColor="text1"/>
                      <w:sz w:val="18"/>
                      <w:szCs w:val="18"/>
                      <w14:textFill>
                        <w14:solidFill>
                          <w14:schemeClr w14:val="tx1"/>
                        </w14:solidFill>
                      </w14:textFill>
                    </w:rPr>
                  </w:pPr>
                </w:p>
              </w:tc>
              <w:tc>
                <w:tcPr>
                  <w:tcW w:w="519" w:type="pct"/>
                  <w:vAlign w:val="center"/>
                </w:tcPr>
                <w:p w14:paraId="6CC41798">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465m</w:t>
                  </w:r>
                </w:p>
              </w:tc>
              <w:tc>
                <w:tcPr>
                  <w:tcW w:w="865" w:type="pct"/>
                  <w:vAlign w:val="center"/>
                </w:tcPr>
                <w:p w14:paraId="39CA025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831" w:type="pct"/>
                  <w:shd w:val="clear" w:color="auto" w:fill="auto"/>
                  <w:vAlign w:val="center"/>
                </w:tcPr>
                <w:p w14:paraId="15C9125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医药企业</w:t>
                  </w:r>
                </w:p>
              </w:tc>
            </w:tr>
          </w:tbl>
          <w:p w14:paraId="5AC5E34C">
            <w:pPr>
              <w:autoSpaceDE w:val="0"/>
              <w:autoSpaceDN w:val="0"/>
              <w:adjustRightInd w:val="0"/>
              <w:snapToGrid w:val="0"/>
              <w:spacing w:line="360" w:lineRule="auto"/>
              <w:ind w:firstLine="420" w:firstLineChars="200"/>
            </w:pPr>
            <w:r>
              <w:rPr>
                <w:rFonts w:hint="eastAsia"/>
              </w:rPr>
              <w:t>根据现场调查，周边企业已办理的环评手续中未划定卫生防护距离，对企业周边引入企业类型均无限制性相关表述。本项目主要进行C2740 中成药生产，生产性质与</w:t>
            </w:r>
            <w:r>
              <w:rPr>
                <w:rFonts w:hint="eastAsia"/>
                <w:bCs/>
              </w:rPr>
              <w:t>园</w:t>
            </w:r>
            <w:r>
              <w:rPr>
                <w:rFonts w:hint="eastAsia"/>
              </w:rPr>
              <w:t>内其他企业一致，因此，本项目与周边外环境相容。</w:t>
            </w:r>
          </w:p>
          <w:p w14:paraId="57BDBBF7">
            <w:pPr>
              <w:autoSpaceDE w:val="0"/>
              <w:autoSpaceDN w:val="0"/>
              <w:adjustRightInd w:val="0"/>
              <w:snapToGrid w:val="0"/>
              <w:spacing w:line="360" w:lineRule="auto"/>
              <w:ind w:firstLine="420" w:firstLineChars="200"/>
            </w:pPr>
            <w:r>
              <w:rPr>
                <w:rFonts w:hint="eastAsia"/>
              </w:rPr>
              <w:t>本项目位于四川省达州市通川经开区医药产业园11 栋3 层，属于达州市农产品加工集 中区，项目周边均为食品、医药企业及规划空地，运行过程中产生的废气污染物主要为 颗粒物。颗粒物经布袋除尘器处理后达标排放，对周围环境影响不大；项目生产废水经新建污水处理设施处理后通过市政污水管网进入魏兴场镇污水处理厂处理达标后达标排入州河，对周围环境影响不大；产生噪声污染的生产设备通过基础减振、厂房隔声等措施后，可以实现厂界达标排放，对周围环境影响不大；项目各项固废均得到妥善处置。</w:t>
            </w:r>
          </w:p>
          <w:p w14:paraId="24E0DF4E">
            <w:pPr>
              <w:autoSpaceDE w:val="0"/>
              <w:autoSpaceDN w:val="0"/>
              <w:adjustRightInd w:val="0"/>
              <w:snapToGrid w:val="0"/>
              <w:spacing w:line="360" w:lineRule="auto"/>
              <w:ind w:firstLine="420" w:firstLineChars="200"/>
            </w:pPr>
            <w:r>
              <w:rPr>
                <w:rFonts w:hint="eastAsia"/>
              </w:rPr>
              <w:t>因此，项目只要严格落实本报告表中提出的各项污染防治措施，确保防治设施正常运行前提下，不会对周围其它企业产生明显环境影响。周围其他工业企业均不属于重型污染企业，也不会对本项目产生明显环境影响。此外，项目所在区域道路、供排水、供电等配套设施均已完善，能够满足本项目投产后需求。因此，分析认为，本项目与外环境相容性较好，无明显的环境制约因素，选址合理可行。</w:t>
            </w:r>
          </w:p>
          <w:p w14:paraId="594ECF5A">
            <w:pPr>
              <w:autoSpaceDE w:val="0"/>
              <w:autoSpaceDN w:val="0"/>
              <w:adjustRightInd w:val="0"/>
              <w:snapToGrid w:val="0"/>
              <w:spacing w:line="360" w:lineRule="auto"/>
              <w:ind w:firstLine="420" w:firstLineChars="200"/>
              <w:rPr>
                <w:rFonts w:hint="eastAsia"/>
              </w:rPr>
            </w:pPr>
            <w:r>
              <w:rPr>
                <w:rFonts w:hint="eastAsia"/>
              </w:rPr>
              <w:t>综上分析，本项目选址合理。</w:t>
            </w:r>
          </w:p>
        </w:tc>
      </w:tr>
    </w:tbl>
    <w:p w14:paraId="1B3B5DAB">
      <w:pPr>
        <w:tabs>
          <w:tab w:val="left" w:pos="679"/>
        </w:tabs>
        <w:ind w:firstLine="600"/>
        <w:rPr>
          <w:rFonts w:eastAsia="黑体"/>
          <w:sz w:val="30"/>
        </w:rPr>
      </w:pPr>
    </w:p>
    <w:p w14:paraId="30326E47">
      <w:pPr>
        <w:tabs>
          <w:tab w:val="left" w:pos="679"/>
        </w:tabs>
        <w:ind w:firstLine="600"/>
        <w:rPr>
          <w:rFonts w:eastAsia="黑体"/>
          <w:sz w:val="30"/>
        </w:rPr>
        <w:sectPr>
          <w:pgSz w:w="11906" w:h="16838"/>
          <w:pgMar w:top="1701" w:right="1531" w:bottom="1701" w:left="1531" w:header="851" w:footer="1077" w:gutter="0"/>
          <w:cols w:space="720" w:num="1"/>
          <w:docGrid w:linePitch="312" w:charSpace="0"/>
        </w:sectPr>
      </w:pPr>
      <w:r>
        <w:rPr>
          <w:rFonts w:eastAsia="黑体"/>
          <w:sz w:val="30"/>
        </w:rPr>
        <w:tab/>
      </w:r>
    </w:p>
    <w:p w14:paraId="42A0D47E">
      <w:pPr>
        <w:pStyle w:val="15"/>
        <w:adjustRightInd/>
        <w:snapToGrid/>
        <w:spacing w:before="100" w:beforeAutospacing="1" w:after="100" w:afterAutospacing="1"/>
        <w:ind w:firstLine="600"/>
        <w:outlineLvl w:val="0"/>
        <w:rPr>
          <w:rFonts w:hint="eastAsia" w:ascii="黑体" w:hAnsi="黑体" w:eastAsia="黑体"/>
          <w:snapToGrid w:val="0"/>
          <w:sz w:val="30"/>
          <w:szCs w:val="30"/>
        </w:rPr>
      </w:pPr>
      <w:bookmarkStart w:id="10" w:name="_Toc77234834"/>
      <w:r>
        <w:rPr>
          <w:rFonts w:hint="eastAsia" w:ascii="黑体" w:hAnsi="黑体" w:eastAsia="黑体"/>
          <w:snapToGrid w:val="0"/>
          <w:sz w:val="30"/>
          <w:szCs w:val="30"/>
        </w:rPr>
        <w:t>二、建设项目工程分析</w:t>
      </w:r>
      <w:bookmarkEnd w:id="10"/>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1"/>
      </w:tblGrid>
      <w:tr w14:paraId="42984B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823" w:type="dxa"/>
            <w:vAlign w:val="center"/>
          </w:tcPr>
          <w:p w14:paraId="2F04C2C3">
            <w:pPr>
              <w:pStyle w:val="15"/>
              <w:rPr>
                <w:rFonts w:hint="eastAsia"/>
                <w:sz w:val="21"/>
                <w:szCs w:val="21"/>
              </w:rPr>
            </w:pPr>
            <w:r>
              <w:rPr>
                <w:rFonts w:hint="eastAsia"/>
                <w:sz w:val="21"/>
                <w:szCs w:val="21"/>
              </w:rPr>
              <w:t>建设内容</w:t>
            </w:r>
          </w:p>
        </w:tc>
        <w:tc>
          <w:tcPr>
            <w:tcW w:w="8161" w:type="dxa"/>
          </w:tcPr>
          <w:p w14:paraId="64B07646">
            <w:pPr>
              <w:adjustRightInd w:val="0"/>
              <w:snapToGrid w:val="0"/>
              <w:spacing w:line="360" w:lineRule="auto"/>
              <w:ind w:firstLine="422" w:firstLineChars="200"/>
              <w:rPr>
                <w:b/>
                <w:bCs/>
              </w:rPr>
            </w:pPr>
            <w:r>
              <w:rPr>
                <w:rFonts w:hint="eastAsia"/>
                <w:b/>
                <w:bCs/>
              </w:rPr>
              <w:t>一、项目由来</w:t>
            </w:r>
          </w:p>
          <w:p w14:paraId="1C1A4140">
            <w:pPr>
              <w:pStyle w:val="2"/>
              <w:spacing w:line="360" w:lineRule="auto"/>
              <w:ind w:firstLine="420" w:firstLineChars="200"/>
              <w:jc w:val="both"/>
            </w:pPr>
            <w:r>
              <w:rPr>
                <w:rFonts w:hint="eastAsia"/>
              </w:rPr>
              <w:t>达州九州通医疗器械有限公司（以下简称“公司”）成立于2024年6月20日，属于九州通医药集团股份有限公司旗下子公司。公司地址位于通川经开区魏兴医药产业园11栋3楼，占地面积为4564平方米（本项目使用2260m</w:t>
            </w:r>
            <w:r>
              <w:rPr>
                <w:rFonts w:hint="eastAsia"/>
                <w:vertAlign w:val="superscript"/>
              </w:rPr>
              <w:t>2</w:t>
            </w:r>
            <w:r>
              <w:rPr>
                <w:rFonts w:hint="eastAsia"/>
              </w:rPr>
              <w:t>），通过租用四川达州通川经济开发区医疗产业园标准厂房进行建设“</w:t>
            </w:r>
            <w:r>
              <w:rPr>
                <w:u w:val="single"/>
              </w:rPr>
              <w:t>通川区九州通医药产业链一期建设项目</w:t>
            </w:r>
            <w:r>
              <w:rPr>
                <w:rFonts w:hint="eastAsia"/>
              </w:rPr>
              <w:t>” （以下简称“本项目”）。</w:t>
            </w:r>
          </w:p>
          <w:p w14:paraId="35EB31E2">
            <w:pPr>
              <w:pStyle w:val="2"/>
              <w:spacing w:line="360" w:lineRule="auto"/>
              <w:ind w:firstLine="420" w:firstLineChars="200"/>
              <w:jc w:val="both"/>
            </w:pPr>
            <w:r>
              <w:rPr>
                <w:rFonts w:hint="eastAsia"/>
              </w:rPr>
              <w:t>根据建设单位提供的《通川区医药产业链项目投资协议》，本项目是属于达州市通川区人民政府招商引资项目，隶属于九州通医药集团股份有限公司投资的“通川区医药产业链项目”。“通川区医药产业链项目”立足川东北、联动万达开、辐射川渝陕，拟打造乙方川东北区域总部，建设以智慧煎药中心为基础，集道地中药材GAP种植、中药材初深加工及西药、器械物流配送设施等一体化的医药产业链基地。该项目分为三期建设，其中：项目一期规划建设“云上中医”智慧系统、川东北现代化智慧煎药中心，城市医疗集团建设、公共卫生信息化、老旧设备更新等；项目二期规划建设道地中药材GAP种植及初加工基地；项目三期规划建设中药材深加工生产基地。本项目属于“通川区医药产业链项目”一期建设项目，项目租用通川经开区医药产业园面积约 4564 平米标准厂房（本项目使用2260m</w:t>
            </w:r>
            <w:r>
              <w:rPr>
                <w:rFonts w:hint="eastAsia"/>
                <w:vertAlign w:val="superscript"/>
              </w:rPr>
              <w:t>2</w:t>
            </w:r>
            <w:r>
              <w:rPr>
                <w:rFonts w:hint="eastAsia"/>
              </w:rPr>
              <w:t>），建设现代化智慧煎药中心、“云上中医”智慧系统等。主要设施设备有：煎药机64台、包装机16台、丸剂设备2套、夹层锅2个、蒸汽发生器1台、普饮药柜48个、污水处理设施1套等。日均可代煎处方约512张，膏方约9张，丸剂约6张。</w:t>
            </w:r>
          </w:p>
          <w:p w14:paraId="4E26F8B4">
            <w:pPr>
              <w:pStyle w:val="2"/>
              <w:spacing w:line="360" w:lineRule="auto"/>
              <w:ind w:firstLine="420" w:firstLineChars="200"/>
              <w:jc w:val="both"/>
            </w:pPr>
            <w:r>
              <w:rPr>
                <w:rFonts w:hint="eastAsia"/>
              </w:rPr>
              <w:t>2</w:t>
            </w:r>
            <w:r>
              <w:t>02</w:t>
            </w:r>
            <w:r>
              <w:rPr>
                <w:rFonts w:hint="eastAsia"/>
              </w:rPr>
              <w:t>4年7月1</w:t>
            </w:r>
            <w:r>
              <w:t>8</w:t>
            </w:r>
            <w:r>
              <w:rPr>
                <w:rFonts w:hint="eastAsia"/>
              </w:rPr>
              <w:t>日，本项目在全国投资项目在线审批监管平台（四川）获得通川区发展和改革局准予备案，备案号：川投资备【2407-511702-04-01-293360】FGQB-0332 号。</w:t>
            </w:r>
          </w:p>
          <w:p w14:paraId="7CD03E5E">
            <w:pPr>
              <w:pStyle w:val="2"/>
              <w:spacing w:line="360" w:lineRule="auto"/>
              <w:ind w:firstLine="420" w:firstLineChars="200"/>
              <w:jc w:val="both"/>
            </w:pPr>
            <w:r>
              <w:rPr>
                <w:rFonts w:hint="eastAsia"/>
              </w:rPr>
              <w:t>为此，达州九州通医疗器械有限公司委托我公司承担“通川区九州通医药产业链一期建设项目”环境影响评价工作。根据《建设项目环境影响评价分类管理名录》（2021 年版），本项目属于“二十四、医药制造业，48中成药生产274*其他（单纯切片、制干、打包的除外）”类别，应编制环境影响报告表。我公司接受委托后，立即成立评价小组，经过现场踏勘及工程分析，依据《建设项目环境影响报告表编制技术指南（试行）》（污染影响类）及相关技术规范要求，编制了该项目环境影响报告表，报请生态环境行政主管部门审批。</w:t>
            </w:r>
          </w:p>
          <w:p w14:paraId="5BF59F6C">
            <w:pPr>
              <w:adjustRightInd w:val="0"/>
              <w:snapToGrid w:val="0"/>
              <w:spacing w:line="360" w:lineRule="auto"/>
              <w:ind w:firstLine="422" w:firstLineChars="200"/>
              <w:rPr>
                <w:b/>
                <w:bCs/>
              </w:rPr>
            </w:pPr>
            <w:r>
              <w:rPr>
                <w:rFonts w:hint="eastAsia"/>
                <w:b/>
                <w:bCs/>
              </w:rPr>
              <w:t>二、项目基本情况</w:t>
            </w:r>
          </w:p>
          <w:p w14:paraId="78F1D510">
            <w:pPr>
              <w:widowControl/>
              <w:spacing w:line="360" w:lineRule="auto"/>
              <w:ind w:left="422" w:firstLine="422"/>
              <w:rPr>
                <w:b/>
                <w:bCs/>
              </w:rPr>
            </w:pPr>
            <w:r>
              <w:rPr>
                <w:rFonts w:hint="eastAsia"/>
                <w:b/>
                <w:bCs/>
              </w:rPr>
              <w:t>1、</w:t>
            </w:r>
            <w:r>
              <w:rPr>
                <w:b/>
                <w:bCs/>
              </w:rPr>
              <w:t>项目名称、性质、建设地点</w:t>
            </w:r>
          </w:p>
          <w:p w14:paraId="7087B70D">
            <w:pPr>
              <w:pStyle w:val="2"/>
              <w:spacing w:line="360" w:lineRule="auto"/>
              <w:ind w:firstLine="420" w:firstLineChars="200"/>
              <w:jc w:val="both"/>
            </w:pPr>
            <w:r>
              <w:rPr>
                <w:rFonts w:hint="eastAsia"/>
              </w:rPr>
              <w:t>项目名称：通川区九州通医药产业链一期建设项目</w:t>
            </w:r>
          </w:p>
          <w:p w14:paraId="218671D3">
            <w:pPr>
              <w:pStyle w:val="2"/>
              <w:spacing w:line="360" w:lineRule="auto"/>
              <w:ind w:firstLine="420" w:firstLineChars="200"/>
              <w:jc w:val="both"/>
            </w:pPr>
            <w:r>
              <w:rPr>
                <w:rFonts w:hint="eastAsia"/>
              </w:rPr>
              <w:t>建设性质：新建</w:t>
            </w:r>
          </w:p>
          <w:p w14:paraId="3DC9681F">
            <w:pPr>
              <w:pStyle w:val="2"/>
              <w:spacing w:line="360" w:lineRule="auto"/>
              <w:ind w:firstLine="420" w:firstLineChars="200"/>
              <w:jc w:val="both"/>
            </w:pPr>
            <w:r>
              <w:rPr>
                <w:rFonts w:hint="eastAsia"/>
              </w:rPr>
              <w:t>建设单位：达州九州通医疗器械有限公司</w:t>
            </w:r>
          </w:p>
          <w:p w14:paraId="72AC3723">
            <w:pPr>
              <w:pStyle w:val="2"/>
              <w:spacing w:line="360" w:lineRule="auto"/>
              <w:ind w:firstLine="420" w:firstLineChars="200"/>
              <w:jc w:val="both"/>
            </w:pPr>
            <w:r>
              <w:rPr>
                <w:rFonts w:hint="eastAsia"/>
              </w:rPr>
              <w:t>建设地点：四川省达州市通川经开区医药产业园11 栋3 层</w:t>
            </w:r>
          </w:p>
          <w:p w14:paraId="53CC3DAA">
            <w:pPr>
              <w:pStyle w:val="2"/>
              <w:spacing w:line="360" w:lineRule="auto"/>
              <w:ind w:firstLine="420" w:firstLineChars="200"/>
              <w:jc w:val="both"/>
            </w:pPr>
            <w:r>
              <w:rPr>
                <w:rFonts w:hint="eastAsia"/>
              </w:rPr>
              <w:t>建设内容及规模：项目租用通川经开区医药产业园面积约 4564 平米标准厂房（本项目使用2260m</w:t>
            </w:r>
            <w:r>
              <w:rPr>
                <w:rFonts w:hint="eastAsia"/>
                <w:vertAlign w:val="superscript"/>
              </w:rPr>
              <w:t>2</w:t>
            </w:r>
            <w:r>
              <w:rPr>
                <w:rFonts w:hint="eastAsia"/>
              </w:rPr>
              <w:t>），建设现代化智慧煎药中心、“云上中医”智慧系统等。主要设施设备有：煎药机64台、包装机16台、丸剂设备2套、夹层锅2个、蒸汽发生器1台、普饮药柜48个、污水处理设施1套等。日均可代煎处方约512张，膏方约9张，丸剂约6张。</w:t>
            </w:r>
          </w:p>
          <w:p w14:paraId="5D6677A6">
            <w:pPr>
              <w:pStyle w:val="2"/>
              <w:spacing w:line="360" w:lineRule="auto"/>
              <w:ind w:firstLine="420" w:firstLineChars="200"/>
              <w:jc w:val="both"/>
              <w:rPr>
                <w:color w:val="FF0000"/>
              </w:rPr>
            </w:pPr>
            <w:r>
              <w:rPr>
                <w:rFonts w:hint="eastAsia"/>
                <w:color w:val="000000" w:themeColor="text1"/>
                <w14:textFill>
                  <w14:solidFill>
                    <w14:schemeClr w14:val="tx1"/>
                  </w14:solidFill>
                </w14:textFill>
              </w:rPr>
              <w:t>劳</w:t>
            </w:r>
            <w:r>
              <w:rPr>
                <w:rFonts w:hint="eastAsia"/>
              </w:rPr>
              <w:t>动定员：本项目劳动定员共约6</w:t>
            </w:r>
            <w:r>
              <w:t>0</w:t>
            </w:r>
            <w:r>
              <w:rPr>
                <w:rFonts w:hint="eastAsia"/>
              </w:rPr>
              <w:t>人，每班8小时，每天三班制，年工作3</w:t>
            </w:r>
            <w:r>
              <w:t>00</w:t>
            </w:r>
            <w:r>
              <w:rPr>
                <w:rFonts w:hint="eastAsia"/>
              </w:rPr>
              <w:t>天。项目不设置员工食堂及宿舍。</w:t>
            </w:r>
          </w:p>
          <w:p w14:paraId="3F0913CA">
            <w:pPr>
              <w:widowControl/>
              <w:spacing w:line="360" w:lineRule="auto"/>
              <w:ind w:firstLine="422" w:firstLineChars="200"/>
              <w:rPr>
                <w:b/>
                <w:bCs/>
              </w:rPr>
            </w:pPr>
            <w:r>
              <w:rPr>
                <w:rFonts w:hint="eastAsia"/>
                <w:b/>
                <w:bCs/>
              </w:rPr>
              <w:t>2、</w:t>
            </w:r>
            <w:r>
              <w:rPr>
                <w:b/>
                <w:bCs/>
              </w:rPr>
              <w:t>项目</w:t>
            </w:r>
            <w:r>
              <w:rPr>
                <w:rFonts w:hint="eastAsia"/>
                <w:b/>
                <w:bCs/>
              </w:rPr>
              <w:t>产品方案</w:t>
            </w:r>
          </w:p>
          <w:p w14:paraId="5A490938">
            <w:pPr>
              <w:pStyle w:val="2"/>
              <w:spacing w:line="360" w:lineRule="auto"/>
              <w:ind w:firstLine="420" w:firstLineChars="200"/>
              <w:jc w:val="both"/>
            </w:pPr>
            <w:r>
              <w:rPr>
                <w:rFonts w:hint="eastAsia"/>
              </w:rPr>
              <w:t>项目产品方案见下表：</w:t>
            </w:r>
          </w:p>
          <w:p w14:paraId="3EF38535">
            <w:pPr>
              <w:autoSpaceDE w:val="0"/>
              <w:autoSpaceDN w:val="0"/>
              <w:adjustRightInd w:val="0"/>
              <w:snapToGrid w:val="0"/>
              <w:jc w:val="center"/>
              <w:rPr>
                <w:b/>
              </w:rPr>
            </w:pPr>
            <w:r>
              <w:rPr>
                <w:rFonts w:hint="eastAsia"/>
                <w:b/>
              </w:rPr>
              <w:t>表2-</w:t>
            </w:r>
            <w:r>
              <w:rPr>
                <w:b/>
              </w:rPr>
              <w:t xml:space="preserve">1 </w:t>
            </w:r>
            <w:r>
              <w:rPr>
                <w:rFonts w:hint="eastAsia"/>
                <w:b/>
              </w:rPr>
              <w:t xml:space="preserve"> 项目产品方案表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79"/>
              <w:gridCol w:w="1352"/>
              <w:gridCol w:w="1354"/>
              <w:gridCol w:w="2360"/>
            </w:tblGrid>
            <w:tr w14:paraId="63F05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812" w:type="pct"/>
                  <w:vMerge w:val="restart"/>
                  <w:vAlign w:val="center"/>
                </w:tcPr>
                <w:p w14:paraId="1F4A1042">
                  <w:pPr>
                    <w:autoSpaceDE w:val="0"/>
                    <w:autoSpaceDN w:val="0"/>
                    <w:adjustRightInd w:val="0"/>
                    <w:jc w:val="center"/>
                    <w:rPr>
                      <w:b/>
                      <w:bCs/>
                      <w:sz w:val="18"/>
                      <w:szCs w:val="18"/>
                    </w:rPr>
                  </w:pPr>
                  <w:r>
                    <w:rPr>
                      <w:rFonts w:hint="eastAsia"/>
                      <w:b/>
                      <w:bCs/>
                      <w:sz w:val="18"/>
                      <w:szCs w:val="18"/>
                    </w:rPr>
                    <w:t>产品名称</w:t>
                  </w:r>
                </w:p>
              </w:tc>
              <w:tc>
                <w:tcPr>
                  <w:tcW w:w="1703" w:type="pct"/>
                  <w:gridSpan w:val="2"/>
                  <w:shd w:val="clear" w:color="auto" w:fill="auto"/>
                  <w:vAlign w:val="center"/>
                </w:tcPr>
                <w:p w14:paraId="41007B92">
                  <w:pPr>
                    <w:autoSpaceDE w:val="0"/>
                    <w:autoSpaceDN w:val="0"/>
                    <w:adjustRightInd w:val="0"/>
                    <w:jc w:val="center"/>
                    <w:rPr>
                      <w:b/>
                      <w:bCs/>
                      <w:sz w:val="18"/>
                      <w:szCs w:val="18"/>
                    </w:rPr>
                  </w:pPr>
                  <w:r>
                    <w:rPr>
                      <w:rFonts w:hint="eastAsia"/>
                      <w:b/>
                      <w:bCs/>
                      <w:sz w:val="18"/>
                      <w:szCs w:val="18"/>
                    </w:rPr>
                    <w:t>设计生产能力</w:t>
                  </w:r>
                </w:p>
              </w:tc>
              <w:tc>
                <w:tcPr>
                  <w:tcW w:w="1485" w:type="pct"/>
                  <w:vMerge w:val="restart"/>
                  <w:vAlign w:val="center"/>
                </w:tcPr>
                <w:p w14:paraId="1741081C">
                  <w:pPr>
                    <w:autoSpaceDE w:val="0"/>
                    <w:autoSpaceDN w:val="0"/>
                    <w:adjustRightInd w:val="0"/>
                    <w:jc w:val="center"/>
                    <w:rPr>
                      <w:b/>
                      <w:bCs/>
                      <w:sz w:val="18"/>
                      <w:szCs w:val="18"/>
                    </w:rPr>
                  </w:pPr>
                  <w:r>
                    <w:rPr>
                      <w:rFonts w:hint="eastAsia"/>
                      <w:b/>
                      <w:bCs/>
                      <w:sz w:val="18"/>
                      <w:szCs w:val="18"/>
                    </w:rPr>
                    <w:t>形态</w:t>
                  </w:r>
                </w:p>
              </w:tc>
            </w:tr>
            <w:tr w14:paraId="44456A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812" w:type="pct"/>
                  <w:vMerge w:val="continue"/>
                  <w:vAlign w:val="center"/>
                </w:tcPr>
                <w:p w14:paraId="02E3C51F">
                  <w:pPr>
                    <w:autoSpaceDE w:val="0"/>
                    <w:autoSpaceDN w:val="0"/>
                    <w:adjustRightInd w:val="0"/>
                    <w:jc w:val="center"/>
                    <w:rPr>
                      <w:b/>
                      <w:bCs/>
                      <w:sz w:val="18"/>
                      <w:szCs w:val="18"/>
                    </w:rPr>
                  </w:pPr>
                </w:p>
              </w:tc>
              <w:tc>
                <w:tcPr>
                  <w:tcW w:w="851" w:type="pct"/>
                  <w:shd w:val="clear" w:color="auto" w:fill="auto"/>
                  <w:vAlign w:val="center"/>
                </w:tcPr>
                <w:p w14:paraId="00D07DB9">
                  <w:pPr>
                    <w:autoSpaceDE w:val="0"/>
                    <w:autoSpaceDN w:val="0"/>
                    <w:adjustRightInd w:val="0"/>
                    <w:jc w:val="center"/>
                    <w:rPr>
                      <w:b/>
                      <w:bCs/>
                      <w:sz w:val="18"/>
                      <w:szCs w:val="18"/>
                    </w:rPr>
                  </w:pPr>
                  <w:r>
                    <w:rPr>
                      <w:rFonts w:hint="eastAsia"/>
                      <w:b/>
                      <w:bCs/>
                      <w:sz w:val="18"/>
                      <w:szCs w:val="18"/>
                    </w:rPr>
                    <w:t>日均加工</w:t>
                  </w:r>
                </w:p>
              </w:tc>
              <w:tc>
                <w:tcPr>
                  <w:tcW w:w="852" w:type="pct"/>
                  <w:shd w:val="clear" w:color="auto" w:fill="auto"/>
                  <w:vAlign w:val="center"/>
                </w:tcPr>
                <w:p w14:paraId="770DDC19">
                  <w:pPr>
                    <w:autoSpaceDE w:val="0"/>
                    <w:autoSpaceDN w:val="0"/>
                    <w:adjustRightInd w:val="0"/>
                    <w:jc w:val="center"/>
                    <w:rPr>
                      <w:b/>
                      <w:bCs/>
                      <w:sz w:val="18"/>
                      <w:szCs w:val="18"/>
                    </w:rPr>
                  </w:pPr>
                  <w:r>
                    <w:rPr>
                      <w:rFonts w:hint="eastAsia"/>
                      <w:b/>
                      <w:bCs/>
                      <w:sz w:val="18"/>
                      <w:szCs w:val="18"/>
                    </w:rPr>
                    <w:t>年均加工</w:t>
                  </w:r>
                </w:p>
              </w:tc>
              <w:tc>
                <w:tcPr>
                  <w:tcW w:w="1485" w:type="pct"/>
                  <w:vMerge w:val="continue"/>
                  <w:vAlign w:val="center"/>
                </w:tcPr>
                <w:p w14:paraId="69C1A0DF">
                  <w:pPr>
                    <w:autoSpaceDE w:val="0"/>
                    <w:autoSpaceDN w:val="0"/>
                    <w:adjustRightInd w:val="0"/>
                    <w:jc w:val="center"/>
                    <w:rPr>
                      <w:b/>
                      <w:bCs/>
                      <w:sz w:val="18"/>
                      <w:szCs w:val="18"/>
                    </w:rPr>
                  </w:pPr>
                </w:p>
              </w:tc>
            </w:tr>
            <w:tr w14:paraId="0DC23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812" w:type="pct"/>
                  <w:vAlign w:val="center"/>
                </w:tcPr>
                <w:p w14:paraId="6E6F3C1C">
                  <w:pPr>
                    <w:jc w:val="center"/>
                    <w:rPr>
                      <w:sz w:val="18"/>
                      <w:szCs w:val="18"/>
                    </w:rPr>
                  </w:pPr>
                  <w:r>
                    <w:rPr>
                      <w:rFonts w:hint="eastAsia"/>
                      <w:sz w:val="18"/>
                      <w:szCs w:val="18"/>
                    </w:rPr>
                    <w:t>代煎中药</w:t>
                  </w:r>
                </w:p>
              </w:tc>
              <w:tc>
                <w:tcPr>
                  <w:tcW w:w="851" w:type="pct"/>
                  <w:shd w:val="clear" w:color="auto" w:fill="auto"/>
                  <w:vAlign w:val="center"/>
                </w:tcPr>
                <w:p w14:paraId="74572CD1">
                  <w:pPr>
                    <w:jc w:val="center"/>
                    <w:rPr>
                      <w:sz w:val="18"/>
                      <w:szCs w:val="18"/>
                    </w:rPr>
                  </w:pPr>
                  <w:r>
                    <w:rPr>
                      <w:rFonts w:hint="eastAsia"/>
                      <w:sz w:val="18"/>
                      <w:szCs w:val="18"/>
                    </w:rPr>
                    <w:t>512剂</w:t>
                  </w:r>
                </w:p>
              </w:tc>
              <w:tc>
                <w:tcPr>
                  <w:tcW w:w="852" w:type="pct"/>
                  <w:shd w:val="clear" w:color="auto" w:fill="auto"/>
                  <w:vAlign w:val="center"/>
                </w:tcPr>
                <w:p w14:paraId="14C7AD74">
                  <w:pPr>
                    <w:jc w:val="center"/>
                    <w:rPr>
                      <w:sz w:val="18"/>
                      <w:szCs w:val="18"/>
                    </w:rPr>
                  </w:pPr>
                  <w:r>
                    <w:rPr>
                      <w:rFonts w:hint="eastAsia"/>
                      <w:sz w:val="18"/>
                      <w:szCs w:val="18"/>
                    </w:rPr>
                    <w:t>153600剂</w:t>
                  </w:r>
                </w:p>
              </w:tc>
              <w:tc>
                <w:tcPr>
                  <w:tcW w:w="1485" w:type="pct"/>
                  <w:vAlign w:val="center"/>
                </w:tcPr>
                <w:p w14:paraId="3A4599DB">
                  <w:pPr>
                    <w:jc w:val="center"/>
                    <w:rPr>
                      <w:sz w:val="18"/>
                      <w:szCs w:val="18"/>
                    </w:rPr>
                  </w:pPr>
                  <w:r>
                    <w:rPr>
                      <w:rFonts w:hint="eastAsia"/>
                      <w:sz w:val="18"/>
                      <w:szCs w:val="18"/>
                    </w:rPr>
                    <w:t>液态</w:t>
                  </w:r>
                </w:p>
              </w:tc>
            </w:tr>
            <w:tr w14:paraId="4EC79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812" w:type="pct"/>
                  <w:vAlign w:val="center"/>
                </w:tcPr>
                <w:p w14:paraId="6F2DEFF5">
                  <w:pPr>
                    <w:jc w:val="center"/>
                    <w:rPr>
                      <w:sz w:val="18"/>
                      <w:szCs w:val="18"/>
                    </w:rPr>
                  </w:pPr>
                  <w:r>
                    <w:rPr>
                      <w:rFonts w:hint="eastAsia"/>
                      <w:sz w:val="18"/>
                      <w:szCs w:val="18"/>
                    </w:rPr>
                    <w:t>膏方制作</w:t>
                  </w:r>
                </w:p>
              </w:tc>
              <w:tc>
                <w:tcPr>
                  <w:tcW w:w="851" w:type="pct"/>
                  <w:shd w:val="clear" w:color="auto" w:fill="auto"/>
                  <w:vAlign w:val="center"/>
                </w:tcPr>
                <w:p w14:paraId="370E0AA4">
                  <w:pPr>
                    <w:jc w:val="center"/>
                    <w:rPr>
                      <w:sz w:val="18"/>
                      <w:szCs w:val="18"/>
                    </w:rPr>
                  </w:pPr>
                  <w:r>
                    <w:rPr>
                      <w:rFonts w:hint="eastAsia"/>
                      <w:sz w:val="18"/>
                      <w:szCs w:val="18"/>
                    </w:rPr>
                    <w:t>9剂</w:t>
                  </w:r>
                </w:p>
              </w:tc>
              <w:tc>
                <w:tcPr>
                  <w:tcW w:w="852" w:type="pct"/>
                  <w:shd w:val="clear" w:color="auto" w:fill="auto"/>
                  <w:vAlign w:val="center"/>
                </w:tcPr>
                <w:p w14:paraId="61EBEF58">
                  <w:pPr>
                    <w:jc w:val="center"/>
                    <w:rPr>
                      <w:sz w:val="18"/>
                      <w:szCs w:val="18"/>
                    </w:rPr>
                  </w:pPr>
                  <w:r>
                    <w:rPr>
                      <w:rFonts w:hint="eastAsia"/>
                      <w:sz w:val="18"/>
                      <w:szCs w:val="18"/>
                    </w:rPr>
                    <w:t>2700剂</w:t>
                  </w:r>
                </w:p>
              </w:tc>
              <w:tc>
                <w:tcPr>
                  <w:tcW w:w="1485" w:type="pct"/>
                  <w:vAlign w:val="center"/>
                </w:tcPr>
                <w:p w14:paraId="380CB04E">
                  <w:pPr>
                    <w:jc w:val="center"/>
                    <w:rPr>
                      <w:sz w:val="18"/>
                      <w:szCs w:val="18"/>
                    </w:rPr>
                  </w:pPr>
                  <w:r>
                    <w:rPr>
                      <w:rFonts w:hint="eastAsia"/>
                      <w:sz w:val="18"/>
                      <w:szCs w:val="18"/>
                    </w:rPr>
                    <w:t>固态</w:t>
                  </w:r>
                </w:p>
              </w:tc>
            </w:tr>
            <w:tr w14:paraId="68F6D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812" w:type="pct"/>
                  <w:vAlign w:val="center"/>
                </w:tcPr>
                <w:p w14:paraId="59AE44DA">
                  <w:pPr>
                    <w:jc w:val="center"/>
                    <w:rPr>
                      <w:sz w:val="18"/>
                      <w:szCs w:val="18"/>
                    </w:rPr>
                  </w:pPr>
                  <w:r>
                    <w:rPr>
                      <w:rFonts w:hint="eastAsia"/>
                      <w:sz w:val="18"/>
                      <w:szCs w:val="18"/>
                    </w:rPr>
                    <w:t>丸剂制作</w:t>
                  </w:r>
                </w:p>
              </w:tc>
              <w:tc>
                <w:tcPr>
                  <w:tcW w:w="851" w:type="pct"/>
                  <w:shd w:val="clear" w:color="auto" w:fill="auto"/>
                  <w:vAlign w:val="center"/>
                </w:tcPr>
                <w:p w14:paraId="1CE36238">
                  <w:pPr>
                    <w:jc w:val="center"/>
                    <w:rPr>
                      <w:sz w:val="18"/>
                      <w:szCs w:val="18"/>
                    </w:rPr>
                  </w:pPr>
                  <w:r>
                    <w:rPr>
                      <w:rFonts w:hint="eastAsia"/>
                      <w:sz w:val="18"/>
                      <w:szCs w:val="18"/>
                    </w:rPr>
                    <w:t>6剂</w:t>
                  </w:r>
                </w:p>
              </w:tc>
              <w:tc>
                <w:tcPr>
                  <w:tcW w:w="851" w:type="pct"/>
                  <w:shd w:val="clear" w:color="auto" w:fill="auto"/>
                  <w:vAlign w:val="center"/>
                </w:tcPr>
                <w:p w14:paraId="0CA74590">
                  <w:pPr>
                    <w:jc w:val="center"/>
                    <w:rPr>
                      <w:sz w:val="18"/>
                      <w:szCs w:val="18"/>
                    </w:rPr>
                  </w:pPr>
                  <w:r>
                    <w:rPr>
                      <w:rFonts w:hint="eastAsia"/>
                      <w:sz w:val="18"/>
                      <w:szCs w:val="18"/>
                    </w:rPr>
                    <w:t>1800剂</w:t>
                  </w:r>
                </w:p>
              </w:tc>
              <w:tc>
                <w:tcPr>
                  <w:tcW w:w="1485" w:type="pct"/>
                  <w:vAlign w:val="center"/>
                </w:tcPr>
                <w:p w14:paraId="75DC4A23">
                  <w:pPr>
                    <w:jc w:val="center"/>
                    <w:rPr>
                      <w:sz w:val="18"/>
                      <w:szCs w:val="18"/>
                    </w:rPr>
                  </w:pPr>
                  <w:r>
                    <w:rPr>
                      <w:rFonts w:hint="eastAsia"/>
                      <w:sz w:val="18"/>
                      <w:szCs w:val="18"/>
                    </w:rPr>
                    <w:t>固态</w:t>
                  </w:r>
                </w:p>
              </w:tc>
            </w:tr>
            <w:tr w14:paraId="7C9B6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5000" w:type="pct"/>
                  <w:gridSpan w:val="4"/>
                  <w:vAlign w:val="center"/>
                </w:tcPr>
                <w:p w14:paraId="2005B8DC">
                  <w:pPr>
                    <w:rPr>
                      <w:sz w:val="18"/>
                      <w:szCs w:val="18"/>
                    </w:rPr>
                  </w:pPr>
                  <w:r>
                    <w:rPr>
                      <w:rFonts w:hint="eastAsia"/>
                      <w:sz w:val="18"/>
                      <w:szCs w:val="18"/>
                    </w:rPr>
                    <w:t xml:space="preserve">注：项目各产品的中药饮片用量根据医院开出的药方而定。根据统计，各产品的情况如下： </w:t>
                  </w:r>
                </w:p>
                <w:p w14:paraId="16919323">
                  <w:pPr>
                    <w:rPr>
                      <w:sz w:val="18"/>
                      <w:szCs w:val="18"/>
                    </w:rPr>
                  </w:pPr>
                  <w:r>
                    <w:rPr>
                      <w:rFonts w:hint="eastAsia"/>
                      <w:sz w:val="18"/>
                      <w:szCs w:val="18"/>
                    </w:rPr>
                    <w:t xml:space="preserve">1、平均每剂代煎中药的中药饮片用量为 180g； </w:t>
                  </w:r>
                </w:p>
                <w:p w14:paraId="69C65691">
                  <w:pPr>
                    <w:rPr>
                      <w:sz w:val="18"/>
                      <w:szCs w:val="18"/>
                    </w:rPr>
                  </w:pPr>
                  <w:r>
                    <w:rPr>
                      <w:rFonts w:hint="eastAsia"/>
                      <w:sz w:val="18"/>
                      <w:szCs w:val="18"/>
                    </w:rPr>
                    <w:t xml:space="preserve">2、平均每剂膏方有14 瓶成品，每瓶膏方的中药饮片用量为 180g； </w:t>
                  </w:r>
                </w:p>
                <w:p w14:paraId="7072BBCC">
                  <w:pPr>
                    <w:rPr>
                      <w:sz w:val="18"/>
                      <w:szCs w:val="18"/>
                    </w:rPr>
                  </w:pPr>
                  <w:r>
                    <w:rPr>
                      <w:rFonts w:hint="eastAsia"/>
                      <w:sz w:val="18"/>
                      <w:szCs w:val="18"/>
                    </w:rPr>
                    <w:t>3、平均每剂药丸有18 瓶成品，每瓶药丸的中药饮片用量为 55g。</w:t>
                  </w:r>
                </w:p>
              </w:tc>
            </w:tr>
          </w:tbl>
          <w:p w14:paraId="60D6AA0B">
            <w:pPr>
              <w:spacing w:line="360" w:lineRule="auto"/>
              <w:ind w:firstLine="422"/>
              <w:rPr>
                <w:b/>
              </w:rPr>
            </w:pPr>
            <w:r>
              <w:rPr>
                <w:b/>
              </w:rPr>
              <w:t>3、项目组成及建设内容</w:t>
            </w:r>
          </w:p>
          <w:p w14:paraId="26464E6D">
            <w:pPr>
              <w:pStyle w:val="2"/>
              <w:spacing w:line="360" w:lineRule="auto"/>
              <w:ind w:firstLine="420" w:firstLineChars="200"/>
              <w:jc w:val="both"/>
            </w:pPr>
            <w:r>
              <w:t>项目组成及主要环境问题见下表。</w:t>
            </w:r>
          </w:p>
          <w:p w14:paraId="723B6AAF">
            <w:pPr>
              <w:autoSpaceDE w:val="0"/>
              <w:autoSpaceDN w:val="0"/>
              <w:adjustRightInd w:val="0"/>
              <w:snapToGrid w:val="0"/>
              <w:jc w:val="center"/>
              <w:rPr>
                <w:b/>
              </w:rPr>
            </w:pPr>
            <w:r>
              <w:rPr>
                <w:b/>
              </w:rPr>
              <w:t>表</w:t>
            </w:r>
            <w:r>
              <w:rPr>
                <w:rFonts w:hint="eastAsia"/>
                <w:b/>
              </w:rPr>
              <w:t>2</w:t>
            </w:r>
            <w:r>
              <w:rPr>
                <w:b/>
              </w:rPr>
              <w:t>-2 项目组成及主要环境问题</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1424"/>
              <w:gridCol w:w="858"/>
              <w:gridCol w:w="3413"/>
              <w:gridCol w:w="796"/>
              <w:gridCol w:w="850"/>
            </w:tblGrid>
            <w:tr w14:paraId="718F0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1276" w:type="pct"/>
                  <w:gridSpan w:val="2"/>
                  <w:vMerge w:val="restart"/>
                  <w:shd w:val="clear" w:color="auto" w:fill="auto"/>
                  <w:vAlign w:val="center"/>
                </w:tcPr>
                <w:p w14:paraId="6C78B987">
                  <w:pPr>
                    <w:jc w:val="center"/>
                    <w:rPr>
                      <w:b/>
                      <w:bCs/>
                      <w:sz w:val="18"/>
                      <w:szCs w:val="18"/>
                    </w:rPr>
                  </w:pPr>
                  <w:r>
                    <w:rPr>
                      <w:rFonts w:hint="eastAsia"/>
                      <w:b/>
                      <w:bCs/>
                      <w:sz w:val="18"/>
                      <w:szCs w:val="18"/>
                    </w:rPr>
                    <w:t>项目名称</w:t>
                  </w:r>
                </w:p>
              </w:tc>
              <w:tc>
                <w:tcPr>
                  <w:tcW w:w="2688" w:type="pct"/>
                  <w:gridSpan w:val="2"/>
                  <w:vMerge w:val="restart"/>
                  <w:shd w:val="clear" w:color="auto" w:fill="auto"/>
                  <w:vAlign w:val="center"/>
                </w:tcPr>
                <w:p w14:paraId="6E7256EB">
                  <w:pPr>
                    <w:jc w:val="center"/>
                    <w:rPr>
                      <w:b/>
                      <w:bCs/>
                      <w:sz w:val="18"/>
                      <w:szCs w:val="18"/>
                    </w:rPr>
                  </w:pPr>
                  <w:r>
                    <w:rPr>
                      <w:rFonts w:hint="eastAsia"/>
                      <w:b/>
                      <w:bCs/>
                      <w:sz w:val="18"/>
                      <w:szCs w:val="18"/>
                    </w:rPr>
                    <w:t>建设内容及规模</w:t>
                  </w:r>
                </w:p>
              </w:tc>
              <w:tc>
                <w:tcPr>
                  <w:tcW w:w="1036" w:type="pct"/>
                  <w:gridSpan w:val="2"/>
                  <w:shd w:val="clear" w:color="auto" w:fill="auto"/>
                  <w:vAlign w:val="center"/>
                </w:tcPr>
                <w:p w14:paraId="337D5E59">
                  <w:pPr>
                    <w:ind w:left="-105" w:leftChars="-50" w:right="-105" w:rightChars="-50"/>
                    <w:jc w:val="center"/>
                    <w:rPr>
                      <w:b/>
                      <w:bCs/>
                      <w:sz w:val="18"/>
                      <w:szCs w:val="18"/>
                    </w:rPr>
                  </w:pPr>
                  <w:r>
                    <w:rPr>
                      <w:rFonts w:hint="eastAsia"/>
                      <w:b/>
                      <w:bCs/>
                      <w:sz w:val="18"/>
                      <w:szCs w:val="18"/>
                    </w:rPr>
                    <w:t>可能产生的主要</w:t>
                  </w:r>
                </w:p>
                <w:p w14:paraId="6B99423D">
                  <w:pPr>
                    <w:ind w:left="-105" w:leftChars="-50" w:right="-105" w:rightChars="-50"/>
                    <w:jc w:val="center"/>
                    <w:rPr>
                      <w:b/>
                      <w:bCs/>
                      <w:sz w:val="18"/>
                      <w:szCs w:val="18"/>
                    </w:rPr>
                  </w:pPr>
                  <w:r>
                    <w:rPr>
                      <w:rFonts w:hint="eastAsia"/>
                      <w:b/>
                      <w:bCs/>
                      <w:sz w:val="18"/>
                      <w:szCs w:val="18"/>
                    </w:rPr>
                    <w:t>环境问题</w:t>
                  </w:r>
                </w:p>
              </w:tc>
            </w:tr>
            <w:tr w14:paraId="3868D9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1276" w:type="pct"/>
                  <w:gridSpan w:val="2"/>
                  <w:vMerge w:val="continue"/>
                  <w:shd w:val="clear" w:color="auto" w:fill="auto"/>
                  <w:vAlign w:val="center"/>
                </w:tcPr>
                <w:p w14:paraId="1781AA82">
                  <w:pPr>
                    <w:jc w:val="center"/>
                    <w:rPr>
                      <w:sz w:val="18"/>
                      <w:szCs w:val="18"/>
                    </w:rPr>
                  </w:pPr>
                </w:p>
              </w:tc>
              <w:tc>
                <w:tcPr>
                  <w:tcW w:w="2688" w:type="pct"/>
                  <w:gridSpan w:val="2"/>
                  <w:vMerge w:val="continue"/>
                  <w:shd w:val="clear" w:color="auto" w:fill="auto"/>
                  <w:vAlign w:val="center"/>
                </w:tcPr>
                <w:p w14:paraId="6476F499">
                  <w:pPr>
                    <w:jc w:val="center"/>
                    <w:rPr>
                      <w:sz w:val="18"/>
                      <w:szCs w:val="18"/>
                    </w:rPr>
                  </w:pPr>
                </w:p>
              </w:tc>
              <w:tc>
                <w:tcPr>
                  <w:tcW w:w="501" w:type="pct"/>
                  <w:shd w:val="clear" w:color="auto" w:fill="auto"/>
                  <w:vAlign w:val="center"/>
                </w:tcPr>
                <w:p w14:paraId="42927456">
                  <w:pPr>
                    <w:ind w:left="-105" w:leftChars="-50" w:right="-105" w:rightChars="-50"/>
                    <w:jc w:val="center"/>
                    <w:rPr>
                      <w:b/>
                      <w:bCs/>
                      <w:sz w:val="18"/>
                      <w:szCs w:val="18"/>
                    </w:rPr>
                  </w:pPr>
                  <w:r>
                    <w:rPr>
                      <w:rFonts w:hint="eastAsia"/>
                      <w:b/>
                      <w:bCs/>
                      <w:sz w:val="18"/>
                      <w:szCs w:val="18"/>
                    </w:rPr>
                    <w:t>施工期</w:t>
                  </w:r>
                </w:p>
              </w:tc>
              <w:tc>
                <w:tcPr>
                  <w:tcW w:w="535" w:type="pct"/>
                  <w:shd w:val="clear" w:color="auto" w:fill="auto"/>
                  <w:vAlign w:val="center"/>
                </w:tcPr>
                <w:p w14:paraId="0785F085">
                  <w:pPr>
                    <w:ind w:left="-105" w:leftChars="-50" w:right="-105" w:rightChars="-50"/>
                    <w:jc w:val="center"/>
                    <w:rPr>
                      <w:b/>
                      <w:bCs/>
                      <w:sz w:val="18"/>
                      <w:szCs w:val="18"/>
                    </w:rPr>
                  </w:pPr>
                  <w:r>
                    <w:rPr>
                      <w:rFonts w:hint="eastAsia"/>
                      <w:b/>
                      <w:bCs/>
                      <w:sz w:val="18"/>
                      <w:szCs w:val="18"/>
                    </w:rPr>
                    <w:t>营运期</w:t>
                  </w:r>
                </w:p>
              </w:tc>
            </w:tr>
            <w:tr w14:paraId="391D2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80" w:type="pct"/>
                  <w:shd w:val="clear" w:color="auto" w:fill="auto"/>
                  <w:vAlign w:val="center"/>
                </w:tcPr>
                <w:p w14:paraId="3B5A92C8">
                  <w:pPr>
                    <w:jc w:val="center"/>
                    <w:rPr>
                      <w:sz w:val="18"/>
                      <w:szCs w:val="18"/>
                    </w:rPr>
                  </w:pPr>
                  <w:r>
                    <w:rPr>
                      <w:rFonts w:hint="eastAsia"/>
                      <w:sz w:val="18"/>
                      <w:szCs w:val="18"/>
                    </w:rPr>
                    <w:t>主体工程</w:t>
                  </w:r>
                </w:p>
              </w:tc>
              <w:tc>
                <w:tcPr>
                  <w:tcW w:w="896" w:type="pct"/>
                  <w:shd w:val="clear" w:color="auto" w:fill="auto"/>
                  <w:vAlign w:val="center"/>
                </w:tcPr>
                <w:p w14:paraId="6B773E08">
                  <w:pPr>
                    <w:jc w:val="center"/>
                    <w:rPr>
                      <w:sz w:val="18"/>
                      <w:szCs w:val="18"/>
                    </w:rPr>
                  </w:pPr>
                  <w:r>
                    <w:rPr>
                      <w:rFonts w:hint="eastAsia"/>
                      <w:sz w:val="18"/>
                      <w:szCs w:val="18"/>
                    </w:rPr>
                    <w:t>11 栋第3 层标准厂房。总面积：4563.03m</w:t>
                  </w:r>
                  <w:r>
                    <w:rPr>
                      <w:rFonts w:hint="eastAsia"/>
                      <w:sz w:val="18"/>
                      <w:szCs w:val="18"/>
                      <w:vertAlign w:val="superscript"/>
                    </w:rPr>
                    <w:t>2</w:t>
                  </w:r>
                  <w:r>
                    <w:rPr>
                      <w:rFonts w:hint="eastAsia"/>
                      <w:sz w:val="18"/>
                      <w:szCs w:val="18"/>
                    </w:rPr>
                    <w:t>,</w:t>
                  </w:r>
                </w:p>
                <w:p w14:paraId="1CBDD1DC">
                  <w:pPr>
                    <w:jc w:val="center"/>
                    <w:rPr>
                      <w:sz w:val="18"/>
                      <w:szCs w:val="18"/>
                    </w:rPr>
                  </w:pPr>
                  <w:r>
                    <w:rPr>
                      <w:rFonts w:hint="eastAsia"/>
                      <w:sz w:val="18"/>
                      <w:szCs w:val="18"/>
                    </w:rPr>
                    <w:t>本项目使用面积：2260m</w:t>
                  </w:r>
                  <w:r>
                    <w:rPr>
                      <w:rFonts w:hint="eastAsia"/>
                      <w:sz w:val="18"/>
                      <w:szCs w:val="18"/>
                      <w:vertAlign w:val="superscript"/>
                    </w:rPr>
                    <w:t>2</w:t>
                  </w:r>
                  <w:r>
                    <w:rPr>
                      <w:rFonts w:hint="eastAsia"/>
                      <w:sz w:val="18"/>
                      <w:szCs w:val="18"/>
                    </w:rPr>
                    <w:t>。</w:t>
                  </w:r>
                </w:p>
              </w:tc>
              <w:tc>
                <w:tcPr>
                  <w:tcW w:w="2688" w:type="pct"/>
                  <w:gridSpan w:val="2"/>
                  <w:shd w:val="clear" w:color="auto" w:fill="auto"/>
                  <w:vAlign w:val="center"/>
                </w:tcPr>
                <w:p w14:paraId="5BA73DDD">
                  <w:pPr>
                    <w:rPr>
                      <w:sz w:val="18"/>
                      <w:szCs w:val="18"/>
                    </w:rPr>
                  </w:pPr>
                  <w:r>
                    <w:rPr>
                      <w:rFonts w:hint="eastAsia"/>
                      <w:sz w:val="18"/>
                      <w:szCs w:val="18"/>
                    </w:rPr>
                    <w:t>设置饮片暂存间871.97m</w:t>
                  </w:r>
                  <w:r>
                    <w:rPr>
                      <w:rFonts w:hint="eastAsia"/>
                      <w:sz w:val="18"/>
                      <w:szCs w:val="18"/>
                      <w:vertAlign w:val="superscript"/>
                    </w:rPr>
                    <w:t>2</w:t>
                  </w:r>
                  <w:r>
                    <w:rPr>
                      <w:rFonts w:hint="eastAsia"/>
                      <w:sz w:val="18"/>
                      <w:szCs w:val="18"/>
                    </w:rPr>
                    <w:t>、库房人员休息室12m</w:t>
                  </w:r>
                  <w:r>
                    <w:rPr>
                      <w:rFonts w:hint="eastAsia"/>
                      <w:sz w:val="18"/>
                      <w:szCs w:val="18"/>
                      <w:vertAlign w:val="superscript"/>
                    </w:rPr>
                    <w:t>2</w:t>
                  </w:r>
                  <w:r>
                    <w:rPr>
                      <w:rFonts w:hint="eastAsia"/>
                      <w:sz w:val="18"/>
                      <w:szCs w:val="18"/>
                    </w:rPr>
                    <w:t>、参观通道217.39m</w:t>
                  </w:r>
                  <w:r>
                    <w:rPr>
                      <w:rFonts w:hint="eastAsia"/>
                      <w:sz w:val="18"/>
                      <w:szCs w:val="18"/>
                      <w:vertAlign w:val="superscript"/>
                    </w:rPr>
                    <w:t>2</w:t>
                  </w:r>
                  <w:r>
                    <w:rPr>
                      <w:rFonts w:hint="eastAsia"/>
                      <w:sz w:val="18"/>
                      <w:szCs w:val="18"/>
                    </w:rPr>
                    <w:t>、外包发货间101.81m</w:t>
                  </w:r>
                  <w:r>
                    <w:rPr>
                      <w:rFonts w:hint="eastAsia"/>
                      <w:sz w:val="18"/>
                      <w:szCs w:val="18"/>
                      <w:vertAlign w:val="superscript"/>
                    </w:rPr>
                    <w:t>2</w:t>
                  </w:r>
                  <w:r>
                    <w:rPr>
                      <w:rFonts w:hint="eastAsia"/>
                      <w:sz w:val="18"/>
                      <w:szCs w:val="18"/>
                    </w:rPr>
                    <w:t>、外包材间40.32m</w:t>
                  </w:r>
                  <w:r>
                    <w:rPr>
                      <w:rFonts w:hint="eastAsia"/>
                      <w:sz w:val="18"/>
                      <w:szCs w:val="18"/>
                      <w:vertAlign w:val="superscript"/>
                    </w:rPr>
                    <w:t>2</w:t>
                  </w:r>
                  <w:r>
                    <w:rPr>
                      <w:rFonts w:hint="eastAsia"/>
                      <w:sz w:val="18"/>
                      <w:szCs w:val="18"/>
                    </w:rPr>
                    <w:t>、内包材间12.58m</w:t>
                  </w:r>
                  <w:r>
                    <w:rPr>
                      <w:rFonts w:hint="eastAsia"/>
                      <w:sz w:val="18"/>
                      <w:szCs w:val="18"/>
                      <w:vertAlign w:val="superscript"/>
                    </w:rPr>
                    <w:t>2</w:t>
                  </w:r>
                  <w:r>
                    <w:rPr>
                      <w:rFonts w:hint="eastAsia"/>
                      <w:sz w:val="18"/>
                      <w:szCs w:val="18"/>
                    </w:rPr>
                    <w:t>、膏方间33.10m</w:t>
                  </w:r>
                  <w:r>
                    <w:rPr>
                      <w:rFonts w:hint="eastAsia"/>
                      <w:sz w:val="18"/>
                      <w:szCs w:val="18"/>
                      <w:vertAlign w:val="superscript"/>
                    </w:rPr>
                    <w:t>2</w:t>
                  </w:r>
                  <w:r>
                    <w:rPr>
                      <w:rFonts w:hint="eastAsia"/>
                      <w:sz w:val="18"/>
                      <w:szCs w:val="18"/>
                    </w:rPr>
                    <w:t>、工具清洗间8.88m</w:t>
                  </w:r>
                  <w:r>
                    <w:rPr>
                      <w:rFonts w:hint="eastAsia"/>
                      <w:sz w:val="18"/>
                      <w:szCs w:val="18"/>
                      <w:vertAlign w:val="superscript"/>
                    </w:rPr>
                    <w:t>2</w:t>
                  </w:r>
                  <w:r>
                    <w:rPr>
                      <w:rFonts w:hint="eastAsia"/>
                      <w:sz w:val="18"/>
                      <w:szCs w:val="18"/>
                    </w:rPr>
                    <w:t>、药渣暂存机清洗间24.5m</w:t>
                  </w:r>
                  <w:r>
                    <w:rPr>
                      <w:rFonts w:hint="eastAsia"/>
                      <w:sz w:val="18"/>
                      <w:szCs w:val="18"/>
                      <w:vertAlign w:val="superscript"/>
                    </w:rPr>
                    <w:t>2</w:t>
                  </w:r>
                  <w:r>
                    <w:rPr>
                      <w:rFonts w:hint="eastAsia"/>
                      <w:sz w:val="18"/>
                      <w:szCs w:val="18"/>
                    </w:rPr>
                    <w:t>、煎药间247.34m</w:t>
                  </w:r>
                  <w:r>
                    <w:rPr>
                      <w:rFonts w:hint="eastAsia"/>
                      <w:sz w:val="18"/>
                      <w:szCs w:val="18"/>
                      <w:vertAlign w:val="superscript"/>
                    </w:rPr>
                    <w:t>2</w:t>
                  </w:r>
                  <w:r>
                    <w:rPr>
                      <w:rFonts w:hint="eastAsia"/>
                      <w:sz w:val="18"/>
                      <w:szCs w:val="18"/>
                    </w:rPr>
                    <w:t>、自动加水浸泡间27.2m</w:t>
                  </w:r>
                  <w:r>
                    <w:rPr>
                      <w:rFonts w:hint="eastAsia"/>
                      <w:sz w:val="18"/>
                      <w:szCs w:val="18"/>
                      <w:vertAlign w:val="superscript"/>
                    </w:rPr>
                    <w:t>2</w:t>
                  </w:r>
                  <w:r>
                    <w:rPr>
                      <w:rFonts w:hint="eastAsia"/>
                      <w:sz w:val="18"/>
                      <w:szCs w:val="18"/>
                    </w:rPr>
                    <w:t>、净水间11.6m</w:t>
                  </w:r>
                  <w:r>
                    <w:rPr>
                      <w:rFonts w:hint="eastAsia"/>
                      <w:sz w:val="18"/>
                      <w:szCs w:val="18"/>
                      <w:vertAlign w:val="superscript"/>
                    </w:rPr>
                    <w:t>2</w:t>
                  </w:r>
                  <w:r>
                    <w:rPr>
                      <w:rFonts w:hint="eastAsia"/>
                      <w:sz w:val="18"/>
                      <w:szCs w:val="18"/>
                    </w:rPr>
                    <w:t>、粉碎间6m</w:t>
                  </w:r>
                  <w:r>
                    <w:rPr>
                      <w:rFonts w:hint="eastAsia"/>
                      <w:sz w:val="18"/>
                      <w:szCs w:val="18"/>
                      <w:vertAlign w:val="superscript"/>
                    </w:rPr>
                    <w:t>2</w:t>
                  </w:r>
                  <w:r>
                    <w:rPr>
                      <w:rFonts w:hint="eastAsia"/>
                      <w:sz w:val="18"/>
                      <w:szCs w:val="18"/>
                    </w:rPr>
                    <w:t>、丸剂间13.4m</w:t>
                  </w:r>
                  <w:r>
                    <w:rPr>
                      <w:rFonts w:hint="eastAsia"/>
                      <w:sz w:val="18"/>
                      <w:szCs w:val="18"/>
                      <w:vertAlign w:val="superscript"/>
                    </w:rPr>
                    <w:t>2</w:t>
                  </w:r>
                  <w:r>
                    <w:rPr>
                      <w:rFonts w:hint="eastAsia"/>
                      <w:sz w:val="18"/>
                      <w:szCs w:val="18"/>
                    </w:rPr>
                    <w:t>、配方间232.86m</w:t>
                  </w:r>
                  <w:r>
                    <w:rPr>
                      <w:rFonts w:hint="eastAsia"/>
                      <w:sz w:val="18"/>
                      <w:szCs w:val="18"/>
                      <w:vertAlign w:val="superscript"/>
                    </w:rPr>
                    <w:t>2</w:t>
                  </w:r>
                  <w:r>
                    <w:rPr>
                      <w:rFonts w:hint="eastAsia"/>
                      <w:sz w:val="18"/>
                      <w:szCs w:val="18"/>
                    </w:rPr>
                    <w:t>、煎药人员休息室12.77m</w:t>
                  </w:r>
                  <w:r>
                    <w:rPr>
                      <w:rFonts w:hint="eastAsia"/>
                      <w:sz w:val="18"/>
                      <w:szCs w:val="18"/>
                      <w:vertAlign w:val="superscript"/>
                    </w:rPr>
                    <w:t>2</w:t>
                  </w:r>
                  <w:r>
                    <w:rPr>
                      <w:rFonts w:hint="eastAsia"/>
                      <w:sz w:val="18"/>
                      <w:szCs w:val="18"/>
                    </w:rPr>
                    <w:t>、人工上料间32.43m</w:t>
                  </w:r>
                  <w:r>
                    <w:rPr>
                      <w:rFonts w:hint="eastAsia"/>
                      <w:sz w:val="18"/>
                      <w:szCs w:val="18"/>
                      <w:vertAlign w:val="superscript"/>
                    </w:rPr>
                    <w:t>2</w:t>
                  </w:r>
                  <w:r>
                    <w:rPr>
                      <w:rFonts w:hint="eastAsia"/>
                      <w:sz w:val="18"/>
                      <w:szCs w:val="18"/>
                    </w:rPr>
                    <w:t>、接方审方间23.11m</w:t>
                  </w:r>
                  <w:r>
                    <w:rPr>
                      <w:rFonts w:hint="eastAsia"/>
                      <w:sz w:val="18"/>
                      <w:szCs w:val="18"/>
                      <w:vertAlign w:val="superscript"/>
                    </w:rPr>
                    <w:t>2</w:t>
                  </w:r>
                  <w:r>
                    <w:rPr>
                      <w:rFonts w:hint="eastAsia"/>
                      <w:sz w:val="18"/>
                      <w:szCs w:val="18"/>
                    </w:rPr>
                    <w:t>、办公室15.05m</w:t>
                  </w:r>
                  <w:r>
                    <w:rPr>
                      <w:rFonts w:hint="eastAsia"/>
                      <w:sz w:val="18"/>
                      <w:szCs w:val="18"/>
                      <w:vertAlign w:val="superscript"/>
                    </w:rPr>
                    <w:t>2</w:t>
                  </w:r>
                  <w:r>
                    <w:rPr>
                      <w:rFonts w:hint="eastAsia"/>
                      <w:sz w:val="18"/>
                      <w:szCs w:val="18"/>
                    </w:rPr>
                    <w:t>、展示大厅69.34m</w:t>
                  </w:r>
                  <w:r>
                    <w:rPr>
                      <w:rFonts w:hint="eastAsia"/>
                      <w:sz w:val="18"/>
                      <w:szCs w:val="18"/>
                      <w:vertAlign w:val="superscript"/>
                    </w:rPr>
                    <w:t>2</w:t>
                  </w:r>
                  <w:r>
                    <w:rPr>
                      <w:rFonts w:hint="eastAsia"/>
                      <w:sz w:val="18"/>
                      <w:szCs w:val="18"/>
                    </w:rPr>
                    <w:t>、强电间5.74m</w:t>
                  </w:r>
                  <w:r>
                    <w:rPr>
                      <w:rFonts w:hint="eastAsia"/>
                      <w:sz w:val="18"/>
                      <w:szCs w:val="18"/>
                      <w:vertAlign w:val="superscript"/>
                    </w:rPr>
                    <w:t>2</w:t>
                  </w:r>
                  <w:r>
                    <w:rPr>
                      <w:rFonts w:hint="eastAsia"/>
                      <w:sz w:val="18"/>
                      <w:szCs w:val="18"/>
                    </w:rPr>
                    <w:t>、弱电间5.42m</w:t>
                  </w:r>
                  <w:r>
                    <w:rPr>
                      <w:rFonts w:hint="eastAsia"/>
                      <w:sz w:val="18"/>
                      <w:szCs w:val="18"/>
                      <w:vertAlign w:val="superscript"/>
                    </w:rPr>
                    <w:t>2</w:t>
                  </w:r>
                  <w:r>
                    <w:rPr>
                      <w:rFonts w:hint="eastAsia"/>
                      <w:sz w:val="18"/>
                      <w:szCs w:val="18"/>
                    </w:rPr>
                    <w:t>、空压机间4.84m</w:t>
                  </w:r>
                  <w:r>
                    <w:rPr>
                      <w:rFonts w:hint="eastAsia"/>
                      <w:sz w:val="18"/>
                      <w:szCs w:val="18"/>
                      <w:vertAlign w:val="superscript"/>
                    </w:rPr>
                    <w:t>2</w:t>
                  </w:r>
                  <w:r>
                    <w:rPr>
                      <w:rFonts w:hint="eastAsia"/>
                      <w:sz w:val="18"/>
                      <w:szCs w:val="18"/>
                    </w:rPr>
                    <w:t>、贵细储藏间6.41m</w:t>
                  </w:r>
                  <w:r>
                    <w:rPr>
                      <w:rFonts w:hint="eastAsia"/>
                      <w:sz w:val="18"/>
                      <w:szCs w:val="18"/>
                      <w:vertAlign w:val="superscript"/>
                    </w:rPr>
                    <w:t>2</w:t>
                  </w:r>
                  <w:r>
                    <w:rPr>
                      <w:rFonts w:hint="eastAsia"/>
                      <w:sz w:val="18"/>
                      <w:szCs w:val="18"/>
                    </w:rPr>
                    <w:t>、男更衣间14.13m</w:t>
                  </w:r>
                  <w:r>
                    <w:rPr>
                      <w:rFonts w:hint="eastAsia"/>
                      <w:sz w:val="18"/>
                      <w:szCs w:val="18"/>
                      <w:vertAlign w:val="superscript"/>
                    </w:rPr>
                    <w:t>2</w:t>
                  </w:r>
                  <w:r>
                    <w:rPr>
                      <w:rFonts w:hint="eastAsia"/>
                      <w:sz w:val="18"/>
                      <w:szCs w:val="18"/>
                    </w:rPr>
                    <w:t>、女更衣间14.12m</w:t>
                  </w:r>
                  <w:r>
                    <w:rPr>
                      <w:rFonts w:hint="eastAsia"/>
                      <w:sz w:val="18"/>
                      <w:szCs w:val="18"/>
                      <w:vertAlign w:val="superscript"/>
                    </w:rPr>
                    <w:t>2</w:t>
                  </w:r>
                  <w:r>
                    <w:rPr>
                      <w:rFonts w:hint="eastAsia"/>
                      <w:sz w:val="18"/>
                      <w:szCs w:val="18"/>
                    </w:rPr>
                    <w:t>、换鞋间12.62m</w:t>
                  </w:r>
                  <w:r>
                    <w:rPr>
                      <w:rFonts w:hint="eastAsia"/>
                      <w:sz w:val="18"/>
                      <w:szCs w:val="18"/>
                      <w:vertAlign w:val="superscript"/>
                    </w:rPr>
                    <w:t>2</w:t>
                  </w:r>
                  <w:r>
                    <w:rPr>
                      <w:rFonts w:hint="eastAsia"/>
                      <w:sz w:val="18"/>
                      <w:szCs w:val="18"/>
                    </w:rPr>
                    <w:t>、办公室、卫生间等。</w:t>
                  </w:r>
                </w:p>
              </w:tc>
              <w:tc>
                <w:tcPr>
                  <w:tcW w:w="501" w:type="pct"/>
                  <w:vMerge w:val="restart"/>
                  <w:shd w:val="clear" w:color="auto" w:fill="auto"/>
                  <w:vAlign w:val="center"/>
                </w:tcPr>
                <w:p w14:paraId="39FD2AB7">
                  <w:pPr>
                    <w:jc w:val="center"/>
                    <w:rPr>
                      <w:sz w:val="18"/>
                      <w:szCs w:val="18"/>
                    </w:rPr>
                  </w:pPr>
                  <w:r>
                    <w:rPr>
                      <w:rFonts w:hint="eastAsia"/>
                      <w:sz w:val="18"/>
                      <w:szCs w:val="18"/>
                    </w:rPr>
                    <w:t>废水、噪声、扬尘、水土流失、废弃土石方、建筑垃圾等</w:t>
                  </w:r>
                </w:p>
              </w:tc>
              <w:tc>
                <w:tcPr>
                  <w:tcW w:w="535" w:type="pct"/>
                  <w:shd w:val="clear" w:color="auto" w:fill="auto"/>
                  <w:vAlign w:val="center"/>
                </w:tcPr>
                <w:p w14:paraId="405C89BE">
                  <w:pPr>
                    <w:jc w:val="center"/>
                    <w:rPr>
                      <w:sz w:val="18"/>
                      <w:szCs w:val="18"/>
                    </w:rPr>
                  </w:pPr>
                  <w:r>
                    <w:rPr>
                      <w:rFonts w:hint="eastAsia"/>
                      <w:sz w:val="18"/>
                      <w:szCs w:val="18"/>
                    </w:rPr>
                    <w:t>废水、废气、噪声、固废</w:t>
                  </w:r>
                </w:p>
              </w:tc>
            </w:tr>
            <w:tr w14:paraId="0CC27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80" w:type="pct"/>
                  <w:vMerge w:val="restart"/>
                  <w:shd w:val="clear" w:color="auto" w:fill="auto"/>
                  <w:vAlign w:val="center"/>
                </w:tcPr>
                <w:p w14:paraId="2D87FB2E">
                  <w:pPr>
                    <w:jc w:val="center"/>
                    <w:rPr>
                      <w:sz w:val="18"/>
                      <w:szCs w:val="18"/>
                    </w:rPr>
                  </w:pPr>
                  <w:r>
                    <w:rPr>
                      <w:rFonts w:hint="eastAsia"/>
                      <w:sz w:val="18"/>
                      <w:szCs w:val="18"/>
                    </w:rPr>
                    <w:t>公用辅助工程</w:t>
                  </w:r>
                </w:p>
              </w:tc>
              <w:tc>
                <w:tcPr>
                  <w:tcW w:w="896" w:type="pct"/>
                  <w:shd w:val="clear" w:color="auto" w:fill="auto"/>
                  <w:vAlign w:val="center"/>
                </w:tcPr>
                <w:p w14:paraId="54BBE90E">
                  <w:pPr>
                    <w:jc w:val="center"/>
                    <w:rPr>
                      <w:sz w:val="18"/>
                      <w:szCs w:val="18"/>
                    </w:rPr>
                  </w:pPr>
                  <w:r>
                    <w:rPr>
                      <w:rFonts w:hint="eastAsia"/>
                      <w:sz w:val="18"/>
                      <w:szCs w:val="18"/>
                    </w:rPr>
                    <w:t>办公区</w:t>
                  </w:r>
                </w:p>
              </w:tc>
              <w:tc>
                <w:tcPr>
                  <w:tcW w:w="2688" w:type="pct"/>
                  <w:gridSpan w:val="2"/>
                  <w:shd w:val="clear" w:color="auto" w:fill="auto"/>
                  <w:vAlign w:val="center"/>
                </w:tcPr>
                <w:p w14:paraId="47E893A7">
                  <w:pPr>
                    <w:rPr>
                      <w:sz w:val="18"/>
                      <w:szCs w:val="18"/>
                    </w:rPr>
                  </w:pPr>
                  <w:r>
                    <w:rPr>
                      <w:rFonts w:hint="eastAsia"/>
                      <w:sz w:val="18"/>
                      <w:szCs w:val="18"/>
                    </w:rPr>
                    <w:t>综合办公区位于厂房北侧及南侧</w:t>
                  </w:r>
                </w:p>
              </w:tc>
              <w:tc>
                <w:tcPr>
                  <w:tcW w:w="501" w:type="pct"/>
                  <w:vMerge w:val="continue"/>
                  <w:shd w:val="clear" w:color="auto" w:fill="auto"/>
                  <w:vAlign w:val="center"/>
                </w:tcPr>
                <w:p w14:paraId="40755824">
                  <w:pPr>
                    <w:jc w:val="center"/>
                    <w:rPr>
                      <w:sz w:val="18"/>
                      <w:szCs w:val="18"/>
                    </w:rPr>
                  </w:pPr>
                </w:p>
              </w:tc>
              <w:tc>
                <w:tcPr>
                  <w:tcW w:w="535" w:type="pct"/>
                  <w:shd w:val="clear" w:color="auto" w:fill="auto"/>
                  <w:vAlign w:val="center"/>
                </w:tcPr>
                <w:p w14:paraId="70C33B2F">
                  <w:pPr>
                    <w:jc w:val="center"/>
                    <w:rPr>
                      <w:sz w:val="18"/>
                      <w:szCs w:val="18"/>
                    </w:rPr>
                  </w:pPr>
                  <w:r>
                    <w:rPr>
                      <w:rFonts w:hint="eastAsia"/>
                      <w:sz w:val="18"/>
                      <w:szCs w:val="18"/>
                    </w:rPr>
                    <w:t>/</w:t>
                  </w:r>
                </w:p>
              </w:tc>
            </w:tr>
            <w:tr w14:paraId="6F49F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80" w:type="pct"/>
                  <w:vMerge w:val="continue"/>
                  <w:shd w:val="clear" w:color="auto" w:fill="auto"/>
                  <w:vAlign w:val="center"/>
                </w:tcPr>
                <w:p w14:paraId="1CA8BE3B">
                  <w:pPr>
                    <w:jc w:val="center"/>
                    <w:rPr>
                      <w:sz w:val="18"/>
                      <w:szCs w:val="18"/>
                    </w:rPr>
                  </w:pPr>
                </w:p>
              </w:tc>
              <w:tc>
                <w:tcPr>
                  <w:tcW w:w="896" w:type="pct"/>
                  <w:shd w:val="clear" w:color="auto" w:fill="auto"/>
                  <w:vAlign w:val="center"/>
                </w:tcPr>
                <w:p w14:paraId="1096A19F">
                  <w:pPr>
                    <w:jc w:val="center"/>
                    <w:rPr>
                      <w:sz w:val="18"/>
                      <w:szCs w:val="18"/>
                    </w:rPr>
                  </w:pPr>
                  <w:r>
                    <w:rPr>
                      <w:rFonts w:hint="eastAsia"/>
                      <w:sz w:val="18"/>
                      <w:szCs w:val="18"/>
                    </w:rPr>
                    <w:t>供水</w:t>
                  </w:r>
                </w:p>
              </w:tc>
              <w:tc>
                <w:tcPr>
                  <w:tcW w:w="2688" w:type="pct"/>
                  <w:gridSpan w:val="2"/>
                  <w:shd w:val="clear" w:color="auto" w:fill="auto"/>
                  <w:vAlign w:val="center"/>
                </w:tcPr>
                <w:p w14:paraId="7DC30F79">
                  <w:pPr>
                    <w:rPr>
                      <w:sz w:val="18"/>
                      <w:szCs w:val="18"/>
                    </w:rPr>
                  </w:pPr>
                  <w:r>
                    <w:rPr>
                      <w:rFonts w:hint="eastAsia"/>
                      <w:sz w:val="18"/>
                      <w:szCs w:val="18"/>
                    </w:rPr>
                    <w:t>本项目生活和生产用水由园区市政供水管网供水。</w:t>
                  </w:r>
                </w:p>
              </w:tc>
              <w:tc>
                <w:tcPr>
                  <w:tcW w:w="501" w:type="pct"/>
                  <w:vMerge w:val="continue"/>
                  <w:shd w:val="clear" w:color="auto" w:fill="auto"/>
                  <w:vAlign w:val="center"/>
                </w:tcPr>
                <w:p w14:paraId="3F35966F">
                  <w:pPr>
                    <w:jc w:val="center"/>
                    <w:rPr>
                      <w:sz w:val="18"/>
                      <w:szCs w:val="18"/>
                    </w:rPr>
                  </w:pPr>
                </w:p>
              </w:tc>
              <w:tc>
                <w:tcPr>
                  <w:tcW w:w="535" w:type="pct"/>
                  <w:shd w:val="clear" w:color="auto" w:fill="auto"/>
                  <w:vAlign w:val="center"/>
                </w:tcPr>
                <w:p w14:paraId="05D8F55F">
                  <w:pPr>
                    <w:jc w:val="center"/>
                    <w:rPr>
                      <w:sz w:val="18"/>
                      <w:szCs w:val="18"/>
                    </w:rPr>
                  </w:pPr>
                  <w:r>
                    <w:rPr>
                      <w:rFonts w:hint="eastAsia"/>
                      <w:sz w:val="18"/>
                      <w:szCs w:val="18"/>
                    </w:rPr>
                    <w:t>/</w:t>
                  </w:r>
                </w:p>
              </w:tc>
            </w:tr>
            <w:tr w14:paraId="5BA54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380" w:type="pct"/>
                  <w:vMerge w:val="continue"/>
                  <w:shd w:val="clear" w:color="auto" w:fill="auto"/>
                  <w:vAlign w:val="center"/>
                </w:tcPr>
                <w:p w14:paraId="039D80DA">
                  <w:pPr>
                    <w:jc w:val="center"/>
                    <w:rPr>
                      <w:sz w:val="18"/>
                      <w:szCs w:val="18"/>
                    </w:rPr>
                  </w:pPr>
                </w:p>
              </w:tc>
              <w:tc>
                <w:tcPr>
                  <w:tcW w:w="896" w:type="pct"/>
                  <w:shd w:val="clear" w:color="auto" w:fill="auto"/>
                  <w:vAlign w:val="center"/>
                </w:tcPr>
                <w:p w14:paraId="4C64E185">
                  <w:pPr>
                    <w:jc w:val="center"/>
                    <w:rPr>
                      <w:sz w:val="18"/>
                      <w:szCs w:val="18"/>
                    </w:rPr>
                  </w:pPr>
                  <w:r>
                    <w:rPr>
                      <w:rFonts w:hint="eastAsia"/>
                      <w:sz w:val="18"/>
                      <w:szCs w:val="18"/>
                    </w:rPr>
                    <w:t>供电</w:t>
                  </w:r>
                </w:p>
              </w:tc>
              <w:tc>
                <w:tcPr>
                  <w:tcW w:w="2688" w:type="pct"/>
                  <w:gridSpan w:val="2"/>
                  <w:shd w:val="clear" w:color="auto" w:fill="auto"/>
                  <w:vAlign w:val="center"/>
                </w:tcPr>
                <w:p w14:paraId="552C793E">
                  <w:pPr>
                    <w:rPr>
                      <w:sz w:val="18"/>
                      <w:szCs w:val="18"/>
                    </w:rPr>
                  </w:pPr>
                  <w:r>
                    <w:rPr>
                      <w:rFonts w:hint="eastAsia"/>
                      <w:sz w:val="18"/>
                      <w:szCs w:val="18"/>
                    </w:rPr>
                    <w:t>园区市政电网</w:t>
                  </w:r>
                </w:p>
              </w:tc>
              <w:tc>
                <w:tcPr>
                  <w:tcW w:w="501" w:type="pct"/>
                  <w:vMerge w:val="continue"/>
                  <w:shd w:val="clear" w:color="auto" w:fill="auto"/>
                  <w:vAlign w:val="center"/>
                </w:tcPr>
                <w:p w14:paraId="263415C5">
                  <w:pPr>
                    <w:jc w:val="center"/>
                    <w:rPr>
                      <w:sz w:val="18"/>
                      <w:szCs w:val="18"/>
                    </w:rPr>
                  </w:pPr>
                </w:p>
              </w:tc>
              <w:tc>
                <w:tcPr>
                  <w:tcW w:w="535" w:type="pct"/>
                  <w:shd w:val="clear" w:color="auto" w:fill="auto"/>
                  <w:vAlign w:val="center"/>
                </w:tcPr>
                <w:p w14:paraId="3733DCAA">
                  <w:pPr>
                    <w:jc w:val="center"/>
                    <w:rPr>
                      <w:sz w:val="18"/>
                      <w:szCs w:val="18"/>
                    </w:rPr>
                  </w:pPr>
                  <w:r>
                    <w:rPr>
                      <w:rFonts w:hint="eastAsia"/>
                      <w:sz w:val="18"/>
                      <w:szCs w:val="18"/>
                    </w:rPr>
                    <w:t>/</w:t>
                  </w:r>
                </w:p>
              </w:tc>
            </w:tr>
            <w:tr w14:paraId="706B6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380" w:type="pct"/>
                  <w:vMerge w:val="continue"/>
                  <w:shd w:val="clear" w:color="auto" w:fill="auto"/>
                  <w:vAlign w:val="center"/>
                </w:tcPr>
                <w:p w14:paraId="6E5A58AE">
                  <w:pPr>
                    <w:jc w:val="center"/>
                    <w:rPr>
                      <w:sz w:val="18"/>
                      <w:szCs w:val="18"/>
                    </w:rPr>
                  </w:pPr>
                </w:p>
              </w:tc>
              <w:tc>
                <w:tcPr>
                  <w:tcW w:w="896" w:type="pct"/>
                  <w:shd w:val="clear" w:color="auto" w:fill="auto"/>
                  <w:vAlign w:val="center"/>
                </w:tcPr>
                <w:p w14:paraId="1B090CEA">
                  <w:pPr>
                    <w:jc w:val="center"/>
                    <w:rPr>
                      <w:sz w:val="18"/>
                      <w:szCs w:val="18"/>
                    </w:rPr>
                  </w:pPr>
                  <w:r>
                    <w:rPr>
                      <w:rFonts w:hint="eastAsia"/>
                      <w:sz w:val="18"/>
                      <w:szCs w:val="18"/>
                    </w:rPr>
                    <w:t>排水</w:t>
                  </w:r>
                </w:p>
              </w:tc>
              <w:tc>
                <w:tcPr>
                  <w:tcW w:w="2688" w:type="pct"/>
                  <w:gridSpan w:val="2"/>
                  <w:shd w:val="clear" w:color="auto" w:fill="auto"/>
                  <w:vAlign w:val="center"/>
                </w:tcPr>
                <w:p w14:paraId="454130AB">
                  <w:pPr>
                    <w:rPr>
                      <w:sz w:val="18"/>
                      <w:szCs w:val="18"/>
                    </w:rPr>
                  </w:pPr>
                  <w:r>
                    <w:rPr>
                      <w:rFonts w:hint="eastAsia"/>
                      <w:sz w:val="18"/>
                      <w:szCs w:val="18"/>
                    </w:rPr>
                    <w:t>雨污分流，依托中医药产业示范园排水系统。</w:t>
                  </w:r>
                </w:p>
              </w:tc>
              <w:tc>
                <w:tcPr>
                  <w:tcW w:w="501" w:type="pct"/>
                  <w:vMerge w:val="continue"/>
                  <w:shd w:val="clear" w:color="auto" w:fill="auto"/>
                  <w:vAlign w:val="center"/>
                </w:tcPr>
                <w:p w14:paraId="70F4EAC8">
                  <w:pPr>
                    <w:jc w:val="center"/>
                    <w:rPr>
                      <w:sz w:val="18"/>
                      <w:szCs w:val="18"/>
                    </w:rPr>
                  </w:pPr>
                </w:p>
              </w:tc>
              <w:tc>
                <w:tcPr>
                  <w:tcW w:w="535" w:type="pct"/>
                  <w:shd w:val="clear" w:color="auto" w:fill="auto"/>
                  <w:vAlign w:val="center"/>
                </w:tcPr>
                <w:p w14:paraId="7EDFF29D">
                  <w:pPr>
                    <w:jc w:val="center"/>
                    <w:rPr>
                      <w:sz w:val="18"/>
                      <w:szCs w:val="18"/>
                    </w:rPr>
                  </w:pPr>
                  <w:r>
                    <w:rPr>
                      <w:rFonts w:hint="eastAsia"/>
                      <w:sz w:val="18"/>
                      <w:szCs w:val="18"/>
                    </w:rPr>
                    <w:t>废水</w:t>
                  </w:r>
                </w:p>
              </w:tc>
            </w:tr>
            <w:tr w14:paraId="25AD1B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80" w:type="pct"/>
                  <w:vMerge w:val="restart"/>
                  <w:shd w:val="clear" w:color="auto" w:fill="auto"/>
                  <w:vAlign w:val="center"/>
                </w:tcPr>
                <w:p w14:paraId="63CA4F94">
                  <w:pPr>
                    <w:jc w:val="center"/>
                    <w:rPr>
                      <w:sz w:val="18"/>
                      <w:szCs w:val="18"/>
                    </w:rPr>
                  </w:pPr>
                  <w:r>
                    <w:rPr>
                      <w:rFonts w:hint="eastAsia"/>
                      <w:sz w:val="18"/>
                      <w:szCs w:val="18"/>
                    </w:rPr>
                    <w:t>仓储</w:t>
                  </w:r>
                </w:p>
                <w:p w14:paraId="635BD56D">
                  <w:pPr>
                    <w:jc w:val="center"/>
                    <w:rPr>
                      <w:sz w:val="18"/>
                      <w:szCs w:val="18"/>
                    </w:rPr>
                  </w:pPr>
                  <w:r>
                    <w:rPr>
                      <w:rFonts w:hint="eastAsia"/>
                      <w:sz w:val="18"/>
                      <w:szCs w:val="18"/>
                    </w:rPr>
                    <w:t>工程</w:t>
                  </w:r>
                </w:p>
              </w:tc>
              <w:tc>
                <w:tcPr>
                  <w:tcW w:w="896" w:type="pct"/>
                  <w:shd w:val="clear" w:color="auto" w:fill="auto"/>
                  <w:vAlign w:val="center"/>
                </w:tcPr>
                <w:p w14:paraId="5517AFAE">
                  <w:pPr>
                    <w:autoSpaceDE w:val="0"/>
                    <w:autoSpaceDN w:val="0"/>
                    <w:adjustRightInd w:val="0"/>
                    <w:jc w:val="center"/>
                    <w:rPr>
                      <w:sz w:val="18"/>
                      <w:szCs w:val="18"/>
                    </w:rPr>
                  </w:pPr>
                  <w:r>
                    <w:rPr>
                      <w:rFonts w:hint="eastAsia"/>
                      <w:sz w:val="18"/>
                      <w:szCs w:val="18"/>
                    </w:rPr>
                    <w:t>饮片暂存间</w:t>
                  </w:r>
                </w:p>
              </w:tc>
              <w:tc>
                <w:tcPr>
                  <w:tcW w:w="2688" w:type="pct"/>
                  <w:gridSpan w:val="2"/>
                  <w:shd w:val="clear" w:color="auto" w:fill="auto"/>
                  <w:vAlign w:val="center"/>
                </w:tcPr>
                <w:p w14:paraId="08BB946F">
                  <w:pPr>
                    <w:autoSpaceDE w:val="0"/>
                    <w:autoSpaceDN w:val="0"/>
                    <w:adjustRightInd w:val="0"/>
                    <w:rPr>
                      <w:color w:val="FF0000"/>
                      <w:sz w:val="18"/>
                      <w:szCs w:val="18"/>
                    </w:rPr>
                  </w:pPr>
                  <w:r>
                    <w:rPr>
                      <w:rFonts w:hint="eastAsia"/>
                      <w:sz w:val="18"/>
                      <w:szCs w:val="18"/>
                    </w:rPr>
                    <w:t>面积约871.97m</w:t>
                  </w:r>
                  <w:r>
                    <w:rPr>
                      <w:rFonts w:hint="eastAsia"/>
                      <w:sz w:val="18"/>
                      <w:szCs w:val="18"/>
                      <w:vertAlign w:val="superscript"/>
                    </w:rPr>
                    <w:t>3</w:t>
                  </w:r>
                  <w:r>
                    <w:rPr>
                      <w:rFonts w:hint="eastAsia"/>
                      <w:sz w:val="18"/>
                      <w:szCs w:val="18"/>
                    </w:rPr>
                    <w:t>，设置中药饮片暂存货架，外购中药饮片主要暂存于本区域。</w:t>
                  </w:r>
                </w:p>
              </w:tc>
              <w:tc>
                <w:tcPr>
                  <w:tcW w:w="501" w:type="pct"/>
                  <w:vMerge w:val="continue"/>
                  <w:shd w:val="clear" w:color="auto" w:fill="auto"/>
                  <w:vAlign w:val="center"/>
                </w:tcPr>
                <w:p w14:paraId="1F3A2138">
                  <w:pPr>
                    <w:jc w:val="center"/>
                    <w:rPr>
                      <w:sz w:val="18"/>
                      <w:szCs w:val="18"/>
                    </w:rPr>
                  </w:pPr>
                </w:p>
              </w:tc>
              <w:tc>
                <w:tcPr>
                  <w:tcW w:w="535" w:type="pct"/>
                  <w:shd w:val="clear" w:color="auto" w:fill="auto"/>
                  <w:vAlign w:val="center"/>
                </w:tcPr>
                <w:p w14:paraId="14193258">
                  <w:pPr>
                    <w:jc w:val="center"/>
                    <w:rPr>
                      <w:sz w:val="18"/>
                      <w:szCs w:val="18"/>
                    </w:rPr>
                  </w:pPr>
                  <w:r>
                    <w:rPr>
                      <w:rFonts w:hint="eastAsia"/>
                      <w:sz w:val="18"/>
                      <w:szCs w:val="18"/>
                    </w:rPr>
                    <w:t>固废</w:t>
                  </w:r>
                </w:p>
              </w:tc>
            </w:tr>
            <w:tr w14:paraId="39EF8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80" w:type="pct"/>
                  <w:vMerge w:val="continue"/>
                  <w:shd w:val="clear" w:color="auto" w:fill="auto"/>
                  <w:vAlign w:val="center"/>
                </w:tcPr>
                <w:p w14:paraId="513146A1">
                  <w:pPr>
                    <w:jc w:val="center"/>
                    <w:rPr>
                      <w:sz w:val="18"/>
                      <w:szCs w:val="18"/>
                    </w:rPr>
                  </w:pPr>
                </w:p>
              </w:tc>
              <w:tc>
                <w:tcPr>
                  <w:tcW w:w="896" w:type="pct"/>
                  <w:shd w:val="clear" w:color="auto" w:fill="auto"/>
                  <w:vAlign w:val="center"/>
                </w:tcPr>
                <w:p w14:paraId="6A6F7D74">
                  <w:pPr>
                    <w:autoSpaceDE w:val="0"/>
                    <w:autoSpaceDN w:val="0"/>
                    <w:adjustRightInd w:val="0"/>
                    <w:jc w:val="center"/>
                    <w:rPr>
                      <w:sz w:val="18"/>
                      <w:szCs w:val="18"/>
                    </w:rPr>
                  </w:pPr>
                  <w:r>
                    <w:rPr>
                      <w:rFonts w:hint="eastAsia"/>
                      <w:sz w:val="18"/>
                      <w:szCs w:val="18"/>
                    </w:rPr>
                    <w:t>外包材间</w:t>
                  </w:r>
                </w:p>
              </w:tc>
              <w:tc>
                <w:tcPr>
                  <w:tcW w:w="2688" w:type="pct"/>
                  <w:gridSpan w:val="2"/>
                  <w:shd w:val="clear" w:color="auto" w:fill="auto"/>
                  <w:vAlign w:val="center"/>
                </w:tcPr>
                <w:p w14:paraId="522CCBB7">
                  <w:pPr>
                    <w:autoSpaceDE w:val="0"/>
                    <w:autoSpaceDN w:val="0"/>
                    <w:adjustRightInd w:val="0"/>
                    <w:rPr>
                      <w:sz w:val="18"/>
                      <w:szCs w:val="18"/>
                    </w:rPr>
                  </w:pPr>
                  <w:r>
                    <w:rPr>
                      <w:rFonts w:hint="eastAsia"/>
                      <w:sz w:val="18"/>
                      <w:szCs w:val="18"/>
                    </w:rPr>
                    <w:t>面积约40.32m</w:t>
                  </w:r>
                  <w:r>
                    <w:rPr>
                      <w:rFonts w:hint="eastAsia"/>
                      <w:sz w:val="18"/>
                      <w:szCs w:val="18"/>
                      <w:vertAlign w:val="superscript"/>
                    </w:rPr>
                    <w:t>3</w:t>
                  </w:r>
                  <w:r>
                    <w:rPr>
                      <w:rFonts w:hint="eastAsia"/>
                      <w:sz w:val="18"/>
                      <w:szCs w:val="18"/>
                    </w:rPr>
                    <w:t>，位于厂区中部位置外包发货间南侧。主要存放外包材料，便于取用。</w:t>
                  </w:r>
                  <w:r>
                    <w:rPr>
                      <w:sz w:val="18"/>
                      <w:szCs w:val="18"/>
                    </w:rPr>
                    <w:t xml:space="preserve"> </w:t>
                  </w:r>
                </w:p>
              </w:tc>
              <w:tc>
                <w:tcPr>
                  <w:tcW w:w="501" w:type="pct"/>
                  <w:vMerge w:val="continue"/>
                  <w:shd w:val="clear" w:color="auto" w:fill="auto"/>
                  <w:vAlign w:val="center"/>
                </w:tcPr>
                <w:p w14:paraId="1B901FFF">
                  <w:pPr>
                    <w:jc w:val="center"/>
                    <w:rPr>
                      <w:sz w:val="18"/>
                      <w:szCs w:val="18"/>
                    </w:rPr>
                  </w:pPr>
                </w:p>
              </w:tc>
              <w:tc>
                <w:tcPr>
                  <w:tcW w:w="535" w:type="pct"/>
                  <w:shd w:val="clear" w:color="auto" w:fill="auto"/>
                  <w:vAlign w:val="center"/>
                </w:tcPr>
                <w:p w14:paraId="03283E6D">
                  <w:pPr>
                    <w:jc w:val="center"/>
                    <w:rPr>
                      <w:sz w:val="18"/>
                      <w:szCs w:val="18"/>
                    </w:rPr>
                  </w:pPr>
                  <w:r>
                    <w:rPr>
                      <w:rFonts w:hint="eastAsia"/>
                      <w:sz w:val="18"/>
                      <w:szCs w:val="18"/>
                    </w:rPr>
                    <w:t>固废</w:t>
                  </w:r>
                </w:p>
              </w:tc>
            </w:tr>
            <w:tr w14:paraId="13102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80" w:type="pct"/>
                  <w:vMerge w:val="continue"/>
                  <w:shd w:val="clear" w:color="auto" w:fill="auto"/>
                  <w:vAlign w:val="center"/>
                </w:tcPr>
                <w:p w14:paraId="63AF234D">
                  <w:pPr>
                    <w:jc w:val="center"/>
                    <w:rPr>
                      <w:sz w:val="18"/>
                      <w:szCs w:val="18"/>
                    </w:rPr>
                  </w:pPr>
                </w:p>
              </w:tc>
              <w:tc>
                <w:tcPr>
                  <w:tcW w:w="896" w:type="pct"/>
                  <w:shd w:val="clear" w:color="auto" w:fill="auto"/>
                  <w:vAlign w:val="center"/>
                </w:tcPr>
                <w:p w14:paraId="50EA333D">
                  <w:pPr>
                    <w:autoSpaceDE w:val="0"/>
                    <w:autoSpaceDN w:val="0"/>
                    <w:adjustRightInd w:val="0"/>
                    <w:jc w:val="center"/>
                    <w:rPr>
                      <w:sz w:val="18"/>
                      <w:szCs w:val="18"/>
                    </w:rPr>
                  </w:pPr>
                  <w:r>
                    <w:rPr>
                      <w:rFonts w:hint="eastAsia"/>
                      <w:sz w:val="18"/>
                      <w:szCs w:val="18"/>
                    </w:rPr>
                    <w:t>内包材间</w:t>
                  </w:r>
                </w:p>
              </w:tc>
              <w:tc>
                <w:tcPr>
                  <w:tcW w:w="2688" w:type="pct"/>
                  <w:gridSpan w:val="2"/>
                  <w:shd w:val="clear" w:color="auto" w:fill="auto"/>
                  <w:vAlign w:val="center"/>
                </w:tcPr>
                <w:p w14:paraId="43BC8513">
                  <w:pPr>
                    <w:autoSpaceDE w:val="0"/>
                    <w:autoSpaceDN w:val="0"/>
                    <w:adjustRightInd w:val="0"/>
                    <w:rPr>
                      <w:color w:val="FF0000"/>
                      <w:sz w:val="18"/>
                      <w:szCs w:val="18"/>
                    </w:rPr>
                  </w:pPr>
                  <w:r>
                    <w:rPr>
                      <w:rFonts w:hint="eastAsia"/>
                      <w:sz w:val="18"/>
                      <w:szCs w:val="18"/>
                    </w:rPr>
                    <w:t>面积约12.58m</w:t>
                  </w:r>
                  <w:r>
                    <w:rPr>
                      <w:rFonts w:hint="eastAsia"/>
                      <w:sz w:val="18"/>
                      <w:szCs w:val="18"/>
                      <w:vertAlign w:val="superscript"/>
                    </w:rPr>
                    <w:t>3</w:t>
                  </w:r>
                  <w:r>
                    <w:rPr>
                      <w:rFonts w:hint="eastAsia"/>
                      <w:sz w:val="18"/>
                      <w:szCs w:val="18"/>
                    </w:rPr>
                    <w:t>，位于厂区饮片暂存间中部位置，北侧距煎药间较近，运输方便。</w:t>
                  </w:r>
                </w:p>
              </w:tc>
              <w:tc>
                <w:tcPr>
                  <w:tcW w:w="501" w:type="pct"/>
                  <w:vMerge w:val="continue"/>
                  <w:shd w:val="clear" w:color="auto" w:fill="auto"/>
                  <w:vAlign w:val="center"/>
                </w:tcPr>
                <w:p w14:paraId="324A028B">
                  <w:pPr>
                    <w:jc w:val="center"/>
                    <w:rPr>
                      <w:sz w:val="18"/>
                      <w:szCs w:val="18"/>
                    </w:rPr>
                  </w:pPr>
                </w:p>
              </w:tc>
              <w:tc>
                <w:tcPr>
                  <w:tcW w:w="535" w:type="pct"/>
                  <w:shd w:val="clear" w:color="auto" w:fill="auto"/>
                  <w:vAlign w:val="center"/>
                </w:tcPr>
                <w:p w14:paraId="5C5063C3">
                  <w:pPr>
                    <w:jc w:val="center"/>
                    <w:rPr>
                      <w:sz w:val="18"/>
                      <w:szCs w:val="18"/>
                    </w:rPr>
                  </w:pPr>
                  <w:r>
                    <w:rPr>
                      <w:rFonts w:hint="eastAsia"/>
                      <w:sz w:val="18"/>
                      <w:szCs w:val="18"/>
                    </w:rPr>
                    <w:t>固废</w:t>
                  </w:r>
                </w:p>
              </w:tc>
            </w:tr>
            <w:tr w14:paraId="6991A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80" w:type="pct"/>
                  <w:vMerge w:val="continue"/>
                  <w:shd w:val="clear" w:color="auto" w:fill="auto"/>
                  <w:vAlign w:val="center"/>
                </w:tcPr>
                <w:p w14:paraId="4E4B625A">
                  <w:pPr>
                    <w:jc w:val="center"/>
                    <w:rPr>
                      <w:sz w:val="18"/>
                      <w:szCs w:val="18"/>
                    </w:rPr>
                  </w:pPr>
                </w:p>
              </w:tc>
              <w:tc>
                <w:tcPr>
                  <w:tcW w:w="896" w:type="pct"/>
                  <w:shd w:val="clear" w:color="auto" w:fill="auto"/>
                  <w:vAlign w:val="center"/>
                </w:tcPr>
                <w:p w14:paraId="3D090836">
                  <w:pPr>
                    <w:autoSpaceDE w:val="0"/>
                    <w:autoSpaceDN w:val="0"/>
                    <w:adjustRightInd w:val="0"/>
                    <w:jc w:val="center"/>
                    <w:rPr>
                      <w:sz w:val="18"/>
                      <w:szCs w:val="18"/>
                    </w:rPr>
                  </w:pPr>
                  <w:r>
                    <w:rPr>
                      <w:rFonts w:hint="eastAsia"/>
                      <w:sz w:val="18"/>
                      <w:szCs w:val="18"/>
                    </w:rPr>
                    <w:t>贵细储藏间</w:t>
                  </w:r>
                </w:p>
              </w:tc>
              <w:tc>
                <w:tcPr>
                  <w:tcW w:w="2688" w:type="pct"/>
                  <w:gridSpan w:val="2"/>
                  <w:shd w:val="clear" w:color="auto" w:fill="auto"/>
                  <w:vAlign w:val="center"/>
                </w:tcPr>
                <w:p w14:paraId="1E8CE094">
                  <w:pPr>
                    <w:autoSpaceDE w:val="0"/>
                    <w:autoSpaceDN w:val="0"/>
                    <w:adjustRightInd w:val="0"/>
                    <w:rPr>
                      <w:color w:val="FF0000"/>
                      <w:sz w:val="18"/>
                      <w:szCs w:val="18"/>
                    </w:rPr>
                  </w:pPr>
                  <w:r>
                    <w:rPr>
                      <w:rFonts w:hint="eastAsia"/>
                      <w:sz w:val="18"/>
                      <w:szCs w:val="18"/>
                    </w:rPr>
                    <w:t>面积约6.41m</w:t>
                  </w:r>
                  <w:r>
                    <w:rPr>
                      <w:rFonts w:hint="eastAsia"/>
                      <w:sz w:val="18"/>
                      <w:szCs w:val="18"/>
                      <w:vertAlign w:val="superscript"/>
                    </w:rPr>
                    <w:t>3</w:t>
                  </w:r>
                  <w:r>
                    <w:rPr>
                      <w:rFonts w:hint="eastAsia"/>
                      <w:sz w:val="18"/>
                      <w:szCs w:val="18"/>
                    </w:rPr>
                    <w:t>，位于厂区煎药间东侧，主要存放贵重药材，与办公室相邻。</w:t>
                  </w:r>
                </w:p>
              </w:tc>
              <w:tc>
                <w:tcPr>
                  <w:tcW w:w="501" w:type="pct"/>
                  <w:vMerge w:val="continue"/>
                  <w:shd w:val="clear" w:color="auto" w:fill="auto"/>
                  <w:vAlign w:val="center"/>
                </w:tcPr>
                <w:p w14:paraId="1D9042E4">
                  <w:pPr>
                    <w:jc w:val="center"/>
                    <w:rPr>
                      <w:sz w:val="18"/>
                      <w:szCs w:val="18"/>
                    </w:rPr>
                  </w:pPr>
                </w:p>
              </w:tc>
              <w:tc>
                <w:tcPr>
                  <w:tcW w:w="535" w:type="pct"/>
                  <w:shd w:val="clear" w:color="auto" w:fill="auto"/>
                  <w:vAlign w:val="center"/>
                </w:tcPr>
                <w:p w14:paraId="4262F65A">
                  <w:pPr>
                    <w:jc w:val="center"/>
                    <w:rPr>
                      <w:sz w:val="18"/>
                      <w:szCs w:val="18"/>
                    </w:rPr>
                  </w:pPr>
                  <w:r>
                    <w:rPr>
                      <w:rFonts w:hint="eastAsia"/>
                      <w:sz w:val="18"/>
                      <w:szCs w:val="18"/>
                    </w:rPr>
                    <w:t>固废</w:t>
                  </w:r>
                </w:p>
              </w:tc>
            </w:tr>
            <w:tr w14:paraId="52989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380" w:type="pct"/>
                  <w:vMerge w:val="restart"/>
                  <w:shd w:val="clear" w:color="auto" w:fill="auto"/>
                  <w:vAlign w:val="center"/>
                </w:tcPr>
                <w:p w14:paraId="729F6793">
                  <w:pPr>
                    <w:jc w:val="center"/>
                    <w:rPr>
                      <w:sz w:val="18"/>
                      <w:szCs w:val="18"/>
                    </w:rPr>
                  </w:pPr>
                  <w:r>
                    <w:rPr>
                      <w:rFonts w:hint="eastAsia"/>
                      <w:sz w:val="18"/>
                      <w:szCs w:val="18"/>
                    </w:rPr>
                    <w:t>环保工程</w:t>
                  </w:r>
                </w:p>
              </w:tc>
              <w:tc>
                <w:tcPr>
                  <w:tcW w:w="896" w:type="pct"/>
                  <w:vMerge w:val="restart"/>
                  <w:shd w:val="clear" w:color="auto" w:fill="auto"/>
                  <w:vAlign w:val="center"/>
                </w:tcPr>
                <w:p w14:paraId="68556856">
                  <w:pPr>
                    <w:jc w:val="center"/>
                    <w:rPr>
                      <w:sz w:val="18"/>
                      <w:szCs w:val="18"/>
                    </w:rPr>
                  </w:pPr>
                  <w:r>
                    <w:rPr>
                      <w:rFonts w:hint="eastAsia"/>
                      <w:sz w:val="18"/>
                      <w:szCs w:val="18"/>
                    </w:rPr>
                    <w:t>废气</w:t>
                  </w:r>
                </w:p>
              </w:tc>
              <w:tc>
                <w:tcPr>
                  <w:tcW w:w="2688" w:type="pct"/>
                  <w:gridSpan w:val="2"/>
                  <w:shd w:val="clear" w:color="auto" w:fill="auto"/>
                  <w:vAlign w:val="center"/>
                </w:tcPr>
                <w:p w14:paraId="2F90A7D9">
                  <w:pPr>
                    <w:rPr>
                      <w:sz w:val="18"/>
                      <w:szCs w:val="18"/>
                    </w:rPr>
                  </w:pPr>
                  <w:r>
                    <w:rPr>
                      <w:rFonts w:hint="eastAsia"/>
                      <w:sz w:val="18"/>
                      <w:szCs w:val="18"/>
                    </w:rPr>
                    <w:t>煎药异味经煎药机上方设置的集气罩收集后进入“水喷淋塔”处理达标后经排气筒（DA001，20m）排放。</w:t>
                  </w:r>
                </w:p>
              </w:tc>
              <w:tc>
                <w:tcPr>
                  <w:tcW w:w="501" w:type="pct"/>
                  <w:vMerge w:val="continue"/>
                  <w:shd w:val="clear" w:color="auto" w:fill="auto"/>
                  <w:vAlign w:val="center"/>
                </w:tcPr>
                <w:p w14:paraId="5B840C4B">
                  <w:pPr>
                    <w:jc w:val="center"/>
                    <w:rPr>
                      <w:sz w:val="18"/>
                      <w:szCs w:val="18"/>
                    </w:rPr>
                  </w:pPr>
                </w:p>
              </w:tc>
              <w:tc>
                <w:tcPr>
                  <w:tcW w:w="535" w:type="pct"/>
                  <w:shd w:val="clear" w:color="auto" w:fill="auto"/>
                  <w:vAlign w:val="center"/>
                </w:tcPr>
                <w:p w14:paraId="73D878A1">
                  <w:pPr>
                    <w:jc w:val="center"/>
                    <w:rPr>
                      <w:sz w:val="18"/>
                      <w:szCs w:val="18"/>
                    </w:rPr>
                  </w:pPr>
                  <w:r>
                    <w:rPr>
                      <w:rFonts w:hint="eastAsia"/>
                      <w:sz w:val="18"/>
                      <w:szCs w:val="18"/>
                    </w:rPr>
                    <w:t>异味、噪声</w:t>
                  </w:r>
                </w:p>
              </w:tc>
            </w:tr>
            <w:tr w14:paraId="69BD6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380" w:type="pct"/>
                  <w:vMerge w:val="continue"/>
                  <w:shd w:val="clear" w:color="auto" w:fill="auto"/>
                  <w:vAlign w:val="center"/>
                </w:tcPr>
                <w:p w14:paraId="4382C30E">
                  <w:pPr>
                    <w:jc w:val="center"/>
                    <w:rPr>
                      <w:sz w:val="18"/>
                      <w:szCs w:val="18"/>
                    </w:rPr>
                  </w:pPr>
                </w:p>
              </w:tc>
              <w:tc>
                <w:tcPr>
                  <w:tcW w:w="896" w:type="pct"/>
                  <w:vMerge w:val="continue"/>
                  <w:shd w:val="clear" w:color="auto" w:fill="auto"/>
                  <w:vAlign w:val="center"/>
                </w:tcPr>
                <w:p w14:paraId="0A81DA0A">
                  <w:pPr>
                    <w:jc w:val="center"/>
                    <w:rPr>
                      <w:sz w:val="18"/>
                      <w:szCs w:val="18"/>
                    </w:rPr>
                  </w:pPr>
                </w:p>
              </w:tc>
              <w:tc>
                <w:tcPr>
                  <w:tcW w:w="2688" w:type="pct"/>
                  <w:gridSpan w:val="2"/>
                  <w:shd w:val="clear" w:color="auto" w:fill="auto"/>
                  <w:vAlign w:val="center"/>
                </w:tcPr>
                <w:p w14:paraId="32965EF7">
                  <w:pPr>
                    <w:rPr>
                      <w:sz w:val="18"/>
                      <w:szCs w:val="18"/>
                    </w:rPr>
                  </w:pPr>
                  <w:r>
                    <w:rPr>
                      <w:rFonts w:hint="eastAsia"/>
                      <w:sz w:val="18"/>
                      <w:szCs w:val="18"/>
                    </w:rPr>
                    <w:t>中药粉碎颗粒物经粉碎机上方设置的集气罩收集后进入“布袋除尘器”处理达标后经排气筒（DA002，20m）排放。</w:t>
                  </w:r>
                </w:p>
              </w:tc>
              <w:tc>
                <w:tcPr>
                  <w:tcW w:w="501" w:type="pct"/>
                  <w:vMerge w:val="continue"/>
                  <w:shd w:val="clear" w:color="auto" w:fill="auto"/>
                  <w:vAlign w:val="center"/>
                </w:tcPr>
                <w:p w14:paraId="4DC5FF73">
                  <w:pPr>
                    <w:jc w:val="center"/>
                    <w:rPr>
                      <w:sz w:val="18"/>
                      <w:szCs w:val="18"/>
                    </w:rPr>
                  </w:pPr>
                </w:p>
              </w:tc>
              <w:tc>
                <w:tcPr>
                  <w:tcW w:w="535" w:type="pct"/>
                  <w:shd w:val="clear" w:color="auto" w:fill="auto"/>
                  <w:vAlign w:val="center"/>
                </w:tcPr>
                <w:p w14:paraId="3FE5B0D3">
                  <w:pPr>
                    <w:jc w:val="center"/>
                    <w:rPr>
                      <w:sz w:val="18"/>
                      <w:szCs w:val="18"/>
                    </w:rPr>
                  </w:pPr>
                  <w:r>
                    <w:rPr>
                      <w:rFonts w:hint="eastAsia"/>
                      <w:sz w:val="18"/>
                      <w:szCs w:val="18"/>
                    </w:rPr>
                    <w:t>颗粒物、噪声</w:t>
                  </w:r>
                </w:p>
              </w:tc>
            </w:tr>
            <w:tr w14:paraId="1A62D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380" w:type="pct"/>
                  <w:vMerge w:val="continue"/>
                  <w:shd w:val="clear" w:color="auto" w:fill="auto"/>
                  <w:vAlign w:val="center"/>
                </w:tcPr>
                <w:p w14:paraId="21C6224D">
                  <w:pPr>
                    <w:ind w:firstLine="420"/>
                    <w:jc w:val="center"/>
                    <w:rPr>
                      <w:sz w:val="18"/>
                      <w:szCs w:val="18"/>
                    </w:rPr>
                  </w:pPr>
                </w:p>
              </w:tc>
              <w:tc>
                <w:tcPr>
                  <w:tcW w:w="896" w:type="pct"/>
                  <w:vMerge w:val="restart"/>
                  <w:shd w:val="clear" w:color="auto" w:fill="auto"/>
                  <w:vAlign w:val="center"/>
                </w:tcPr>
                <w:p w14:paraId="491EB199">
                  <w:pPr>
                    <w:jc w:val="center"/>
                    <w:rPr>
                      <w:sz w:val="18"/>
                      <w:szCs w:val="18"/>
                    </w:rPr>
                  </w:pPr>
                  <w:r>
                    <w:rPr>
                      <w:rFonts w:hint="eastAsia"/>
                      <w:sz w:val="18"/>
                      <w:szCs w:val="18"/>
                    </w:rPr>
                    <w:t>废水</w:t>
                  </w:r>
                </w:p>
              </w:tc>
              <w:tc>
                <w:tcPr>
                  <w:tcW w:w="2688" w:type="pct"/>
                  <w:gridSpan w:val="2"/>
                  <w:shd w:val="clear" w:color="auto" w:fill="auto"/>
                  <w:vAlign w:val="center"/>
                </w:tcPr>
                <w:p w14:paraId="39901B51">
                  <w:pPr>
                    <w:rPr>
                      <w:color w:val="FF0000"/>
                      <w:sz w:val="18"/>
                      <w:szCs w:val="18"/>
                    </w:rPr>
                  </w:pPr>
                  <w:r>
                    <w:rPr>
                      <w:rFonts w:hint="eastAsia"/>
                      <w:sz w:val="18"/>
                      <w:szCs w:val="18"/>
                    </w:rPr>
                    <w:t>纯水制备废水、蒸汽发生器排水、冷凝水、地面清洁废水以及办公生活污水一同进入医药产业示范园预处理池（</w:t>
                  </w:r>
                  <w:r>
                    <w:rPr>
                      <w:rFonts w:hint="eastAsia"/>
                      <w:bCs/>
                      <w:sz w:val="18"/>
                      <w:szCs w:val="18"/>
                    </w:rPr>
                    <w:t>250m</w:t>
                  </w:r>
                  <w:r>
                    <w:rPr>
                      <w:rFonts w:hint="eastAsia"/>
                      <w:bCs/>
                      <w:sz w:val="18"/>
                      <w:szCs w:val="18"/>
                      <w:vertAlign w:val="superscript"/>
                    </w:rPr>
                    <w:t>3</w:t>
                  </w:r>
                  <w:r>
                    <w:rPr>
                      <w:rFonts w:hint="eastAsia"/>
                      <w:sz w:val="18"/>
                      <w:szCs w:val="18"/>
                    </w:rPr>
                    <w:t>）预处理后进入市政污水管网排入魏兴场镇污水处理厂集中处理。</w:t>
                  </w:r>
                </w:p>
              </w:tc>
              <w:tc>
                <w:tcPr>
                  <w:tcW w:w="501" w:type="pct"/>
                  <w:vMerge w:val="continue"/>
                  <w:shd w:val="clear" w:color="auto" w:fill="auto"/>
                  <w:vAlign w:val="center"/>
                </w:tcPr>
                <w:p w14:paraId="6874B902">
                  <w:pPr>
                    <w:jc w:val="center"/>
                    <w:rPr>
                      <w:sz w:val="18"/>
                      <w:szCs w:val="18"/>
                    </w:rPr>
                  </w:pPr>
                </w:p>
              </w:tc>
              <w:tc>
                <w:tcPr>
                  <w:tcW w:w="535" w:type="pct"/>
                  <w:shd w:val="clear" w:color="auto" w:fill="auto"/>
                  <w:vAlign w:val="center"/>
                </w:tcPr>
                <w:p w14:paraId="60EA5F9C">
                  <w:pPr>
                    <w:jc w:val="center"/>
                    <w:rPr>
                      <w:sz w:val="18"/>
                      <w:szCs w:val="18"/>
                    </w:rPr>
                  </w:pPr>
                  <w:r>
                    <w:rPr>
                      <w:rFonts w:hint="eastAsia"/>
                      <w:sz w:val="18"/>
                      <w:szCs w:val="18"/>
                    </w:rPr>
                    <w:t>生产废水、生活污水</w:t>
                  </w:r>
                </w:p>
              </w:tc>
            </w:tr>
            <w:tr w14:paraId="7639E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380" w:type="pct"/>
                  <w:vMerge w:val="continue"/>
                  <w:shd w:val="clear" w:color="auto" w:fill="auto"/>
                  <w:vAlign w:val="center"/>
                </w:tcPr>
                <w:p w14:paraId="5C79D4D1">
                  <w:pPr>
                    <w:ind w:firstLine="420"/>
                    <w:jc w:val="center"/>
                    <w:rPr>
                      <w:sz w:val="18"/>
                      <w:szCs w:val="18"/>
                    </w:rPr>
                  </w:pPr>
                </w:p>
              </w:tc>
              <w:tc>
                <w:tcPr>
                  <w:tcW w:w="896" w:type="pct"/>
                  <w:vMerge w:val="continue"/>
                  <w:shd w:val="clear" w:color="auto" w:fill="auto"/>
                  <w:vAlign w:val="center"/>
                </w:tcPr>
                <w:p w14:paraId="48E63862">
                  <w:pPr>
                    <w:jc w:val="center"/>
                    <w:rPr>
                      <w:sz w:val="18"/>
                      <w:szCs w:val="18"/>
                    </w:rPr>
                  </w:pPr>
                </w:p>
              </w:tc>
              <w:tc>
                <w:tcPr>
                  <w:tcW w:w="2688" w:type="pct"/>
                  <w:gridSpan w:val="2"/>
                  <w:shd w:val="clear" w:color="auto" w:fill="auto"/>
                  <w:vAlign w:val="center"/>
                </w:tcPr>
                <w:p w14:paraId="430DD501">
                  <w:pPr>
                    <w:rPr>
                      <w:color w:val="FF0000"/>
                      <w:sz w:val="18"/>
                      <w:szCs w:val="18"/>
                    </w:rPr>
                  </w:pPr>
                  <w:r>
                    <w:rPr>
                      <w:rFonts w:hint="eastAsia"/>
                      <w:sz w:val="18"/>
                      <w:szCs w:val="18"/>
                    </w:rPr>
                    <w:t>设备清洗废水经自建污水处理站（</w:t>
                  </w:r>
                  <w:r>
                    <w:rPr>
                      <w:sz w:val="18"/>
                      <w:szCs w:val="18"/>
                    </w:rPr>
                    <w:t>1.5t/h</w:t>
                  </w:r>
                  <w:r>
                    <w:rPr>
                      <w:rFonts w:hint="eastAsia"/>
                      <w:sz w:val="18"/>
                      <w:szCs w:val="18"/>
                    </w:rPr>
                    <w:t>）处理后其他废水一同进入医药产业示范园预处理池（</w:t>
                  </w:r>
                  <w:r>
                    <w:rPr>
                      <w:rFonts w:hint="eastAsia"/>
                      <w:bCs/>
                      <w:sz w:val="18"/>
                      <w:szCs w:val="18"/>
                    </w:rPr>
                    <w:t>250m</w:t>
                  </w:r>
                  <w:r>
                    <w:rPr>
                      <w:rFonts w:hint="eastAsia"/>
                      <w:bCs/>
                      <w:sz w:val="18"/>
                      <w:szCs w:val="18"/>
                      <w:vertAlign w:val="superscript"/>
                    </w:rPr>
                    <w:t>3</w:t>
                  </w:r>
                  <w:r>
                    <w:rPr>
                      <w:rFonts w:hint="eastAsia"/>
                      <w:sz w:val="18"/>
                      <w:szCs w:val="18"/>
                    </w:rPr>
                    <w:t>）预处理后进入市政污水管网排入魏兴场镇污水处理厂集中处理。</w:t>
                  </w:r>
                </w:p>
              </w:tc>
              <w:tc>
                <w:tcPr>
                  <w:tcW w:w="501" w:type="pct"/>
                  <w:vMerge w:val="continue"/>
                  <w:shd w:val="clear" w:color="auto" w:fill="auto"/>
                  <w:vAlign w:val="center"/>
                </w:tcPr>
                <w:p w14:paraId="04B15332">
                  <w:pPr>
                    <w:jc w:val="center"/>
                    <w:rPr>
                      <w:sz w:val="18"/>
                      <w:szCs w:val="18"/>
                    </w:rPr>
                  </w:pPr>
                </w:p>
              </w:tc>
              <w:tc>
                <w:tcPr>
                  <w:tcW w:w="535" w:type="pct"/>
                  <w:shd w:val="clear" w:color="auto" w:fill="auto"/>
                  <w:vAlign w:val="center"/>
                </w:tcPr>
                <w:p w14:paraId="21D151C0">
                  <w:pPr>
                    <w:jc w:val="center"/>
                    <w:rPr>
                      <w:sz w:val="18"/>
                      <w:szCs w:val="18"/>
                    </w:rPr>
                  </w:pPr>
                  <w:r>
                    <w:rPr>
                      <w:rFonts w:hint="eastAsia"/>
                      <w:sz w:val="18"/>
                      <w:szCs w:val="18"/>
                    </w:rPr>
                    <w:t>生产废水、固废</w:t>
                  </w:r>
                </w:p>
              </w:tc>
            </w:tr>
            <w:tr w14:paraId="5D75C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380" w:type="pct"/>
                  <w:vMerge w:val="continue"/>
                  <w:shd w:val="clear" w:color="auto" w:fill="auto"/>
                  <w:vAlign w:val="center"/>
                </w:tcPr>
                <w:p w14:paraId="26B22BB3">
                  <w:pPr>
                    <w:ind w:firstLine="420"/>
                    <w:jc w:val="center"/>
                    <w:rPr>
                      <w:sz w:val="18"/>
                      <w:szCs w:val="18"/>
                    </w:rPr>
                  </w:pPr>
                </w:p>
              </w:tc>
              <w:tc>
                <w:tcPr>
                  <w:tcW w:w="896" w:type="pct"/>
                  <w:shd w:val="clear" w:color="auto" w:fill="auto"/>
                  <w:vAlign w:val="center"/>
                </w:tcPr>
                <w:p w14:paraId="1C43443A">
                  <w:pPr>
                    <w:jc w:val="center"/>
                    <w:rPr>
                      <w:sz w:val="18"/>
                      <w:szCs w:val="18"/>
                    </w:rPr>
                  </w:pPr>
                  <w:r>
                    <w:rPr>
                      <w:rFonts w:hint="eastAsia"/>
                      <w:sz w:val="18"/>
                      <w:szCs w:val="18"/>
                    </w:rPr>
                    <w:t>噪声</w:t>
                  </w:r>
                </w:p>
              </w:tc>
              <w:tc>
                <w:tcPr>
                  <w:tcW w:w="2688" w:type="pct"/>
                  <w:gridSpan w:val="2"/>
                  <w:shd w:val="clear" w:color="auto" w:fill="auto"/>
                  <w:vAlign w:val="center"/>
                </w:tcPr>
                <w:p w14:paraId="5B9D2283">
                  <w:pPr>
                    <w:rPr>
                      <w:sz w:val="18"/>
                      <w:szCs w:val="18"/>
                    </w:rPr>
                  </w:pPr>
                  <w:r>
                    <w:rPr>
                      <w:rFonts w:hint="eastAsia"/>
                      <w:sz w:val="18"/>
                      <w:szCs w:val="18"/>
                    </w:rPr>
                    <w:t>针对噪声源设备采取减震、吸声等降噪措施，同时厂房隔声措施等。</w:t>
                  </w:r>
                </w:p>
              </w:tc>
              <w:tc>
                <w:tcPr>
                  <w:tcW w:w="501" w:type="pct"/>
                  <w:vMerge w:val="continue"/>
                  <w:shd w:val="clear" w:color="auto" w:fill="auto"/>
                  <w:vAlign w:val="center"/>
                </w:tcPr>
                <w:p w14:paraId="3641D355">
                  <w:pPr>
                    <w:ind w:firstLine="420"/>
                    <w:jc w:val="center"/>
                    <w:rPr>
                      <w:sz w:val="18"/>
                      <w:szCs w:val="18"/>
                    </w:rPr>
                  </w:pPr>
                </w:p>
              </w:tc>
              <w:tc>
                <w:tcPr>
                  <w:tcW w:w="535" w:type="pct"/>
                  <w:shd w:val="clear" w:color="auto" w:fill="auto"/>
                  <w:vAlign w:val="center"/>
                </w:tcPr>
                <w:p w14:paraId="16553242">
                  <w:pPr>
                    <w:jc w:val="center"/>
                    <w:rPr>
                      <w:sz w:val="18"/>
                      <w:szCs w:val="18"/>
                    </w:rPr>
                  </w:pPr>
                  <w:r>
                    <w:rPr>
                      <w:rFonts w:hint="eastAsia"/>
                      <w:sz w:val="18"/>
                      <w:szCs w:val="18"/>
                    </w:rPr>
                    <w:t>噪声</w:t>
                  </w:r>
                </w:p>
              </w:tc>
            </w:tr>
            <w:tr w14:paraId="132C7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80" w:type="pct"/>
                  <w:vMerge w:val="continue"/>
                  <w:shd w:val="clear" w:color="auto" w:fill="auto"/>
                  <w:vAlign w:val="center"/>
                </w:tcPr>
                <w:p w14:paraId="09859113">
                  <w:pPr>
                    <w:ind w:firstLine="420"/>
                    <w:jc w:val="center"/>
                    <w:rPr>
                      <w:sz w:val="18"/>
                      <w:szCs w:val="18"/>
                    </w:rPr>
                  </w:pPr>
                </w:p>
              </w:tc>
              <w:tc>
                <w:tcPr>
                  <w:tcW w:w="896" w:type="pct"/>
                  <w:vMerge w:val="restart"/>
                  <w:shd w:val="clear" w:color="auto" w:fill="auto"/>
                  <w:vAlign w:val="center"/>
                </w:tcPr>
                <w:p w14:paraId="641B412B">
                  <w:pPr>
                    <w:jc w:val="center"/>
                    <w:rPr>
                      <w:sz w:val="18"/>
                      <w:szCs w:val="18"/>
                    </w:rPr>
                  </w:pPr>
                  <w:r>
                    <w:rPr>
                      <w:rFonts w:hint="eastAsia"/>
                      <w:sz w:val="18"/>
                      <w:szCs w:val="18"/>
                    </w:rPr>
                    <w:t>固废</w:t>
                  </w:r>
                </w:p>
              </w:tc>
              <w:tc>
                <w:tcPr>
                  <w:tcW w:w="540" w:type="pct"/>
                  <w:shd w:val="clear" w:color="auto" w:fill="auto"/>
                  <w:vAlign w:val="center"/>
                </w:tcPr>
                <w:p w14:paraId="04A00277">
                  <w:pPr>
                    <w:pStyle w:val="2"/>
                    <w:rPr>
                      <w:sz w:val="18"/>
                      <w:szCs w:val="18"/>
                    </w:rPr>
                  </w:pPr>
                  <w:r>
                    <w:rPr>
                      <w:rFonts w:hint="eastAsia"/>
                      <w:sz w:val="18"/>
                      <w:szCs w:val="18"/>
                    </w:rPr>
                    <w:t>生活垃圾</w:t>
                  </w:r>
                </w:p>
              </w:tc>
              <w:tc>
                <w:tcPr>
                  <w:tcW w:w="2148" w:type="pct"/>
                  <w:shd w:val="clear" w:color="auto" w:fill="auto"/>
                  <w:vAlign w:val="center"/>
                </w:tcPr>
                <w:p w14:paraId="098B3BAB">
                  <w:pPr>
                    <w:pStyle w:val="2"/>
                    <w:jc w:val="both"/>
                    <w:rPr>
                      <w:sz w:val="18"/>
                      <w:szCs w:val="18"/>
                    </w:rPr>
                  </w:pPr>
                  <w:r>
                    <w:rPr>
                      <w:rFonts w:hint="eastAsia"/>
                      <w:sz w:val="18"/>
                      <w:szCs w:val="18"/>
                    </w:rPr>
                    <w:t>在厂区设置生活垃圾桶收集，定期交环卫部门处置。</w:t>
                  </w:r>
                </w:p>
              </w:tc>
              <w:tc>
                <w:tcPr>
                  <w:tcW w:w="501" w:type="pct"/>
                  <w:vMerge w:val="continue"/>
                  <w:shd w:val="clear" w:color="auto" w:fill="auto"/>
                  <w:vAlign w:val="center"/>
                </w:tcPr>
                <w:p w14:paraId="3D7CB795">
                  <w:pPr>
                    <w:ind w:firstLine="420"/>
                    <w:jc w:val="center"/>
                    <w:rPr>
                      <w:sz w:val="18"/>
                      <w:szCs w:val="18"/>
                    </w:rPr>
                  </w:pPr>
                </w:p>
              </w:tc>
              <w:tc>
                <w:tcPr>
                  <w:tcW w:w="535" w:type="pct"/>
                  <w:shd w:val="clear" w:color="auto" w:fill="auto"/>
                  <w:vAlign w:val="center"/>
                </w:tcPr>
                <w:p w14:paraId="749BAC43">
                  <w:pPr>
                    <w:jc w:val="center"/>
                    <w:rPr>
                      <w:sz w:val="18"/>
                      <w:szCs w:val="18"/>
                    </w:rPr>
                  </w:pPr>
                  <w:r>
                    <w:rPr>
                      <w:rFonts w:hint="eastAsia"/>
                      <w:sz w:val="18"/>
                      <w:szCs w:val="18"/>
                    </w:rPr>
                    <w:t>生活垃圾</w:t>
                  </w:r>
                </w:p>
              </w:tc>
            </w:tr>
            <w:tr w14:paraId="06DA4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80" w:type="pct"/>
                  <w:vMerge w:val="continue"/>
                  <w:shd w:val="clear" w:color="auto" w:fill="auto"/>
                  <w:vAlign w:val="center"/>
                </w:tcPr>
                <w:p w14:paraId="2CED82EF">
                  <w:pPr>
                    <w:ind w:firstLine="420"/>
                    <w:jc w:val="center"/>
                    <w:rPr>
                      <w:sz w:val="18"/>
                      <w:szCs w:val="18"/>
                    </w:rPr>
                  </w:pPr>
                </w:p>
              </w:tc>
              <w:tc>
                <w:tcPr>
                  <w:tcW w:w="896" w:type="pct"/>
                  <w:vMerge w:val="continue"/>
                  <w:shd w:val="clear" w:color="auto" w:fill="auto"/>
                  <w:vAlign w:val="center"/>
                </w:tcPr>
                <w:p w14:paraId="2EC4D11C">
                  <w:pPr>
                    <w:jc w:val="center"/>
                    <w:rPr>
                      <w:sz w:val="18"/>
                      <w:szCs w:val="18"/>
                    </w:rPr>
                  </w:pPr>
                </w:p>
              </w:tc>
              <w:tc>
                <w:tcPr>
                  <w:tcW w:w="540" w:type="pct"/>
                  <w:shd w:val="clear" w:color="auto" w:fill="auto"/>
                  <w:vAlign w:val="center"/>
                </w:tcPr>
                <w:p w14:paraId="4F96E12F">
                  <w:pPr>
                    <w:pStyle w:val="2"/>
                    <w:rPr>
                      <w:sz w:val="18"/>
                      <w:szCs w:val="18"/>
                    </w:rPr>
                  </w:pPr>
                  <w:r>
                    <w:rPr>
                      <w:rFonts w:hint="eastAsia"/>
                      <w:sz w:val="18"/>
                      <w:szCs w:val="18"/>
                    </w:rPr>
                    <w:t>一般固废</w:t>
                  </w:r>
                </w:p>
              </w:tc>
              <w:tc>
                <w:tcPr>
                  <w:tcW w:w="2148" w:type="pct"/>
                  <w:shd w:val="clear" w:color="auto" w:fill="auto"/>
                  <w:vAlign w:val="center"/>
                </w:tcPr>
                <w:p w14:paraId="4B2BBD17">
                  <w:pPr>
                    <w:pStyle w:val="2"/>
                    <w:jc w:val="both"/>
                    <w:rPr>
                      <w:sz w:val="18"/>
                      <w:szCs w:val="18"/>
                    </w:rPr>
                  </w:pPr>
                  <w:r>
                    <w:rPr>
                      <w:rFonts w:hint="eastAsia"/>
                      <w:sz w:val="18"/>
                      <w:szCs w:val="18"/>
                    </w:rPr>
                    <w:t>设置1间药渣暂存及清洗间，建筑面积24.5m</w:t>
                  </w:r>
                  <w:r>
                    <w:rPr>
                      <w:sz w:val="18"/>
                      <w:szCs w:val="18"/>
                      <w:vertAlign w:val="superscript"/>
                    </w:rPr>
                    <w:t>2</w:t>
                  </w:r>
                  <w:r>
                    <w:rPr>
                      <w:rFonts w:hint="eastAsia"/>
                      <w:sz w:val="18"/>
                      <w:szCs w:val="18"/>
                    </w:rPr>
                    <w:t>。用于药渣的收集暂存，定期交资源回收公司处置。</w:t>
                  </w:r>
                </w:p>
                <w:p w14:paraId="6A49A2E3">
                  <w:pPr>
                    <w:pStyle w:val="2"/>
                    <w:jc w:val="both"/>
                    <w:rPr>
                      <w:rFonts w:hint="eastAsia"/>
                      <w:sz w:val="18"/>
                      <w:szCs w:val="18"/>
                    </w:rPr>
                  </w:pPr>
                  <w:r>
                    <w:rPr>
                      <w:rFonts w:hint="eastAsia"/>
                      <w:sz w:val="18"/>
                      <w:szCs w:val="18"/>
                    </w:rPr>
                    <w:t>中药原辅料废包装垃圾、污水处理污泥经分类收集后，定期交环卫部门统一清运。</w:t>
                  </w:r>
                </w:p>
              </w:tc>
              <w:tc>
                <w:tcPr>
                  <w:tcW w:w="501" w:type="pct"/>
                  <w:vMerge w:val="continue"/>
                  <w:shd w:val="clear" w:color="auto" w:fill="auto"/>
                  <w:vAlign w:val="center"/>
                </w:tcPr>
                <w:p w14:paraId="25FABE00">
                  <w:pPr>
                    <w:ind w:firstLine="420"/>
                    <w:jc w:val="center"/>
                    <w:rPr>
                      <w:sz w:val="18"/>
                      <w:szCs w:val="18"/>
                    </w:rPr>
                  </w:pPr>
                </w:p>
              </w:tc>
              <w:tc>
                <w:tcPr>
                  <w:tcW w:w="535" w:type="pct"/>
                  <w:shd w:val="clear" w:color="auto" w:fill="auto"/>
                  <w:vAlign w:val="center"/>
                </w:tcPr>
                <w:p w14:paraId="1F57D02E">
                  <w:pPr>
                    <w:jc w:val="center"/>
                    <w:rPr>
                      <w:sz w:val="18"/>
                      <w:szCs w:val="18"/>
                    </w:rPr>
                  </w:pPr>
                  <w:r>
                    <w:rPr>
                      <w:rFonts w:hint="eastAsia"/>
                      <w:sz w:val="18"/>
                      <w:szCs w:val="18"/>
                    </w:rPr>
                    <w:t>一般固废</w:t>
                  </w:r>
                </w:p>
              </w:tc>
            </w:tr>
            <w:tr w14:paraId="2B046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80" w:type="pct"/>
                  <w:vMerge w:val="continue"/>
                  <w:shd w:val="clear" w:color="auto" w:fill="auto"/>
                  <w:vAlign w:val="center"/>
                </w:tcPr>
                <w:p w14:paraId="10007393">
                  <w:pPr>
                    <w:ind w:firstLine="420"/>
                    <w:jc w:val="center"/>
                    <w:rPr>
                      <w:sz w:val="18"/>
                      <w:szCs w:val="18"/>
                    </w:rPr>
                  </w:pPr>
                </w:p>
              </w:tc>
              <w:tc>
                <w:tcPr>
                  <w:tcW w:w="896" w:type="pct"/>
                  <w:shd w:val="clear" w:color="auto" w:fill="auto"/>
                  <w:vAlign w:val="center"/>
                </w:tcPr>
                <w:p w14:paraId="7C5E87CB">
                  <w:pPr>
                    <w:jc w:val="center"/>
                    <w:rPr>
                      <w:sz w:val="18"/>
                      <w:szCs w:val="18"/>
                    </w:rPr>
                  </w:pPr>
                  <w:r>
                    <w:rPr>
                      <w:rFonts w:hint="eastAsia"/>
                      <w:sz w:val="18"/>
                      <w:szCs w:val="18"/>
                    </w:rPr>
                    <w:t>环境风险</w:t>
                  </w:r>
                </w:p>
              </w:tc>
              <w:tc>
                <w:tcPr>
                  <w:tcW w:w="2688" w:type="pct"/>
                  <w:gridSpan w:val="2"/>
                  <w:shd w:val="clear" w:color="auto" w:fill="auto"/>
                  <w:vAlign w:val="center"/>
                </w:tcPr>
                <w:p w14:paraId="158550F9">
                  <w:pPr>
                    <w:pStyle w:val="2"/>
                    <w:jc w:val="both"/>
                    <w:rPr>
                      <w:color w:val="FF0000"/>
                      <w:sz w:val="18"/>
                      <w:szCs w:val="18"/>
                    </w:rPr>
                  </w:pPr>
                  <w:r>
                    <w:rPr>
                      <w:rFonts w:hint="eastAsia"/>
                      <w:sz w:val="18"/>
                      <w:szCs w:val="18"/>
                    </w:rPr>
                    <w:t>建立健全各种安全生产制度。强化工作人员的责任心和安全意识。制定应急预案，建立健全安全、环境管理体系。</w:t>
                  </w:r>
                </w:p>
              </w:tc>
              <w:tc>
                <w:tcPr>
                  <w:tcW w:w="501" w:type="pct"/>
                  <w:vMerge w:val="continue"/>
                  <w:shd w:val="clear" w:color="auto" w:fill="auto"/>
                  <w:vAlign w:val="center"/>
                </w:tcPr>
                <w:p w14:paraId="36802CE3">
                  <w:pPr>
                    <w:ind w:firstLine="420"/>
                    <w:jc w:val="center"/>
                    <w:rPr>
                      <w:sz w:val="18"/>
                      <w:szCs w:val="18"/>
                    </w:rPr>
                  </w:pPr>
                </w:p>
              </w:tc>
              <w:tc>
                <w:tcPr>
                  <w:tcW w:w="535" w:type="pct"/>
                  <w:shd w:val="clear" w:color="auto" w:fill="auto"/>
                  <w:vAlign w:val="center"/>
                </w:tcPr>
                <w:p w14:paraId="6E46BE6E">
                  <w:pPr>
                    <w:jc w:val="center"/>
                    <w:rPr>
                      <w:sz w:val="18"/>
                      <w:szCs w:val="18"/>
                    </w:rPr>
                  </w:pPr>
                  <w:r>
                    <w:rPr>
                      <w:rFonts w:hint="eastAsia"/>
                      <w:sz w:val="18"/>
                      <w:szCs w:val="18"/>
                    </w:rPr>
                    <w:t>环境风险</w:t>
                  </w:r>
                </w:p>
              </w:tc>
            </w:tr>
          </w:tbl>
          <w:p w14:paraId="2426EE1F">
            <w:pPr>
              <w:adjustRightInd w:val="0"/>
              <w:snapToGrid w:val="0"/>
              <w:spacing w:line="360" w:lineRule="auto"/>
              <w:ind w:firstLine="422" w:firstLineChars="200"/>
              <w:rPr>
                <w:rFonts w:hint="eastAsia" w:ascii="宋体" w:hAnsi="宋体"/>
                <w:b/>
              </w:rPr>
            </w:pPr>
            <w:r>
              <w:rPr>
                <w:rFonts w:hint="eastAsia" w:ascii="宋体" w:hAnsi="宋体"/>
                <w:b/>
              </w:rPr>
              <w:t>4、主要原辅材料及能耗</w:t>
            </w:r>
          </w:p>
          <w:p w14:paraId="0489D14A">
            <w:pPr>
              <w:pStyle w:val="2"/>
              <w:spacing w:line="360" w:lineRule="auto"/>
              <w:ind w:firstLine="420" w:firstLineChars="200"/>
              <w:jc w:val="both"/>
            </w:pPr>
            <w:r>
              <w:t>项目</w:t>
            </w:r>
            <w:r>
              <w:rPr>
                <w:rFonts w:hint="eastAsia"/>
              </w:rPr>
              <w:t>主要原辅材料及能耗情况</w:t>
            </w:r>
            <w:r>
              <w:t>见下表。</w:t>
            </w:r>
          </w:p>
          <w:p w14:paraId="362EB5F0">
            <w:pPr>
              <w:autoSpaceDE w:val="0"/>
              <w:autoSpaceDN w:val="0"/>
              <w:adjustRightInd w:val="0"/>
              <w:snapToGrid w:val="0"/>
              <w:jc w:val="center"/>
              <w:rPr>
                <w:b/>
              </w:rPr>
            </w:pPr>
            <w:r>
              <w:rPr>
                <w:b/>
              </w:rPr>
              <w:t>表</w:t>
            </w:r>
            <w:r>
              <w:rPr>
                <w:rFonts w:hint="eastAsia"/>
                <w:b/>
              </w:rPr>
              <w:t>2</w:t>
            </w:r>
            <w:r>
              <w:rPr>
                <w:b/>
              </w:rPr>
              <w:t xml:space="preserve">-3  </w:t>
            </w:r>
            <w:r>
              <w:rPr>
                <w:rFonts w:hint="eastAsia"/>
                <w:b/>
              </w:rPr>
              <w:t>本项目</w:t>
            </w:r>
            <w:r>
              <w:rPr>
                <w:b/>
              </w:rPr>
              <w:t>主要原辅材料及能耗表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863"/>
              <w:gridCol w:w="3418"/>
              <w:gridCol w:w="1281"/>
              <w:gridCol w:w="715"/>
              <w:gridCol w:w="1076"/>
            </w:tblGrid>
            <w:tr w14:paraId="74FD2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73" w:type="pct"/>
                  <w:shd w:val="clear" w:color="auto" w:fill="auto"/>
                  <w:vAlign w:val="center"/>
                </w:tcPr>
                <w:p w14:paraId="484B942F">
                  <w:pPr>
                    <w:jc w:val="center"/>
                    <w:rPr>
                      <w:b/>
                      <w:bCs/>
                      <w:sz w:val="18"/>
                      <w:szCs w:val="18"/>
                    </w:rPr>
                  </w:pPr>
                  <w:r>
                    <w:rPr>
                      <w:rFonts w:hint="eastAsia"/>
                      <w:b/>
                      <w:bCs/>
                      <w:sz w:val="18"/>
                      <w:szCs w:val="18"/>
                    </w:rPr>
                    <w:t>类别</w:t>
                  </w:r>
                </w:p>
              </w:tc>
              <w:tc>
                <w:tcPr>
                  <w:tcW w:w="543" w:type="pct"/>
                  <w:vAlign w:val="center"/>
                </w:tcPr>
                <w:p w14:paraId="1680BC8C">
                  <w:pPr>
                    <w:jc w:val="center"/>
                    <w:rPr>
                      <w:b/>
                      <w:bCs/>
                      <w:sz w:val="18"/>
                      <w:szCs w:val="18"/>
                    </w:rPr>
                  </w:pPr>
                  <w:r>
                    <w:rPr>
                      <w:b/>
                      <w:bCs/>
                      <w:sz w:val="18"/>
                      <w:szCs w:val="18"/>
                    </w:rPr>
                    <w:t>名称</w:t>
                  </w:r>
                </w:p>
              </w:tc>
              <w:tc>
                <w:tcPr>
                  <w:tcW w:w="2151" w:type="pct"/>
                  <w:vAlign w:val="center"/>
                </w:tcPr>
                <w:p w14:paraId="1C1AFA20">
                  <w:pPr>
                    <w:jc w:val="center"/>
                    <w:rPr>
                      <w:b/>
                      <w:bCs/>
                      <w:sz w:val="18"/>
                      <w:szCs w:val="18"/>
                    </w:rPr>
                  </w:pPr>
                  <w:r>
                    <w:rPr>
                      <w:rFonts w:hint="eastAsia"/>
                      <w:b/>
                      <w:bCs/>
                      <w:sz w:val="18"/>
                      <w:szCs w:val="18"/>
                    </w:rPr>
                    <w:t>主要成分</w:t>
                  </w:r>
                </w:p>
              </w:tc>
              <w:tc>
                <w:tcPr>
                  <w:tcW w:w="806" w:type="pct"/>
                  <w:vAlign w:val="center"/>
                </w:tcPr>
                <w:p w14:paraId="2B84BC8A">
                  <w:pPr>
                    <w:jc w:val="center"/>
                    <w:rPr>
                      <w:b/>
                      <w:bCs/>
                      <w:sz w:val="18"/>
                      <w:szCs w:val="18"/>
                    </w:rPr>
                  </w:pPr>
                  <w:r>
                    <w:rPr>
                      <w:rFonts w:hint="eastAsia"/>
                      <w:b/>
                      <w:bCs/>
                      <w:sz w:val="18"/>
                      <w:szCs w:val="18"/>
                    </w:rPr>
                    <w:t>年用量</w:t>
                  </w:r>
                </w:p>
              </w:tc>
              <w:tc>
                <w:tcPr>
                  <w:tcW w:w="450" w:type="pct"/>
                  <w:vAlign w:val="center"/>
                </w:tcPr>
                <w:p w14:paraId="24998CF8">
                  <w:pPr>
                    <w:jc w:val="center"/>
                    <w:rPr>
                      <w:b/>
                      <w:bCs/>
                      <w:sz w:val="18"/>
                      <w:szCs w:val="18"/>
                    </w:rPr>
                  </w:pPr>
                  <w:r>
                    <w:rPr>
                      <w:rFonts w:hint="eastAsia"/>
                      <w:b/>
                      <w:bCs/>
                      <w:sz w:val="18"/>
                      <w:szCs w:val="18"/>
                    </w:rPr>
                    <w:t>来源</w:t>
                  </w:r>
                </w:p>
              </w:tc>
              <w:tc>
                <w:tcPr>
                  <w:tcW w:w="677" w:type="pct"/>
                  <w:vAlign w:val="center"/>
                </w:tcPr>
                <w:p w14:paraId="127CB7BC">
                  <w:pPr>
                    <w:jc w:val="center"/>
                    <w:rPr>
                      <w:b/>
                      <w:bCs/>
                      <w:sz w:val="18"/>
                      <w:szCs w:val="18"/>
                    </w:rPr>
                  </w:pPr>
                  <w:r>
                    <w:rPr>
                      <w:rFonts w:hint="eastAsia"/>
                      <w:b/>
                      <w:bCs/>
                      <w:sz w:val="18"/>
                      <w:szCs w:val="18"/>
                    </w:rPr>
                    <w:t>储存位置</w:t>
                  </w:r>
                </w:p>
              </w:tc>
            </w:tr>
            <w:tr w14:paraId="178FE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73" w:type="pct"/>
                  <w:shd w:val="clear" w:color="auto" w:fill="auto"/>
                  <w:vAlign w:val="center"/>
                </w:tcPr>
                <w:p w14:paraId="45E46B92">
                  <w:pPr>
                    <w:jc w:val="center"/>
                    <w:rPr>
                      <w:sz w:val="18"/>
                      <w:szCs w:val="18"/>
                    </w:rPr>
                  </w:pPr>
                  <w:r>
                    <w:rPr>
                      <w:rFonts w:hint="eastAsia"/>
                      <w:sz w:val="18"/>
                      <w:szCs w:val="18"/>
                    </w:rPr>
                    <w:t>原料</w:t>
                  </w:r>
                </w:p>
              </w:tc>
              <w:tc>
                <w:tcPr>
                  <w:tcW w:w="543" w:type="pct"/>
                  <w:vAlign w:val="center"/>
                </w:tcPr>
                <w:p w14:paraId="66FF905C">
                  <w:pPr>
                    <w:jc w:val="center"/>
                    <w:rPr>
                      <w:sz w:val="18"/>
                      <w:szCs w:val="18"/>
                    </w:rPr>
                  </w:pPr>
                  <w:r>
                    <w:rPr>
                      <w:rFonts w:hint="eastAsia"/>
                      <w:sz w:val="18"/>
                      <w:szCs w:val="18"/>
                    </w:rPr>
                    <w:t>中药饮片</w:t>
                  </w:r>
                </w:p>
              </w:tc>
              <w:tc>
                <w:tcPr>
                  <w:tcW w:w="2151" w:type="pct"/>
                  <w:vAlign w:val="center"/>
                </w:tcPr>
                <w:p w14:paraId="40B39C3E">
                  <w:pPr>
                    <w:jc w:val="center"/>
                    <w:rPr>
                      <w:sz w:val="18"/>
                      <w:szCs w:val="18"/>
                    </w:rPr>
                  </w:pPr>
                  <w:r>
                    <w:rPr>
                      <w:rFonts w:hint="eastAsia"/>
                      <w:sz w:val="18"/>
                      <w:szCs w:val="18"/>
                    </w:rPr>
                    <w:t>茯苓、白术、党参、黄芪、法半夏、陈皮、麦冬、白芍、生地黄、炙甘草、川牛膝、丹参、桔梗、薏苡仁、川芎、赤芍、大枣、山药、粉葛、独活、炒麦芽、桂枝、甘草片、竹叶柴胡、白芷、酒当归、川木通、厚朴、广藿香、酒川芎、地龙、泽泻、牡丹皮、浙贝母、平贝母、连翘、当归、木香、麸炒白术、桃仁、姜厚朴、醋延胡索、肉桂、蜂蜜等中药材</w:t>
                  </w:r>
                </w:p>
              </w:tc>
              <w:tc>
                <w:tcPr>
                  <w:tcW w:w="806" w:type="pct"/>
                  <w:vAlign w:val="center"/>
                </w:tcPr>
                <w:p w14:paraId="26D5EDF4">
                  <w:pPr>
                    <w:jc w:val="center"/>
                    <w:rPr>
                      <w:sz w:val="18"/>
                      <w:szCs w:val="18"/>
                    </w:rPr>
                  </w:pPr>
                  <w:r>
                    <w:rPr>
                      <w:rFonts w:hint="eastAsia"/>
                      <w:sz w:val="18"/>
                      <w:szCs w:val="18"/>
                    </w:rPr>
                    <w:t>约36t/a</w:t>
                  </w:r>
                </w:p>
              </w:tc>
              <w:tc>
                <w:tcPr>
                  <w:tcW w:w="450" w:type="pct"/>
                  <w:vAlign w:val="center"/>
                </w:tcPr>
                <w:p w14:paraId="70496416">
                  <w:pPr>
                    <w:jc w:val="center"/>
                    <w:rPr>
                      <w:sz w:val="18"/>
                      <w:szCs w:val="18"/>
                    </w:rPr>
                  </w:pPr>
                  <w:r>
                    <w:rPr>
                      <w:rFonts w:hint="eastAsia"/>
                      <w:sz w:val="18"/>
                      <w:szCs w:val="18"/>
                    </w:rPr>
                    <w:t>外购</w:t>
                  </w:r>
                </w:p>
              </w:tc>
              <w:tc>
                <w:tcPr>
                  <w:tcW w:w="677" w:type="pct"/>
                  <w:vAlign w:val="center"/>
                </w:tcPr>
                <w:p w14:paraId="296F17C0">
                  <w:pPr>
                    <w:jc w:val="center"/>
                    <w:rPr>
                      <w:sz w:val="18"/>
                      <w:szCs w:val="18"/>
                    </w:rPr>
                  </w:pPr>
                  <w:r>
                    <w:rPr>
                      <w:rFonts w:hint="eastAsia"/>
                      <w:sz w:val="18"/>
                      <w:szCs w:val="18"/>
                    </w:rPr>
                    <w:t>饮片周转区</w:t>
                  </w:r>
                </w:p>
              </w:tc>
            </w:tr>
            <w:tr w14:paraId="4735A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73" w:type="pct"/>
                  <w:shd w:val="clear" w:color="auto" w:fill="auto"/>
                  <w:vAlign w:val="center"/>
                </w:tcPr>
                <w:p w14:paraId="12CDECEF">
                  <w:pPr>
                    <w:jc w:val="center"/>
                    <w:rPr>
                      <w:sz w:val="18"/>
                      <w:szCs w:val="18"/>
                    </w:rPr>
                  </w:pPr>
                  <w:r>
                    <w:rPr>
                      <w:rFonts w:hint="eastAsia"/>
                      <w:sz w:val="18"/>
                      <w:szCs w:val="18"/>
                    </w:rPr>
                    <w:t>辅料</w:t>
                  </w:r>
                </w:p>
              </w:tc>
              <w:tc>
                <w:tcPr>
                  <w:tcW w:w="543" w:type="pct"/>
                  <w:vAlign w:val="center"/>
                </w:tcPr>
                <w:p w14:paraId="01073BF5">
                  <w:pPr>
                    <w:jc w:val="center"/>
                    <w:rPr>
                      <w:sz w:val="18"/>
                      <w:szCs w:val="18"/>
                    </w:rPr>
                  </w:pPr>
                  <w:r>
                    <w:rPr>
                      <w:rFonts w:hint="eastAsia"/>
                      <w:sz w:val="18"/>
                      <w:szCs w:val="18"/>
                    </w:rPr>
                    <w:t>清水</w:t>
                  </w:r>
                </w:p>
              </w:tc>
              <w:tc>
                <w:tcPr>
                  <w:tcW w:w="2151" w:type="pct"/>
                  <w:vAlign w:val="center"/>
                </w:tcPr>
                <w:p w14:paraId="05BDDC53">
                  <w:pPr>
                    <w:jc w:val="center"/>
                    <w:rPr>
                      <w:sz w:val="18"/>
                      <w:szCs w:val="18"/>
                    </w:rPr>
                  </w:pPr>
                  <w:r>
                    <w:rPr>
                      <w:rFonts w:hint="eastAsia"/>
                      <w:sz w:val="18"/>
                      <w:szCs w:val="18"/>
                    </w:rPr>
                    <w:t>用于浸泡煎煮</w:t>
                  </w:r>
                </w:p>
              </w:tc>
              <w:tc>
                <w:tcPr>
                  <w:tcW w:w="806" w:type="pct"/>
                  <w:vAlign w:val="center"/>
                </w:tcPr>
                <w:p w14:paraId="10FE6B89">
                  <w:pPr>
                    <w:jc w:val="center"/>
                    <w:rPr>
                      <w:sz w:val="18"/>
                      <w:szCs w:val="18"/>
                    </w:rPr>
                  </w:pPr>
                  <w:r>
                    <w:rPr>
                      <w:rFonts w:hint="eastAsia"/>
                      <w:sz w:val="18"/>
                      <w:szCs w:val="18"/>
                    </w:rPr>
                    <w:t>1094.1</w:t>
                  </w:r>
                  <w:r>
                    <w:rPr>
                      <w:kern w:val="2"/>
                      <w:sz w:val="18"/>
                      <w:szCs w:val="18"/>
                    </w:rPr>
                    <w:t xml:space="preserve"> m</w:t>
                  </w:r>
                  <w:r>
                    <w:rPr>
                      <w:kern w:val="2"/>
                      <w:sz w:val="18"/>
                      <w:szCs w:val="18"/>
                      <w:vertAlign w:val="superscript"/>
                    </w:rPr>
                    <w:t>3</w:t>
                  </w:r>
                  <w:r>
                    <w:rPr>
                      <w:rFonts w:hint="eastAsia"/>
                      <w:sz w:val="18"/>
                      <w:szCs w:val="18"/>
                    </w:rPr>
                    <w:t>/a</w:t>
                  </w:r>
                </w:p>
              </w:tc>
              <w:tc>
                <w:tcPr>
                  <w:tcW w:w="1127" w:type="pct"/>
                  <w:gridSpan w:val="2"/>
                  <w:vAlign w:val="center"/>
                </w:tcPr>
                <w:p w14:paraId="5AA8F4B1">
                  <w:pPr>
                    <w:jc w:val="center"/>
                    <w:rPr>
                      <w:sz w:val="18"/>
                      <w:szCs w:val="18"/>
                    </w:rPr>
                  </w:pPr>
                  <w:r>
                    <w:rPr>
                      <w:rFonts w:hint="eastAsia"/>
                      <w:sz w:val="18"/>
                      <w:szCs w:val="18"/>
                    </w:rPr>
                    <w:t>自来水管网</w:t>
                  </w:r>
                </w:p>
              </w:tc>
            </w:tr>
            <w:tr w14:paraId="02B75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73" w:type="pct"/>
                  <w:vMerge w:val="restart"/>
                  <w:shd w:val="clear" w:color="auto" w:fill="auto"/>
                  <w:vAlign w:val="center"/>
                </w:tcPr>
                <w:p w14:paraId="5DB8FA9E">
                  <w:pPr>
                    <w:jc w:val="center"/>
                    <w:rPr>
                      <w:sz w:val="18"/>
                      <w:szCs w:val="18"/>
                    </w:rPr>
                  </w:pPr>
                  <w:r>
                    <w:rPr>
                      <w:rFonts w:hint="eastAsia"/>
                      <w:sz w:val="18"/>
                      <w:szCs w:val="18"/>
                    </w:rPr>
                    <w:t>包材</w:t>
                  </w:r>
                </w:p>
              </w:tc>
              <w:tc>
                <w:tcPr>
                  <w:tcW w:w="543" w:type="pct"/>
                  <w:vAlign w:val="center"/>
                </w:tcPr>
                <w:p w14:paraId="1C7359FD">
                  <w:pPr>
                    <w:jc w:val="center"/>
                    <w:rPr>
                      <w:sz w:val="18"/>
                      <w:szCs w:val="18"/>
                    </w:rPr>
                  </w:pPr>
                  <w:r>
                    <w:rPr>
                      <w:rFonts w:hint="eastAsia"/>
                      <w:sz w:val="18"/>
                      <w:szCs w:val="18"/>
                    </w:rPr>
                    <w:t>膏药贴</w:t>
                  </w:r>
                </w:p>
              </w:tc>
              <w:tc>
                <w:tcPr>
                  <w:tcW w:w="2151" w:type="pct"/>
                  <w:vAlign w:val="center"/>
                </w:tcPr>
                <w:p w14:paraId="0007A463">
                  <w:pPr>
                    <w:jc w:val="center"/>
                    <w:rPr>
                      <w:sz w:val="18"/>
                      <w:szCs w:val="18"/>
                    </w:rPr>
                  </w:pPr>
                  <w:r>
                    <w:rPr>
                      <w:rFonts w:hint="eastAsia"/>
                      <w:sz w:val="18"/>
                      <w:szCs w:val="18"/>
                    </w:rPr>
                    <w:t>/</w:t>
                  </w:r>
                </w:p>
              </w:tc>
              <w:tc>
                <w:tcPr>
                  <w:tcW w:w="806" w:type="pct"/>
                  <w:vAlign w:val="center"/>
                </w:tcPr>
                <w:p w14:paraId="653BC51C">
                  <w:pPr>
                    <w:jc w:val="center"/>
                    <w:rPr>
                      <w:sz w:val="18"/>
                      <w:szCs w:val="18"/>
                    </w:rPr>
                  </w:pPr>
                  <w:r>
                    <w:rPr>
                      <w:rFonts w:hint="eastAsia"/>
                      <w:sz w:val="18"/>
                      <w:szCs w:val="18"/>
                    </w:rPr>
                    <w:t>3125张/a</w:t>
                  </w:r>
                  <w:r>
                    <w:rPr>
                      <w:sz w:val="18"/>
                      <w:szCs w:val="18"/>
                    </w:rPr>
                    <w:t xml:space="preserve"> </w:t>
                  </w:r>
                </w:p>
              </w:tc>
              <w:tc>
                <w:tcPr>
                  <w:tcW w:w="450" w:type="pct"/>
                  <w:vAlign w:val="center"/>
                </w:tcPr>
                <w:p w14:paraId="3EADB471">
                  <w:pPr>
                    <w:jc w:val="center"/>
                    <w:rPr>
                      <w:sz w:val="18"/>
                      <w:szCs w:val="18"/>
                    </w:rPr>
                  </w:pPr>
                  <w:r>
                    <w:rPr>
                      <w:rFonts w:hint="eastAsia"/>
                      <w:sz w:val="18"/>
                      <w:szCs w:val="18"/>
                    </w:rPr>
                    <w:t>外购</w:t>
                  </w:r>
                </w:p>
              </w:tc>
              <w:tc>
                <w:tcPr>
                  <w:tcW w:w="677" w:type="pct"/>
                  <w:vAlign w:val="center"/>
                </w:tcPr>
                <w:p w14:paraId="49CFEF34">
                  <w:pPr>
                    <w:jc w:val="center"/>
                    <w:rPr>
                      <w:sz w:val="18"/>
                      <w:szCs w:val="18"/>
                    </w:rPr>
                  </w:pPr>
                  <w:r>
                    <w:rPr>
                      <w:rFonts w:hint="eastAsia"/>
                      <w:sz w:val="18"/>
                      <w:szCs w:val="18"/>
                    </w:rPr>
                    <w:t>外包库</w:t>
                  </w:r>
                </w:p>
              </w:tc>
            </w:tr>
            <w:tr w14:paraId="3096E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73" w:type="pct"/>
                  <w:vMerge w:val="continue"/>
                  <w:shd w:val="clear" w:color="auto" w:fill="auto"/>
                  <w:vAlign w:val="center"/>
                </w:tcPr>
                <w:p w14:paraId="016E19B5">
                  <w:pPr>
                    <w:jc w:val="center"/>
                    <w:rPr>
                      <w:sz w:val="18"/>
                      <w:szCs w:val="18"/>
                    </w:rPr>
                  </w:pPr>
                </w:p>
              </w:tc>
              <w:tc>
                <w:tcPr>
                  <w:tcW w:w="543" w:type="pct"/>
                  <w:vAlign w:val="center"/>
                </w:tcPr>
                <w:p w14:paraId="77DCD4BF">
                  <w:pPr>
                    <w:jc w:val="center"/>
                    <w:rPr>
                      <w:sz w:val="18"/>
                      <w:szCs w:val="18"/>
                    </w:rPr>
                  </w:pPr>
                  <w:r>
                    <w:rPr>
                      <w:rFonts w:hint="eastAsia"/>
                      <w:sz w:val="18"/>
                      <w:szCs w:val="18"/>
                    </w:rPr>
                    <w:t>膏药瓶</w:t>
                  </w:r>
                </w:p>
              </w:tc>
              <w:tc>
                <w:tcPr>
                  <w:tcW w:w="2151" w:type="pct"/>
                  <w:vAlign w:val="center"/>
                </w:tcPr>
                <w:p w14:paraId="128232F7">
                  <w:pPr>
                    <w:jc w:val="center"/>
                    <w:rPr>
                      <w:sz w:val="18"/>
                      <w:szCs w:val="18"/>
                    </w:rPr>
                  </w:pPr>
                  <w:r>
                    <w:rPr>
                      <w:rFonts w:hint="eastAsia"/>
                      <w:sz w:val="18"/>
                      <w:szCs w:val="18"/>
                    </w:rPr>
                    <w:t>/</w:t>
                  </w:r>
                </w:p>
              </w:tc>
              <w:tc>
                <w:tcPr>
                  <w:tcW w:w="806" w:type="pct"/>
                  <w:vAlign w:val="center"/>
                </w:tcPr>
                <w:p w14:paraId="13A3DCE1">
                  <w:pPr>
                    <w:jc w:val="center"/>
                    <w:rPr>
                      <w:sz w:val="18"/>
                      <w:szCs w:val="18"/>
                    </w:rPr>
                  </w:pPr>
                  <w:r>
                    <w:rPr>
                      <w:rFonts w:hint="eastAsia"/>
                      <w:sz w:val="18"/>
                      <w:szCs w:val="18"/>
                    </w:rPr>
                    <w:t>600瓶/a</w:t>
                  </w:r>
                </w:p>
              </w:tc>
              <w:tc>
                <w:tcPr>
                  <w:tcW w:w="450" w:type="pct"/>
                  <w:vAlign w:val="center"/>
                </w:tcPr>
                <w:p w14:paraId="1E70359A">
                  <w:pPr>
                    <w:jc w:val="center"/>
                    <w:rPr>
                      <w:sz w:val="18"/>
                      <w:szCs w:val="18"/>
                    </w:rPr>
                  </w:pPr>
                  <w:r>
                    <w:rPr>
                      <w:rFonts w:hint="eastAsia"/>
                      <w:sz w:val="18"/>
                      <w:szCs w:val="18"/>
                    </w:rPr>
                    <w:t>外购</w:t>
                  </w:r>
                </w:p>
              </w:tc>
              <w:tc>
                <w:tcPr>
                  <w:tcW w:w="677" w:type="pct"/>
                  <w:vAlign w:val="center"/>
                </w:tcPr>
                <w:p w14:paraId="4B542B7E">
                  <w:pPr>
                    <w:jc w:val="center"/>
                    <w:rPr>
                      <w:sz w:val="18"/>
                      <w:szCs w:val="18"/>
                    </w:rPr>
                  </w:pPr>
                  <w:r>
                    <w:rPr>
                      <w:rFonts w:hint="eastAsia"/>
                      <w:sz w:val="18"/>
                      <w:szCs w:val="18"/>
                    </w:rPr>
                    <w:t>外包库</w:t>
                  </w:r>
                </w:p>
              </w:tc>
            </w:tr>
            <w:tr w14:paraId="76877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73" w:type="pct"/>
                  <w:vMerge w:val="continue"/>
                  <w:shd w:val="clear" w:color="auto" w:fill="auto"/>
                  <w:vAlign w:val="center"/>
                </w:tcPr>
                <w:p w14:paraId="6496D061">
                  <w:pPr>
                    <w:jc w:val="center"/>
                    <w:rPr>
                      <w:sz w:val="18"/>
                      <w:szCs w:val="18"/>
                    </w:rPr>
                  </w:pPr>
                </w:p>
              </w:tc>
              <w:tc>
                <w:tcPr>
                  <w:tcW w:w="543" w:type="pct"/>
                  <w:vAlign w:val="center"/>
                </w:tcPr>
                <w:p w14:paraId="08C51253">
                  <w:pPr>
                    <w:jc w:val="center"/>
                    <w:rPr>
                      <w:sz w:val="18"/>
                      <w:szCs w:val="18"/>
                    </w:rPr>
                  </w:pPr>
                  <w:r>
                    <w:rPr>
                      <w:rFonts w:hint="eastAsia"/>
                      <w:sz w:val="18"/>
                      <w:szCs w:val="18"/>
                    </w:rPr>
                    <w:t>包装袋复合膜</w:t>
                  </w:r>
                </w:p>
              </w:tc>
              <w:tc>
                <w:tcPr>
                  <w:tcW w:w="2151" w:type="pct"/>
                  <w:vAlign w:val="center"/>
                </w:tcPr>
                <w:p w14:paraId="54F562F5">
                  <w:pPr>
                    <w:jc w:val="center"/>
                    <w:rPr>
                      <w:sz w:val="18"/>
                      <w:szCs w:val="18"/>
                    </w:rPr>
                  </w:pPr>
                  <w:r>
                    <w:rPr>
                      <w:rFonts w:hint="eastAsia"/>
                      <w:sz w:val="18"/>
                      <w:szCs w:val="18"/>
                    </w:rPr>
                    <w:t>PE材质，热分解温度300℃</w:t>
                  </w:r>
                </w:p>
              </w:tc>
              <w:tc>
                <w:tcPr>
                  <w:tcW w:w="806" w:type="pct"/>
                  <w:vAlign w:val="center"/>
                </w:tcPr>
                <w:p w14:paraId="6A1B114D">
                  <w:pPr>
                    <w:jc w:val="center"/>
                    <w:rPr>
                      <w:sz w:val="18"/>
                      <w:szCs w:val="18"/>
                    </w:rPr>
                  </w:pPr>
                  <w:r>
                    <w:rPr>
                      <w:rFonts w:hint="eastAsia"/>
                      <w:sz w:val="18"/>
                      <w:szCs w:val="18"/>
                    </w:rPr>
                    <w:t>0.5 t/a</w:t>
                  </w:r>
                </w:p>
              </w:tc>
              <w:tc>
                <w:tcPr>
                  <w:tcW w:w="450" w:type="pct"/>
                  <w:vAlign w:val="center"/>
                </w:tcPr>
                <w:p w14:paraId="0FC9BE6F">
                  <w:pPr>
                    <w:jc w:val="center"/>
                    <w:rPr>
                      <w:sz w:val="18"/>
                      <w:szCs w:val="18"/>
                    </w:rPr>
                  </w:pPr>
                  <w:r>
                    <w:rPr>
                      <w:rFonts w:hint="eastAsia"/>
                      <w:sz w:val="18"/>
                      <w:szCs w:val="18"/>
                    </w:rPr>
                    <w:t>外购</w:t>
                  </w:r>
                </w:p>
              </w:tc>
              <w:tc>
                <w:tcPr>
                  <w:tcW w:w="677" w:type="pct"/>
                  <w:vAlign w:val="center"/>
                </w:tcPr>
                <w:p w14:paraId="09B7E569">
                  <w:pPr>
                    <w:jc w:val="center"/>
                    <w:rPr>
                      <w:sz w:val="18"/>
                      <w:szCs w:val="18"/>
                    </w:rPr>
                  </w:pPr>
                  <w:r>
                    <w:rPr>
                      <w:rFonts w:hint="eastAsia"/>
                      <w:sz w:val="18"/>
                      <w:szCs w:val="18"/>
                    </w:rPr>
                    <w:t>内包库</w:t>
                  </w:r>
                </w:p>
              </w:tc>
            </w:tr>
            <w:tr w14:paraId="7913E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73" w:type="pct"/>
                  <w:vMerge w:val="continue"/>
                  <w:shd w:val="clear" w:color="auto" w:fill="auto"/>
                  <w:vAlign w:val="center"/>
                </w:tcPr>
                <w:p w14:paraId="0A58CB96">
                  <w:pPr>
                    <w:jc w:val="center"/>
                    <w:rPr>
                      <w:sz w:val="18"/>
                      <w:szCs w:val="18"/>
                    </w:rPr>
                  </w:pPr>
                </w:p>
              </w:tc>
              <w:tc>
                <w:tcPr>
                  <w:tcW w:w="543" w:type="pct"/>
                  <w:vAlign w:val="center"/>
                </w:tcPr>
                <w:p w14:paraId="0B86FC55">
                  <w:pPr>
                    <w:jc w:val="center"/>
                    <w:rPr>
                      <w:sz w:val="18"/>
                      <w:szCs w:val="18"/>
                    </w:rPr>
                  </w:pPr>
                  <w:r>
                    <w:rPr>
                      <w:rFonts w:hint="eastAsia"/>
                      <w:sz w:val="18"/>
                      <w:szCs w:val="18"/>
                    </w:rPr>
                    <w:t>无纺布袋</w:t>
                  </w:r>
                </w:p>
              </w:tc>
              <w:tc>
                <w:tcPr>
                  <w:tcW w:w="2151" w:type="pct"/>
                  <w:vAlign w:val="center"/>
                </w:tcPr>
                <w:p w14:paraId="5325370E">
                  <w:pPr>
                    <w:jc w:val="center"/>
                    <w:rPr>
                      <w:sz w:val="18"/>
                      <w:szCs w:val="18"/>
                    </w:rPr>
                  </w:pPr>
                  <w:r>
                    <w:rPr>
                      <w:rFonts w:hint="eastAsia"/>
                      <w:sz w:val="18"/>
                      <w:szCs w:val="18"/>
                    </w:rPr>
                    <w:t>/</w:t>
                  </w:r>
                </w:p>
              </w:tc>
              <w:tc>
                <w:tcPr>
                  <w:tcW w:w="806" w:type="pct"/>
                  <w:vAlign w:val="center"/>
                </w:tcPr>
                <w:p w14:paraId="10E54F6B">
                  <w:pPr>
                    <w:jc w:val="center"/>
                    <w:rPr>
                      <w:sz w:val="18"/>
                      <w:szCs w:val="18"/>
                    </w:rPr>
                  </w:pPr>
                  <w:r>
                    <w:rPr>
                      <w:rFonts w:hint="eastAsia"/>
                      <w:sz w:val="18"/>
                      <w:szCs w:val="18"/>
                    </w:rPr>
                    <w:t>16万条</w:t>
                  </w:r>
                </w:p>
              </w:tc>
              <w:tc>
                <w:tcPr>
                  <w:tcW w:w="450" w:type="pct"/>
                  <w:vAlign w:val="center"/>
                </w:tcPr>
                <w:p w14:paraId="69C42622">
                  <w:pPr>
                    <w:jc w:val="center"/>
                    <w:rPr>
                      <w:sz w:val="18"/>
                      <w:szCs w:val="18"/>
                    </w:rPr>
                  </w:pPr>
                  <w:r>
                    <w:rPr>
                      <w:rFonts w:hint="eastAsia"/>
                      <w:sz w:val="18"/>
                      <w:szCs w:val="18"/>
                    </w:rPr>
                    <w:t>外购</w:t>
                  </w:r>
                </w:p>
              </w:tc>
              <w:tc>
                <w:tcPr>
                  <w:tcW w:w="677" w:type="pct"/>
                  <w:vAlign w:val="center"/>
                </w:tcPr>
                <w:p w14:paraId="6B0560D9">
                  <w:pPr>
                    <w:jc w:val="center"/>
                    <w:rPr>
                      <w:sz w:val="18"/>
                      <w:szCs w:val="18"/>
                    </w:rPr>
                  </w:pPr>
                  <w:r>
                    <w:rPr>
                      <w:rFonts w:hint="eastAsia"/>
                      <w:sz w:val="18"/>
                      <w:szCs w:val="18"/>
                    </w:rPr>
                    <w:t>内包库</w:t>
                  </w:r>
                </w:p>
              </w:tc>
            </w:tr>
            <w:tr w14:paraId="71B25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4" w:hRule="atLeast"/>
                <w:jc w:val="center"/>
              </w:trPr>
              <w:tc>
                <w:tcPr>
                  <w:tcW w:w="373" w:type="pct"/>
                  <w:vMerge w:val="continue"/>
                  <w:shd w:val="clear" w:color="auto" w:fill="auto"/>
                  <w:vAlign w:val="center"/>
                </w:tcPr>
                <w:p w14:paraId="7EA85A7B">
                  <w:pPr>
                    <w:jc w:val="center"/>
                    <w:rPr>
                      <w:sz w:val="18"/>
                      <w:szCs w:val="18"/>
                    </w:rPr>
                  </w:pPr>
                </w:p>
              </w:tc>
              <w:tc>
                <w:tcPr>
                  <w:tcW w:w="543" w:type="pct"/>
                  <w:vAlign w:val="center"/>
                </w:tcPr>
                <w:p w14:paraId="1BA40D08">
                  <w:pPr>
                    <w:jc w:val="center"/>
                    <w:rPr>
                      <w:sz w:val="18"/>
                      <w:szCs w:val="18"/>
                    </w:rPr>
                  </w:pPr>
                  <w:r>
                    <w:rPr>
                      <w:rFonts w:hint="eastAsia"/>
                      <w:sz w:val="18"/>
                      <w:szCs w:val="18"/>
                    </w:rPr>
                    <w:t>标签纸</w:t>
                  </w:r>
                </w:p>
              </w:tc>
              <w:tc>
                <w:tcPr>
                  <w:tcW w:w="2151" w:type="pct"/>
                  <w:vAlign w:val="center"/>
                </w:tcPr>
                <w:p w14:paraId="7F94B88E">
                  <w:pPr>
                    <w:jc w:val="center"/>
                    <w:rPr>
                      <w:sz w:val="18"/>
                      <w:szCs w:val="18"/>
                    </w:rPr>
                  </w:pPr>
                  <w:r>
                    <w:rPr>
                      <w:rFonts w:hint="eastAsia"/>
                      <w:sz w:val="18"/>
                      <w:szCs w:val="18"/>
                    </w:rPr>
                    <w:t>自带背胶</w:t>
                  </w:r>
                </w:p>
              </w:tc>
              <w:tc>
                <w:tcPr>
                  <w:tcW w:w="806" w:type="pct"/>
                  <w:vAlign w:val="center"/>
                </w:tcPr>
                <w:p w14:paraId="077918D3">
                  <w:pPr>
                    <w:jc w:val="center"/>
                    <w:rPr>
                      <w:sz w:val="18"/>
                      <w:szCs w:val="18"/>
                    </w:rPr>
                  </w:pPr>
                  <w:r>
                    <w:rPr>
                      <w:rFonts w:hint="eastAsia"/>
                      <w:sz w:val="18"/>
                      <w:szCs w:val="18"/>
                    </w:rPr>
                    <w:t>46万张</w:t>
                  </w:r>
                </w:p>
              </w:tc>
              <w:tc>
                <w:tcPr>
                  <w:tcW w:w="450" w:type="pct"/>
                  <w:vAlign w:val="center"/>
                </w:tcPr>
                <w:p w14:paraId="4BBA063B">
                  <w:pPr>
                    <w:jc w:val="center"/>
                    <w:rPr>
                      <w:sz w:val="18"/>
                      <w:szCs w:val="18"/>
                    </w:rPr>
                  </w:pPr>
                  <w:r>
                    <w:rPr>
                      <w:rFonts w:hint="eastAsia"/>
                      <w:sz w:val="18"/>
                      <w:szCs w:val="18"/>
                    </w:rPr>
                    <w:t>外购</w:t>
                  </w:r>
                </w:p>
              </w:tc>
              <w:tc>
                <w:tcPr>
                  <w:tcW w:w="677" w:type="pct"/>
                  <w:vAlign w:val="center"/>
                </w:tcPr>
                <w:p w14:paraId="3A8DEC63">
                  <w:pPr>
                    <w:jc w:val="center"/>
                    <w:rPr>
                      <w:sz w:val="18"/>
                      <w:szCs w:val="18"/>
                    </w:rPr>
                  </w:pPr>
                  <w:r>
                    <w:rPr>
                      <w:rFonts w:hint="eastAsia"/>
                      <w:sz w:val="18"/>
                      <w:szCs w:val="18"/>
                    </w:rPr>
                    <w:t>内包库</w:t>
                  </w:r>
                </w:p>
              </w:tc>
            </w:tr>
            <w:tr w14:paraId="44163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73" w:type="pct"/>
                  <w:vMerge w:val="restart"/>
                  <w:shd w:val="clear" w:color="auto" w:fill="auto"/>
                  <w:vAlign w:val="center"/>
                </w:tcPr>
                <w:p w14:paraId="1319BEB6">
                  <w:pPr>
                    <w:jc w:val="center"/>
                    <w:rPr>
                      <w:sz w:val="18"/>
                      <w:szCs w:val="18"/>
                    </w:rPr>
                  </w:pPr>
                  <w:r>
                    <w:rPr>
                      <w:rFonts w:hint="eastAsia"/>
                      <w:sz w:val="18"/>
                      <w:szCs w:val="18"/>
                    </w:rPr>
                    <w:t>能源</w:t>
                  </w:r>
                </w:p>
              </w:tc>
              <w:tc>
                <w:tcPr>
                  <w:tcW w:w="543" w:type="pct"/>
                  <w:vAlign w:val="center"/>
                </w:tcPr>
                <w:p w14:paraId="5DB61792">
                  <w:pPr>
                    <w:jc w:val="center"/>
                    <w:rPr>
                      <w:sz w:val="18"/>
                      <w:szCs w:val="18"/>
                    </w:rPr>
                  </w:pPr>
                  <w:r>
                    <w:rPr>
                      <w:rFonts w:hint="eastAsia"/>
                      <w:sz w:val="18"/>
                      <w:szCs w:val="18"/>
                    </w:rPr>
                    <w:t>电</w:t>
                  </w:r>
                </w:p>
              </w:tc>
              <w:tc>
                <w:tcPr>
                  <w:tcW w:w="2151" w:type="pct"/>
                  <w:vAlign w:val="center"/>
                </w:tcPr>
                <w:p w14:paraId="6B8F82FB">
                  <w:pPr>
                    <w:jc w:val="center"/>
                    <w:rPr>
                      <w:sz w:val="18"/>
                      <w:szCs w:val="18"/>
                    </w:rPr>
                  </w:pPr>
                  <w:r>
                    <w:rPr>
                      <w:rFonts w:hint="eastAsia"/>
                      <w:sz w:val="18"/>
                      <w:szCs w:val="18"/>
                    </w:rPr>
                    <w:t>/</w:t>
                  </w:r>
                </w:p>
              </w:tc>
              <w:tc>
                <w:tcPr>
                  <w:tcW w:w="806" w:type="pct"/>
                  <w:vAlign w:val="center"/>
                </w:tcPr>
                <w:p w14:paraId="4F3F13A0">
                  <w:pPr>
                    <w:jc w:val="center"/>
                    <w:rPr>
                      <w:sz w:val="18"/>
                      <w:szCs w:val="18"/>
                    </w:rPr>
                  </w:pPr>
                  <w:r>
                    <w:rPr>
                      <w:rFonts w:hint="eastAsia"/>
                      <w:sz w:val="18"/>
                      <w:szCs w:val="18"/>
                    </w:rPr>
                    <w:t>6万</w:t>
                  </w:r>
                  <w:r>
                    <w:rPr>
                      <w:sz w:val="18"/>
                      <w:szCs w:val="18"/>
                    </w:rPr>
                    <w:t>KW</w:t>
                  </w:r>
                  <w:r>
                    <w:rPr>
                      <w:rFonts w:hint="eastAsia"/>
                      <w:sz w:val="18"/>
                      <w:szCs w:val="18"/>
                    </w:rPr>
                    <w:t>·</w:t>
                  </w:r>
                  <w:r>
                    <w:rPr>
                      <w:sz w:val="18"/>
                      <w:szCs w:val="18"/>
                    </w:rPr>
                    <w:t>h</w:t>
                  </w:r>
                </w:p>
              </w:tc>
              <w:tc>
                <w:tcPr>
                  <w:tcW w:w="1127" w:type="pct"/>
                  <w:gridSpan w:val="2"/>
                  <w:vAlign w:val="center"/>
                </w:tcPr>
                <w:p w14:paraId="1FFFA185">
                  <w:pPr>
                    <w:jc w:val="center"/>
                    <w:rPr>
                      <w:sz w:val="18"/>
                      <w:szCs w:val="18"/>
                    </w:rPr>
                  </w:pPr>
                  <w:r>
                    <w:rPr>
                      <w:rFonts w:hint="eastAsia"/>
                      <w:sz w:val="18"/>
                      <w:szCs w:val="18"/>
                    </w:rPr>
                    <w:t>市政电网</w:t>
                  </w:r>
                </w:p>
              </w:tc>
            </w:tr>
            <w:tr w14:paraId="252002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4" w:hRule="atLeast"/>
                <w:jc w:val="center"/>
              </w:trPr>
              <w:tc>
                <w:tcPr>
                  <w:tcW w:w="373" w:type="pct"/>
                  <w:vMerge w:val="continue"/>
                  <w:shd w:val="clear" w:color="auto" w:fill="auto"/>
                  <w:vAlign w:val="center"/>
                </w:tcPr>
                <w:p w14:paraId="23CD57DF">
                  <w:pPr>
                    <w:jc w:val="center"/>
                    <w:rPr>
                      <w:sz w:val="18"/>
                      <w:szCs w:val="18"/>
                    </w:rPr>
                  </w:pPr>
                </w:p>
              </w:tc>
              <w:tc>
                <w:tcPr>
                  <w:tcW w:w="543" w:type="pct"/>
                  <w:vAlign w:val="center"/>
                </w:tcPr>
                <w:p w14:paraId="17B0D6CA">
                  <w:pPr>
                    <w:jc w:val="center"/>
                    <w:rPr>
                      <w:sz w:val="18"/>
                      <w:szCs w:val="18"/>
                    </w:rPr>
                  </w:pPr>
                  <w:r>
                    <w:rPr>
                      <w:rFonts w:hint="eastAsia"/>
                      <w:sz w:val="18"/>
                      <w:szCs w:val="18"/>
                    </w:rPr>
                    <w:t>自来水</w:t>
                  </w:r>
                </w:p>
              </w:tc>
              <w:tc>
                <w:tcPr>
                  <w:tcW w:w="2151" w:type="pct"/>
                  <w:vAlign w:val="center"/>
                </w:tcPr>
                <w:p w14:paraId="5FF036B3">
                  <w:pPr>
                    <w:pStyle w:val="54"/>
                    <w:widowControl w:val="0"/>
                    <w:pBdr>
                      <w:left w:val="none" w:color="auto" w:sz="0" w:space="0"/>
                      <w:bottom w:val="none" w:color="auto" w:sz="0" w:space="0"/>
                      <w:right w:val="none" w:color="auto" w:sz="0" w:space="0"/>
                    </w:pBdr>
                    <w:spacing w:before="0" w:beforeAutospacing="0" w:after="0" w:afterAutospacing="0"/>
                    <w:rPr>
                      <w:kern w:val="2"/>
                      <w:sz w:val="18"/>
                      <w:szCs w:val="18"/>
                    </w:rPr>
                  </w:pPr>
                  <w:r>
                    <w:rPr>
                      <w:rFonts w:hint="eastAsia"/>
                      <w:kern w:val="2"/>
                      <w:sz w:val="18"/>
                      <w:szCs w:val="18"/>
                    </w:rPr>
                    <w:t>/</w:t>
                  </w:r>
                </w:p>
              </w:tc>
              <w:tc>
                <w:tcPr>
                  <w:tcW w:w="806" w:type="pct"/>
                  <w:vAlign w:val="center"/>
                </w:tcPr>
                <w:p w14:paraId="646EB30A">
                  <w:pPr>
                    <w:pStyle w:val="54"/>
                    <w:widowControl w:val="0"/>
                    <w:pBdr>
                      <w:left w:val="none" w:color="auto" w:sz="0" w:space="0"/>
                      <w:bottom w:val="none" w:color="auto" w:sz="0" w:space="0"/>
                      <w:right w:val="none" w:color="auto" w:sz="0" w:space="0"/>
                    </w:pBdr>
                    <w:spacing w:before="0" w:beforeAutospacing="0" w:after="0" w:afterAutospacing="0"/>
                    <w:rPr>
                      <w:kern w:val="2"/>
                      <w:sz w:val="18"/>
                      <w:szCs w:val="18"/>
                    </w:rPr>
                  </w:pPr>
                  <w:r>
                    <w:rPr>
                      <w:rFonts w:hint="eastAsia"/>
                      <w:kern w:val="2"/>
                      <w:sz w:val="18"/>
                      <w:szCs w:val="18"/>
                    </w:rPr>
                    <w:t>6000</w:t>
                  </w:r>
                  <w:r>
                    <w:rPr>
                      <w:kern w:val="2"/>
                      <w:sz w:val="18"/>
                      <w:szCs w:val="18"/>
                    </w:rPr>
                    <w:t>m</w:t>
                  </w:r>
                  <w:r>
                    <w:rPr>
                      <w:kern w:val="2"/>
                      <w:sz w:val="18"/>
                      <w:szCs w:val="18"/>
                      <w:vertAlign w:val="superscript"/>
                    </w:rPr>
                    <w:t>3</w:t>
                  </w:r>
                </w:p>
              </w:tc>
              <w:tc>
                <w:tcPr>
                  <w:tcW w:w="1127" w:type="pct"/>
                  <w:gridSpan w:val="2"/>
                  <w:vAlign w:val="center"/>
                </w:tcPr>
                <w:p w14:paraId="46644495">
                  <w:pPr>
                    <w:pStyle w:val="54"/>
                    <w:widowControl w:val="0"/>
                    <w:pBdr>
                      <w:left w:val="none" w:color="auto" w:sz="0" w:space="0"/>
                      <w:bottom w:val="none" w:color="auto" w:sz="0" w:space="0"/>
                      <w:right w:val="none" w:color="auto" w:sz="0" w:space="0"/>
                    </w:pBdr>
                    <w:spacing w:before="0" w:beforeAutospacing="0" w:after="0" w:afterAutospacing="0"/>
                    <w:rPr>
                      <w:kern w:val="2"/>
                      <w:sz w:val="18"/>
                      <w:szCs w:val="18"/>
                    </w:rPr>
                  </w:pPr>
                  <w:r>
                    <w:rPr>
                      <w:rFonts w:hint="eastAsia"/>
                      <w:sz w:val="18"/>
                      <w:szCs w:val="18"/>
                    </w:rPr>
                    <w:t>自来水管网</w:t>
                  </w:r>
                </w:p>
              </w:tc>
            </w:tr>
          </w:tbl>
          <w:p w14:paraId="6762B54A">
            <w:pPr>
              <w:adjustRightInd w:val="0"/>
              <w:snapToGrid w:val="0"/>
              <w:spacing w:line="360" w:lineRule="auto"/>
              <w:ind w:firstLine="422" w:firstLineChars="200"/>
              <w:rPr>
                <w:rFonts w:hint="eastAsia" w:ascii="宋体" w:hAnsi="宋体"/>
                <w:b/>
              </w:rPr>
            </w:pPr>
            <w:r>
              <w:rPr>
                <w:rFonts w:hint="eastAsia" w:ascii="宋体" w:hAnsi="宋体"/>
                <w:b/>
              </w:rPr>
              <w:t>5、主要生产设备</w:t>
            </w:r>
          </w:p>
          <w:p w14:paraId="50D1D8D6">
            <w:pPr>
              <w:pStyle w:val="2"/>
              <w:spacing w:line="360" w:lineRule="auto"/>
              <w:ind w:firstLine="420" w:firstLineChars="200"/>
              <w:jc w:val="both"/>
            </w:pPr>
            <w:r>
              <w:rPr>
                <w:rFonts w:hint="eastAsia"/>
              </w:rPr>
              <w:t>项目主要生产设备见下表。</w:t>
            </w:r>
          </w:p>
          <w:p w14:paraId="1D786B60">
            <w:pPr>
              <w:autoSpaceDE w:val="0"/>
              <w:autoSpaceDN w:val="0"/>
              <w:adjustRightInd w:val="0"/>
              <w:snapToGrid w:val="0"/>
              <w:jc w:val="center"/>
              <w:rPr>
                <w:b/>
              </w:rPr>
            </w:pPr>
            <w:r>
              <w:rPr>
                <w:rFonts w:hint="eastAsia"/>
                <w:b/>
              </w:rPr>
              <w:t>表2</w:t>
            </w:r>
            <w:r>
              <w:rPr>
                <w:b/>
              </w:rPr>
              <w:t xml:space="preserve">-4  </w:t>
            </w:r>
            <w:r>
              <w:rPr>
                <w:rFonts w:hint="eastAsia"/>
                <w:b/>
              </w:rPr>
              <w:t>主要设备一览表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1730"/>
              <w:gridCol w:w="1435"/>
              <w:gridCol w:w="925"/>
              <w:gridCol w:w="996"/>
              <w:gridCol w:w="2360"/>
            </w:tblGrid>
            <w:tr w14:paraId="1A545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14" w:type="pct"/>
                  <w:vAlign w:val="center"/>
                </w:tcPr>
                <w:p w14:paraId="2FBC0F5A">
                  <w:pPr>
                    <w:jc w:val="center"/>
                    <w:rPr>
                      <w:b/>
                      <w:bCs/>
                      <w:sz w:val="18"/>
                      <w:szCs w:val="18"/>
                    </w:rPr>
                  </w:pPr>
                  <w:r>
                    <w:rPr>
                      <w:rFonts w:hint="eastAsia"/>
                      <w:b/>
                      <w:bCs/>
                      <w:sz w:val="18"/>
                      <w:szCs w:val="18"/>
                    </w:rPr>
                    <w:t>序号</w:t>
                  </w:r>
                </w:p>
              </w:tc>
              <w:tc>
                <w:tcPr>
                  <w:tcW w:w="1089" w:type="pct"/>
                  <w:shd w:val="clear" w:color="auto" w:fill="auto"/>
                  <w:vAlign w:val="center"/>
                </w:tcPr>
                <w:p w14:paraId="5CA5C27D">
                  <w:pPr>
                    <w:jc w:val="center"/>
                    <w:rPr>
                      <w:b/>
                      <w:bCs/>
                      <w:sz w:val="18"/>
                      <w:szCs w:val="18"/>
                    </w:rPr>
                  </w:pPr>
                  <w:r>
                    <w:rPr>
                      <w:b/>
                      <w:bCs/>
                      <w:sz w:val="18"/>
                      <w:szCs w:val="18"/>
                    </w:rPr>
                    <w:t>名称</w:t>
                  </w:r>
                </w:p>
              </w:tc>
              <w:tc>
                <w:tcPr>
                  <w:tcW w:w="903" w:type="pct"/>
                  <w:shd w:val="clear" w:color="auto" w:fill="auto"/>
                  <w:vAlign w:val="center"/>
                </w:tcPr>
                <w:p w14:paraId="5E232A99">
                  <w:pPr>
                    <w:jc w:val="center"/>
                    <w:rPr>
                      <w:b/>
                      <w:bCs/>
                      <w:sz w:val="18"/>
                      <w:szCs w:val="18"/>
                    </w:rPr>
                  </w:pPr>
                  <w:r>
                    <w:rPr>
                      <w:rFonts w:hint="eastAsia"/>
                      <w:b/>
                      <w:bCs/>
                      <w:sz w:val="18"/>
                      <w:szCs w:val="18"/>
                    </w:rPr>
                    <w:t>技术参数</w:t>
                  </w:r>
                </w:p>
              </w:tc>
              <w:tc>
                <w:tcPr>
                  <w:tcW w:w="582" w:type="pct"/>
                  <w:vAlign w:val="center"/>
                </w:tcPr>
                <w:p w14:paraId="06260CB9">
                  <w:pPr>
                    <w:jc w:val="center"/>
                    <w:rPr>
                      <w:b/>
                      <w:bCs/>
                      <w:sz w:val="18"/>
                      <w:szCs w:val="18"/>
                    </w:rPr>
                  </w:pPr>
                  <w:r>
                    <w:rPr>
                      <w:rFonts w:hint="eastAsia"/>
                      <w:b/>
                      <w:bCs/>
                      <w:sz w:val="18"/>
                      <w:szCs w:val="18"/>
                    </w:rPr>
                    <w:t>功率（kW）</w:t>
                  </w:r>
                </w:p>
              </w:tc>
              <w:tc>
                <w:tcPr>
                  <w:tcW w:w="627" w:type="pct"/>
                  <w:vAlign w:val="center"/>
                </w:tcPr>
                <w:p w14:paraId="7CC2C036">
                  <w:pPr>
                    <w:jc w:val="center"/>
                    <w:rPr>
                      <w:b/>
                      <w:bCs/>
                      <w:sz w:val="18"/>
                      <w:szCs w:val="18"/>
                    </w:rPr>
                  </w:pPr>
                  <w:r>
                    <w:rPr>
                      <w:b/>
                      <w:bCs/>
                      <w:sz w:val="18"/>
                      <w:szCs w:val="18"/>
                    </w:rPr>
                    <w:t>数量</w:t>
                  </w:r>
                  <w:r>
                    <w:rPr>
                      <w:rFonts w:hint="eastAsia"/>
                      <w:b/>
                      <w:bCs/>
                      <w:sz w:val="18"/>
                      <w:szCs w:val="18"/>
                    </w:rPr>
                    <w:t>（台）</w:t>
                  </w:r>
                </w:p>
              </w:tc>
              <w:tc>
                <w:tcPr>
                  <w:tcW w:w="1485" w:type="pct"/>
                  <w:shd w:val="clear" w:color="auto" w:fill="auto"/>
                  <w:vAlign w:val="center"/>
                </w:tcPr>
                <w:p w14:paraId="116993B6">
                  <w:pPr>
                    <w:jc w:val="center"/>
                    <w:rPr>
                      <w:b/>
                      <w:bCs/>
                      <w:sz w:val="18"/>
                      <w:szCs w:val="18"/>
                    </w:rPr>
                  </w:pPr>
                  <w:r>
                    <w:rPr>
                      <w:rFonts w:hint="eastAsia"/>
                      <w:b/>
                      <w:bCs/>
                      <w:sz w:val="18"/>
                      <w:szCs w:val="18"/>
                    </w:rPr>
                    <w:t>备注</w:t>
                  </w:r>
                </w:p>
              </w:tc>
            </w:tr>
            <w:tr w14:paraId="39BE49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30BFE7C4">
                  <w:pPr>
                    <w:jc w:val="center"/>
                    <w:rPr>
                      <w:sz w:val="18"/>
                      <w:szCs w:val="18"/>
                    </w:rPr>
                  </w:pPr>
                  <w:r>
                    <w:rPr>
                      <w:rFonts w:hint="eastAsia"/>
                      <w:sz w:val="18"/>
                      <w:szCs w:val="18"/>
                    </w:rPr>
                    <w:t>1</w:t>
                  </w:r>
                </w:p>
              </w:tc>
              <w:tc>
                <w:tcPr>
                  <w:tcW w:w="1089" w:type="pct"/>
                  <w:shd w:val="clear" w:color="auto" w:fill="auto"/>
                  <w:vAlign w:val="center"/>
                </w:tcPr>
                <w:p w14:paraId="4D2B0ACA">
                  <w:pPr>
                    <w:jc w:val="center"/>
                    <w:rPr>
                      <w:sz w:val="18"/>
                      <w:szCs w:val="18"/>
                    </w:rPr>
                  </w:pPr>
                  <w:r>
                    <w:rPr>
                      <w:rFonts w:hint="eastAsia"/>
                      <w:sz w:val="18"/>
                      <w:szCs w:val="18"/>
                    </w:rPr>
                    <w:t>多功能煎药机（20L）</w:t>
                  </w:r>
                </w:p>
              </w:tc>
              <w:tc>
                <w:tcPr>
                  <w:tcW w:w="903" w:type="pct"/>
                  <w:shd w:val="clear" w:color="auto" w:fill="auto"/>
                  <w:vAlign w:val="center"/>
                </w:tcPr>
                <w:p w14:paraId="0749D741">
                  <w:pPr>
                    <w:jc w:val="center"/>
                    <w:rPr>
                      <w:sz w:val="18"/>
                      <w:szCs w:val="18"/>
                    </w:rPr>
                  </w:pPr>
                  <w:r>
                    <w:rPr>
                      <w:rFonts w:hint="eastAsia"/>
                      <w:sz w:val="18"/>
                      <w:szCs w:val="18"/>
                    </w:rPr>
                    <w:t>YJD20-A（上挤压型）</w:t>
                  </w:r>
                </w:p>
              </w:tc>
              <w:tc>
                <w:tcPr>
                  <w:tcW w:w="582" w:type="pct"/>
                  <w:vAlign w:val="center"/>
                </w:tcPr>
                <w:p w14:paraId="36D3935C">
                  <w:pPr>
                    <w:jc w:val="center"/>
                    <w:rPr>
                      <w:sz w:val="18"/>
                      <w:szCs w:val="18"/>
                    </w:rPr>
                  </w:pPr>
                  <w:r>
                    <w:rPr>
                      <w:rFonts w:hint="eastAsia"/>
                      <w:sz w:val="18"/>
                      <w:szCs w:val="18"/>
                    </w:rPr>
                    <w:t>2.2</w:t>
                  </w:r>
                </w:p>
              </w:tc>
              <w:tc>
                <w:tcPr>
                  <w:tcW w:w="627" w:type="pct"/>
                  <w:vAlign w:val="center"/>
                </w:tcPr>
                <w:p w14:paraId="6DC8F37B">
                  <w:pPr>
                    <w:jc w:val="center"/>
                    <w:rPr>
                      <w:sz w:val="18"/>
                      <w:szCs w:val="18"/>
                    </w:rPr>
                  </w:pPr>
                  <w:r>
                    <w:rPr>
                      <w:rFonts w:hint="eastAsia"/>
                      <w:sz w:val="18"/>
                      <w:szCs w:val="18"/>
                    </w:rPr>
                    <w:t>48</w:t>
                  </w:r>
                </w:p>
              </w:tc>
              <w:tc>
                <w:tcPr>
                  <w:tcW w:w="1485" w:type="pct"/>
                  <w:shd w:val="clear" w:color="auto" w:fill="auto"/>
                  <w:vAlign w:val="center"/>
                </w:tcPr>
                <w:p w14:paraId="78A053DD">
                  <w:pPr>
                    <w:jc w:val="center"/>
                    <w:rPr>
                      <w:sz w:val="18"/>
                      <w:szCs w:val="18"/>
                    </w:rPr>
                  </w:pPr>
                  <w:r>
                    <w:rPr>
                      <w:rFonts w:hint="eastAsia"/>
                      <w:sz w:val="18"/>
                      <w:szCs w:val="18"/>
                    </w:rPr>
                    <w:t>/</w:t>
                  </w:r>
                </w:p>
              </w:tc>
            </w:tr>
            <w:tr w14:paraId="23F87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5403B827">
                  <w:pPr>
                    <w:jc w:val="center"/>
                    <w:rPr>
                      <w:sz w:val="18"/>
                      <w:szCs w:val="18"/>
                    </w:rPr>
                  </w:pPr>
                  <w:r>
                    <w:rPr>
                      <w:rFonts w:hint="eastAsia"/>
                      <w:sz w:val="18"/>
                      <w:szCs w:val="18"/>
                    </w:rPr>
                    <w:t>2</w:t>
                  </w:r>
                </w:p>
              </w:tc>
              <w:tc>
                <w:tcPr>
                  <w:tcW w:w="1089" w:type="pct"/>
                  <w:shd w:val="clear" w:color="auto" w:fill="auto"/>
                  <w:vAlign w:val="center"/>
                </w:tcPr>
                <w:p w14:paraId="2DBC959F">
                  <w:pPr>
                    <w:jc w:val="center"/>
                    <w:rPr>
                      <w:sz w:val="18"/>
                      <w:szCs w:val="18"/>
                    </w:rPr>
                  </w:pPr>
                  <w:r>
                    <w:rPr>
                      <w:rFonts w:hint="eastAsia"/>
                      <w:sz w:val="18"/>
                      <w:szCs w:val="18"/>
                    </w:rPr>
                    <w:t>多功能煎药机（40L）</w:t>
                  </w:r>
                </w:p>
              </w:tc>
              <w:tc>
                <w:tcPr>
                  <w:tcW w:w="903" w:type="pct"/>
                  <w:shd w:val="clear" w:color="auto" w:fill="auto"/>
                  <w:vAlign w:val="center"/>
                </w:tcPr>
                <w:p w14:paraId="36C4CC5B">
                  <w:pPr>
                    <w:jc w:val="center"/>
                    <w:rPr>
                      <w:sz w:val="18"/>
                      <w:szCs w:val="18"/>
                    </w:rPr>
                  </w:pPr>
                  <w:r>
                    <w:rPr>
                      <w:rFonts w:hint="eastAsia"/>
                      <w:sz w:val="18"/>
                      <w:szCs w:val="18"/>
                    </w:rPr>
                    <w:t>YJD40-A（上挤压型）</w:t>
                  </w:r>
                </w:p>
              </w:tc>
              <w:tc>
                <w:tcPr>
                  <w:tcW w:w="582" w:type="pct"/>
                  <w:vAlign w:val="center"/>
                </w:tcPr>
                <w:p w14:paraId="36E07F7F">
                  <w:pPr>
                    <w:jc w:val="center"/>
                    <w:rPr>
                      <w:sz w:val="18"/>
                      <w:szCs w:val="18"/>
                    </w:rPr>
                  </w:pPr>
                  <w:r>
                    <w:rPr>
                      <w:rFonts w:hint="eastAsia"/>
                      <w:sz w:val="18"/>
                      <w:szCs w:val="18"/>
                    </w:rPr>
                    <w:t>3.4</w:t>
                  </w:r>
                </w:p>
              </w:tc>
              <w:tc>
                <w:tcPr>
                  <w:tcW w:w="627" w:type="pct"/>
                  <w:vAlign w:val="center"/>
                </w:tcPr>
                <w:p w14:paraId="5D880D11">
                  <w:pPr>
                    <w:jc w:val="center"/>
                    <w:rPr>
                      <w:sz w:val="18"/>
                      <w:szCs w:val="18"/>
                    </w:rPr>
                  </w:pPr>
                  <w:r>
                    <w:rPr>
                      <w:rFonts w:hint="eastAsia"/>
                      <w:sz w:val="18"/>
                      <w:szCs w:val="18"/>
                    </w:rPr>
                    <w:t>16</w:t>
                  </w:r>
                </w:p>
              </w:tc>
              <w:tc>
                <w:tcPr>
                  <w:tcW w:w="1485" w:type="pct"/>
                  <w:shd w:val="clear" w:color="auto" w:fill="auto"/>
                  <w:vAlign w:val="center"/>
                </w:tcPr>
                <w:p w14:paraId="4F87B35B">
                  <w:pPr>
                    <w:jc w:val="center"/>
                    <w:rPr>
                      <w:sz w:val="18"/>
                      <w:szCs w:val="18"/>
                    </w:rPr>
                  </w:pPr>
                  <w:r>
                    <w:rPr>
                      <w:rFonts w:hint="eastAsia"/>
                      <w:sz w:val="18"/>
                      <w:szCs w:val="18"/>
                    </w:rPr>
                    <w:t>/</w:t>
                  </w:r>
                </w:p>
              </w:tc>
            </w:tr>
            <w:tr w14:paraId="5B7FC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0E7BD0A7">
                  <w:pPr>
                    <w:jc w:val="center"/>
                    <w:rPr>
                      <w:sz w:val="18"/>
                      <w:szCs w:val="18"/>
                    </w:rPr>
                  </w:pPr>
                  <w:r>
                    <w:rPr>
                      <w:rFonts w:hint="eastAsia"/>
                      <w:sz w:val="18"/>
                      <w:szCs w:val="18"/>
                    </w:rPr>
                    <w:t>3</w:t>
                  </w:r>
                </w:p>
              </w:tc>
              <w:tc>
                <w:tcPr>
                  <w:tcW w:w="1089" w:type="pct"/>
                  <w:shd w:val="clear" w:color="auto" w:fill="auto"/>
                  <w:vAlign w:val="center"/>
                </w:tcPr>
                <w:p w14:paraId="3F006259">
                  <w:pPr>
                    <w:jc w:val="center"/>
                    <w:rPr>
                      <w:sz w:val="18"/>
                      <w:szCs w:val="18"/>
                    </w:rPr>
                  </w:pPr>
                  <w:r>
                    <w:rPr>
                      <w:rFonts w:hint="eastAsia"/>
                      <w:sz w:val="18"/>
                      <w:szCs w:val="18"/>
                    </w:rPr>
                    <w:t>包装贴标一体机</w:t>
                  </w:r>
                </w:p>
              </w:tc>
              <w:tc>
                <w:tcPr>
                  <w:tcW w:w="903" w:type="pct"/>
                  <w:shd w:val="clear" w:color="auto" w:fill="auto"/>
                  <w:vAlign w:val="center"/>
                </w:tcPr>
                <w:p w14:paraId="0CC9B558">
                  <w:pPr>
                    <w:jc w:val="center"/>
                    <w:rPr>
                      <w:sz w:val="18"/>
                      <w:szCs w:val="18"/>
                    </w:rPr>
                  </w:pPr>
                  <w:r>
                    <w:rPr>
                      <w:rFonts w:hint="eastAsia"/>
                      <w:sz w:val="18"/>
                      <w:szCs w:val="18"/>
                    </w:rPr>
                    <w:t>YBT50-250</w:t>
                  </w:r>
                </w:p>
              </w:tc>
              <w:tc>
                <w:tcPr>
                  <w:tcW w:w="582" w:type="pct"/>
                  <w:vAlign w:val="center"/>
                </w:tcPr>
                <w:p w14:paraId="313EAF9C">
                  <w:pPr>
                    <w:jc w:val="center"/>
                    <w:rPr>
                      <w:sz w:val="18"/>
                      <w:szCs w:val="18"/>
                    </w:rPr>
                  </w:pPr>
                  <w:r>
                    <w:rPr>
                      <w:rFonts w:hint="eastAsia"/>
                      <w:sz w:val="18"/>
                      <w:szCs w:val="18"/>
                    </w:rPr>
                    <w:t>2.9</w:t>
                  </w:r>
                </w:p>
              </w:tc>
              <w:tc>
                <w:tcPr>
                  <w:tcW w:w="627" w:type="pct"/>
                  <w:vAlign w:val="center"/>
                </w:tcPr>
                <w:p w14:paraId="4CE3C7D1">
                  <w:pPr>
                    <w:jc w:val="center"/>
                    <w:rPr>
                      <w:sz w:val="18"/>
                      <w:szCs w:val="18"/>
                    </w:rPr>
                  </w:pPr>
                  <w:r>
                    <w:rPr>
                      <w:rFonts w:hint="eastAsia"/>
                      <w:sz w:val="18"/>
                      <w:szCs w:val="18"/>
                    </w:rPr>
                    <w:t>16</w:t>
                  </w:r>
                </w:p>
              </w:tc>
              <w:tc>
                <w:tcPr>
                  <w:tcW w:w="1485" w:type="pct"/>
                  <w:shd w:val="clear" w:color="auto" w:fill="auto"/>
                  <w:vAlign w:val="center"/>
                </w:tcPr>
                <w:p w14:paraId="0A40300B">
                  <w:pPr>
                    <w:jc w:val="center"/>
                    <w:rPr>
                      <w:sz w:val="18"/>
                      <w:szCs w:val="18"/>
                    </w:rPr>
                  </w:pPr>
                  <w:r>
                    <w:rPr>
                      <w:rFonts w:hint="eastAsia"/>
                      <w:sz w:val="18"/>
                      <w:szCs w:val="18"/>
                    </w:rPr>
                    <w:t>/</w:t>
                  </w:r>
                </w:p>
              </w:tc>
            </w:tr>
            <w:tr w14:paraId="4D1EE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501EDB9A">
                  <w:pPr>
                    <w:jc w:val="center"/>
                    <w:rPr>
                      <w:sz w:val="18"/>
                      <w:szCs w:val="18"/>
                    </w:rPr>
                  </w:pPr>
                  <w:r>
                    <w:rPr>
                      <w:rFonts w:hint="eastAsia"/>
                      <w:sz w:val="18"/>
                      <w:szCs w:val="18"/>
                    </w:rPr>
                    <w:t>4</w:t>
                  </w:r>
                </w:p>
              </w:tc>
              <w:tc>
                <w:tcPr>
                  <w:tcW w:w="1089" w:type="pct"/>
                  <w:shd w:val="clear" w:color="auto" w:fill="auto"/>
                  <w:vAlign w:val="center"/>
                </w:tcPr>
                <w:p w14:paraId="4ADB8E64">
                  <w:pPr>
                    <w:jc w:val="center"/>
                    <w:rPr>
                      <w:sz w:val="18"/>
                      <w:szCs w:val="18"/>
                    </w:rPr>
                  </w:pPr>
                  <w:r>
                    <w:rPr>
                      <w:rFonts w:hint="eastAsia"/>
                      <w:sz w:val="18"/>
                      <w:szCs w:val="18"/>
                    </w:rPr>
                    <w:t>蒸汽发生器</w:t>
                  </w:r>
                </w:p>
              </w:tc>
              <w:tc>
                <w:tcPr>
                  <w:tcW w:w="903" w:type="pct"/>
                  <w:shd w:val="clear" w:color="auto" w:fill="auto"/>
                  <w:vAlign w:val="center"/>
                </w:tcPr>
                <w:p w14:paraId="63F27E4C">
                  <w:pPr>
                    <w:jc w:val="center"/>
                    <w:rPr>
                      <w:sz w:val="18"/>
                      <w:szCs w:val="18"/>
                    </w:rPr>
                  </w:pPr>
                  <w:r>
                    <w:rPr>
                      <w:rFonts w:hint="eastAsia"/>
                      <w:sz w:val="18"/>
                      <w:szCs w:val="18"/>
                    </w:rPr>
                    <w:t>JHYFS-36</w:t>
                  </w:r>
                </w:p>
              </w:tc>
              <w:tc>
                <w:tcPr>
                  <w:tcW w:w="582" w:type="pct"/>
                  <w:vAlign w:val="center"/>
                </w:tcPr>
                <w:p w14:paraId="68E41FFE">
                  <w:pPr>
                    <w:jc w:val="center"/>
                    <w:rPr>
                      <w:sz w:val="18"/>
                      <w:szCs w:val="18"/>
                    </w:rPr>
                  </w:pPr>
                  <w:r>
                    <w:rPr>
                      <w:rFonts w:hint="eastAsia"/>
                      <w:sz w:val="18"/>
                      <w:szCs w:val="18"/>
                    </w:rPr>
                    <w:t>36</w:t>
                  </w:r>
                </w:p>
              </w:tc>
              <w:tc>
                <w:tcPr>
                  <w:tcW w:w="627" w:type="pct"/>
                  <w:vAlign w:val="center"/>
                </w:tcPr>
                <w:p w14:paraId="12AC532E">
                  <w:pPr>
                    <w:jc w:val="center"/>
                    <w:rPr>
                      <w:sz w:val="18"/>
                      <w:szCs w:val="18"/>
                    </w:rPr>
                  </w:pPr>
                  <w:r>
                    <w:rPr>
                      <w:rFonts w:hint="eastAsia"/>
                      <w:sz w:val="18"/>
                      <w:szCs w:val="18"/>
                    </w:rPr>
                    <w:t>1</w:t>
                  </w:r>
                </w:p>
              </w:tc>
              <w:tc>
                <w:tcPr>
                  <w:tcW w:w="1485" w:type="pct"/>
                  <w:shd w:val="clear" w:color="auto" w:fill="auto"/>
                  <w:vAlign w:val="center"/>
                </w:tcPr>
                <w:p w14:paraId="29AF821A">
                  <w:pPr>
                    <w:jc w:val="left"/>
                    <w:rPr>
                      <w:sz w:val="18"/>
                      <w:szCs w:val="18"/>
                    </w:rPr>
                  </w:pPr>
                  <w:r>
                    <w:rPr>
                      <w:rFonts w:hint="eastAsia"/>
                      <w:color w:val="000000"/>
                      <w:sz w:val="18"/>
                      <w:szCs w:val="18"/>
                    </w:rPr>
                    <w:t>蒸发量：≤50公斤</w:t>
                  </w:r>
                  <w:r>
                    <w:rPr>
                      <w:rFonts w:hint="eastAsia"/>
                      <w:color w:val="000000"/>
                      <w:sz w:val="18"/>
                      <w:szCs w:val="18"/>
                    </w:rPr>
                    <w:br w:type="textWrapping"/>
                  </w:r>
                  <w:r>
                    <w:rPr>
                      <w:rFonts w:hint="eastAsia"/>
                      <w:color w:val="000000"/>
                      <w:sz w:val="18"/>
                      <w:szCs w:val="18"/>
                    </w:rPr>
                    <w:t>额定工作压力：≤0.7Mpa</w:t>
                  </w:r>
                  <w:r>
                    <w:rPr>
                      <w:rFonts w:hint="eastAsia"/>
                      <w:color w:val="000000"/>
                      <w:sz w:val="18"/>
                      <w:szCs w:val="18"/>
                    </w:rPr>
                    <w:br w:type="textWrapping"/>
                  </w:r>
                  <w:r>
                    <w:rPr>
                      <w:rFonts w:hint="eastAsia"/>
                      <w:color w:val="000000"/>
                      <w:sz w:val="18"/>
                      <w:szCs w:val="18"/>
                    </w:rPr>
                    <w:t>水容积：29L</w:t>
                  </w:r>
                  <w:r>
                    <w:rPr>
                      <w:rFonts w:hint="eastAsia"/>
                      <w:color w:val="000000"/>
                      <w:sz w:val="18"/>
                      <w:szCs w:val="18"/>
                    </w:rPr>
                    <w:br w:type="textWrapping"/>
                  </w:r>
                  <w:r>
                    <w:rPr>
                      <w:rFonts w:hint="eastAsia"/>
                      <w:color w:val="000000"/>
                      <w:sz w:val="18"/>
                      <w:szCs w:val="18"/>
                    </w:rPr>
                    <w:t>最高耗电量：36kw/h</w:t>
                  </w:r>
                  <w:r>
                    <w:rPr>
                      <w:rFonts w:hint="eastAsia"/>
                      <w:color w:val="000000"/>
                      <w:sz w:val="18"/>
                      <w:szCs w:val="18"/>
                    </w:rPr>
                    <w:br w:type="textWrapping"/>
                  </w:r>
                  <w:r>
                    <w:rPr>
                      <w:rFonts w:hint="eastAsia"/>
                      <w:color w:val="000000"/>
                      <w:sz w:val="18"/>
                      <w:szCs w:val="18"/>
                    </w:rPr>
                    <w:t>额定功率：36KW</w:t>
                  </w:r>
                </w:p>
              </w:tc>
            </w:tr>
            <w:tr w14:paraId="0317F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365A0DB2">
                  <w:pPr>
                    <w:jc w:val="center"/>
                    <w:rPr>
                      <w:sz w:val="18"/>
                      <w:szCs w:val="18"/>
                    </w:rPr>
                  </w:pPr>
                  <w:r>
                    <w:rPr>
                      <w:rFonts w:hint="eastAsia"/>
                      <w:sz w:val="18"/>
                      <w:szCs w:val="18"/>
                    </w:rPr>
                    <w:t>5</w:t>
                  </w:r>
                </w:p>
              </w:tc>
              <w:tc>
                <w:tcPr>
                  <w:tcW w:w="1089" w:type="pct"/>
                  <w:shd w:val="clear" w:color="auto" w:fill="auto"/>
                  <w:vAlign w:val="center"/>
                </w:tcPr>
                <w:p w14:paraId="37CC3337">
                  <w:pPr>
                    <w:jc w:val="center"/>
                    <w:rPr>
                      <w:sz w:val="18"/>
                      <w:szCs w:val="18"/>
                    </w:rPr>
                  </w:pPr>
                  <w:r>
                    <w:rPr>
                      <w:rFonts w:hint="eastAsia"/>
                      <w:sz w:val="18"/>
                      <w:szCs w:val="18"/>
                    </w:rPr>
                    <w:t>夹层锅（40L）</w:t>
                  </w:r>
                </w:p>
              </w:tc>
              <w:tc>
                <w:tcPr>
                  <w:tcW w:w="903" w:type="pct"/>
                  <w:shd w:val="clear" w:color="auto" w:fill="auto"/>
                  <w:vAlign w:val="center"/>
                </w:tcPr>
                <w:p w14:paraId="2FD59EBF">
                  <w:pPr>
                    <w:jc w:val="center"/>
                    <w:rPr>
                      <w:sz w:val="18"/>
                      <w:szCs w:val="18"/>
                    </w:rPr>
                  </w:pPr>
                  <w:r>
                    <w:rPr>
                      <w:rFonts w:hint="eastAsia"/>
                      <w:sz w:val="18"/>
                      <w:szCs w:val="18"/>
                    </w:rPr>
                    <w:t>JHYJC-50</w:t>
                  </w:r>
                </w:p>
              </w:tc>
              <w:tc>
                <w:tcPr>
                  <w:tcW w:w="582" w:type="pct"/>
                  <w:vAlign w:val="center"/>
                </w:tcPr>
                <w:p w14:paraId="3137D017">
                  <w:pPr>
                    <w:jc w:val="center"/>
                    <w:rPr>
                      <w:sz w:val="18"/>
                      <w:szCs w:val="18"/>
                    </w:rPr>
                  </w:pPr>
                  <w:r>
                    <w:rPr>
                      <w:rFonts w:hint="eastAsia"/>
                      <w:sz w:val="18"/>
                      <w:szCs w:val="18"/>
                    </w:rPr>
                    <w:t>/</w:t>
                  </w:r>
                </w:p>
              </w:tc>
              <w:tc>
                <w:tcPr>
                  <w:tcW w:w="627" w:type="pct"/>
                  <w:vAlign w:val="center"/>
                </w:tcPr>
                <w:p w14:paraId="4536DFDE">
                  <w:pPr>
                    <w:jc w:val="center"/>
                    <w:rPr>
                      <w:sz w:val="18"/>
                      <w:szCs w:val="18"/>
                    </w:rPr>
                  </w:pPr>
                  <w:r>
                    <w:rPr>
                      <w:rFonts w:hint="eastAsia"/>
                      <w:sz w:val="18"/>
                      <w:szCs w:val="18"/>
                    </w:rPr>
                    <w:t>2</w:t>
                  </w:r>
                </w:p>
              </w:tc>
              <w:tc>
                <w:tcPr>
                  <w:tcW w:w="1485" w:type="pct"/>
                  <w:shd w:val="clear" w:color="auto" w:fill="auto"/>
                  <w:vAlign w:val="center"/>
                </w:tcPr>
                <w:p w14:paraId="0D409EC7">
                  <w:pPr>
                    <w:jc w:val="left"/>
                    <w:rPr>
                      <w:sz w:val="18"/>
                      <w:szCs w:val="18"/>
                    </w:rPr>
                  </w:pPr>
                  <w:r>
                    <w:rPr>
                      <w:rFonts w:hint="eastAsia"/>
                      <w:color w:val="000000"/>
                      <w:sz w:val="18"/>
                      <w:szCs w:val="18"/>
                    </w:rPr>
                    <w:t>采用蒸汽加热形式，与蒸汽发生器配套使用；</w:t>
                  </w:r>
                </w:p>
              </w:tc>
            </w:tr>
            <w:tr w14:paraId="4B6D2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48BF6A99">
                  <w:pPr>
                    <w:jc w:val="center"/>
                    <w:rPr>
                      <w:sz w:val="18"/>
                      <w:szCs w:val="18"/>
                    </w:rPr>
                  </w:pPr>
                  <w:r>
                    <w:rPr>
                      <w:rFonts w:hint="eastAsia"/>
                      <w:sz w:val="18"/>
                      <w:szCs w:val="18"/>
                    </w:rPr>
                    <w:t>6</w:t>
                  </w:r>
                </w:p>
              </w:tc>
              <w:tc>
                <w:tcPr>
                  <w:tcW w:w="1089" w:type="pct"/>
                  <w:shd w:val="clear" w:color="auto" w:fill="auto"/>
                  <w:vAlign w:val="center"/>
                </w:tcPr>
                <w:p w14:paraId="726955B5">
                  <w:pPr>
                    <w:jc w:val="center"/>
                    <w:rPr>
                      <w:sz w:val="18"/>
                      <w:szCs w:val="18"/>
                    </w:rPr>
                  </w:pPr>
                  <w:r>
                    <w:rPr>
                      <w:rFonts w:hint="eastAsia"/>
                      <w:sz w:val="18"/>
                      <w:szCs w:val="18"/>
                    </w:rPr>
                    <w:t>膏方包装机</w:t>
                  </w:r>
                </w:p>
              </w:tc>
              <w:tc>
                <w:tcPr>
                  <w:tcW w:w="903" w:type="pct"/>
                  <w:shd w:val="clear" w:color="auto" w:fill="auto"/>
                  <w:vAlign w:val="center"/>
                </w:tcPr>
                <w:p w14:paraId="4E0A07B3">
                  <w:pPr>
                    <w:jc w:val="center"/>
                    <w:rPr>
                      <w:sz w:val="18"/>
                      <w:szCs w:val="18"/>
                    </w:rPr>
                  </w:pPr>
                  <w:r>
                    <w:rPr>
                      <w:rFonts w:hint="eastAsia"/>
                      <w:sz w:val="18"/>
                      <w:szCs w:val="18"/>
                    </w:rPr>
                    <w:t>YBG/WJ</w:t>
                  </w:r>
                </w:p>
              </w:tc>
              <w:tc>
                <w:tcPr>
                  <w:tcW w:w="582" w:type="pct"/>
                  <w:vAlign w:val="center"/>
                </w:tcPr>
                <w:p w14:paraId="71D63D1C">
                  <w:pPr>
                    <w:jc w:val="center"/>
                    <w:rPr>
                      <w:sz w:val="18"/>
                      <w:szCs w:val="18"/>
                    </w:rPr>
                  </w:pPr>
                  <w:r>
                    <w:rPr>
                      <w:rFonts w:hint="eastAsia"/>
                      <w:sz w:val="18"/>
                      <w:szCs w:val="18"/>
                    </w:rPr>
                    <w:t>2.2</w:t>
                  </w:r>
                </w:p>
              </w:tc>
              <w:tc>
                <w:tcPr>
                  <w:tcW w:w="627" w:type="pct"/>
                  <w:vAlign w:val="center"/>
                </w:tcPr>
                <w:p w14:paraId="42F34845">
                  <w:pPr>
                    <w:jc w:val="center"/>
                    <w:rPr>
                      <w:sz w:val="18"/>
                      <w:szCs w:val="18"/>
                    </w:rPr>
                  </w:pPr>
                  <w:r>
                    <w:rPr>
                      <w:rFonts w:hint="eastAsia"/>
                      <w:sz w:val="18"/>
                      <w:szCs w:val="18"/>
                    </w:rPr>
                    <w:t>1</w:t>
                  </w:r>
                </w:p>
              </w:tc>
              <w:tc>
                <w:tcPr>
                  <w:tcW w:w="1485" w:type="pct"/>
                  <w:shd w:val="clear" w:color="auto" w:fill="auto"/>
                  <w:vAlign w:val="center"/>
                </w:tcPr>
                <w:p w14:paraId="45D9B121">
                  <w:pPr>
                    <w:jc w:val="center"/>
                    <w:rPr>
                      <w:sz w:val="18"/>
                      <w:szCs w:val="18"/>
                    </w:rPr>
                  </w:pPr>
                  <w:r>
                    <w:rPr>
                      <w:rFonts w:hint="eastAsia"/>
                      <w:sz w:val="18"/>
                      <w:szCs w:val="18"/>
                    </w:rPr>
                    <w:t>/</w:t>
                  </w:r>
                </w:p>
              </w:tc>
            </w:tr>
            <w:tr w14:paraId="5C09F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348F00FB">
                  <w:pPr>
                    <w:jc w:val="center"/>
                    <w:rPr>
                      <w:sz w:val="18"/>
                      <w:szCs w:val="18"/>
                    </w:rPr>
                  </w:pPr>
                  <w:r>
                    <w:rPr>
                      <w:rFonts w:hint="eastAsia"/>
                      <w:sz w:val="18"/>
                      <w:szCs w:val="18"/>
                    </w:rPr>
                    <w:t>7</w:t>
                  </w:r>
                </w:p>
              </w:tc>
              <w:tc>
                <w:tcPr>
                  <w:tcW w:w="1089" w:type="pct"/>
                  <w:shd w:val="clear" w:color="auto" w:fill="auto"/>
                  <w:vAlign w:val="center"/>
                </w:tcPr>
                <w:p w14:paraId="6D2567BC">
                  <w:pPr>
                    <w:jc w:val="center"/>
                    <w:rPr>
                      <w:sz w:val="18"/>
                      <w:szCs w:val="18"/>
                    </w:rPr>
                  </w:pPr>
                  <w:r>
                    <w:rPr>
                      <w:rFonts w:hint="eastAsia"/>
                      <w:sz w:val="18"/>
                      <w:szCs w:val="18"/>
                    </w:rPr>
                    <w:t>多功能煎药机（40L）</w:t>
                  </w:r>
                </w:p>
              </w:tc>
              <w:tc>
                <w:tcPr>
                  <w:tcW w:w="903" w:type="pct"/>
                  <w:shd w:val="clear" w:color="auto" w:fill="auto"/>
                  <w:vAlign w:val="center"/>
                </w:tcPr>
                <w:p w14:paraId="4F098D3C">
                  <w:pPr>
                    <w:jc w:val="center"/>
                    <w:rPr>
                      <w:sz w:val="18"/>
                      <w:szCs w:val="18"/>
                    </w:rPr>
                  </w:pPr>
                  <w:r>
                    <w:rPr>
                      <w:rFonts w:hint="eastAsia"/>
                      <w:sz w:val="18"/>
                      <w:szCs w:val="18"/>
                    </w:rPr>
                    <w:t>YJD40-A（上挤压型）</w:t>
                  </w:r>
                </w:p>
              </w:tc>
              <w:tc>
                <w:tcPr>
                  <w:tcW w:w="582" w:type="pct"/>
                  <w:vAlign w:val="center"/>
                </w:tcPr>
                <w:p w14:paraId="3C7C0D0A">
                  <w:pPr>
                    <w:jc w:val="center"/>
                    <w:rPr>
                      <w:sz w:val="18"/>
                      <w:szCs w:val="18"/>
                    </w:rPr>
                  </w:pPr>
                  <w:r>
                    <w:rPr>
                      <w:rFonts w:hint="eastAsia"/>
                      <w:sz w:val="18"/>
                      <w:szCs w:val="18"/>
                    </w:rPr>
                    <w:t>3.4</w:t>
                  </w:r>
                </w:p>
              </w:tc>
              <w:tc>
                <w:tcPr>
                  <w:tcW w:w="627" w:type="pct"/>
                  <w:vAlign w:val="center"/>
                </w:tcPr>
                <w:p w14:paraId="7E0D1517">
                  <w:pPr>
                    <w:jc w:val="center"/>
                    <w:rPr>
                      <w:sz w:val="18"/>
                      <w:szCs w:val="18"/>
                    </w:rPr>
                  </w:pPr>
                  <w:r>
                    <w:rPr>
                      <w:rFonts w:hint="eastAsia"/>
                      <w:sz w:val="18"/>
                      <w:szCs w:val="18"/>
                    </w:rPr>
                    <w:t>1</w:t>
                  </w:r>
                </w:p>
              </w:tc>
              <w:tc>
                <w:tcPr>
                  <w:tcW w:w="1485" w:type="pct"/>
                  <w:shd w:val="clear" w:color="auto" w:fill="auto"/>
                  <w:vAlign w:val="center"/>
                </w:tcPr>
                <w:p w14:paraId="2DA2DD21">
                  <w:pPr>
                    <w:jc w:val="center"/>
                    <w:rPr>
                      <w:sz w:val="18"/>
                      <w:szCs w:val="18"/>
                    </w:rPr>
                  </w:pPr>
                  <w:r>
                    <w:rPr>
                      <w:rFonts w:hint="eastAsia"/>
                      <w:sz w:val="18"/>
                      <w:szCs w:val="18"/>
                    </w:rPr>
                    <w:t>/</w:t>
                  </w:r>
                </w:p>
              </w:tc>
            </w:tr>
            <w:tr w14:paraId="42DE94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0552EE4B">
                  <w:pPr>
                    <w:jc w:val="center"/>
                    <w:rPr>
                      <w:sz w:val="18"/>
                      <w:szCs w:val="18"/>
                    </w:rPr>
                  </w:pPr>
                  <w:r>
                    <w:rPr>
                      <w:rFonts w:hint="eastAsia"/>
                      <w:sz w:val="18"/>
                      <w:szCs w:val="18"/>
                    </w:rPr>
                    <w:t>8</w:t>
                  </w:r>
                </w:p>
              </w:tc>
              <w:tc>
                <w:tcPr>
                  <w:tcW w:w="1089" w:type="pct"/>
                  <w:shd w:val="clear" w:color="auto" w:fill="auto"/>
                  <w:vAlign w:val="center"/>
                </w:tcPr>
                <w:p w14:paraId="598C60F3">
                  <w:pPr>
                    <w:jc w:val="center"/>
                    <w:rPr>
                      <w:sz w:val="18"/>
                      <w:szCs w:val="18"/>
                    </w:rPr>
                  </w:pPr>
                  <w:r>
                    <w:rPr>
                      <w:rFonts w:hint="eastAsia"/>
                      <w:sz w:val="18"/>
                      <w:szCs w:val="18"/>
                    </w:rPr>
                    <w:t>电磁炉</w:t>
                  </w:r>
                </w:p>
              </w:tc>
              <w:tc>
                <w:tcPr>
                  <w:tcW w:w="903" w:type="pct"/>
                  <w:shd w:val="clear" w:color="auto" w:fill="auto"/>
                  <w:vAlign w:val="center"/>
                </w:tcPr>
                <w:p w14:paraId="797042D5">
                  <w:pPr>
                    <w:jc w:val="center"/>
                    <w:rPr>
                      <w:sz w:val="18"/>
                      <w:szCs w:val="18"/>
                    </w:rPr>
                  </w:pPr>
                  <w:r>
                    <w:rPr>
                      <w:rFonts w:hint="eastAsia"/>
                      <w:sz w:val="18"/>
                      <w:szCs w:val="18"/>
                    </w:rPr>
                    <w:t>/</w:t>
                  </w:r>
                </w:p>
              </w:tc>
              <w:tc>
                <w:tcPr>
                  <w:tcW w:w="582" w:type="pct"/>
                  <w:vAlign w:val="center"/>
                </w:tcPr>
                <w:p w14:paraId="62C0EF8B">
                  <w:pPr>
                    <w:jc w:val="center"/>
                    <w:rPr>
                      <w:sz w:val="18"/>
                      <w:szCs w:val="18"/>
                    </w:rPr>
                  </w:pPr>
                  <w:r>
                    <w:rPr>
                      <w:rFonts w:hint="eastAsia"/>
                      <w:sz w:val="18"/>
                      <w:szCs w:val="18"/>
                    </w:rPr>
                    <w:t>5</w:t>
                  </w:r>
                </w:p>
              </w:tc>
              <w:tc>
                <w:tcPr>
                  <w:tcW w:w="627" w:type="pct"/>
                  <w:vAlign w:val="center"/>
                </w:tcPr>
                <w:p w14:paraId="1EB2A59A">
                  <w:pPr>
                    <w:jc w:val="center"/>
                    <w:rPr>
                      <w:sz w:val="18"/>
                      <w:szCs w:val="18"/>
                    </w:rPr>
                  </w:pPr>
                  <w:r>
                    <w:rPr>
                      <w:rFonts w:hint="eastAsia"/>
                      <w:sz w:val="18"/>
                      <w:szCs w:val="18"/>
                    </w:rPr>
                    <w:t>4</w:t>
                  </w:r>
                </w:p>
              </w:tc>
              <w:tc>
                <w:tcPr>
                  <w:tcW w:w="1485" w:type="pct"/>
                  <w:shd w:val="clear" w:color="auto" w:fill="auto"/>
                  <w:vAlign w:val="center"/>
                </w:tcPr>
                <w:p w14:paraId="63C2CA7A">
                  <w:pPr>
                    <w:jc w:val="center"/>
                    <w:rPr>
                      <w:sz w:val="18"/>
                      <w:szCs w:val="18"/>
                    </w:rPr>
                  </w:pPr>
                  <w:r>
                    <w:rPr>
                      <w:rFonts w:hint="eastAsia"/>
                      <w:sz w:val="18"/>
                      <w:szCs w:val="18"/>
                    </w:rPr>
                    <w:t>/</w:t>
                  </w:r>
                </w:p>
              </w:tc>
            </w:tr>
            <w:tr w14:paraId="62EBA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6FF0AE80">
                  <w:pPr>
                    <w:jc w:val="center"/>
                    <w:rPr>
                      <w:sz w:val="18"/>
                      <w:szCs w:val="18"/>
                    </w:rPr>
                  </w:pPr>
                  <w:r>
                    <w:rPr>
                      <w:rFonts w:hint="eastAsia"/>
                      <w:sz w:val="18"/>
                      <w:szCs w:val="18"/>
                    </w:rPr>
                    <w:t>9</w:t>
                  </w:r>
                </w:p>
              </w:tc>
              <w:tc>
                <w:tcPr>
                  <w:tcW w:w="1089" w:type="pct"/>
                  <w:shd w:val="clear" w:color="auto" w:fill="auto"/>
                  <w:vAlign w:val="center"/>
                </w:tcPr>
                <w:p w14:paraId="7F635856">
                  <w:pPr>
                    <w:jc w:val="center"/>
                    <w:rPr>
                      <w:sz w:val="18"/>
                      <w:szCs w:val="18"/>
                    </w:rPr>
                  </w:pPr>
                  <w:r>
                    <w:rPr>
                      <w:rFonts w:hint="eastAsia"/>
                      <w:sz w:val="18"/>
                      <w:szCs w:val="18"/>
                    </w:rPr>
                    <w:t>粉碎机</w:t>
                  </w:r>
                </w:p>
              </w:tc>
              <w:tc>
                <w:tcPr>
                  <w:tcW w:w="903" w:type="pct"/>
                  <w:shd w:val="clear" w:color="auto" w:fill="auto"/>
                  <w:vAlign w:val="center"/>
                </w:tcPr>
                <w:p w14:paraId="2140D48E">
                  <w:pPr>
                    <w:jc w:val="center"/>
                    <w:rPr>
                      <w:sz w:val="18"/>
                      <w:szCs w:val="18"/>
                    </w:rPr>
                  </w:pPr>
                  <w:r>
                    <w:rPr>
                      <w:rFonts w:hint="eastAsia"/>
                      <w:sz w:val="18"/>
                      <w:szCs w:val="18"/>
                    </w:rPr>
                    <w:t>/</w:t>
                  </w:r>
                </w:p>
              </w:tc>
              <w:tc>
                <w:tcPr>
                  <w:tcW w:w="582" w:type="pct"/>
                  <w:vAlign w:val="center"/>
                </w:tcPr>
                <w:p w14:paraId="4F27020F">
                  <w:pPr>
                    <w:jc w:val="center"/>
                    <w:rPr>
                      <w:sz w:val="18"/>
                      <w:szCs w:val="18"/>
                    </w:rPr>
                  </w:pPr>
                  <w:r>
                    <w:rPr>
                      <w:rFonts w:hint="eastAsia"/>
                      <w:sz w:val="18"/>
                      <w:szCs w:val="18"/>
                    </w:rPr>
                    <w:t>5</w:t>
                  </w:r>
                </w:p>
              </w:tc>
              <w:tc>
                <w:tcPr>
                  <w:tcW w:w="627" w:type="pct"/>
                  <w:vAlign w:val="center"/>
                </w:tcPr>
                <w:p w14:paraId="2686D550">
                  <w:pPr>
                    <w:jc w:val="center"/>
                    <w:rPr>
                      <w:sz w:val="18"/>
                      <w:szCs w:val="18"/>
                    </w:rPr>
                  </w:pPr>
                  <w:r>
                    <w:rPr>
                      <w:rFonts w:hint="eastAsia"/>
                      <w:sz w:val="18"/>
                      <w:szCs w:val="18"/>
                    </w:rPr>
                    <w:t>1</w:t>
                  </w:r>
                </w:p>
              </w:tc>
              <w:tc>
                <w:tcPr>
                  <w:tcW w:w="1485" w:type="pct"/>
                  <w:shd w:val="clear" w:color="auto" w:fill="auto"/>
                  <w:vAlign w:val="center"/>
                </w:tcPr>
                <w:p w14:paraId="57513F06">
                  <w:pPr>
                    <w:jc w:val="center"/>
                    <w:rPr>
                      <w:sz w:val="18"/>
                      <w:szCs w:val="18"/>
                    </w:rPr>
                  </w:pPr>
                  <w:r>
                    <w:rPr>
                      <w:rFonts w:hint="eastAsia"/>
                      <w:sz w:val="18"/>
                      <w:szCs w:val="18"/>
                    </w:rPr>
                    <w:t>/</w:t>
                  </w:r>
                </w:p>
              </w:tc>
            </w:tr>
            <w:tr w14:paraId="56438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04A04B14">
                  <w:pPr>
                    <w:jc w:val="center"/>
                    <w:rPr>
                      <w:sz w:val="18"/>
                      <w:szCs w:val="18"/>
                    </w:rPr>
                  </w:pPr>
                  <w:r>
                    <w:rPr>
                      <w:rFonts w:hint="eastAsia"/>
                      <w:sz w:val="18"/>
                      <w:szCs w:val="18"/>
                    </w:rPr>
                    <w:t>10</w:t>
                  </w:r>
                </w:p>
              </w:tc>
              <w:tc>
                <w:tcPr>
                  <w:tcW w:w="1089" w:type="pct"/>
                  <w:shd w:val="clear" w:color="auto" w:fill="auto"/>
                  <w:vAlign w:val="center"/>
                </w:tcPr>
                <w:p w14:paraId="146CF6FD">
                  <w:pPr>
                    <w:jc w:val="center"/>
                    <w:rPr>
                      <w:sz w:val="18"/>
                      <w:szCs w:val="18"/>
                    </w:rPr>
                  </w:pPr>
                  <w:r>
                    <w:rPr>
                      <w:rFonts w:hint="eastAsia"/>
                      <w:sz w:val="18"/>
                      <w:szCs w:val="18"/>
                    </w:rPr>
                    <w:t>制丸机</w:t>
                  </w:r>
                </w:p>
              </w:tc>
              <w:tc>
                <w:tcPr>
                  <w:tcW w:w="903" w:type="pct"/>
                  <w:shd w:val="clear" w:color="auto" w:fill="auto"/>
                  <w:vAlign w:val="center"/>
                </w:tcPr>
                <w:p w14:paraId="334C0EA5">
                  <w:pPr>
                    <w:jc w:val="center"/>
                    <w:rPr>
                      <w:sz w:val="18"/>
                      <w:szCs w:val="18"/>
                    </w:rPr>
                  </w:pPr>
                  <w:r>
                    <w:rPr>
                      <w:rFonts w:hint="eastAsia"/>
                      <w:sz w:val="18"/>
                      <w:szCs w:val="18"/>
                    </w:rPr>
                    <w:t>/</w:t>
                  </w:r>
                </w:p>
              </w:tc>
              <w:tc>
                <w:tcPr>
                  <w:tcW w:w="582" w:type="pct"/>
                  <w:vAlign w:val="center"/>
                </w:tcPr>
                <w:p w14:paraId="07DA9567">
                  <w:pPr>
                    <w:jc w:val="center"/>
                    <w:rPr>
                      <w:sz w:val="18"/>
                      <w:szCs w:val="18"/>
                    </w:rPr>
                  </w:pPr>
                  <w:r>
                    <w:rPr>
                      <w:rFonts w:hint="eastAsia"/>
                      <w:sz w:val="18"/>
                      <w:szCs w:val="18"/>
                    </w:rPr>
                    <w:t>2</w:t>
                  </w:r>
                </w:p>
              </w:tc>
              <w:tc>
                <w:tcPr>
                  <w:tcW w:w="627" w:type="pct"/>
                  <w:vAlign w:val="center"/>
                </w:tcPr>
                <w:p w14:paraId="67A25281">
                  <w:pPr>
                    <w:jc w:val="center"/>
                    <w:rPr>
                      <w:sz w:val="18"/>
                      <w:szCs w:val="18"/>
                    </w:rPr>
                  </w:pPr>
                  <w:r>
                    <w:rPr>
                      <w:rFonts w:hint="eastAsia"/>
                      <w:sz w:val="18"/>
                      <w:szCs w:val="18"/>
                    </w:rPr>
                    <w:t>1</w:t>
                  </w:r>
                </w:p>
              </w:tc>
              <w:tc>
                <w:tcPr>
                  <w:tcW w:w="1485" w:type="pct"/>
                  <w:shd w:val="clear" w:color="auto" w:fill="auto"/>
                  <w:vAlign w:val="center"/>
                </w:tcPr>
                <w:p w14:paraId="20D9955B">
                  <w:pPr>
                    <w:jc w:val="center"/>
                    <w:rPr>
                      <w:sz w:val="18"/>
                      <w:szCs w:val="18"/>
                    </w:rPr>
                  </w:pPr>
                  <w:r>
                    <w:rPr>
                      <w:rFonts w:hint="eastAsia"/>
                      <w:sz w:val="18"/>
                      <w:szCs w:val="18"/>
                    </w:rPr>
                    <w:t>/</w:t>
                  </w:r>
                </w:p>
              </w:tc>
            </w:tr>
            <w:tr w14:paraId="59204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78C2EC9B">
                  <w:pPr>
                    <w:jc w:val="center"/>
                    <w:rPr>
                      <w:sz w:val="18"/>
                      <w:szCs w:val="18"/>
                    </w:rPr>
                  </w:pPr>
                  <w:r>
                    <w:rPr>
                      <w:rFonts w:hint="eastAsia"/>
                      <w:sz w:val="18"/>
                      <w:szCs w:val="18"/>
                    </w:rPr>
                    <w:t>11</w:t>
                  </w:r>
                </w:p>
              </w:tc>
              <w:tc>
                <w:tcPr>
                  <w:tcW w:w="1089" w:type="pct"/>
                  <w:shd w:val="clear" w:color="auto" w:fill="auto"/>
                  <w:vAlign w:val="center"/>
                </w:tcPr>
                <w:p w14:paraId="68FBF2C3">
                  <w:pPr>
                    <w:jc w:val="center"/>
                    <w:rPr>
                      <w:sz w:val="18"/>
                      <w:szCs w:val="18"/>
                    </w:rPr>
                  </w:pPr>
                  <w:r>
                    <w:rPr>
                      <w:rFonts w:hint="eastAsia"/>
                      <w:sz w:val="18"/>
                      <w:szCs w:val="18"/>
                    </w:rPr>
                    <w:t>抛光机</w:t>
                  </w:r>
                </w:p>
              </w:tc>
              <w:tc>
                <w:tcPr>
                  <w:tcW w:w="903" w:type="pct"/>
                  <w:shd w:val="clear" w:color="auto" w:fill="auto"/>
                  <w:vAlign w:val="center"/>
                </w:tcPr>
                <w:p w14:paraId="249D17CE">
                  <w:pPr>
                    <w:jc w:val="center"/>
                    <w:rPr>
                      <w:sz w:val="18"/>
                      <w:szCs w:val="18"/>
                    </w:rPr>
                  </w:pPr>
                  <w:r>
                    <w:rPr>
                      <w:rFonts w:hint="eastAsia"/>
                      <w:sz w:val="18"/>
                      <w:szCs w:val="18"/>
                    </w:rPr>
                    <w:t>/</w:t>
                  </w:r>
                </w:p>
              </w:tc>
              <w:tc>
                <w:tcPr>
                  <w:tcW w:w="582" w:type="pct"/>
                  <w:vAlign w:val="center"/>
                </w:tcPr>
                <w:p w14:paraId="39A70211">
                  <w:pPr>
                    <w:jc w:val="center"/>
                    <w:rPr>
                      <w:sz w:val="18"/>
                      <w:szCs w:val="18"/>
                    </w:rPr>
                  </w:pPr>
                  <w:r>
                    <w:rPr>
                      <w:rFonts w:hint="eastAsia"/>
                      <w:sz w:val="18"/>
                      <w:szCs w:val="18"/>
                    </w:rPr>
                    <w:t>2</w:t>
                  </w:r>
                </w:p>
              </w:tc>
              <w:tc>
                <w:tcPr>
                  <w:tcW w:w="627" w:type="pct"/>
                  <w:vAlign w:val="center"/>
                </w:tcPr>
                <w:p w14:paraId="570723E9">
                  <w:pPr>
                    <w:jc w:val="center"/>
                    <w:rPr>
                      <w:sz w:val="18"/>
                      <w:szCs w:val="18"/>
                    </w:rPr>
                  </w:pPr>
                  <w:r>
                    <w:rPr>
                      <w:rFonts w:hint="eastAsia"/>
                      <w:sz w:val="18"/>
                      <w:szCs w:val="18"/>
                    </w:rPr>
                    <w:t>1</w:t>
                  </w:r>
                </w:p>
              </w:tc>
              <w:tc>
                <w:tcPr>
                  <w:tcW w:w="1485" w:type="pct"/>
                  <w:shd w:val="clear" w:color="auto" w:fill="auto"/>
                  <w:vAlign w:val="center"/>
                </w:tcPr>
                <w:p w14:paraId="4A592654">
                  <w:pPr>
                    <w:jc w:val="center"/>
                    <w:rPr>
                      <w:sz w:val="18"/>
                      <w:szCs w:val="18"/>
                    </w:rPr>
                  </w:pPr>
                  <w:r>
                    <w:rPr>
                      <w:rFonts w:hint="eastAsia"/>
                      <w:sz w:val="18"/>
                      <w:szCs w:val="18"/>
                    </w:rPr>
                    <w:t>/</w:t>
                  </w:r>
                </w:p>
              </w:tc>
            </w:tr>
            <w:tr w14:paraId="60AC0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4632CD27">
                  <w:pPr>
                    <w:jc w:val="center"/>
                    <w:rPr>
                      <w:sz w:val="18"/>
                      <w:szCs w:val="18"/>
                    </w:rPr>
                  </w:pPr>
                  <w:r>
                    <w:rPr>
                      <w:rFonts w:hint="eastAsia"/>
                      <w:sz w:val="18"/>
                      <w:szCs w:val="18"/>
                    </w:rPr>
                    <w:t>12</w:t>
                  </w:r>
                </w:p>
              </w:tc>
              <w:tc>
                <w:tcPr>
                  <w:tcW w:w="1089" w:type="pct"/>
                  <w:shd w:val="clear" w:color="auto" w:fill="auto"/>
                  <w:vAlign w:val="center"/>
                </w:tcPr>
                <w:p w14:paraId="25F51FD8">
                  <w:pPr>
                    <w:jc w:val="center"/>
                    <w:rPr>
                      <w:sz w:val="18"/>
                      <w:szCs w:val="18"/>
                    </w:rPr>
                  </w:pPr>
                  <w:r>
                    <w:rPr>
                      <w:rFonts w:hint="eastAsia"/>
                      <w:sz w:val="18"/>
                      <w:szCs w:val="18"/>
                    </w:rPr>
                    <w:t>烘箱</w:t>
                  </w:r>
                </w:p>
              </w:tc>
              <w:tc>
                <w:tcPr>
                  <w:tcW w:w="903" w:type="pct"/>
                  <w:shd w:val="clear" w:color="auto" w:fill="auto"/>
                  <w:vAlign w:val="center"/>
                </w:tcPr>
                <w:p w14:paraId="47D370AB">
                  <w:pPr>
                    <w:jc w:val="center"/>
                    <w:rPr>
                      <w:sz w:val="18"/>
                      <w:szCs w:val="18"/>
                    </w:rPr>
                  </w:pPr>
                  <w:r>
                    <w:rPr>
                      <w:rFonts w:hint="eastAsia"/>
                      <w:sz w:val="18"/>
                      <w:szCs w:val="18"/>
                    </w:rPr>
                    <w:t>/</w:t>
                  </w:r>
                </w:p>
              </w:tc>
              <w:tc>
                <w:tcPr>
                  <w:tcW w:w="582" w:type="pct"/>
                  <w:vAlign w:val="center"/>
                </w:tcPr>
                <w:p w14:paraId="159629BD">
                  <w:pPr>
                    <w:jc w:val="center"/>
                    <w:rPr>
                      <w:sz w:val="18"/>
                      <w:szCs w:val="18"/>
                    </w:rPr>
                  </w:pPr>
                  <w:r>
                    <w:rPr>
                      <w:rFonts w:hint="eastAsia"/>
                      <w:sz w:val="18"/>
                      <w:szCs w:val="18"/>
                    </w:rPr>
                    <w:t>6.2</w:t>
                  </w:r>
                </w:p>
              </w:tc>
              <w:tc>
                <w:tcPr>
                  <w:tcW w:w="627" w:type="pct"/>
                  <w:vAlign w:val="center"/>
                </w:tcPr>
                <w:p w14:paraId="3CCBF46D">
                  <w:pPr>
                    <w:jc w:val="center"/>
                    <w:rPr>
                      <w:sz w:val="18"/>
                      <w:szCs w:val="18"/>
                    </w:rPr>
                  </w:pPr>
                  <w:r>
                    <w:rPr>
                      <w:rFonts w:hint="eastAsia"/>
                      <w:sz w:val="18"/>
                      <w:szCs w:val="18"/>
                    </w:rPr>
                    <w:t>1</w:t>
                  </w:r>
                </w:p>
              </w:tc>
              <w:tc>
                <w:tcPr>
                  <w:tcW w:w="1485" w:type="pct"/>
                  <w:shd w:val="clear" w:color="auto" w:fill="auto"/>
                  <w:vAlign w:val="center"/>
                </w:tcPr>
                <w:p w14:paraId="26C14CCC">
                  <w:pPr>
                    <w:jc w:val="center"/>
                    <w:rPr>
                      <w:sz w:val="18"/>
                      <w:szCs w:val="18"/>
                    </w:rPr>
                  </w:pPr>
                  <w:r>
                    <w:rPr>
                      <w:rFonts w:hint="eastAsia"/>
                      <w:sz w:val="18"/>
                      <w:szCs w:val="18"/>
                    </w:rPr>
                    <w:t>电加热</w:t>
                  </w:r>
                </w:p>
              </w:tc>
            </w:tr>
            <w:tr w14:paraId="3406D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42358CE6">
                  <w:pPr>
                    <w:jc w:val="center"/>
                    <w:rPr>
                      <w:sz w:val="18"/>
                      <w:szCs w:val="18"/>
                    </w:rPr>
                  </w:pPr>
                  <w:r>
                    <w:rPr>
                      <w:rFonts w:hint="eastAsia"/>
                      <w:sz w:val="18"/>
                      <w:szCs w:val="18"/>
                    </w:rPr>
                    <w:t>13</w:t>
                  </w:r>
                </w:p>
              </w:tc>
              <w:tc>
                <w:tcPr>
                  <w:tcW w:w="1089" w:type="pct"/>
                  <w:shd w:val="clear" w:color="auto" w:fill="auto"/>
                  <w:vAlign w:val="center"/>
                </w:tcPr>
                <w:p w14:paraId="1B6B2AB3">
                  <w:pPr>
                    <w:jc w:val="center"/>
                    <w:rPr>
                      <w:sz w:val="18"/>
                      <w:szCs w:val="18"/>
                    </w:rPr>
                  </w:pPr>
                  <w:r>
                    <w:rPr>
                      <w:rFonts w:hint="eastAsia"/>
                      <w:sz w:val="18"/>
                      <w:szCs w:val="18"/>
                    </w:rPr>
                    <w:t>空气能热水器</w:t>
                  </w:r>
                </w:p>
              </w:tc>
              <w:tc>
                <w:tcPr>
                  <w:tcW w:w="903" w:type="pct"/>
                  <w:shd w:val="clear" w:color="auto" w:fill="auto"/>
                  <w:vAlign w:val="center"/>
                </w:tcPr>
                <w:p w14:paraId="7951D204">
                  <w:pPr>
                    <w:jc w:val="center"/>
                    <w:rPr>
                      <w:sz w:val="18"/>
                      <w:szCs w:val="18"/>
                    </w:rPr>
                  </w:pPr>
                  <w:r>
                    <w:rPr>
                      <w:rFonts w:hint="eastAsia"/>
                      <w:sz w:val="18"/>
                      <w:szCs w:val="18"/>
                    </w:rPr>
                    <w:t>/</w:t>
                  </w:r>
                </w:p>
              </w:tc>
              <w:tc>
                <w:tcPr>
                  <w:tcW w:w="582" w:type="pct"/>
                  <w:vAlign w:val="center"/>
                </w:tcPr>
                <w:p w14:paraId="52F2DE1C">
                  <w:pPr>
                    <w:jc w:val="center"/>
                    <w:rPr>
                      <w:sz w:val="18"/>
                      <w:szCs w:val="18"/>
                    </w:rPr>
                  </w:pPr>
                  <w:r>
                    <w:rPr>
                      <w:rFonts w:hint="eastAsia"/>
                      <w:sz w:val="18"/>
                      <w:szCs w:val="18"/>
                    </w:rPr>
                    <w:t>4</w:t>
                  </w:r>
                </w:p>
              </w:tc>
              <w:tc>
                <w:tcPr>
                  <w:tcW w:w="627" w:type="pct"/>
                  <w:vAlign w:val="center"/>
                </w:tcPr>
                <w:p w14:paraId="4A3FBF59">
                  <w:pPr>
                    <w:jc w:val="center"/>
                    <w:rPr>
                      <w:sz w:val="18"/>
                      <w:szCs w:val="18"/>
                    </w:rPr>
                  </w:pPr>
                  <w:r>
                    <w:rPr>
                      <w:rFonts w:hint="eastAsia"/>
                      <w:sz w:val="18"/>
                      <w:szCs w:val="18"/>
                    </w:rPr>
                    <w:t>1</w:t>
                  </w:r>
                </w:p>
              </w:tc>
              <w:tc>
                <w:tcPr>
                  <w:tcW w:w="1485" w:type="pct"/>
                  <w:shd w:val="clear" w:color="auto" w:fill="auto"/>
                  <w:vAlign w:val="center"/>
                </w:tcPr>
                <w:p w14:paraId="347628C5">
                  <w:pPr>
                    <w:jc w:val="center"/>
                    <w:rPr>
                      <w:sz w:val="18"/>
                      <w:szCs w:val="18"/>
                    </w:rPr>
                  </w:pPr>
                  <w:r>
                    <w:rPr>
                      <w:rFonts w:hint="eastAsia"/>
                      <w:sz w:val="18"/>
                      <w:szCs w:val="18"/>
                    </w:rPr>
                    <w:t>/</w:t>
                  </w:r>
                </w:p>
              </w:tc>
            </w:tr>
            <w:tr w14:paraId="0A8B7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04A997D5">
                  <w:pPr>
                    <w:jc w:val="center"/>
                    <w:rPr>
                      <w:sz w:val="18"/>
                      <w:szCs w:val="18"/>
                    </w:rPr>
                  </w:pPr>
                  <w:r>
                    <w:rPr>
                      <w:rFonts w:hint="eastAsia"/>
                      <w:sz w:val="18"/>
                      <w:szCs w:val="18"/>
                    </w:rPr>
                    <w:t>14</w:t>
                  </w:r>
                </w:p>
              </w:tc>
              <w:tc>
                <w:tcPr>
                  <w:tcW w:w="1089" w:type="pct"/>
                  <w:shd w:val="clear" w:color="auto" w:fill="auto"/>
                  <w:vAlign w:val="center"/>
                </w:tcPr>
                <w:p w14:paraId="79327B20">
                  <w:pPr>
                    <w:jc w:val="center"/>
                    <w:rPr>
                      <w:sz w:val="18"/>
                      <w:szCs w:val="18"/>
                    </w:rPr>
                  </w:pPr>
                  <w:r>
                    <w:rPr>
                      <w:rFonts w:hint="eastAsia"/>
                      <w:sz w:val="18"/>
                      <w:szCs w:val="18"/>
                    </w:rPr>
                    <w:t>净水器</w:t>
                  </w:r>
                </w:p>
              </w:tc>
              <w:tc>
                <w:tcPr>
                  <w:tcW w:w="903" w:type="pct"/>
                  <w:shd w:val="clear" w:color="auto" w:fill="auto"/>
                  <w:vAlign w:val="center"/>
                </w:tcPr>
                <w:p w14:paraId="20AA7609">
                  <w:pPr>
                    <w:jc w:val="center"/>
                    <w:rPr>
                      <w:sz w:val="18"/>
                      <w:szCs w:val="18"/>
                    </w:rPr>
                  </w:pPr>
                  <w:r>
                    <w:rPr>
                      <w:rFonts w:hint="eastAsia"/>
                      <w:sz w:val="18"/>
                      <w:szCs w:val="18"/>
                    </w:rPr>
                    <w:t>/</w:t>
                  </w:r>
                </w:p>
              </w:tc>
              <w:tc>
                <w:tcPr>
                  <w:tcW w:w="582" w:type="pct"/>
                  <w:vAlign w:val="center"/>
                </w:tcPr>
                <w:p w14:paraId="467EF10A">
                  <w:pPr>
                    <w:jc w:val="center"/>
                    <w:rPr>
                      <w:sz w:val="18"/>
                      <w:szCs w:val="18"/>
                    </w:rPr>
                  </w:pPr>
                  <w:r>
                    <w:rPr>
                      <w:rFonts w:hint="eastAsia"/>
                      <w:sz w:val="18"/>
                      <w:szCs w:val="18"/>
                    </w:rPr>
                    <w:t>3</w:t>
                  </w:r>
                </w:p>
              </w:tc>
              <w:tc>
                <w:tcPr>
                  <w:tcW w:w="627" w:type="pct"/>
                  <w:vAlign w:val="center"/>
                </w:tcPr>
                <w:p w14:paraId="0EF1E833">
                  <w:pPr>
                    <w:jc w:val="center"/>
                    <w:rPr>
                      <w:sz w:val="18"/>
                      <w:szCs w:val="18"/>
                    </w:rPr>
                  </w:pPr>
                  <w:r>
                    <w:rPr>
                      <w:rFonts w:hint="eastAsia"/>
                      <w:sz w:val="18"/>
                      <w:szCs w:val="18"/>
                    </w:rPr>
                    <w:t>1</w:t>
                  </w:r>
                </w:p>
              </w:tc>
              <w:tc>
                <w:tcPr>
                  <w:tcW w:w="1485" w:type="pct"/>
                  <w:shd w:val="clear" w:color="auto" w:fill="auto"/>
                  <w:vAlign w:val="center"/>
                </w:tcPr>
                <w:p w14:paraId="62845A5C">
                  <w:pPr>
                    <w:jc w:val="center"/>
                    <w:rPr>
                      <w:sz w:val="18"/>
                      <w:szCs w:val="18"/>
                    </w:rPr>
                  </w:pPr>
                  <w:r>
                    <w:rPr>
                      <w:rFonts w:hint="eastAsia"/>
                      <w:sz w:val="18"/>
                      <w:szCs w:val="18"/>
                    </w:rPr>
                    <w:t>/</w:t>
                  </w:r>
                </w:p>
              </w:tc>
            </w:tr>
            <w:tr w14:paraId="4C2E9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239F7FF9">
                  <w:pPr>
                    <w:jc w:val="center"/>
                    <w:rPr>
                      <w:sz w:val="18"/>
                      <w:szCs w:val="18"/>
                    </w:rPr>
                  </w:pPr>
                  <w:r>
                    <w:rPr>
                      <w:rFonts w:hint="eastAsia"/>
                      <w:sz w:val="18"/>
                      <w:szCs w:val="18"/>
                    </w:rPr>
                    <w:t>15</w:t>
                  </w:r>
                </w:p>
              </w:tc>
              <w:tc>
                <w:tcPr>
                  <w:tcW w:w="1089" w:type="pct"/>
                  <w:shd w:val="clear" w:color="auto" w:fill="auto"/>
                  <w:vAlign w:val="center"/>
                </w:tcPr>
                <w:p w14:paraId="38FD31E0">
                  <w:pPr>
                    <w:jc w:val="center"/>
                    <w:rPr>
                      <w:sz w:val="18"/>
                      <w:szCs w:val="18"/>
                    </w:rPr>
                  </w:pPr>
                  <w:r>
                    <w:rPr>
                      <w:rFonts w:hint="eastAsia"/>
                      <w:sz w:val="18"/>
                      <w:szCs w:val="18"/>
                    </w:rPr>
                    <w:t>全自动包装机组</w:t>
                  </w:r>
                </w:p>
              </w:tc>
              <w:tc>
                <w:tcPr>
                  <w:tcW w:w="903" w:type="pct"/>
                  <w:shd w:val="clear" w:color="auto" w:fill="auto"/>
                  <w:vAlign w:val="center"/>
                </w:tcPr>
                <w:p w14:paraId="646F1D9D">
                  <w:pPr>
                    <w:jc w:val="center"/>
                    <w:rPr>
                      <w:sz w:val="18"/>
                      <w:szCs w:val="18"/>
                    </w:rPr>
                  </w:pPr>
                  <w:r>
                    <w:rPr>
                      <w:rFonts w:hint="eastAsia"/>
                      <w:sz w:val="18"/>
                      <w:szCs w:val="18"/>
                    </w:rPr>
                    <w:t>/</w:t>
                  </w:r>
                </w:p>
              </w:tc>
              <w:tc>
                <w:tcPr>
                  <w:tcW w:w="582" w:type="pct"/>
                  <w:vAlign w:val="center"/>
                </w:tcPr>
                <w:p w14:paraId="15CFF591">
                  <w:pPr>
                    <w:jc w:val="center"/>
                    <w:rPr>
                      <w:sz w:val="18"/>
                      <w:szCs w:val="18"/>
                    </w:rPr>
                  </w:pPr>
                  <w:r>
                    <w:rPr>
                      <w:rFonts w:hint="eastAsia"/>
                      <w:sz w:val="18"/>
                      <w:szCs w:val="18"/>
                    </w:rPr>
                    <w:t>1</w:t>
                  </w:r>
                </w:p>
              </w:tc>
              <w:tc>
                <w:tcPr>
                  <w:tcW w:w="627" w:type="pct"/>
                  <w:vAlign w:val="center"/>
                </w:tcPr>
                <w:p w14:paraId="660C73DF">
                  <w:pPr>
                    <w:jc w:val="center"/>
                    <w:rPr>
                      <w:sz w:val="18"/>
                      <w:szCs w:val="18"/>
                    </w:rPr>
                  </w:pPr>
                  <w:r>
                    <w:rPr>
                      <w:rFonts w:hint="eastAsia"/>
                      <w:sz w:val="18"/>
                      <w:szCs w:val="18"/>
                    </w:rPr>
                    <w:t>1</w:t>
                  </w:r>
                </w:p>
              </w:tc>
              <w:tc>
                <w:tcPr>
                  <w:tcW w:w="1485" w:type="pct"/>
                  <w:shd w:val="clear" w:color="auto" w:fill="auto"/>
                  <w:vAlign w:val="center"/>
                </w:tcPr>
                <w:p w14:paraId="7814AC9B">
                  <w:pPr>
                    <w:jc w:val="center"/>
                    <w:rPr>
                      <w:sz w:val="18"/>
                      <w:szCs w:val="18"/>
                    </w:rPr>
                  </w:pPr>
                  <w:r>
                    <w:rPr>
                      <w:rFonts w:hint="eastAsia"/>
                      <w:sz w:val="18"/>
                      <w:szCs w:val="18"/>
                    </w:rPr>
                    <w:t>/</w:t>
                  </w:r>
                </w:p>
              </w:tc>
            </w:tr>
            <w:tr w14:paraId="5D4E8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3328BEDC">
                  <w:pPr>
                    <w:jc w:val="center"/>
                    <w:rPr>
                      <w:sz w:val="18"/>
                      <w:szCs w:val="18"/>
                    </w:rPr>
                  </w:pPr>
                  <w:r>
                    <w:rPr>
                      <w:rFonts w:hint="eastAsia"/>
                      <w:sz w:val="18"/>
                      <w:szCs w:val="18"/>
                    </w:rPr>
                    <w:t>16</w:t>
                  </w:r>
                </w:p>
              </w:tc>
              <w:tc>
                <w:tcPr>
                  <w:tcW w:w="1089" w:type="pct"/>
                  <w:shd w:val="clear" w:color="auto" w:fill="auto"/>
                  <w:vAlign w:val="center"/>
                </w:tcPr>
                <w:p w14:paraId="3D2ED716">
                  <w:pPr>
                    <w:jc w:val="center"/>
                    <w:rPr>
                      <w:sz w:val="18"/>
                      <w:szCs w:val="18"/>
                    </w:rPr>
                  </w:pPr>
                  <w:r>
                    <w:rPr>
                      <w:rFonts w:hint="eastAsia"/>
                      <w:sz w:val="18"/>
                      <w:szCs w:val="18"/>
                    </w:rPr>
                    <w:t>空压机</w:t>
                  </w:r>
                </w:p>
              </w:tc>
              <w:tc>
                <w:tcPr>
                  <w:tcW w:w="903" w:type="pct"/>
                  <w:shd w:val="clear" w:color="auto" w:fill="auto"/>
                  <w:vAlign w:val="center"/>
                </w:tcPr>
                <w:p w14:paraId="48FE46AD">
                  <w:pPr>
                    <w:jc w:val="center"/>
                    <w:rPr>
                      <w:sz w:val="18"/>
                      <w:szCs w:val="18"/>
                    </w:rPr>
                  </w:pPr>
                  <w:r>
                    <w:rPr>
                      <w:rFonts w:hint="eastAsia"/>
                      <w:sz w:val="18"/>
                      <w:szCs w:val="18"/>
                    </w:rPr>
                    <w:t>/</w:t>
                  </w:r>
                </w:p>
              </w:tc>
              <w:tc>
                <w:tcPr>
                  <w:tcW w:w="582" w:type="pct"/>
                  <w:vAlign w:val="center"/>
                </w:tcPr>
                <w:p w14:paraId="5DEA32F6">
                  <w:pPr>
                    <w:jc w:val="center"/>
                    <w:rPr>
                      <w:sz w:val="18"/>
                      <w:szCs w:val="18"/>
                    </w:rPr>
                  </w:pPr>
                  <w:r>
                    <w:rPr>
                      <w:rFonts w:hint="eastAsia"/>
                      <w:sz w:val="18"/>
                      <w:szCs w:val="18"/>
                    </w:rPr>
                    <w:t>4.5</w:t>
                  </w:r>
                </w:p>
              </w:tc>
              <w:tc>
                <w:tcPr>
                  <w:tcW w:w="627" w:type="pct"/>
                  <w:vAlign w:val="center"/>
                </w:tcPr>
                <w:p w14:paraId="7CB1F895">
                  <w:pPr>
                    <w:jc w:val="center"/>
                    <w:rPr>
                      <w:sz w:val="18"/>
                      <w:szCs w:val="18"/>
                    </w:rPr>
                  </w:pPr>
                  <w:r>
                    <w:rPr>
                      <w:rFonts w:hint="eastAsia"/>
                      <w:sz w:val="18"/>
                      <w:szCs w:val="18"/>
                    </w:rPr>
                    <w:t>1</w:t>
                  </w:r>
                </w:p>
              </w:tc>
              <w:tc>
                <w:tcPr>
                  <w:tcW w:w="1485" w:type="pct"/>
                  <w:shd w:val="clear" w:color="auto" w:fill="auto"/>
                  <w:vAlign w:val="center"/>
                </w:tcPr>
                <w:p w14:paraId="061E8E87">
                  <w:pPr>
                    <w:jc w:val="center"/>
                    <w:rPr>
                      <w:sz w:val="18"/>
                      <w:szCs w:val="18"/>
                    </w:rPr>
                  </w:pPr>
                  <w:r>
                    <w:rPr>
                      <w:rFonts w:hint="eastAsia"/>
                      <w:sz w:val="18"/>
                      <w:szCs w:val="18"/>
                    </w:rPr>
                    <w:t>/</w:t>
                  </w:r>
                </w:p>
              </w:tc>
            </w:tr>
            <w:tr w14:paraId="456EB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28DCCCE1">
                  <w:pPr>
                    <w:jc w:val="center"/>
                    <w:rPr>
                      <w:sz w:val="18"/>
                      <w:szCs w:val="18"/>
                    </w:rPr>
                  </w:pPr>
                  <w:r>
                    <w:rPr>
                      <w:rFonts w:hint="eastAsia"/>
                      <w:sz w:val="18"/>
                      <w:szCs w:val="18"/>
                    </w:rPr>
                    <w:t>17</w:t>
                  </w:r>
                </w:p>
              </w:tc>
              <w:tc>
                <w:tcPr>
                  <w:tcW w:w="1089" w:type="pct"/>
                  <w:shd w:val="clear" w:color="auto" w:fill="auto"/>
                  <w:vAlign w:val="center"/>
                </w:tcPr>
                <w:p w14:paraId="39AC8A49">
                  <w:pPr>
                    <w:jc w:val="center"/>
                    <w:rPr>
                      <w:sz w:val="18"/>
                      <w:szCs w:val="18"/>
                    </w:rPr>
                  </w:pPr>
                  <w:r>
                    <w:rPr>
                      <w:rFonts w:hint="eastAsia"/>
                      <w:sz w:val="18"/>
                      <w:szCs w:val="18"/>
                    </w:rPr>
                    <w:t>输送线设备</w:t>
                  </w:r>
                </w:p>
              </w:tc>
              <w:tc>
                <w:tcPr>
                  <w:tcW w:w="903" w:type="pct"/>
                  <w:shd w:val="clear" w:color="auto" w:fill="auto"/>
                  <w:vAlign w:val="center"/>
                </w:tcPr>
                <w:p w14:paraId="2B41F55A">
                  <w:pPr>
                    <w:jc w:val="center"/>
                    <w:rPr>
                      <w:sz w:val="18"/>
                      <w:szCs w:val="18"/>
                    </w:rPr>
                  </w:pPr>
                  <w:r>
                    <w:rPr>
                      <w:rFonts w:hint="eastAsia"/>
                      <w:sz w:val="18"/>
                      <w:szCs w:val="18"/>
                    </w:rPr>
                    <w:t>/</w:t>
                  </w:r>
                </w:p>
              </w:tc>
              <w:tc>
                <w:tcPr>
                  <w:tcW w:w="582" w:type="pct"/>
                  <w:vAlign w:val="center"/>
                </w:tcPr>
                <w:p w14:paraId="1C6E4794">
                  <w:pPr>
                    <w:jc w:val="center"/>
                    <w:rPr>
                      <w:sz w:val="18"/>
                      <w:szCs w:val="18"/>
                    </w:rPr>
                  </w:pPr>
                  <w:r>
                    <w:rPr>
                      <w:rFonts w:hint="eastAsia"/>
                      <w:sz w:val="18"/>
                      <w:szCs w:val="18"/>
                    </w:rPr>
                    <w:t>28</w:t>
                  </w:r>
                </w:p>
              </w:tc>
              <w:tc>
                <w:tcPr>
                  <w:tcW w:w="627" w:type="pct"/>
                  <w:vAlign w:val="center"/>
                </w:tcPr>
                <w:p w14:paraId="4DBCAFFD">
                  <w:pPr>
                    <w:jc w:val="center"/>
                    <w:rPr>
                      <w:sz w:val="18"/>
                      <w:szCs w:val="18"/>
                    </w:rPr>
                  </w:pPr>
                  <w:r>
                    <w:rPr>
                      <w:rFonts w:hint="eastAsia"/>
                      <w:sz w:val="18"/>
                      <w:szCs w:val="18"/>
                    </w:rPr>
                    <w:t>1</w:t>
                  </w:r>
                </w:p>
              </w:tc>
              <w:tc>
                <w:tcPr>
                  <w:tcW w:w="1485" w:type="pct"/>
                  <w:shd w:val="clear" w:color="auto" w:fill="auto"/>
                  <w:vAlign w:val="center"/>
                </w:tcPr>
                <w:p w14:paraId="6C243E16">
                  <w:pPr>
                    <w:jc w:val="center"/>
                    <w:rPr>
                      <w:sz w:val="18"/>
                      <w:szCs w:val="18"/>
                    </w:rPr>
                  </w:pPr>
                  <w:r>
                    <w:rPr>
                      <w:rFonts w:hint="eastAsia"/>
                      <w:sz w:val="18"/>
                      <w:szCs w:val="18"/>
                    </w:rPr>
                    <w:t>/</w:t>
                  </w:r>
                </w:p>
              </w:tc>
            </w:tr>
            <w:tr w14:paraId="22462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42D3EFEA">
                  <w:pPr>
                    <w:jc w:val="center"/>
                    <w:rPr>
                      <w:sz w:val="18"/>
                      <w:szCs w:val="18"/>
                    </w:rPr>
                  </w:pPr>
                  <w:r>
                    <w:rPr>
                      <w:rFonts w:hint="eastAsia"/>
                      <w:sz w:val="18"/>
                      <w:szCs w:val="18"/>
                    </w:rPr>
                    <w:t>18</w:t>
                  </w:r>
                </w:p>
              </w:tc>
              <w:tc>
                <w:tcPr>
                  <w:tcW w:w="1089" w:type="pct"/>
                  <w:shd w:val="clear" w:color="auto" w:fill="auto"/>
                  <w:vAlign w:val="center"/>
                </w:tcPr>
                <w:p w14:paraId="57A7C377">
                  <w:pPr>
                    <w:jc w:val="center"/>
                    <w:rPr>
                      <w:sz w:val="18"/>
                      <w:szCs w:val="18"/>
                    </w:rPr>
                  </w:pPr>
                  <w:r>
                    <w:rPr>
                      <w:rFonts w:hint="eastAsia"/>
                      <w:sz w:val="18"/>
                      <w:szCs w:val="18"/>
                    </w:rPr>
                    <w:t>自动调剂设备</w:t>
                  </w:r>
                </w:p>
              </w:tc>
              <w:tc>
                <w:tcPr>
                  <w:tcW w:w="903" w:type="pct"/>
                  <w:shd w:val="clear" w:color="auto" w:fill="auto"/>
                  <w:vAlign w:val="center"/>
                </w:tcPr>
                <w:p w14:paraId="5A0295CE">
                  <w:pPr>
                    <w:jc w:val="center"/>
                    <w:rPr>
                      <w:sz w:val="18"/>
                      <w:szCs w:val="18"/>
                    </w:rPr>
                  </w:pPr>
                  <w:r>
                    <w:rPr>
                      <w:rFonts w:hint="eastAsia"/>
                      <w:sz w:val="18"/>
                      <w:szCs w:val="18"/>
                    </w:rPr>
                    <w:t>/</w:t>
                  </w:r>
                </w:p>
              </w:tc>
              <w:tc>
                <w:tcPr>
                  <w:tcW w:w="582" w:type="pct"/>
                  <w:vAlign w:val="center"/>
                </w:tcPr>
                <w:p w14:paraId="3039D70E">
                  <w:pPr>
                    <w:jc w:val="center"/>
                    <w:rPr>
                      <w:sz w:val="18"/>
                      <w:szCs w:val="18"/>
                    </w:rPr>
                  </w:pPr>
                  <w:r>
                    <w:rPr>
                      <w:rFonts w:hint="eastAsia"/>
                      <w:sz w:val="18"/>
                      <w:szCs w:val="18"/>
                    </w:rPr>
                    <w:t>26</w:t>
                  </w:r>
                </w:p>
              </w:tc>
              <w:tc>
                <w:tcPr>
                  <w:tcW w:w="627" w:type="pct"/>
                  <w:vAlign w:val="center"/>
                </w:tcPr>
                <w:p w14:paraId="35FBF80C">
                  <w:pPr>
                    <w:jc w:val="center"/>
                    <w:rPr>
                      <w:sz w:val="18"/>
                      <w:szCs w:val="18"/>
                    </w:rPr>
                  </w:pPr>
                  <w:r>
                    <w:rPr>
                      <w:rFonts w:hint="eastAsia"/>
                      <w:sz w:val="18"/>
                      <w:szCs w:val="18"/>
                    </w:rPr>
                    <w:t>1</w:t>
                  </w:r>
                </w:p>
              </w:tc>
              <w:tc>
                <w:tcPr>
                  <w:tcW w:w="1485" w:type="pct"/>
                  <w:shd w:val="clear" w:color="auto" w:fill="auto"/>
                  <w:vAlign w:val="center"/>
                </w:tcPr>
                <w:p w14:paraId="0B85ACE3">
                  <w:pPr>
                    <w:jc w:val="center"/>
                    <w:rPr>
                      <w:sz w:val="18"/>
                      <w:szCs w:val="18"/>
                    </w:rPr>
                  </w:pPr>
                  <w:r>
                    <w:rPr>
                      <w:rFonts w:hint="eastAsia"/>
                      <w:sz w:val="18"/>
                      <w:szCs w:val="18"/>
                    </w:rPr>
                    <w:t>/</w:t>
                  </w:r>
                </w:p>
              </w:tc>
            </w:tr>
            <w:tr w14:paraId="1F839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14" w:type="pct"/>
                  <w:vAlign w:val="center"/>
                </w:tcPr>
                <w:p w14:paraId="58178FBF">
                  <w:pPr>
                    <w:jc w:val="center"/>
                    <w:rPr>
                      <w:sz w:val="18"/>
                      <w:szCs w:val="18"/>
                    </w:rPr>
                  </w:pPr>
                  <w:r>
                    <w:rPr>
                      <w:rFonts w:hint="eastAsia"/>
                      <w:sz w:val="18"/>
                      <w:szCs w:val="18"/>
                    </w:rPr>
                    <w:t>19</w:t>
                  </w:r>
                </w:p>
              </w:tc>
              <w:tc>
                <w:tcPr>
                  <w:tcW w:w="1089" w:type="pct"/>
                  <w:shd w:val="clear" w:color="auto" w:fill="auto"/>
                  <w:vAlign w:val="center"/>
                </w:tcPr>
                <w:p w14:paraId="1AF26A81">
                  <w:pPr>
                    <w:jc w:val="center"/>
                    <w:rPr>
                      <w:sz w:val="18"/>
                      <w:szCs w:val="18"/>
                    </w:rPr>
                  </w:pPr>
                  <w:r>
                    <w:rPr>
                      <w:rFonts w:hint="eastAsia"/>
                      <w:sz w:val="18"/>
                      <w:szCs w:val="18"/>
                    </w:rPr>
                    <w:t>标签打印机</w:t>
                  </w:r>
                </w:p>
              </w:tc>
              <w:tc>
                <w:tcPr>
                  <w:tcW w:w="903" w:type="pct"/>
                  <w:shd w:val="clear" w:color="auto" w:fill="auto"/>
                  <w:vAlign w:val="center"/>
                </w:tcPr>
                <w:p w14:paraId="60ECA1B7">
                  <w:pPr>
                    <w:jc w:val="center"/>
                    <w:rPr>
                      <w:sz w:val="18"/>
                      <w:szCs w:val="18"/>
                    </w:rPr>
                  </w:pPr>
                  <w:r>
                    <w:rPr>
                      <w:rFonts w:hint="eastAsia"/>
                      <w:sz w:val="18"/>
                      <w:szCs w:val="18"/>
                    </w:rPr>
                    <w:t>/</w:t>
                  </w:r>
                </w:p>
              </w:tc>
              <w:tc>
                <w:tcPr>
                  <w:tcW w:w="582" w:type="pct"/>
                  <w:vAlign w:val="center"/>
                </w:tcPr>
                <w:p w14:paraId="7104D4ED">
                  <w:pPr>
                    <w:jc w:val="center"/>
                    <w:rPr>
                      <w:sz w:val="18"/>
                      <w:szCs w:val="18"/>
                    </w:rPr>
                  </w:pPr>
                  <w:r>
                    <w:rPr>
                      <w:rFonts w:hint="eastAsia"/>
                      <w:sz w:val="18"/>
                      <w:szCs w:val="18"/>
                    </w:rPr>
                    <w:t>/</w:t>
                  </w:r>
                </w:p>
              </w:tc>
              <w:tc>
                <w:tcPr>
                  <w:tcW w:w="627" w:type="pct"/>
                  <w:vAlign w:val="center"/>
                </w:tcPr>
                <w:p w14:paraId="61697411">
                  <w:pPr>
                    <w:jc w:val="center"/>
                    <w:rPr>
                      <w:sz w:val="18"/>
                      <w:szCs w:val="18"/>
                    </w:rPr>
                  </w:pPr>
                  <w:r>
                    <w:rPr>
                      <w:rFonts w:hint="eastAsia"/>
                      <w:sz w:val="18"/>
                      <w:szCs w:val="18"/>
                    </w:rPr>
                    <w:t>5</w:t>
                  </w:r>
                </w:p>
              </w:tc>
              <w:tc>
                <w:tcPr>
                  <w:tcW w:w="1485" w:type="pct"/>
                  <w:shd w:val="clear" w:color="auto" w:fill="auto"/>
                  <w:vAlign w:val="center"/>
                </w:tcPr>
                <w:p w14:paraId="2596A6A4">
                  <w:pPr>
                    <w:jc w:val="center"/>
                    <w:rPr>
                      <w:sz w:val="18"/>
                      <w:szCs w:val="18"/>
                    </w:rPr>
                  </w:pPr>
                  <w:r>
                    <w:rPr>
                      <w:rFonts w:hint="eastAsia"/>
                      <w:sz w:val="18"/>
                      <w:szCs w:val="18"/>
                    </w:rPr>
                    <w:t>使用碳粉盒</w:t>
                  </w:r>
                </w:p>
              </w:tc>
            </w:tr>
          </w:tbl>
          <w:p w14:paraId="4EF947DE">
            <w:pPr>
              <w:adjustRightInd w:val="0"/>
              <w:snapToGrid w:val="0"/>
              <w:spacing w:line="360" w:lineRule="auto"/>
              <w:ind w:firstLine="422" w:firstLineChars="200"/>
              <w:rPr>
                <w:rFonts w:hint="eastAsia" w:ascii="宋体" w:hAnsi="宋体"/>
                <w:b/>
              </w:rPr>
            </w:pPr>
            <w:r>
              <w:rPr>
                <w:rFonts w:hint="eastAsia" w:ascii="宋体" w:hAnsi="宋体"/>
                <w:b/>
              </w:rPr>
              <w:t>6、公用工程</w:t>
            </w:r>
          </w:p>
          <w:p w14:paraId="4C46F6AD">
            <w:pPr>
              <w:pStyle w:val="68"/>
              <w:spacing w:line="360" w:lineRule="auto"/>
              <w:ind w:left="0" w:right="0" w:firstLine="420" w:firstLineChars="200"/>
              <w:jc w:val="both"/>
              <w:rPr>
                <w:bCs/>
                <w:sz w:val="21"/>
              </w:rPr>
            </w:pPr>
            <w:r>
              <w:rPr>
                <w:rFonts w:hint="eastAsia"/>
                <w:bCs/>
                <w:sz w:val="21"/>
              </w:rPr>
              <w:t>（1）供电</w:t>
            </w:r>
          </w:p>
          <w:p w14:paraId="59721B52">
            <w:pPr>
              <w:pStyle w:val="68"/>
              <w:spacing w:line="360" w:lineRule="auto"/>
              <w:ind w:left="0" w:right="0" w:firstLine="420" w:firstLineChars="200"/>
              <w:jc w:val="both"/>
              <w:rPr>
                <w:bCs/>
                <w:sz w:val="21"/>
              </w:rPr>
            </w:pPr>
            <w:r>
              <w:rPr>
                <w:rFonts w:hint="eastAsia"/>
                <w:bCs/>
                <w:sz w:val="21"/>
              </w:rPr>
              <w:t>本项目供电依托园区供电设施供电。</w:t>
            </w:r>
          </w:p>
          <w:p w14:paraId="098EF5C7">
            <w:pPr>
              <w:pStyle w:val="68"/>
              <w:spacing w:line="360" w:lineRule="auto"/>
              <w:ind w:left="0" w:right="0" w:firstLine="420" w:firstLineChars="200"/>
              <w:jc w:val="both"/>
              <w:rPr>
                <w:bCs/>
                <w:sz w:val="21"/>
              </w:rPr>
            </w:pPr>
            <w:r>
              <w:rPr>
                <w:rFonts w:hint="eastAsia"/>
                <w:bCs/>
                <w:sz w:val="21"/>
              </w:rPr>
              <w:t>（2）给水、排水</w:t>
            </w:r>
          </w:p>
          <w:p w14:paraId="4C7796BA">
            <w:pPr>
              <w:pStyle w:val="68"/>
              <w:spacing w:line="360" w:lineRule="auto"/>
              <w:ind w:left="0" w:right="0" w:firstLine="420" w:firstLineChars="200"/>
              <w:jc w:val="both"/>
              <w:rPr>
                <w:bCs/>
                <w:sz w:val="21"/>
              </w:rPr>
            </w:pPr>
            <w:r>
              <w:rPr>
                <w:rFonts w:hint="eastAsia"/>
                <w:bCs/>
                <w:sz w:val="21"/>
              </w:rPr>
              <w:t>本项目用水包括员工办公生活用水及生产用水。由园区自来水给水系统提供，生活、消防管道分开设置。</w:t>
            </w:r>
          </w:p>
          <w:p w14:paraId="22DE49B2">
            <w:pPr>
              <w:pStyle w:val="68"/>
              <w:spacing w:line="360" w:lineRule="auto"/>
              <w:ind w:left="0" w:right="0" w:firstLine="422" w:firstLineChars="200"/>
              <w:jc w:val="both"/>
              <w:rPr>
                <w:b/>
                <w:sz w:val="21"/>
              </w:rPr>
            </w:pPr>
            <w:r>
              <w:rPr>
                <w:rFonts w:hint="eastAsia"/>
                <w:b/>
                <w:sz w:val="21"/>
              </w:rPr>
              <w:t>①生产用水</w:t>
            </w:r>
          </w:p>
          <w:p w14:paraId="44BDE943">
            <w:pPr>
              <w:pStyle w:val="68"/>
              <w:spacing w:line="360" w:lineRule="auto"/>
              <w:ind w:left="0" w:right="0" w:firstLine="420" w:firstLineChars="200"/>
              <w:jc w:val="both"/>
            </w:pPr>
            <w:r>
              <w:rPr>
                <w:rFonts w:hint="eastAsia"/>
                <w:bCs/>
                <w:sz w:val="21"/>
              </w:rPr>
              <w:t>A.煎药用水（浸泡用水）</w:t>
            </w:r>
          </w:p>
          <w:p w14:paraId="1C60A2F3">
            <w:pPr>
              <w:pStyle w:val="68"/>
              <w:spacing w:line="360" w:lineRule="auto"/>
              <w:ind w:left="0" w:right="0" w:firstLine="420" w:firstLineChars="200"/>
              <w:jc w:val="both"/>
              <w:rPr>
                <w:rFonts w:hint="eastAsia"/>
                <w:bCs/>
                <w:sz w:val="21"/>
              </w:rPr>
            </w:pPr>
            <w:r>
              <w:rPr>
                <w:rFonts w:hint="eastAsia"/>
                <w:bCs/>
                <w:sz w:val="21"/>
              </w:rPr>
              <w:t>项目代煎的中药饮片需要使用浸泡池进行预先浸泡，中药饮片无需清洗，中药浸泡后和浸泡用水一起排进煎药机内煎煮，因此浸泡用水全部进入煎药机，不计算用水。根据建设单位提供经验数据，煎药用水平均7L/剂，其中代煎中药剂膏方制作均需煎煮，共计156300剂/年。项目年生产300d，日加工521剂。则煎药用水量为3.647m</w:t>
            </w:r>
            <w:r>
              <w:rPr>
                <w:rFonts w:hint="eastAsia"/>
                <w:bCs/>
                <w:sz w:val="21"/>
                <w:vertAlign w:val="superscript"/>
              </w:rPr>
              <w:t>3</w:t>
            </w:r>
            <w:r>
              <w:rPr>
                <w:rFonts w:hint="eastAsia"/>
                <w:bCs/>
                <w:sz w:val="21"/>
              </w:rPr>
              <w:t>/d、1094.1m</w:t>
            </w:r>
            <w:r>
              <w:rPr>
                <w:rFonts w:hint="eastAsia"/>
                <w:bCs/>
                <w:sz w:val="21"/>
                <w:vertAlign w:val="superscript"/>
              </w:rPr>
              <w:t>3</w:t>
            </w:r>
            <w:r>
              <w:rPr>
                <w:rFonts w:hint="eastAsia"/>
                <w:bCs/>
                <w:sz w:val="21"/>
              </w:rPr>
              <w:t>/a。全部进入产品或蒸发，无排放。</w:t>
            </w:r>
          </w:p>
          <w:p w14:paraId="5C15CA20">
            <w:pPr>
              <w:pStyle w:val="68"/>
              <w:spacing w:line="360" w:lineRule="auto"/>
              <w:ind w:left="0" w:right="0" w:firstLine="420" w:firstLineChars="200"/>
              <w:jc w:val="both"/>
              <w:rPr>
                <w:bCs/>
                <w:sz w:val="21"/>
              </w:rPr>
            </w:pPr>
            <w:r>
              <w:rPr>
                <w:rFonts w:hint="eastAsia"/>
                <w:bCs/>
                <w:sz w:val="21"/>
              </w:rPr>
              <w:t>B.设备清洗用水</w:t>
            </w:r>
          </w:p>
          <w:p w14:paraId="5DB1FE68">
            <w:pPr>
              <w:pStyle w:val="68"/>
              <w:spacing w:line="360" w:lineRule="auto"/>
              <w:ind w:left="0" w:firstLine="420" w:firstLineChars="200"/>
              <w:jc w:val="both"/>
              <w:rPr>
                <w:bCs/>
                <w:sz w:val="21"/>
              </w:rPr>
            </w:pPr>
            <w:r>
              <w:rPr>
                <w:rFonts w:hint="eastAsia"/>
                <w:bCs/>
                <w:sz w:val="21"/>
              </w:rPr>
              <w:t>根据建设单位提供经验数据，设备清洗用水平均12.5L/剂，设计产能527 方/天，则设备清洗用水量为6.588m</w:t>
            </w:r>
            <w:r>
              <w:rPr>
                <w:rFonts w:hint="eastAsia"/>
                <w:bCs/>
                <w:sz w:val="21"/>
                <w:vertAlign w:val="superscript"/>
              </w:rPr>
              <w:t>3</w:t>
            </w:r>
            <w:r>
              <w:rPr>
                <w:rFonts w:hint="eastAsia"/>
                <w:bCs/>
                <w:sz w:val="21"/>
              </w:rPr>
              <w:t>/d（1976.25m</w:t>
            </w:r>
            <w:r>
              <w:rPr>
                <w:rFonts w:hint="eastAsia"/>
                <w:bCs/>
                <w:sz w:val="21"/>
                <w:vertAlign w:val="superscript"/>
              </w:rPr>
              <w:t>3</w:t>
            </w:r>
            <w:r>
              <w:rPr>
                <w:rFonts w:hint="eastAsia"/>
                <w:bCs/>
                <w:sz w:val="21"/>
              </w:rPr>
              <w:t>/a）。排污系数按85%计，则设备清洗废水排放量为5.599m</w:t>
            </w:r>
            <w:r>
              <w:rPr>
                <w:rFonts w:hint="eastAsia"/>
                <w:bCs/>
                <w:sz w:val="21"/>
                <w:vertAlign w:val="superscript"/>
              </w:rPr>
              <w:t>3</w:t>
            </w:r>
            <w:r>
              <w:rPr>
                <w:rFonts w:hint="eastAsia"/>
                <w:bCs/>
                <w:sz w:val="21"/>
              </w:rPr>
              <w:t>/d（1679.81m</w:t>
            </w:r>
            <w:r>
              <w:rPr>
                <w:rFonts w:hint="eastAsia"/>
                <w:bCs/>
                <w:sz w:val="21"/>
                <w:vertAlign w:val="superscript"/>
              </w:rPr>
              <w:t>3</w:t>
            </w:r>
            <w:r>
              <w:rPr>
                <w:rFonts w:hint="eastAsia"/>
                <w:bCs/>
                <w:sz w:val="21"/>
              </w:rPr>
              <w:t>/a）。设备清洗废水排入厂区污水处理站处理后排入园区污水管网。</w:t>
            </w:r>
          </w:p>
          <w:p w14:paraId="299C2263">
            <w:pPr>
              <w:pStyle w:val="68"/>
              <w:spacing w:line="360" w:lineRule="auto"/>
              <w:ind w:left="0" w:right="0" w:firstLine="420" w:firstLineChars="200"/>
              <w:jc w:val="both"/>
              <w:rPr>
                <w:bCs/>
                <w:sz w:val="21"/>
              </w:rPr>
            </w:pPr>
            <w:r>
              <w:rPr>
                <w:rFonts w:hint="eastAsia"/>
                <w:bCs/>
                <w:sz w:val="21"/>
              </w:rPr>
              <w:t>C.</w:t>
            </w:r>
            <w:r>
              <w:rPr>
                <w:rFonts w:hint="eastAsia"/>
              </w:rPr>
              <w:t xml:space="preserve"> </w:t>
            </w:r>
            <w:r>
              <w:rPr>
                <w:rFonts w:hint="eastAsia"/>
                <w:bCs/>
                <w:sz w:val="21"/>
              </w:rPr>
              <w:t>蒸汽发生器用、排水</w:t>
            </w:r>
          </w:p>
          <w:p w14:paraId="07651C3D">
            <w:pPr>
              <w:pStyle w:val="68"/>
              <w:spacing w:line="360" w:lineRule="auto"/>
              <w:ind w:left="0" w:firstLine="420" w:firstLineChars="200"/>
              <w:jc w:val="both"/>
              <w:rPr>
                <w:bCs/>
                <w:sz w:val="21"/>
              </w:rPr>
            </w:pPr>
            <w:r>
              <w:rPr>
                <w:rFonts w:hint="eastAsia"/>
                <w:bCs/>
                <w:sz w:val="21"/>
              </w:rPr>
              <w:t>膏方间配置1 台蒸汽发生器，蒸发量约为50kg/h。蒸汽发生器用水量=蒸汽用量+汽水损失量。膏方制作年处方量为2700 剂/年，每剂蒸汽耗量最大在3kg，负荷裕度为0.8，平均每药方用蒸汽2.4kg。因此：年蒸汽用量=2700剂/a×3kg/剂×0.8=6.48t/a，日使用量0.0216t/d，约21.6kg/d。汽水损失量=蒸汽发生器排污损失+管道汽水损失。蒸汽发生器排水损失取3%，管道汽水损失取3%，每1t 蒸汽耗水=1+1×3%（排污损失）+1×3%（管道损失）=1.06t 水。</w:t>
            </w:r>
          </w:p>
          <w:p w14:paraId="4BD4A152">
            <w:pPr>
              <w:pStyle w:val="68"/>
              <w:spacing w:line="360" w:lineRule="auto"/>
              <w:ind w:left="0" w:firstLine="420" w:firstLineChars="200"/>
              <w:jc w:val="both"/>
              <w:rPr>
                <w:bCs/>
                <w:sz w:val="21"/>
              </w:rPr>
            </w:pPr>
            <w:r>
              <w:rPr>
                <w:rFonts w:hint="eastAsia"/>
                <w:bCs/>
                <w:sz w:val="21"/>
              </w:rPr>
              <w:t>则蒸汽发生器用水量=6.48t/a×1.06=6.87m</w:t>
            </w:r>
            <w:r>
              <w:rPr>
                <w:rFonts w:hint="eastAsia"/>
                <w:bCs/>
                <w:sz w:val="21"/>
                <w:vertAlign w:val="superscript"/>
              </w:rPr>
              <w:t>3</w:t>
            </w:r>
            <w:r>
              <w:rPr>
                <w:rFonts w:hint="eastAsia"/>
                <w:bCs/>
                <w:sz w:val="21"/>
              </w:rPr>
              <w:t>/a，0.0229m</w:t>
            </w:r>
            <w:r>
              <w:rPr>
                <w:rFonts w:hint="eastAsia"/>
                <w:bCs/>
                <w:sz w:val="21"/>
                <w:vertAlign w:val="superscript"/>
              </w:rPr>
              <w:t>3</w:t>
            </w:r>
            <w:r>
              <w:rPr>
                <w:rFonts w:hint="eastAsia"/>
                <w:bCs/>
                <w:sz w:val="21"/>
              </w:rPr>
              <w:t>/d，约22.9kg/d。蒸汽发生器排水量为6.87×3%=0.2061t/a，0.0007m</w:t>
            </w:r>
            <w:r>
              <w:rPr>
                <w:rFonts w:hint="eastAsia"/>
                <w:bCs/>
                <w:sz w:val="21"/>
                <w:vertAlign w:val="superscript"/>
              </w:rPr>
              <w:t>3</w:t>
            </w:r>
            <w:r>
              <w:rPr>
                <w:rFonts w:hint="eastAsia"/>
                <w:bCs/>
                <w:sz w:val="21"/>
              </w:rPr>
              <w:t>/d，排入厂区污水处理站。</w:t>
            </w:r>
          </w:p>
          <w:p w14:paraId="29A03586">
            <w:pPr>
              <w:pStyle w:val="68"/>
              <w:spacing w:line="360" w:lineRule="auto"/>
              <w:ind w:left="0" w:right="0" w:firstLine="420" w:firstLineChars="200"/>
              <w:jc w:val="both"/>
              <w:rPr>
                <w:bCs/>
                <w:sz w:val="21"/>
              </w:rPr>
            </w:pPr>
            <w:r>
              <w:rPr>
                <w:rFonts w:hint="eastAsia"/>
                <w:bCs/>
                <w:sz w:val="21"/>
              </w:rPr>
              <w:t>蒸汽发生器年使用蒸汽量为0.0216t/d（6.48t/a）。蒸汽供工艺使用后，冷凝水回收，蒸汽发生器每天需要排放冷凝水，按蒸汽量的95%计（蒸汽损耗5%计），则蒸汽发生器废水排放量为0.0205m</w:t>
            </w:r>
            <w:r>
              <w:rPr>
                <w:rFonts w:hint="eastAsia"/>
                <w:bCs/>
                <w:sz w:val="21"/>
                <w:vertAlign w:val="superscript"/>
              </w:rPr>
              <w:t>3</w:t>
            </w:r>
            <w:r>
              <w:rPr>
                <w:rFonts w:hint="eastAsia"/>
                <w:bCs/>
                <w:sz w:val="21"/>
              </w:rPr>
              <w:t>/d（6.156m</w:t>
            </w:r>
            <w:r>
              <w:rPr>
                <w:rFonts w:hint="eastAsia"/>
                <w:bCs/>
                <w:sz w:val="21"/>
                <w:vertAlign w:val="superscript"/>
              </w:rPr>
              <w:t>3</w:t>
            </w:r>
            <w:r>
              <w:rPr>
                <w:rFonts w:hint="eastAsia"/>
                <w:bCs/>
                <w:sz w:val="21"/>
              </w:rPr>
              <w:t>/a）。本项目膏方间蒸汽均为间接加热，冷凝水较为干净，蒸汽发生器冷凝废水直接排入污水管网，与处理后的生产废水一并排入园区污水管网。</w:t>
            </w:r>
          </w:p>
          <w:p w14:paraId="435C9BBB">
            <w:pPr>
              <w:pStyle w:val="68"/>
              <w:spacing w:line="360" w:lineRule="auto"/>
              <w:ind w:left="0" w:right="0" w:firstLine="420" w:firstLineChars="200"/>
              <w:jc w:val="both"/>
              <w:rPr>
                <w:bCs/>
                <w:sz w:val="21"/>
              </w:rPr>
            </w:pPr>
            <w:r>
              <w:rPr>
                <w:rFonts w:hint="eastAsia"/>
                <w:bCs/>
                <w:sz w:val="21"/>
              </w:rPr>
              <w:t>D.</w:t>
            </w:r>
            <w:r>
              <w:rPr>
                <w:rFonts w:hint="eastAsia"/>
              </w:rPr>
              <w:t xml:space="preserve"> </w:t>
            </w:r>
            <w:r>
              <w:rPr>
                <w:rFonts w:hint="eastAsia"/>
                <w:bCs/>
                <w:sz w:val="21"/>
              </w:rPr>
              <w:t>纯水制备用水</w:t>
            </w:r>
          </w:p>
          <w:p w14:paraId="52CF1AFE">
            <w:pPr>
              <w:pStyle w:val="68"/>
              <w:spacing w:line="360" w:lineRule="auto"/>
              <w:ind w:left="0" w:right="0" w:firstLine="420" w:firstLineChars="200"/>
              <w:jc w:val="both"/>
              <w:rPr>
                <w:bCs/>
                <w:sz w:val="21"/>
              </w:rPr>
            </w:pPr>
            <w:r>
              <w:rPr>
                <w:rFonts w:hint="eastAsia"/>
                <w:bCs/>
                <w:sz w:val="21"/>
              </w:rPr>
              <w:t>纯水用于蒸汽发生器用水及中药煎煮用水，纯水制备率取0.6，则纯水制备所需新鲜用水量为6.1165m</w:t>
            </w:r>
            <w:r>
              <w:rPr>
                <w:rFonts w:hint="eastAsia"/>
                <w:bCs/>
                <w:sz w:val="21"/>
                <w:vertAlign w:val="superscript"/>
              </w:rPr>
              <w:t>3</w:t>
            </w:r>
            <w:r>
              <w:rPr>
                <w:rFonts w:hint="eastAsia"/>
                <w:bCs/>
                <w:sz w:val="21"/>
              </w:rPr>
              <w:t>/d （1834.95m</w:t>
            </w:r>
            <w:r>
              <w:rPr>
                <w:rFonts w:hint="eastAsia"/>
                <w:bCs/>
                <w:sz w:val="21"/>
                <w:vertAlign w:val="superscript"/>
              </w:rPr>
              <w:t>3</w:t>
            </w:r>
            <w:r>
              <w:rPr>
                <w:rFonts w:hint="eastAsia"/>
                <w:bCs/>
                <w:sz w:val="21"/>
              </w:rPr>
              <w:t>/a ），则浓水排放量为2.4466m</w:t>
            </w:r>
            <w:r>
              <w:rPr>
                <w:rFonts w:hint="eastAsia"/>
                <w:bCs/>
                <w:sz w:val="21"/>
                <w:vertAlign w:val="superscript"/>
              </w:rPr>
              <w:t>3</w:t>
            </w:r>
            <w:r>
              <w:rPr>
                <w:rFonts w:hint="eastAsia"/>
                <w:bCs/>
                <w:sz w:val="21"/>
              </w:rPr>
              <w:t>/d（733.98m</w:t>
            </w:r>
            <w:r>
              <w:rPr>
                <w:rFonts w:hint="eastAsia"/>
                <w:bCs/>
                <w:sz w:val="21"/>
                <w:vertAlign w:val="superscript"/>
              </w:rPr>
              <w:t>3</w:t>
            </w:r>
            <w:r>
              <w:rPr>
                <w:rFonts w:hint="eastAsia"/>
                <w:bCs/>
                <w:sz w:val="21"/>
              </w:rPr>
              <w:t>/a）。浓水排入厂区污水处理站处理后排入园区污水管网。</w:t>
            </w:r>
          </w:p>
          <w:p w14:paraId="046F91F2">
            <w:pPr>
              <w:pStyle w:val="68"/>
              <w:spacing w:line="360" w:lineRule="auto"/>
              <w:ind w:left="0" w:right="0" w:firstLine="420" w:firstLineChars="200"/>
              <w:jc w:val="both"/>
              <w:rPr>
                <w:bCs/>
                <w:sz w:val="21"/>
              </w:rPr>
            </w:pPr>
            <w:r>
              <w:rPr>
                <w:rFonts w:hint="eastAsia"/>
                <w:bCs/>
                <w:sz w:val="21"/>
              </w:rPr>
              <w:t>E. 地面清洁用水</w:t>
            </w:r>
          </w:p>
          <w:p w14:paraId="473E9601">
            <w:pPr>
              <w:pStyle w:val="68"/>
              <w:spacing w:line="360" w:lineRule="auto"/>
              <w:ind w:left="0" w:right="0" w:firstLine="420" w:firstLineChars="200"/>
              <w:jc w:val="both"/>
              <w:rPr>
                <w:bCs/>
                <w:sz w:val="21"/>
              </w:rPr>
            </w:pPr>
            <w:r>
              <w:rPr>
                <w:rFonts w:hint="eastAsia"/>
                <w:bCs/>
                <w:sz w:val="21"/>
              </w:rPr>
              <w:t>车间清洁主要为拖地方式为主，项目车间生产区每天清扫一次，采用拖把拖洗的方式进行地坪清洁，拖把拖洗用水以0.5L/m</w:t>
            </w:r>
            <w:r>
              <w:rPr>
                <w:rFonts w:hint="eastAsia"/>
                <w:bCs/>
                <w:sz w:val="21"/>
                <w:vertAlign w:val="superscript"/>
              </w:rPr>
              <w:t>2</w:t>
            </w:r>
            <w:r>
              <w:rPr>
                <w:rFonts w:hint="eastAsia"/>
                <w:bCs/>
                <w:sz w:val="21"/>
              </w:rPr>
              <w:t>·d，项目车间厂房2260m</w:t>
            </w:r>
            <w:r>
              <w:rPr>
                <w:rFonts w:hint="eastAsia"/>
                <w:bCs/>
                <w:sz w:val="21"/>
                <w:vertAlign w:val="superscript"/>
              </w:rPr>
              <w:t>2</w:t>
            </w:r>
            <w:r>
              <w:rPr>
                <w:rFonts w:hint="eastAsia"/>
                <w:bCs/>
                <w:sz w:val="21"/>
              </w:rPr>
              <w:t>，项目地坪拖洗用水量为1.13m</w:t>
            </w:r>
            <w:r>
              <w:rPr>
                <w:rFonts w:hint="eastAsia"/>
                <w:bCs/>
                <w:sz w:val="21"/>
                <w:vertAlign w:val="superscript"/>
              </w:rPr>
              <w:t>3</w:t>
            </w:r>
            <w:r>
              <w:rPr>
                <w:rFonts w:hint="eastAsia"/>
                <w:bCs/>
                <w:sz w:val="21"/>
              </w:rPr>
              <w:t>/d（339m</w:t>
            </w:r>
            <w:r>
              <w:rPr>
                <w:rFonts w:hint="eastAsia"/>
                <w:bCs/>
                <w:sz w:val="21"/>
                <w:vertAlign w:val="superscript"/>
              </w:rPr>
              <w:t>3</w:t>
            </w:r>
            <w:r>
              <w:rPr>
                <w:rFonts w:hint="eastAsia"/>
                <w:bCs/>
                <w:sz w:val="21"/>
              </w:rPr>
              <w:t>/a）。废水排放系数按0.85计，则拖地废水产生为</w:t>
            </w:r>
            <w:r>
              <w:rPr>
                <w:bCs/>
                <w:sz w:val="21"/>
              </w:rPr>
              <w:t>0.</w:t>
            </w:r>
            <w:r>
              <w:rPr>
                <w:rFonts w:hint="eastAsia"/>
                <w:bCs/>
                <w:sz w:val="21"/>
              </w:rPr>
              <w:t>9605m</w:t>
            </w:r>
            <w:r>
              <w:rPr>
                <w:rFonts w:hint="eastAsia"/>
                <w:bCs/>
                <w:sz w:val="21"/>
                <w:vertAlign w:val="superscript"/>
              </w:rPr>
              <w:t>3</w:t>
            </w:r>
            <w:r>
              <w:rPr>
                <w:rFonts w:hint="eastAsia"/>
                <w:bCs/>
                <w:sz w:val="21"/>
              </w:rPr>
              <w:t>/d（288.15m</w:t>
            </w:r>
            <w:r>
              <w:rPr>
                <w:rFonts w:hint="eastAsia"/>
                <w:bCs/>
                <w:sz w:val="21"/>
                <w:vertAlign w:val="superscript"/>
              </w:rPr>
              <w:t>3</w:t>
            </w:r>
            <w:r>
              <w:rPr>
                <w:rFonts w:hint="eastAsia"/>
                <w:bCs/>
                <w:sz w:val="21"/>
              </w:rPr>
              <w:t>/a）。</w:t>
            </w:r>
          </w:p>
          <w:p w14:paraId="470D7AD5">
            <w:pPr>
              <w:pStyle w:val="68"/>
              <w:spacing w:line="360" w:lineRule="auto"/>
              <w:ind w:left="0" w:right="0" w:firstLine="422" w:firstLineChars="200"/>
              <w:jc w:val="both"/>
              <w:rPr>
                <w:b/>
                <w:sz w:val="21"/>
              </w:rPr>
            </w:pPr>
            <w:r>
              <w:rPr>
                <w:rFonts w:hint="eastAsia"/>
                <w:b/>
                <w:sz w:val="21"/>
              </w:rPr>
              <w:t>②生活用水</w:t>
            </w:r>
          </w:p>
          <w:p w14:paraId="6B2E0861">
            <w:pPr>
              <w:pStyle w:val="68"/>
              <w:spacing w:line="360" w:lineRule="auto"/>
              <w:ind w:left="0" w:right="0" w:firstLine="420" w:firstLineChars="200"/>
              <w:jc w:val="both"/>
              <w:rPr>
                <w:bCs/>
                <w:sz w:val="21"/>
              </w:rPr>
            </w:pPr>
            <w:r>
              <w:rPr>
                <w:rFonts w:hint="eastAsia"/>
                <w:bCs/>
                <w:sz w:val="21"/>
              </w:rPr>
              <w:t>本项目劳动定员60人，办公生活用水量以</w:t>
            </w:r>
            <w:r>
              <w:rPr>
                <w:bCs/>
                <w:sz w:val="21"/>
              </w:rPr>
              <w:t>5</w:t>
            </w:r>
            <w:r>
              <w:rPr>
                <w:rFonts w:hint="eastAsia"/>
                <w:bCs/>
                <w:sz w:val="21"/>
              </w:rPr>
              <w:t>0L/人·d计，办公生活用水量为3m</w:t>
            </w:r>
            <w:r>
              <w:rPr>
                <w:rFonts w:hint="eastAsia"/>
                <w:bCs/>
                <w:sz w:val="21"/>
                <w:vertAlign w:val="superscript"/>
              </w:rPr>
              <w:t>3</w:t>
            </w:r>
            <w:r>
              <w:rPr>
                <w:rFonts w:hint="eastAsia"/>
                <w:bCs/>
                <w:sz w:val="21"/>
              </w:rPr>
              <w:t>/d，900m</w:t>
            </w:r>
            <w:r>
              <w:rPr>
                <w:rFonts w:hint="eastAsia"/>
                <w:bCs/>
                <w:sz w:val="21"/>
                <w:vertAlign w:val="superscript"/>
              </w:rPr>
              <w:t>3</w:t>
            </w:r>
            <w:r>
              <w:rPr>
                <w:rFonts w:hint="eastAsia"/>
                <w:bCs/>
                <w:sz w:val="21"/>
              </w:rPr>
              <w:t>/a，废水排放系数按0.85计，则生活污水产生为2.55m</w:t>
            </w:r>
            <w:r>
              <w:rPr>
                <w:rFonts w:hint="eastAsia"/>
                <w:bCs/>
                <w:sz w:val="21"/>
                <w:vertAlign w:val="superscript"/>
              </w:rPr>
              <w:t>3</w:t>
            </w:r>
            <w:r>
              <w:rPr>
                <w:rFonts w:hint="eastAsia"/>
                <w:bCs/>
                <w:sz w:val="21"/>
              </w:rPr>
              <w:t>/d（765m</w:t>
            </w:r>
            <w:r>
              <w:rPr>
                <w:rFonts w:hint="eastAsia"/>
                <w:bCs/>
                <w:sz w:val="21"/>
                <w:vertAlign w:val="superscript"/>
              </w:rPr>
              <w:t>3</w:t>
            </w:r>
            <w:r>
              <w:rPr>
                <w:rFonts w:hint="eastAsia"/>
                <w:bCs/>
                <w:sz w:val="21"/>
              </w:rPr>
              <w:t>/a）。</w:t>
            </w:r>
          </w:p>
          <w:p w14:paraId="60046A9F">
            <w:pPr>
              <w:pStyle w:val="68"/>
              <w:spacing w:line="360" w:lineRule="auto"/>
              <w:ind w:left="0" w:right="0" w:firstLine="420" w:firstLineChars="200"/>
              <w:jc w:val="both"/>
              <w:rPr>
                <w:bCs/>
                <w:sz w:val="21"/>
              </w:rPr>
            </w:pPr>
            <w:r>
              <w:rPr>
                <w:rFonts w:hint="eastAsia"/>
                <w:bCs/>
                <w:sz w:val="21"/>
              </w:rPr>
              <w:t>综上，本项目用水量为20.50m</w:t>
            </w:r>
            <w:r>
              <w:rPr>
                <w:rFonts w:hint="eastAsia"/>
                <w:bCs/>
                <w:sz w:val="21"/>
                <w:vertAlign w:val="superscript"/>
              </w:rPr>
              <w:t>3</w:t>
            </w:r>
            <w:r>
              <w:rPr>
                <w:rFonts w:hint="eastAsia"/>
                <w:bCs/>
                <w:sz w:val="21"/>
              </w:rPr>
              <w:t>/d、6151.17m</w:t>
            </w:r>
            <w:r>
              <w:rPr>
                <w:rFonts w:hint="eastAsia"/>
                <w:bCs/>
                <w:sz w:val="21"/>
                <w:vertAlign w:val="superscript"/>
              </w:rPr>
              <w:t>3</w:t>
            </w:r>
            <w:r>
              <w:rPr>
                <w:rFonts w:hint="eastAsia"/>
                <w:bCs/>
                <w:sz w:val="21"/>
              </w:rPr>
              <w:t>/a，排水量为11.58m</w:t>
            </w:r>
            <w:r>
              <w:rPr>
                <w:rFonts w:hint="eastAsia"/>
                <w:bCs/>
                <w:sz w:val="21"/>
                <w:vertAlign w:val="superscript"/>
              </w:rPr>
              <w:t>3</w:t>
            </w:r>
            <w:r>
              <w:rPr>
                <w:rFonts w:hint="eastAsia"/>
                <w:bCs/>
                <w:sz w:val="21"/>
              </w:rPr>
              <w:t>/d，3473.30m</w:t>
            </w:r>
            <w:r>
              <w:rPr>
                <w:rFonts w:hint="eastAsia"/>
                <w:bCs/>
                <w:sz w:val="21"/>
                <w:vertAlign w:val="superscript"/>
              </w:rPr>
              <w:t>3</w:t>
            </w:r>
            <w:r>
              <w:rPr>
                <w:rFonts w:hint="eastAsia"/>
                <w:bCs/>
                <w:sz w:val="21"/>
              </w:rPr>
              <w:t>/a。本项目用水情况详见下表。</w:t>
            </w:r>
          </w:p>
          <w:p w14:paraId="247B397E">
            <w:pPr>
              <w:autoSpaceDE w:val="0"/>
              <w:autoSpaceDN w:val="0"/>
              <w:adjustRightInd w:val="0"/>
              <w:snapToGrid w:val="0"/>
              <w:jc w:val="center"/>
              <w:rPr>
                <w:b/>
              </w:rPr>
            </w:pPr>
            <w:r>
              <w:rPr>
                <w:rFonts w:hint="eastAsia"/>
                <w:b/>
              </w:rPr>
              <w:t>表2</w:t>
            </w:r>
            <w:r>
              <w:rPr>
                <w:b/>
              </w:rPr>
              <w:t xml:space="preserve">-5  </w:t>
            </w:r>
            <w:r>
              <w:rPr>
                <w:rFonts w:hint="eastAsia"/>
                <w:b/>
              </w:rPr>
              <w:t>项目用水类型及用水量情况</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5"/>
              <w:gridCol w:w="1073"/>
              <w:gridCol w:w="861"/>
              <w:gridCol w:w="974"/>
              <w:gridCol w:w="1017"/>
              <w:gridCol w:w="1011"/>
              <w:gridCol w:w="543"/>
              <w:gridCol w:w="1136"/>
              <w:gridCol w:w="945"/>
            </w:tblGrid>
            <w:tr w14:paraId="19A92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242" w:type="pct"/>
                  <w:shd w:val="clear" w:color="auto" w:fill="auto"/>
                  <w:vAlign w:val="center"/>
                </w:tcPr>
                <w:p w14:paraId="2659678C">
                  <w:pPr>
                    <w:ind w:left="-105" w:leftChars="-50" w:right="-105" w:rightChars="-50"/>
                    <w:jc w:val="center"/>
                    <w:rPr>
                      <w:b/>
                      <w:bCs/>
                      <w:sz w:val="18"/>
                      <w:szCs w:val="18"/>
                    </w:rPr>
                  </w:pPr>
                  <w:r>
                    <w:rPr>
                      <w:rFonts w:hint="eastAsia"/>
                      <w:b/>
                      <w:bCs/>
                      <w:sz w:val="18"/>
                      <w:szCs w:val="18"/>
                    </w:rPr>
                    <w:t>序号</w:t>
                  </w:r>
                </w:p>
              </w:tc>
              <w:tc>
                <w:tcPr>
                  <w:tcW w:w="675" w:type="pct"/>
                  <w:shd w:val="clear" w:color="auto" w:fill="auto"/>
                  <w:vAlign w:val="center"/>
                </w:tcPr>
                <w:p w14:paraId="4EE6385B">
                  <w:pPr>
                    <w:ind w:left="-105" w:leftChars="-50" w:right="-105" w:rightChars="-50"/>
                    <w:jc w:val="center"/>
                    <w:rPr>
                      <w:b/>
                      <w:bCs/>
                      <w:sz w:val="18"/>
                      <w:szCs w:val="18"/>
                    </w:rPr>
                  </w:pPr>
                  <w:r>
                    <w:rPr>
                      <w:rFonts w:hint="eastAsia"/>
                      <w:b/>
                      <w:bCs/>
                      <w:sz w:val="18"/>
                      <w:szCs w:val="18"/>
                    </w:rPr>
                    <w:t>用水类型</w:t>
                  </w:r>
                </w:p>
              </w:tc>
              <w:tc>
                <w:tcPr>
                  <w:tcW w:w="542" w:type="pct"/>
                  <w:shd w:val="clear" w:color="auto" w:fill="auto"/>
                  <w:vAlign w:val="center"/>
                </w:tcPr>
                <w:p w14:paraId="710CD45F">
                  <w:pPr>
                    <w:ind w:left="-105" w:leftChars="-50" w:right="-105" w:rightChars="-50"/>
                    <w:jc w:val="center"/>
                    <w:rPr>
                      <w:b/>
                      <w:bCs/>
                      <w:sz w:val="18"/>
                      <w:szCs w:val="18"/>
                    </w:rPr>
                  </w:pPr>
                  <w:r>
                    <w:rPr>
                      <w:rFonts w:hint="eastAsia"/>
                      <w:b/>
                      <w:bCs/>
                      <w:sz w:val="18"/>
                      <w:szCs w:val="18"/>
                    </w:rPr>
                    <w:t>使用规模</w:t>
                  </w:r>
                </w:p>
              </w:tc>
              <w:tc>
                <w:tcPr>
                  <w:tcW w:w="613" w:type="pct"/>
                  <w:shd w:val="clear" w:color="auto" w:fill="auto"/>
                  <w:vAlign w:val="center"/>
                </w:tcPr>
                <w:p w14:paraId="143C2E23">
                  <w:pPr>
                    <w:ind w:left="-105" w:leftChars="-50" w:right="-105" w:rightChars="-50"/>
                    <w:jc w:val="center"/>
                    <w:rPr>
                      <w:b/>
                      <w:bCs/>
                      <w:sz w:val="18"/>
                      <w:szCs w:val="18"/>
                    </w:rPr>
                  </w:pPr>
                  <w:r>
                    <w:rPr>
                      <w:rFonts w:hint="eastAsia"/>
                      <w:b/>
                      <w:bCs/>
                      <w:sz w:val="18"/>
                      <w:szCs w:val="18"/>
                    </w:rPr>
                    <w:t>用水定额</w:t>
                  </w:r>
                </w:p>
              </w:tc>
              <w:tc>
                <w:tcPr>
                  <w:tcW w:w="640" w:type="pct"/>
                  <w:shd w:val="clear" w:color="auto" w:fill="auto"/>
                  <w:vAlign w:val="center"/>
                </w:tcPr>
                <w:p w14:paraId="63C29E4C">
                  <w:pPr>
                    <w:ind w:left="-105" w:leftChars="-50" w:right="-105" w:rightChars="-50"/>
                    <w:jc w:val="center"/>
                    <w:rPr>
                      <w:b/>
                      <w:bCs/>
                      <w:sz w:val="18"/>
                      <w:szCs w:val="18"/>
                    </w:rPr>
                  </w:pPr>
                  <w:r>
                    <w:rPr>
                      <w:rFonts w:hint="eastAsia"/>
                      <w:b/>
                      <w:bCs/>
                      <w:sz w:val="18"/>
                      <w:szCs w:val="18"/>
                    </w:rPr>
                    <w:t>日用水量（m</w:t>
                  </w:r>
                  <w:r>
                    <w:rPr>
                      <w:rFonts w:hint="eastAsia"/>
                      <w:b/>
                      <w:bCs/>
                      <w:sz w:val="18"/>
                      <w:szCs w:val="18"/>
                      <w:vertAlign w:val="superscript"/>
                    </w:rPr>
                    <w:t>3</w:t>
                  </w:r>
                  <w:r>
                    <w:rPr>
                      <w:rFonts w:hint="eastAsia"/>
                      <w:b/>
                      <w:bCs/>
                      <w:sz w:val="18"/>
                      <w:szCs w:val="18"/>
                    </w:rPr>
                    <w:t>/d）</w:t>
                  </w:r>
                </w:p>
              </w:tc>
              <w:tc>
                <w:tcPr>
                  <w:tcW w:w="636" w:type="pct"/>
                  <w:vAlign w:val="center"/>
                </w:tcPr>
                <w:p w14:paraId="3C3FC28B">
                  <w:pPr>
                    <w:ind w:left="-105" w:leftChars="-50" w:right="-105" w:rightChars="-50"/>
                    <w:jc w:val="center"/>
                    <w:rPr>
                      <w:b/>
                      <w:bCs/>
                      <w:sz w:val="18"/>
                      <w:szCs w:val="18"/>
                    </w:rPr>
                  </w:pPr>
                  <w:r>
                    <w:rPr>
                      <w:rFonts w:hint="eastAsia"/>
                      <w:b/>
                      <w:bCs/>
                      <w:sz w:val="18"/>
                      <w:szCs w:val="18"/>
                    </w:rPr>
                    <w:t>年用水量（m</w:t>
                  </w:r>
                  <w:r>
                    <w:rPr>
                      <w:rFonts w:hint="eastAsia"/>
                      <w:b/>
                      <w:bCs/>
                      <w:sz w:val="18"/>
                      <w:szCs w:val="18"/>
                      <w:vertAlign w:val="superscript"/>
                    </w:rPr>
                    <w:t>3</w:t>
                  </w:r>
                  <w:r>
                    <w:rPr>
                      <w:rFonts w:hint="eastAsia"/>
                      <w:b/>
                      <w:bCs/>
                      <w:sz w:val="18"/>
                      <w:szCs w:val="18"/>
                    </w:rPr>
                    <w:t>/a）</w:t>
                  </w:r>
                </w:p>
              </w:tc>
              <w:tc>
                <w:tcPr>
                  <w:tcW w:w="342" w:type="pct"/>
                  <w:vAlign w:val="center"/>
                </w:tcPr>
                <w:p w14:paraId="75172EC7">
                  <w:pPr>
                    <w:ind w:left="-105" w:leftChars="-50" w:right="-105" w:rightChars="-50"/>
                    <w:jc w:val="center"/>
                    <w:rPr>
                      <w:b/>
                      <w:bCs/>
                      <w:sz w:val="18"/>
                      <w:szCs w:val="18"/>
                    </w:rPr>
                  </w:pPr>
                  <w:r>
                    <w:rPr>
                      <w:rFonts w:hint="eastAsia"/>
                      <w:b/>
                      <w:bCs/>
                      <w:sz w:val="18"/>
                      <w:szCs w:val="18"/>
                    </w:rPr>
                    <w:t>排污系数</w:t>
                  </w:r>
                </w:p>
              </w:tc>
              <w:tc>
                <w:tcPr>
                  <w:tcW w:w="715" w:type="pct"/>
                  <w:shd w:val="clear" w:color="auto" w:fill="auto"/>
                  <w:vAlign w:val="center"/>
                </w:tcPr>
                <w:p w14:paraId="156A71CC">
                  <w:pPr>
                    <w:ind w:left="-105" w:leftChars="-50" w:right="-105" w:rightChars="-50"/>
                    <w:jc w:val="center"/>
                    <w:rPr>
                      <w:b/>
                      <w:bCs/>
                      <w:sz w:val="18"/>
                      <w:szCs w:val="18"/>
                    </w:rPr>
                  </w:pPr>
                  <w:r>
                    <w:rPr>
                      <w:rFonts w:hint="eastAsia"/>
                      <w:b/>
                      <w:bCs/>
                      <w:sz w:val="18"/>
                      <w:szCs w:val="18"/>
                    </w:rPr>
                    <w:t>日排水量（m</w:t>
                  </w:r>
                  <w:r>
                    <w:rPr>
                      <w:rFonts w:hint="eastAsia"/>
                      <w:b/>
                      <w:bCs/>
                      <w:sz w:val="18"/>
                      <w:szCs w:val="18"/>
                      <w:vertAlign w:val="superscript"/>
                    </w:rPr>
                    <w:t>3</w:t>
                  </w:r>
                  <w:r>
                    <w:rPr>
                      <w:rFonts w:hint="eastAsia"/>
                      <w:b/>
                      <w:bCs/>
                      <w:sz w:val="18"/>
                      <w:szCs w:val="18"/>
                    </w:rPr>
                    <w:t>/d）</w:t>
                  </w:r>
                </w:p>
              </w:tc>
              <w:tc>
                <w:tcPr>
                  <w:tcW w:w="595" w:type="pct"/>
                  <w:vAlign w:val="center"/>
                </w:tcPr>
                <w:p w14:paraId="2F9C48FF">
                  <w:pPr>
                    <w:ind w:left="-105" w:leftChars="-50" w:right="-105" w:rightChars="-50"/>
                    <w:jc w:val="center"/>
                    <w:rPr>
                      <w:b/>
                      <w:bCs/>
                      <w:sz w:val="18"/>
                      <w:szCs w:val="18"/>
                    </w:rPr>
                  </w:pPr>
                  <w:r>
                    <w:rPr>
                      <w:rFonts w:hint="eastAsia"/>
                      <w:b/>
                      <w:bCs/>
                      <w:sz w:val="18"/>
                      <w:szCs w:val="18"/>
                    </w:rPr>
                    <w:t>年排水量（m</w:t>
                  </w:r>
                  <w:r>
                    <w:rPr>
                      <w:rFonts w:hint="eastAsia"/>
                      <w:b/>
                      <w:bCs/>
                      <w:sz w:val="18"/>
                      <w:szCs w:val="18"/>
                      <w:vertAlign w:val="superscript"/>
                    </w:rPr>
                    <w:t>3</w:t>
                  </w:r>
                  <w:r>
                    <w:rPr>
                      <w:rFonts w:hint="eastAsia"/>
                      <w:b/>
                      <w:bCs/>
                      <w:sz w:val="18"/>
                      <w:szCs w:val="18"/>
                    </w:rPr>
                    <w:t>/a）</w:t>
                  </w:r>
                </w:p>
              </w:tc>
            </w:tr>
            <w:tr w14:paraId="77939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42" w:type="pct"/>
                  <w:shd w:val="clear" w:color="auto" w:fill="auto"/>
                  <w:vAlign w:val="center"/>
                </w:tcPr>
                <w:p w14:paraId="093F30A5">
                  <w:pPr>
                    <w:ind w:left="-105" w:leftChars="-50" w:right="-105" w:rightChars="-50"/>
                    <w:jc w:val="center"/>
                    <w:rPr>
                      <w:sz w:val="18"/>
                      <w:szCs w:val="18"/>
                    </w:rPr>
                  </w:pPr>
                  <w:r>
                    <w:rPr>
                      <w:rFonts w:hint="eastAsia"/>
                      <w:sz w:val="18"/>
                      <w:szCs w:val="18"/>
                    </w:rPr>
                    <w:t>1</w:t>
                  </w:r>
                </w:p>
              </w:tc>
              <w:tc>
                <w:tcPr>
                  <w:tcW w:w="675" w:type="pct"/>
                  <w:shd w:val="clear" w:color="auto" w:fill="auto"/>
                  <w:vAlign w:val="center"/>
                </w:tcPr>
                <w:p w14:paraId="5839EE93">
                  <w:pPr>
                    <w:ind w:left="-105" w:leftChars="-50" w:right="-105" w:rightChars="-50"/>
                    <w:jc w:val="center"/>
                    <w:rPr>
                      <w:sz w:val="18"/>
                      <w:szCs w:val="18"/>
                    </w:rPr>
                  </w:pPr>
                  <w:r>
                    <w:rPr>
                      <w:rFonts w:hint="eastAsia"/>
                      <w:sz w:val="18"/>
                      <w:szCs w:val="18"/>
                    </w:rPr>
                    <w:t>煎药用水</w:t>
                  </w:r>
                </w:p>
              </w:tc>
              <w:tc>
                <w:tcPr>
                  <w:tcW w:w="542" w:type="pct"/>
                  <w:shd w:val="clear" w:color="auto" w:fill="auto"/>
                  <w:vAlign w:val="center"/>
                </w:tcPr>
                <w:p w14:paraId="418265ED">
                  <w:pPr>
                    <w:ind w:left="-105" w:leftChars="-50" w:right="-105" w:rightChars="-50"/>
                    <w:jc w:val="center"/>
                    <w:rPr>
                      <w:rFonts w:hint="eastAsia"/>
                      <w:sz w:val="18"/>
                      <w:szCs w:val="18"/>
                    </w:rPr>
                  </w:pPr>
                  <w:r>
                    <w:rPr>
                      <w:rFonts w:hint="eastAsia"/>
                      <w:sz w:val="18"/>
                      <w:szCs w:val="18"/>
                    </w:rPr>
                    <w:t>521剂</w:t>
                  </w:r>
                </w:p>
              </w:tc>
              <w:tc>
                <w:tcPr>
                  <w:tcW w:w="613" w:type="pct"/>
                  <w:shd w:val="clear" w:color="auto" w:fill="auto"/>
                  <w:vAlign w:val="center"/>
                </w:tcPr>
                <w:p w14:paraId="428D1DD9">
                  <w:pPr>
                    <w:ind w:left="-105" w:leftChars="-50" w:right="-105" w:rightChars="-50"/>
                    <w:jc w:val="center"/>
                    <w:rPr>
                      <w:sz w:val="18"/>
                      <w:szCs w:val="18"/>
                    </w:rPr>
                  </w:pPr>
                  <w:r>
                    <w:rPr>
                      <w:rFonts w:hint="eastAsia"/>
                      <w:sz w:val="18"/>
                      <w:szCs w:val="18"/>
                    </w:rPr>
                    <w:t>7L/剂</w:t>
                  </w:r>
                </w:p>
              </w:tc>
              <w:tc>
                <w:tcPr>
                  <w:tcW w:w="640" w:type="pct"/>
                  <w:shd w:val="clear" w:color="auto" w:fill="auto"/>
                  <w:vAlign w:val="center"/>
                </w:tcPr>
                <w:p w14:paraId="3ABEE520">
                  <w:pPr>
                    <w:ind w:left="-105" w:leftChars="-50" w:right="-105" w:rightChars="-50"/>
                    <w:jc w:val="center"/>
                    <w:rPr>
                      <w:rFonts w:hint="eastAsia"/>
                      <w:b/>
                      <w:bCs/>
                      <w:sz w:val="18"/>
                      <w:szCs w:val="18"/>
                    </w:rPr>
                  </w:pPr>
                  <w:r>
                    <w:rPr>
                      <w:b/>
                      <w:bCs/>
                      <w:sz w:val="18"/>
                      <w:szCs w:val="18"/>
                    </w:rPr>
                    <w:t>3.647</w:t>
                  </w:r>
                  <w:r>
                    <w:rPr>
                      <w:rFonts w:hint="eastAsia"/>
                      <w:b/>
                      <w:bCs/>
                      <w:sz w:val="18"/>
                      <w:szCs w:val="18"/>
                    </w:rPr>
                    <w:t>*</w:t>
                  </w:r>
                </w:p>
              </w:tc>
              <w:tc>
                <w:tcPr>
                  <w:tcW w:w="636" w:type="pct"/>
                  <w:vAlign w:val="center"/>
                </w:tcPr>
                <w:p w14:paraId="4868C78E">
                  <w:pPr>
                    <w:ind w:left="-105" w:leftChars="-50" w:right="-105" w:rightChars="-50"/>
                    <w:jc w:val="center"/>
                    <w:rPr>
                      <w:b/>
                      <w:bCs/>
                      <w:sz w:val="18"/>
                      <w:szCs w:val="18"/>
                    </w:rPr>
                  </w:pPr>
                  <w:r>
                    <w:rPr>
                      <w:b/>
                      <w:bCs/>
                      <w:sz w:val="18"/>
                      <w:szCs w:val="18"/>
                    </w:rPr>
                    <w:t>1094.1</w:t>
                  </w:r>
                  <w:r>
                    <w:rPr>
                      <w:rFonts w:hint="eastAsia"/>
                      <w:b/>
                      <w:bCs/>
                      <w:sz w:val="18"/>
                      <w:szCs w:val="18"/>
                    </w:rPr>
                    <w:t>*</w:t>
                  </w:r>
                </w:p>
              </w:tc>
              <w:tc>
                <w:tcPr>
                  <w:tcW w:w="342" w:type="pct"/>
                  <w:vAlign w:val="center"/>
                </w:tcPr>
                <w:p w14:paraId="76BC5EA3">
                  <w:pPr>
                    <w:ind w:left="-105" w:leftChars="-50" w:right="-105" w:rightChars="-50"/>
                    <w:jc w:val="center"/>
                    <w:rPr>
                      <w:sz w:val="18"/>
                      <w:szCs w:val="18"/>
                    </w:rPr>
                  </w:pPr>
                  <w:r>
                    <w:rPr>
                      <w:rFonts w:hint="eastAsia"/>
                      <w:sz w:val="18"/>
                      <w:szCs w:val="18"/>
                    </w:rPr>
                    <w:t>/</w:t>
                  </w:r>
                </w:p>
              </w:tc>
              <w:tc>
                <w:tcPr>
                  <w:tcW w:w="715" w:type="pct"/>
                  <w:shd w:val="clear" w:color="auto" w:fill="auto"/>
                  <w:vAlign w:val="center"/>
                </w:tcPr>
                <w:p w14:paraId="33877B11">
                  <w:pPr>
                    <w:ind w:left="-105" w:leftChars="-50" w:right="-105" w:rightChars="-50"/>
                    <w:jc w:val="center"/>
                    <w:rPr>
                      <w:sz w:val="18"/>
                      <w:szCs w:val="18"/>
                    </w:rPr>
                  </w:pPr>
                  <w:r>
                    <w:rPr>
                      <w:rFonts w:hint="eastAsia"/>
                      <w:sz w:val="18"/>
                      <w:szCs w:val="18"/>
                    </w:rPr>
                    <w:t>/</w:t>
                  </w:r>
                </w:p>
              </w:tc>
              <w:tc>
                <w:tcPr>
                  <w:tcW w:w="595" w:type="pct"/>
                  <w:vAlign w:val="center"/>
                </w:tcPr>
                <w:p w14:paraId="6F890BB9">
                  <w:pPr>
                    <w:ind w:left="-105" w:leftChars="-50" w:right="-105" w:rightChars="-50"/>
                    <w:jc w:val="center"/>
                    <w:rPr>
                      <w:sz w:val="18"/>
                      <w:szCs w:val="18"/>
                    </w:rPr>
                  </w:pPr>
                  <w:r>
                    <w:rPr>
                      <w:rFonts w:hint="eastAsia"/>
                      <w:sz w:val="18"/>
                      <w:szCs w:val="18"/>
                    </w:rPr>
                    <w:t>/</w:t>
                  </w:r>
                </w:p>
              </w:tc>
            </w:tr>
            <w:tr w14:paraId="38DD5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shd w:val="clear" w:color="auto" w:fill="auto"/>
                  <w:vAlign w:val="center"/>
                </w:tcPr>
                <w:p w14:paraId="74DAB6B8">
                  <w:pPr>
                    <w:ind w:left="-105" w:leftChars="-50" w:right="-105" w:rightChars="-50"/>
                    <w:jc w:val="center"/>
                    <w:rPr>
                      <w:sz w:val="18"/>
                      <w:szCs w:val="18"/>
                    </w:rPr>
                  </w:pPr>
                  <w:r>
                    <w:rPr>
                      <w:rFonts w:hint="eastAsia"/>
                      <w:sz w:val="18"/>
                      <w:szCs w:val="18"/>
                    </w:rPr>
                    <w:t>2</w:t>
                  </w:r>
                </w:p>
              </w:tc>
              <w:tc>
                <w:tcPr>
                  <w:tcW w:w="675" w:type="pct"/>
                  <w:shd w:val="clear" w:color="auto" w:fill="auto"/>
                  <w:vAlign w:val="center"/>
                </w:tcPr>
                <w:p w14:paraId="05A0AB5B">
                  <w:pPr>
                    <w:ind w:left="-105" w:leftChars="-50" w:right="-105" w:rightChars="-50"/>
                    <w:jc w:val="center"/>
                    <w:rPr>
                      <w:sz w:val="18"/>
                      <w:szCs w:val="18"/>
                    </w:rPr>
                  </w:pPr>
                  <w:r>
                    <w:rPr>
                      <w:rFonts w:hint="eastAsia"/>
                      <w:bCs/>
                      <w:sz w:val="18"/>
                      <w:szCs w:val="18"/>
                    </w:rPr>
                    <w:t>设备清洗用水</w:t>
                  </w:r>
                </w:p>
              </w:tc>
              <w:tc>
                <w:tcPr>
                  <w:tcW w:w="542" w:type="pct"/>
                  <w:shd w:val="clear" w:color="auto" w:fill="auto"/>
                  <w:vAlign w:val="center"/>
                </w:tcPr>
                <w:p w14:paraId="7FDA74EE">
                  <w:pPr>
                    <w:ind w:left="-105" w:leftChars="-50" w:right="-105" w:rightChars="-50"/>
                    <w:jc w:val="center"/>
                    <w:rPr>
                      <w:sz w:val="18"/>
                      <w:szCs w:val="18"/>
                    </w:rPr>
                  </w:pPr>
                  <w:r>
                    <w:rPr>
                      <w:rFonts w:hint="eastAsia"/>
                      <w:sz w:val="18"/>
                      <w:szCs w:val="18"/>
                    </w:rPr>
                    <w:t>527剂</w:t>
                  </w:r>
                </w:p>
              </w:tc>
              <w:tc>
                <w:tcPr>
                  <w:tcW w:w="613" w:type="pct"/>
                  <w:shd w:val="clear" w:color="auto" w:fill="auto"/>
                  <w:vAlign w:val="center"/>
                </w:tcPr>
                <w:p w14:paraId="7AC4DB79">
                  <w:pPr>
                    <w:ind w:left="-105" w:leftChars="-50" w:right="-105" w:rightChars="-50"/>
                    <w:jc w:val="center"/>
                    <w:rPr>
                      <w:sz w:val="18"/>
                      <w:szCs w:val="18"/>
                    </w:rPr>
                  </w:pPr>
                  <w:r>
                    <w:rPr>
                      <w:rFonts w:hint="eastAsia"/>
                      <w:sz w:val="18"/>
                      <w:szCs w:val="18"/>
                    </w:rPr>
                    <w:t>12.5L/剂</w:t>
                  </w:r>
                </w:p>
              </w:tc>
              <w:tc>
                <w:tcPr>
                  <w:tcW w:w="640" w:type="pct"/>
                  <w:shd w:val="clear" w:color="auto" w:fill="auto"/>
                  <w:vAlign w:val="center"/>
                </w:tcPr>
                <w:p w14:paraId="6D24AB76">
                  <w:pPr>
                    <w:ind w:left="-105" w:leftChars="-50" w:right="-105" w:rightChars="-50"/>
                    <w:jc w:val="center"/>
                    <w:rPr>
                      <w:sz w:val="18"/>
                      <w:szCs w:val="18"/>
                    </w:rPr>
                  </w:pPr>
                  <w:r>
                    <w:rPr>
                      <w:rFonts w:hint="eastAsia"/>
                      <w:bCs/>
                      <w:sz w:val="18"/>
                      <w:szCs w:val="18"/>
                    </w:rPr>
                    <w:t>6.588</w:t>
                  </w:r>
                </w:p>
              </w:tc>
              <w:tc>
                <w:tcPr>
                  <w:tcW w:w="636" w:type="pct"/>
                  <w:vAlign w:val="center"/>
                </w:tcPr>
                <w:p w14:paraId="32D2CD79">
                  <w:pPr>
                    <w:ind w:left="-105" w:leftChars="-50" w:right="-105" w:rightChars="-50"/>
                    <w:jc w:val="center"/>
                    <w:rPr>
                      <w:sz w:val="18"/>
                      <w:szCs w:val="18"/>
                    </w:rPr>
                  </w:pPr>
                  <w:r>
                    <w:rPr>
                      <w:rFonts w:hint="eastAsia"/>
                      <w:bCs/>
                      <w:sz w:val="18"/>
                      <w:szCs w:val="18"/>
                    </w:rPr>
                    <w:t>1976.25</w:t>
                  </w:r>
                </w:p>
              </w:tc>
              <w:tc>
                <w:tcPr>
                  <w:tcW w:w="342" w:type="pct"/>
                  <w:vAlign w:val="center"/>
                </w:tcPr>
                <w:p w14:paraId="5C215B52">
                  <w:pPr>
                    <w:ind w:left="-105" w:leftChars="-50" w:right="-105" w:rightChars="-50"/>
                    <w:jc w:val="center"/>
                    <w:rPr>
                      <w:rFonts w:hint="eastAsia"/>
                      <w:sz w:val="18"/>
                      <w:szCs w:val="18"/>
                    </w:rPr>
                  </w:pPr>
                  <w:r>
                    <w:rPr>
                      <w:rFonts w:hint="eastAsia"/>
                      <w:sz w:val="18"/>
                      <w:szCs w:val="18"/>
                    </w:rPr>
                    <w:t>0.85</w:t>
                  </w:r>
                </w:p>
              </w:tc>
              <w:tc>
                <w:tcPr>
                  <w:tcW w:w="715" w:type="pct"/>
                  <w:shd w:val="clear" w:color="auto" w:fill="auto"/>
                  <w:vAlign w:val="center"/>
                </w:tcPr>
                <w:p w14:paraId="06B933C1">
                  <w:pPr>
                    <w:ind w:left="-105" w:leftChars="-50" w:right="-105" w:rightChars="-50"/>
                    <w:jc w:val="center"/>
                    <w:rPr>
                      <w:sz w:val="18"/>
                      <w:szCs w:val="18"/>
                    </w:rPr>
                  </w:pPr>
                  <w:r>
                    <w:rPr>
                      <w:rFonts w:hint="eastAsia"/>
                      <w:bCs/>
                      <w:sz w:val="18"/>
                      <w:szCs w:val="18"/>
                    </w:rPr>
                    <w:t>5.599</w:t>
                  </w:r>
                </w:p>
              </w:tc>
              <w:tc>
                <w:tcPr>
                  <w:tcW w:w="595" w:type="pct"/>
                  <w:vAlign w:val="center"/>
                </w:tcPr>
                <w:p w14:paraId="0A033A39">
                  <w:pPr>
                    <w:ind w:left="-105" w:leftChars="-50" w:right="-105" w:rightChars="-50"/>
                    <w:jc w:val="center"/>
                    <w:rPr>
                      <w:sz w:val="18"/>
                      <w:szCs w:val="18"/>
                    </w:rPr>
                  </w:pPr>
                  <w:r>
                    <w:rPr>
                      <w:rFonts w:hint="eastAsia"/>
                      <w:bCs/>
                      <w:sz w:val="18"/>
                      <w:szCs w:val="18"/>
                    </w:rPr>
                    <w:t>1679.81</w:t>
                  </w:r>
                </w:p>
              </w:tc>
            </w:tr>
            <w:tr w14:paraId="736A4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shd w:val="clear" w:color="auto" w:fill="auto"/>
                  <w:vAlign w:val="center"/>
                </w:tcPr>
                <w:p w14:paraId="1F84B3CA">
                  <w:pPr>
                    <w:ind w:left="-105" w:leftChars="-50" w:right="-105" w:rightChars="-50"/>
                    <w:jc w:val="center"/>
                    <w:rPr>
                      <w:sz w:val="18"/>
                      <w:szCs w:val="18"/>
                    </w:rPr>
                  </w:pPr>
                  <w:r>
                    <w:rPr>
                      <w:rFonts w:hint="eastAsia"/>
                      <w:sz w:val="18"/>
                      <w:szCs w:val="18"/>
                    </w:rPr>
                    <w:t>3</w:t>
                  </w:r>
                </w:p>
              </w:tc>
              <w:tc>
                <w:tcPr>
                  <w:tcW w:w="675" w:type="pct"/>
                  <w:shd w:val="clear" w:color="auto" w:fill="auto"/>
                  <w:vAlign w:val="center"/>
                </w:tcPr>
                <w:p w14:paraId="40F209AD">
                  <w:pPr>
                    <w:ind w:left="-105" w:leftChars="-50" w:right="-105" w:rightChars="-50"/>
                    <w:jc w:val="center"/>
                    <w:rPr>
                      <w:sz w:val="18"/>
                      <w:szCs w:val="18"/>
                    </w:rPr>
                  </w:pPr>
                  <w:r>
                    <w:rPr>
                      <w:rFonts w:hint="eastAsia"/>
                      <w:bCs/>
                      <w:sz w:val="18"/>
                      <w:szCs w:val="18"/>
                    </w:rPr>
                    <w:t>蒸汽发生器用水</w:t>
                  </w:r>
                </w:p>
              </w:tc>
              <w:tc>
                <w:tcPr>
                  <w:tcW w:w="542" w:type="pct"/>
                  <w:shd w:val="clear" w:color="auto" w:fill="auto"/>
                  <w:vAlign w:val="center"/>
                </w:tcPr>
                <w:p w14:paraId="2069FBA7">
                  <w:pPr>
                    <w:ind w:left="-105" w:leftChars="-50" w:right="-105" w:rightChars="-50"/>
                    <w:jc w:val="center"/>
                    <w:rPr>
                      <w:sz w:val="18"/>
                      <w:szCs w:val="18"/>
                    </w:rPr>
                  </w:pPr>
                  <w:r>
                    <w:rPr>
                      <w:rFonts w:hint="eastAsia"/>
                      <w:sz w:val="18"/>
                      <w:szCs w:val="18"/>
                    </w:rPr>
                    <w:t>/</w:t>
                  </w:r>
                </w:p>
              </w:tc>
              <w:tc>
                <w:tcPr>
                  <w:tcW w:w="613" w:type="pct"/>
                  <w:shd w:val="clear" w:color="auto" w:fill="auto"/>
                  <w:vAlign w:val="center"/>
                </w:tcPr>
                <w:p w14:paraId="1CE80C4A">
                  <w:pPr>
                    <w:ind w:left="-105" w:leftChars="-50" w:right="-105" w:rightChars="-50"/>
                    <w:jc w:val="center"/>
                    <w:rPr>
                      <w:sz w:val="18"/>
                      <w:szCs w:val="18"/>
                    </w:rPr>
                  </w:pPr>
                  <w:r>
                    <w:rPr>
                      <w:rFonts w:hint="eastAsia"/>
                      <w:sz w:val="18"/>
                      <w:szCs w:val="18"/>
                    </w:rPr>
                    <w:t>/</w:t>
                  </w:r>
                </w:p>
              </w:tc>
              <w:tc>
                <w:tcPr>
                  <w:tcW w:w="640" w:type="pct"/>
                  <w:shd w:val="clear" w:color="auto" w:fill="auto"/>
                  <w:vAlign w:val="center"/>
                </w:tcPr>
                <w:p w14:paraId="0D2C2576">
                  <w:pPr>
                    <w:ind w:left="-105" w:leftChars="-50" w:right="-105" w:rightChars="-50"/>
                    <w:jc w:val="center"/>
                    <w:rPr>
                      <w:b/>
                      <w:sz w:val="18"/>
                      <w:szCs w:val="18"/>
                    </w:rPr>
                  </w:pPr>
                  <w:r>
                    <w:rPr>
                      <w:rFonts w:hint="eastAsia"/>
                      <w:b/>
                      <w:sz w:val="18"/>
                      <w:szCs w:val="18"/>
                    </w:rPr>
                    <w:t>0.0229*</w:t>
                  </w:r>
                </w:p>
              </w:tc>
              <w:tc>
                <w:tcPr>
                  <w:tcW w:w="636" w:type="pct"/>
                  <w:vAlign w:val="center"/>
                </w:tcPr>
                <w:p w14:paraId="71A5EAA5">
                  <w:pPr>
                    <w:ind w:left="-105" w:leftChars="-50" w:right="-105" w:rightChars="-50"/>
                    <w:jc w:val="center"/>
                    <w:rPr>
                      <w:b/>
                      <w:sz w:val="18"/>
                      <w:szCs w:val="18"/>
                    </w:rPr>
                  </w:pPr>
                  <w:r>
                    <w:rPr>
                      <w:rFonts w:hint="eastAsia"/>
                      <w:b/>
                      <w:sz w:val="18"/>
                      <w:szCs w:val="18"/>
                    </w:rPr>
                    <w:t>6.87*</w:t>
                  </w:r>
                </w:p>
              </w:tc>
              <w:tc>
                <w:tcPr>
                  <w:tcW w:w="342" w:type="pct"/>
                  <w:vAlign w:val="center"/>
                </w:tcPr>
                <w:p w14:paraId="0527A06D">
                  <w:pPr>
                    <w:ind w:left="-105" w:leftChars="-50" w:right="-105" w:rightChars="-50"/>
                    <w:jc w:val="center"/>
                    <w:rPr>
                      <w:rFonts w:hint="eastAsia"/>
                      <w:sz w:val="18"/>
                      <w:szCs w:val="18"/>
                    </w:rPr>
                  </w:pPr>
                  <w:r>
                    <w:rPr>
                      <w:rFonts w:hint="eastAsia"/>
                      <w:sz w:val="18"/>
                      <w:szCs w:val="18"/>
                    </w:rPr>
                    <w:t>0</w:t>
                  </w:r>
                  <w:r>
                    <w:rPr>
                      <w:sz w:val="18"/>
                      <w:szCs w:val="18"/>
                    </w:rPr>
                    <w:t>.</w:t>
                  </w:r>
                  <w:r>
                    <w:rPr>
                      <w:rFonts w:hint="eastAsia"/>
                      <w:sz w:val="18"/>
                      <w:szCs w:val="18"/>
                    </w:rPr>
                    <w:t>03</w:t>
                  </w:r>
                </w:p>
              </w:tc>
              <w:tc>
                <w:tcPr>
                  <w:tcW w:w="715" w:type="pct"/>
                  <w:shd w:val="clear" w:color="auto" w:fill="auto"/>
                  <w:vAlign w:val="center"/>
                </w:tcPr>
                <w:p w14:paraId="5C42190A">
                  <w:pPr>
                    <w:ind w:left="-105" w:leftChars="-50" w:right="-105" w:rightChars="-50"/>
                    <w:jc w:val="center"/>
                    <w:rPr>
                      <w:sz w:val="18"/>
                      <w:szCs w:val="18"/>
                    </w:rPr>
                  </w:pPr>
                  <w:r>
                    <w:rPr>
                      <w:rFonts w:hint="eastAsia"/>
                      <w:bCs/>
                      <w:sz w:val="18"/>
                      <w:szCs w:val="18"/>
                    </w:rPr>
                    <w:t>0.0007</w:t>
                  </w:r>
                </w:p>
              </w:tc>
              <w:tc>
                <w:tcPr>
                  <w:tcW w:w="595" w:type="pct"/>
                  <w:vAlign w:val="center"/>
                </w:tcPr>
                <w:p w14:paraId="6EC76B3F">
                  <w:pPr>
                    <w:ind w:left="-105" w:leftChars="-50" w:right="-105" w:rightChars="-50"/>
                    <w:jc w:val="center"/>
                    <w:rPr>
                      <w:sz w:val="18"/>
                      <w:szCs w:val="18"/>
                    </w:rPr>
                  </w:pPr>
                  <w:r>
                    <w:rPr>
                      <w:rFonts w:hint="eastAsia"/>
                      <w:bCs/>
                      <w:sz w:val="18"/>
                      <w:szCs w:val="18"/>
                    </w:rPr>
                    <w:t>0.2061</w:t>
                  </w:r>
                </w:p>
              </w:tc>
            </w:tr>
            <w:tr w14:paraId="0527A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42" w:type="pct"/>
                  <w:shd w:val="clear" w:color="auto" w:fill="auto"/>
                  <w:vAlign w:val="center"/>
                </w:tcPr>
                <w:p w14:paraId="506CD5A7">
                  <w:pPr>
                    <w:ind w:left="-105" w:leftChars="-50" w:right="-105" w:rightChars="-50"/>
                    <w:jc w:val="center"/>
                    <w:rPr>
                      <w:sz w:val="18"/>
                      <w:szCs w:val="18"/>
                    </w:rPr>
                  </w:pPr>
                  <w:r>
                    <w:rPr>
                      <w:rFonts w:hint="eastAsia"/>
                      <w:sz w:val="18"/>
                      <w:szCs w:val="18"/>
                    </w:rPr>
                    <w:t>4</w:t>
                  </w:r>
                </w:p>
              </w:tc>
              <w:tc>
                <w:tcPr>
                  <w:tcW w:w="675" w:type="pct"/>
                  <w:shd w:val="clear" w:color="auto" w:fill="auto"/>
                  <w:vAlign w:val="center"/>
                </w:tcPr>
                <w:p w14:paraId="7A4D5330">
                  <w:pPr>
                    <w:ind w:left="-105" w:leftChars="-50" w:right="-105" w:rightChars="-50"/>
                    <w:jc w:val="center"/>
                    <w:rPr>
                      <w:sz w:val="18"/>
                      <w:szCs w:val="18"/>
                    </w:rPr>
                  </w:pPr>
                  <w:r>
                    <w:rPr>
                      <w:rFonts w:hint="eastAsia"/>
                      <w:bCs/>
                      <w:sz w:val="18"/>
                      <w:szCs w:val="18"/>
                    </w:rPr>
                    <w:t>蒸汽发生器冷凝水</w:t>
                  </w:r>
                </w:p>
              </w:tc>
              <w:tc>
                <w:tcPr>
                  <w:tcW w:w="542" w:type="pct"/>
                  <w:shd w:val="clear" w:color="auto" w:fill="auto"/>
                  <w:vAlign w:val="center"/>
                </w:tcPr>
                <w:p w14:paraId="037D4B62">
                  <w:pPr>
                    <w:ind w:left="-105" w:leftChars="-50" w:right="-105" w:rightChars="-50"/>
                    <w:jc w:val="center"/>
                    <w:rPr>
                      <w:sz w:val="18"/>
                      <w:szCs w:val="18"/>
                    </w:rPr>
                  </w:pPr>
                  <w:r>
                    <w:rPr>
                      <w:rFonts w:hint="eastAsia"/>
                      <w:sz w:val="18"/>
                      <w:szCs w:val="18"/>
                    </w:rPr>
                    <w:t>/</w:t>
                  </w:r>
                </w:p>
              </w:tc>
              <w:tc>
                <w:tcPr>
                  <w:tcW w:w="613" w:type="pct"/>
                  <w:shd w:val="clear" w:color="auto" w:fill="auto"/>
                  <w:vAlign w:val="center"/>
                </w:tcPr>
                <w:p w14:paraId="78C1944A">
                  <w:pPr>
                    <w:ind w:left="-105" w:leftChars="-50" w:right="-105" w:rightChars="-50"/>
                    <w:jc w:val="center"/>
                    <w:rPr>
                      <w:sz w:val="18"/>
                      <w:szCs w:val="18"/>
                    </w:rPr>
                  </w:pPr>
                  <w:r>
                    <w:rPr>
                      <w:rFonts w:hint="eastAsia"/>
                      <w:sz w:val="18"/>
                      <w:szCs w:val="18"/>
                    </w:rPr>
                    <w:t>/</w:t>
                  </w:r>
                </w:p>
              </w:tc>
              <w:tc>
                <w:tcPr>
                  <w:tcW w:w="640" w:type="pct"/>
                  <w:shd w:val="clear" w:color="auto" w:fill="auto"/>
                  <w:vAlign w:val="center"/>
                </w:tcPr>
                <w:p w14:paraId="3562C2BC">
                  <w:pPr>
                    <w:ind w:left="-105" w:leftChars="-50" w:right="-105" w:rightChars="-50"/>
                    <w:jc w:val="center"/>
                    <w:rPr>
                      <w:sz w:val="18"/>
                      <w:szCs w:val="18"/>
                    </w:rPr>
                  </w:pPr>
                  <w:r>
                    <w:rPr>
                      <w:rFonts w:hint="eastAsia"/>
                      <w:sz w:val="18"/>
                      <w:szCs w:val="18"/>
                    </w:rPr>
                    <w:t>/</w:t>
                  </w:r>
                </w:p>
              </w:tc>
              <w:tc>
                <w:tcPr>
                  <w:tcW w:w="636" w:type="pct"/>
                  <w:vAlign w:val="center"/>
                </w:tcPr>
                <w:p w14:paraId="28D576D9">
                  <w:pPr>
                    <w:ind w:left="-105" w:leftChars="-50" w:right="-105" w:rightChars="-50"/>
                    <w:jc w:val="center"/>
                    <w:rPr>
                      <w:sz w:val="18"/>
                      <w:szCs w:val="18"/>
                    </w:rPr>
                  </w:pPr>
                  <w:r>
                    <w:rPr>
                      <w:rFonts w:hint="eastAsia"/>
                      <w:sz w:val="18"/>
                      <w:szCs w:val="18"/>
                    </w:rPr>
                    <w:t>/</w:t>
                  </w:r>
                </w:p>
              </w:tc>
              <w:tc>
                <w:tcPr>
                  <w:tcW w:w="342" w:type="pct"/>
                  <w:vAlign w:val="center"/>
                </w:tcPr>
                <w:p w14:paraId="203D206D">
                  <w:pPr>
                    <w:ind w:left="-105" w:leftChars="-50" w:right="-105" w:rightChars="-50"/>
                    <w:jc w:val="center"/>
                    <w:rPr>
                      <w:rFonts w:hint="eastAsia"/>
                      <w:sz w:val="18"/>
                      <w:szCs w:val="18"/>
                    </w:rPr>
                  </w:pPr>
                  <w:r>
                    <w:rPr>
                      <w:rFonts w:hint="eastAsia"/>
                      <w:sz w:val="18"/>
                      <w:szCs w:val="18"/>
                    </w:rPr>
                    <w:t>0.95</w:t>
                  </w:r>
                </w:p>
              </w:tc>
              <w:tc>
                <w:tcPr>
                  <w:tcW w:w="715" w:type="pct"/>
                  <w:shd w:val="clear" w:color="auto" w:fill="auto"/>
                  <w:vAlign w:val="center"/>
                </w:tcPr>
                <w:p w14:paraId="6411B4E9">
                  <w:pPr>
                    <w:ind w:left="-105" w:leftChars="-50" w:right="-105" w:rightChars="-50"/>
                    <w:jc w:val="center"/>
                    <w:rPr>
                      <w:sz w:val="18"/>
                      <w:szCs w:val="18"/>
                    </w:rPr>
                  </w:pPr>
                  <w:r>
                    <w:rPr>
                      <w:rFonts w:hint="eastAsia"/>
                      <w:bCs/>
                      <w:sz w:val="18"/>
                      <w:szCs w:val="18"/>
                    </w:rPr>
                    <w:t>0.0205</w:t>
                  </w:r>
                </w:p>
              </w:tc>
              <w:tc>
                <w:tcPr>
                  <w:tcW w:w="595" w:type="pct"/>
                  <w:vAlign w:val="center"/>
                </w:tcPr>
                <w:p w14:paraId="16563B25">
                  <w:pPr>
                    <w:ind w:left="-105" w:leftChars="-50" w:right="-105" w:rightChars="-50"/>
                    <w:jc w:val="center"/>
                    <w:rPr>
                      <w:sz w:val="18"/>
                      <w:szCs w:val="18"/>
                    </w:rPr>
                  </w:pPr>
                  <w:r>
                    <w:rPr>
                      <w:rFonts w:hint="eastAsia"/>
                      <w:bCs/>
                      <w:sz w:val="18"/>
                      <w:szCs w:val="18"/>
                    </w:rPr>
                    <w:t>6.156</w:t>
                  </w:r>
                </w:p>
              </w:tc>
            </w:tr>
            <w:tr w14:paraId="1E255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shd w:val="clear" w:color="auto" w:fill="auto"/>
                  <w:vAlign w:val="center"/>
                </w:tcPr>
                <w:p w14:paraId="5E5EE102">
                  <w:pPr>
                    <w:ind w:left="-105" w:leftChars="-50" w:right="-105" w:rightChars="-50"/>
                    <w:jc w:val="center"/>
                    <w:rPr>
                      <w:sz w:val="18"/>
                      <w:szCs w:val="18"/>
                    </w:rPr>
                  </w:pPr>
                  <w:r>
                    <w:rPr>
                      <w:rFonts w:hint="eastAsia"/>
                      <w:sz w:val="18"/>
                      <w:szCs w:val="18"/>
                    </w:rPr>
                    <w:t>5</w:t>
                  </w:r>
                </w:p>
              </w:tc>
              <w:tc>
                <w:tcPr>
                  <w:tcW w:w="675" w:type="pct"/>
                  <w:shd w:val="clear" w:color="auto" w:fill="auto"/>
                  <w:vAlign w:val="center"/>
                </w:tcPr>
                <w:p w14:paraId="78EAE882">
                  <w:pPr>
                    <w:ind w:left="-105" w:leftChars="-50" w:right="-105" w:rightChars="-50"/>
                    <w:jc w:val="center"/>
                    <w:rPr>
                      <w:sz w:val="18"/>
                      <w:szCs w:val="18"/>
                    </w:rPr>
                  </w:pPr>
                  <w:r>
                    <w:rPr>
                      <w:rFonts w:hint="eastAsia"/>
                      <w:bCs/>
                      <w:sz w:val="18"/>
                      <w:szCs w:val="18"/>
                    </w:rPr>
                    <w:t>纯水制备用水</w:t>
                  </w:r>
                </w:p>
              </w:tc>
              <w:tc>
                <w:tcPr>
                  <w:tcW w:w="542" w:type="pct"/>
                  <w:shd w:val="clear" w:color="auto" w:fill="auto"/>
                  <w:vAlign w:val="center"/>
                </w:tcPr>
                <w:p w14:paraId="66E6BACF">
                  <w:pPr>
                    <w:ind w:left="-105" w:leftChars="-50" w:right="-105" w:rightChars="-50"/>
                    <w:jc w:val="center"/>
                    <w:rPr>
                      <w:sz w:val="18"/>
                      <w:szCs w:val="18"/>
                    </w:rPr>
                  </w:pPr>
                  <w:r>
                    <w:rPr>
                      <w:rFonts w:hint="eastAsia"/>
                      <w:sz w:val="18"/>
                      <w:szCs w:val="18"/>
                    </w:rPr>
                    <w:t>/</w:t>
                  </w:r>
                </w:p>
              </w:tc>
              <w:tc>
                <w:tcPr>
                  <w:tcW w:w="613" w:type="pct"/>
                  <w:shd w:val="clear" w:color="auto" w:fill="auto"/>
                  <w:vAlign w:val="center"/>
                </w:tcPr>
                <w:p w14:paraId="3C999381">
                  <w:pPr>
                    <w:ind w:left="-105" w:leftChars="-50" w:right="-105" w:rightChars="-50"/>
                    <w:jc w:val="center"/>
                    <w:rPr>
                      <w:sz w:val="18"/>
                      <w:szCs w:val="18"/>
                    </w:rPr>
                  </w:pPr>
                  <w:r>
                    <w:rPr>
                      <w:rFonts w:hint="eastAsia"/>
                      <w:sz w:val="18"/>
                      <w:szCs w:val="18"/>
                    </w:rPr>
                    <w:t>/</w:t>
                  </w:r>
                </w:p>
              </w:tc>
              <w:tc>
                <w:tcPr>
                  <w:tcW w:w="640" w:type="pct"/>
                  <w:shd w:val="clear" w:color="auto" w:fill="auto"/>
                  <w:vAlign w:val="center"/>
                </w:tcPr>
                <w:p w14:paraId="6ABCA2D0">
                  <w:pPr>
                    <w:ind w:left="-105" w:leftChars="-50" w:right="-105" w:rightChars="-50"/>
                    <w:jc w:val="center"/>
                    <w:rPr>
                      <w:sz w:val="18"/>
                      <w:szCs w:val="18"/>
                    </w:rPr>
                  </w:pPr>
                  <w:r>
                    <w:rPr>
                      <w:rFonts w:hint="eastAsia"/>
                      <w:bCs/>
                      <w:sz w:val="18"/>
                      <w:szCs w:val="18"/>
                    </w:rPr>
                    <w:t>6.1165</w:t>
                  </w:r>
                </w:p>
              </w:tc>
              <w:tc>
                <w:tcPr>
                  <w:tcW w:w="636" w:type="pct"/>
                  <w:vAlign w:val="center"/>
                </w:tcPr>
                <w:p w14:paraId="61BEF56E">
                  <w:pPr>
                    <w:ind w:left="-105" w:leftChars="-50" w:right="-105" w:rightChars="-50"/>
                    <w:jc w:val="center"/>
                    <w:rPr>
                      <w:sz w:val="18"/>
                      <w:szCs w:val="18"/>
                    </w:rPr>
                  </w:pPr>
                  <w:r>
                    <w:rPr>
                      <w:rFonts w:hint="eastAsia"/>
                      <w:bCs/>
                      <w:sz w:val="18"/>
                      <w:szCs w:val="18"/>
                    </w:rPr>
                    <w:t>1834.95</w:t>
                  </w:r>
                </w:p>
              </w:tc>
              <w:tc>
                <w:tcPr>
                  <w:tcW w:w="342" w:type="pct"/>
                  <w:vAlign w:val="center"/>
                </w:tcPr>
                <w:p w14:paraId="75DA5E11">
                  <w:pPr>
                    <w:ind w:left="-105" w:leftChars="-50" w:right="-105" w:rightChars="-50"/>
                    <w:jc w:val="center"/>
                    <w:rPr>
                      <w:sz w:val="18"/>
                      <w:szCs w:val="18"/>
                    </w:rPr>
                  </w:pPr>
                  <w:r>
                    <w:rPr>
                      <w:rFonts w:hint="eastAsia"/>
                      <w:sz w:val="18"/>
                      <w:szCs w:val="18"/>
                    </w:rPr>
                    <w:t>0.4</w:t>
                  </w:r>
                </w:p>
              </w:tc>
              <w:tc>
                <w:tcPr>
                  <w:tcW w:w="715" w:type="pct"/>
                  <w:shd w:val="clear" w:color="auto" w:fill="auto"/>
                  <w:vAlign w:val="center"/>
                </w:tcPr>
                <w:p w14:paraId="55579B99">
                  <w:pPr>
                    <w:ind w:left="-105" w:leftChars="-50" w:right="-105" w:rightChars="-50"/>
                    <w:jc w:val="center"/>
                    <w:rPr>
                      <w:sz w:val="18"/>
                      <w:szCs w:val="18"/>
                    </w:rPr>
                  </w:pPr>
                  <w:r>
                    <w:rPr>
                      <w:rFonts w:hint="eastAsia"/>
                      <w:bCs/>
                      <w:sz w:val="18"/>
                      <w:szCs w:val="18"/>
                    </w:rPr>
                    <w:t>2.4466</w:t>
                  </w:r>
                </w:p>
              </w:tc>
              <w:tc>
                <w:tcPr>
                  <w:tcW w:w="595" w:type="pct"/>
                  <w:vAlign w:val="center"/>
                </w:tcPr>
                <w:p w14:paraId="1CF92C4D">
                  <w:pPr>
                    <w:ind w:left="-105" w:leftChars="-50" w:right="-105" w:rightChars="-50"/>
                    <w:jc w:val="center"/>
                    <w:rPr>
                      <w:sz w:val="18"/>
                      <w:szCs w:val="18"/>
                    </w:rPr>
                  </w:pPr>
                  <w:r>
                    <w:rPr>
                      <w:rFonts w:hint="eastAsia"/>
                      <w:bCs/>
                      <w:sz w:val="18"/>
                      <w:szCs w:val="18"/>
                    </w:rPr>
                    <w:t>733.98</w:t>
                  </w:r>
                </w:p>
              </w:tc>
            </w:tr>
            <w:tr w14:paraId="2695D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shd w:val="clear" w:color="auto" w:fill="auto"/>
                  <w:vAlign w:val="center"/>
                </w:tcPr>
                <w:p w14:paraId="19D9ABBF">
                  <w:pPr>
                    <w:ind w:left="-105" w:leftChars="-50" w:right="-105" w:rightChars="-50"/>
                    <w:jc w:val="center"/>
                    <w:rPr>
                      <w:sz w:val="18"/>
                      <w:szCs w:val="18"/>
                    </w:rPr>
                  </w:pPr>
                  <w:r>
                    <w:rPr>
                      <w:rFonts w:hint="eastAsia"/>
                      <w:sz w:val="18"/>
                      <w:szCs w:val="18"/>
                    </w:rPr>
                    <w:t>6</w:t>
                  </w:r>
                </w:p>
              </w:tc>
              <w:tc>
                <w:tcPr>
                  <w:tcW w:w="675" w:type="pct"/>
                  <w:shd w:val="clear" w:color="auto" w:fill="auto"/>
                  <w:vAlign w:val="center"/>
                </w:tcPr>
                <w:p w14:paraId="4E9E86EB">
                  <w:pPr>
                    <w:ind w:left="-105" w:leftChars="-50" w:right="-105" w:rightChars="-50"/>
                    <w:jc w:val="center"/>
                    <w:rPr>
                      <w:sz w:val="18"/>
                      <w:szCs w:val="18"/>
                    </w:rPr>
                  </w:pPr>
                  <w:r>
                    <w:rPr>
                      <w:rFonts w:hint="eastAsia"/>
                      <w:sz w:val="18"/>
                      <w:szCs w:val="18"/>
                    </w:rPr>
                    <w:t>地面清洁用水</w:t>
                  </w:r>
                </w:p>
              </w:tc>
              <w:tc>
                <w:tcPr>
                  <w:tcW w:w="542" w:type="pct"/>
                  <w:shd w:val="clear" w:color="auto" w:fill="auto"/>
                  <w:vAlign w:val="center"/>
                </w:tcPr>
                <w:p w14:paraId="32AAB89E">
                  <w:pPr>
                    <w:ind w:left="-105" w:leftChars="-50" w:right="-105" w:rightChars="-50"/>
                    <w:jc w:val="center"/>
                    <w:rPr>
                      <w:sz w:val="18"/>
                      <w:szCs w:val="18"/>
                    </w:rPr>
                  </w:pPr>
                  <w:r>
                    <w:rPr>
                      <w:rFonts w:hint="eastAsia"/>
                      <w:sz w:val="18"/>
                      <w:szCs w:val="18"/>
                    </w:rPr>
                    <w:t>2260</w:t>
                  </w:r>
                  <w:r>
                    <w:rPr>
                      <w:sz w:val="18"/>
                      <w:szCs w:val="18"/>
                    </w:rPr>
                    <w:t>m</w:t>
                  </w:r>
                  <w:r>
                    <w:rPr>
                      <w:sz w:val="18"/>
                      <w:szCs w:val="18"/>
                      <w:vertAlign w:val="superscript"/>
                    </w:rPr>
                    <w:t>2</w:t>
                  </w:r>
                </w:p>
              </w:tc>
              <w:tc>
                <w:tcPr>
                  <w:tcW w:w="613" w:type="pct"/>
                  <w:shd w:val="clear" w:color="auto" w:fill="auto"/>
                  <w:vAlign w:val="center"/>
                </w:tcPr>
                <w:p w14:paraId="5A7957AB">
                  <w:pPr>
                    <w:ind w:left="-105" w:leftChars="-50" w:right="-105" w:rightChars="-50"/>
                    <w:jc w:val="center"/>
                    <w:rPr>
                      <w:sz w:val="18"/>
                      <w:szCs w:val="18"/>
                    </w:rPr>
                  </w:pPr>
                  <w:r>
                    <w:rPr>
                      <w:sz w:val="18"/>
                      <w:szCs w:val="18"/>
                    </w:rPr>
                    <w:t>0.</w:t>
                  </w:r>
                  <w:r>
                    <w:rPr>
                      <w:rFonts w:hint="eastAsia"/>
                      <w:sz w:val="18"/>
                      <w:szCs w:val="18"/>
                    </w:rPr>
                    <w:t>5</w:t>
                  </w:r>
                  <w:r>
                    <w:rPr>
                      <w:sz w:val="18"/>
                      <w:szCs w:val="18"/>
                    </w:rPr>
                    <w:t>L/m</w:t>
                  </w:r>
                  <w:r>
                    <w:rPr>
                      <w:sz w:val="18"/>
                      <w:szCs w:val="18"/>
                      <w:vertAlign w:val="superscript"/>
                    </w:rPr>
                    <w:t>2</w:t>
                  </w:r>
                  <w:r>
                    <w:rPr>
                      <w:sz w:val="18"/>
                      <w:szCs w:val="18"/>
                    </w:rPr>
                    <w:t>·</w:t>
                  </w:r>
                  <w:r>
                    <w:rPr>
                      <w:rFonts w:hint="eastAsia"/>
                      <w:sz w:val="18"/>
                      <w:szCs w:val="18"/>
                    </w:rPr>
                    <w:t>d</w:t>
                  </w:r>
                </w:p>
              </w:tc>
              <w:tc>
                <w:tcPr>
                  <w:tcW w:w="640" w:type="pct"/>
                  <w:shd w:val="clear" w:color="auto" w:fill="auto"/>
                  <w:vAlign w:val="center"/>
                </w:tcPr>
                <w:p w14:paraId="7C2525E4">
                  <w:pPr>
                    <w:ind w:left="-105" w:leftChars="-50" w:right="-105" w:rightChars="-50"/>
                    <w:jc w:val="center"/>
                    <w:rPr>
                      <w:rFonts w:hint="eastAsia"/>
                      <w:sz w:val="18"/>
                      <w:szCs w:val="18"/>
                    </w:rPr>
                  </w:pPr>
                  <w:r>
                    <w:rPr>
                      <w:rFonts w:hint="eastAsia"/>
                      <w:sz w:val="18"/>
                      <w:szCs w:val="18"/>
                    </w:rPr>
                    <w:t>1.13</w:t>
                  </w:r>
                </w:p>
              </w:tc>
              <w:tc>
                <w:tcPr>
                  <w:tcW w:w="636" w:type="pct"/>
                  <w:vAlign w:val="center"/>
                </w:tcPr>
                <w:p w14:paraId="382B95D0">
                  <w:pPr>
                    <w:ind w:left="-105" w:leftChars="-50" w:right="-105" w:rightChars="-50"/>
                    <w:jc w:val="center"/>
                    <w:rPr>
                      <w:rFonts w:hint="eastAsia"/>
                      <w:sz w:val="18"/>
                      <w:szCs w:val="18"/>
                    </w:rPr>
                  </w:pPr>
                  <w:r>
                    <w:rPr>
                      <w:rFonts w:hint="eastAsia"/>
                      <w:sz w:val="18"/>
                      <w:szCs w:val="18"/>
                    </w:rPr>
                    <w:t>339</w:t>
                  </w:r>
                </w:p>
              </w:tc>
              <w:tc>
                <w:tcPr>
                  <w:tcW w:w="342" w:type="pct"/>
                  <w:vAlign w:val="center"/>
                </w:tcPr>
                <w:p w14:paraId="7B1F1B4F">
                  <w:pPr>
                    <w:ind w:left="-105" w:leftChars="-50" w:right="-105" w:rightChars="-50"/>
                    <w:jc w:val="center"/>
                    <w:rPr>
                      <w:sz w:val="18"/>
                      <w:szCs w:val="18"/>
                    </w:rPr>
                  </w:pPr>
                  <w:r>
                    <w:rPr>
                      <w:rFonts w:hint="eastAsia"/>
                      <w:sz w:val="18"/>
                      <w:szCs w:val="18"/>
                    </w:rPr>
                    <w:t>0.85</w:t>
                  </w:r>
                </w:p>
              </w:tc>
              <w:tc>
                <w:tcPr>
                  <w:tcW w:w="715" w:type="pct"/>
                  <w:shd w:val="clear" w:color="auto" w:fill="auto"/>
                  <w:vAlign w:val="center"/>
                </w:tcPr>
                <w:p w14:paraId="7367A23A">
                  <w:pPr>
                    <w:ind w:left="-105" w:leftChars="-50" w:right="-105" w:rightChars="-50"/>
                    <w:jc w:val="center"/>
                    <w:rPr>
                      <w:rFonts w:hint="eastAsia"/>
                      <w:sz w:val="18"/>
                      <w:szCs w:val="18"/>
                    </w:rPr>
                  </w:pPr>
                  <w:r>
                    <w:rPr>
                      <w:rFonts w:hint="eastAsia"/>
                      <w:sz w:val="18"/>
                      <w:szCs w:val="18"/>
                    </w:rPr>
                    <w:t>0.9605</w:t>
                  </w:r>
                </w:p>
              </w:tc>
              <w:tc>
                <w:tcPr>
                  <w:tcW w:w="595" w:type="pct"/>
                  <w:vAlign w:val="center"/>
                </w:tcPr>
                <w:p w14:paraId="69C78713">
                  <w:pPr>
                    <w:ind w:left="-105" w:leftChars="-50" w:right="-105" w:rightChars="-50"/>
                    <w:jc w:val="center"/>
                    <w:rPr>
                      <w:rFonts w:hint="eastAsia"/>
                      <w:sz w:val="18"/>
                      <w:szCs w:val="18"/>
                    </w:rPr>
                  </w:pPr>
                  <w:r>
                    <w:rPr>
                      <w:rFonts w:hint="eastAsia"/>
                      <w:sz w:val="18"/>
                      <w:szCs w:val="18"/>
                    </w:rPr>
                    <w:t>288.15</w:t>
                  </w:r>
                </w:p>
              </w:tc>
            </w:tr>
            <w:tr w14:paraId="00626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shd w:val="clear" w:color="auto" w:fill="auto"/>
                  <w:vAlign w:val="center"/>
                </w:tcPr>
                <w:p w14:paraId="5D294AD4">
                  <w:pPr>
                    <w:ind w:left="-105" w:leftChars="-50" w:right="-105" w:rightChars="-50"/>
                    <w:jc w:val="center"/>
                    <w:rPr>
                      <w:sz w:val="18"/>
                      <w:szCs w:val="18"/>
                    </w:rPr>
                  </w:pPr>
                  <w:r>
                    <w:rPr>
                      <w:rFonts w:hint="eastAsia"/>
                      <w:sz w:val="18"/>
                      <w:szCs w:val="18"/>
                    </w:rPr>
                    <w:t>7</w:t>
                  </w:r>
                </w:p>
              </w:tc>
              <w:tc>
                <w:tcPr>
                  <w:tcW w:w="675" w:type="pct"/>
                  <w:shd w:val="clear" w:color="auto" w:fill="auto"/>
                  <w:vAlign w:val="center"/>
                </w:tcPr>
                <w:p w14:paraId="14288282">
                  <w:pPr>
                    <w:ind w:left="-105" w:leftChars="-50" w:right="-105" w:rightChars="-50"/>
                    <w:jc w:val="center"/>
                    <w:rPr>
                      <w:sz w:val="18"/>
                      <w:szCs w:val="18"/>
                    </w:rPr>
                  </w:pPr>
                  <w:r>
                    <w:rPr>
                      <w:rFonts w:hint="eastAsia"/>
                      <w:sz w:val="18"/>
                      <w:szCs w:val="18"/>
                    </w:rPr>
                    <w:t>办公生活用水</w:t>
                  </w:r>
                </w:p>
              </w:tc>
              <w:tc>
                <w:tcPr>
                  <w:tcW w:w="542" w:type="pct"/>
                  <w:shd w:val="clear" w:color="auto" w:fill="auto"/>
                  <w:vAlign w:val="center"/>
                </w:tcPr>
                <w:p w14:paraId="71236062">
                  <w:pPr>
                    <w:ind w:left="-105" w:leftChars="-50" w:right="-105" w:rightChars="-50"/>
                    <w:jc w:val="center"/>
                    <w:rPr>
                      <w:sz w:val="18"/>
                      <w:szCs w:val="18"/>
                    </w:rPr>
                  </w:pPr>
                  <w:r>
                    <w:rPr>
                      <w:rFonts w:hint="eastAsia"/>
                      <w:sz w:val="18"/>
                      <w:szCs w:val="18"/>
                    </w:rPr>
                    <w:t>60人</w:t>
                  </w:r>
                </w:p>
              </w:tc>
              <w:tc>
                <w:tcPr>
                  <w:tcW w:w="613" w:type="pct"/>
                  <w:shd w:val="clear" w:color="auto" w:fill="auto"/>
                  <w:vAlign w:val="center"/>
                </w:tcPr>
                <w:p w14:paraId="7535816A">
                  <w:pPr>
                    <w:ind w:left="-105" w:leftChars="-50" w:right="-105" w:rightChars="-50"/>
                    <w:jc w:val="center"/>
                    <w:rPr>
                      <w:sz w:val="18"/>
                      <w:szCs w:val="18"/>
                    </w:rPr>
                  </w:pPr>
                  <w:r>
                    <w:rPr>
                      <w:sz w:val="18"/>
                      <w:szCs w:val="18"/>
                    </w:rPr>
                    <w:t>50L/</w:t>
                  </w:r>
                  <w:r>
                    <w:rPr>
                      <w:rFonts w:hint="eastAsia"/>
                      <w:sz w:val="18"/>
                      <w:szCs w:val="18"/>
                    </w:rPr>
                    <w:t>人·d</w:t>
                  </w:r>
                </w:p>
              </w:tc>
              <w:tc>
                <w:tcPr>
                  <w:tcW w:w="640" w:type="pct"/>
                  <w:shd w:val="clear" w:color="auto" w:fill="auto"/>
                  <w:vAlign w:val="center"/>
                </w:tcPr>
                <w:p w14:paraId="20B2BC6A">
                  <w:pPr>
                    <w:ind w:left="-105" w:leftChars="-50" w:right="-105" w:rightChars="-50"/>
                    <w:jc w:val="center"/>
                    <w:rPr>
                      <w:sz w:val="18"/>
                      <w:szCs w:val="18"/>
                    </w:rPr>
                  </w:pPr>
                  <w:r>
                    <w:rPr>
                      <w:rFonts w:hint="eastAsia"/>
                      <w:sz w:val="18"/>
                      <w:szCs w:val="18"/>
                    </w:rPr>
                    <w:t>3</w:t>
                  </w:r>
                </w:p>
              </w:tc>
              <w:tc>
                <w:tcPr>
                  <w:tcW w:w="636" w:type="pct"/>
                  <w:vAlign w:val="center"/>
                </w:tcPr>
                <w:p w14:paraId="03F3008F">
                  <w:pPr>
                    <w:ind w:left="-105" w:leftChars="-50" w:right="-105" w:rightChars="-50"/>
                    <w:jc w:val="center"/>
                    <w:rPr>
                      <w:sz w:val="18"/>
                      <w:szCs w:val="18"/>
                    </w:rPr>
                  </w:pPr>
                  <w:r>
                    <w:rPr>
                      <w:rFonts w:hint="eastAsia"/>
                      <w:sz w:val="18"/>
                      <w:szCs w:val="18"/>
                    </w:rPr>
                    <w:t>900</w:t>
                  </w:r>
                </w:p>
              </w:tc>
              <w:tc>
                <w:tcPr>
                  <w:tcW w:w="342" w:type="pct"/>
                  <w:vAlign w:val="center"/>
                </w:tcPr>
                <w:p w14:paraId="1C691D75">
                  <w:pPr>
                    <w:ind w:left="-105" w:leftChars="-50" w:right="-105" w:rightChars="-50"/>
                    <w:jc w:val="center"/>
                    <w:rPr>
                      <w:sz w:val="18"/>
                      <w:szCs w:val="18"/>
                    </w:rPr>
                  </w:pPr>
                  <w:r>
                    <w:rPr>
                      <w:rFonts w:hint="eastAsia"/>
                      <w:sz w:val="18"/>
                      <w:szCs w:val="18"/>
                    </w:rPr>
                    <w:t>0.85</w:t>
                  </w:r>
                </w:p>
              </w:tc>
              <w:tc>
                <w:tcPr>
                  <w:tcW w:w="715" w:type="pct"/>
                  <w:shd w:val="clear" w:color="auto" w:fill="auto"/>
                  <w:vAlign w:val="center"/>
                </w:tcPr>
                <w:p w14:paraId="079BCB21">
                  <w:pPr>
                    <w:ind w:left="-105" w:leftChars="-50" w:right="-105" w:rightChars="-50"/>
                    <w:jc w:val="center"/>
                    <w:rPr>
                      <w:rFonts w:hint="eastAsia"/>
                      <w:sz w:val="18"/>
                      <w:szCs w:val="18"/>
                    </w:rPr>
                  </w:pPr>
                  <w:r>
                    <w:rPr>
                      <w:rFonts w:hint="eastAsia"/>
                      <w:sz w:val="18"/>
                      <w:szCs w:val="18"/>
                    </w:rPr>
                    <w:t>2.55</w:t>
                  </w:r>
                </w:p>
              </w:tc>
              <w:tc>
                <w:tcPr>
                  <w:tcW w:w="595" w:type="pct"/>
                  <w:vAlign w:val="center"/>
                </w:tcPr>
                <w:p w14:paraId="7ECC583F">
                  <w:pPr>
                    <w:ind w:left="-105" w:leftChars="-50" w:right="-105" w:rightChars="-50"/>
                    <w:jc w:val="center"/>
                    <w:rPr>
                      <w:rFonts w:hint="eastAsia"/>
                      <w:sz w:val="18"/>
                      <w:szCs w:val="18"/>
                    </w:rPr>
                  </w:pPr>
                  <w:r>
                    <w:rPr>
                      <w:rFonts w:hint="eastAsia"/>
                      <w:sz w:val="18"/>
                      <w:szCs w:val="18"/>
                    </w:rPr>
                    <w:t>765</w:t>
                  </w:r>
                </w:p>
              </w:tc>
            </w:tr>
            <w:tr w14:paraId="68495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71" w:type="pct"/>
                  <w:gridSpan w:val="4"/>
                  <w:shd w:val="clear" w:color="auto" w:fill="auto"/>
                  <w:vAlign w:val="center"/>
                </w:tcPr>
                <w:p w14:paraId="5B6EDD34">
                  <w:pPr>
                    <w:ind w:left="-105" w:leftChars="-50" w:right="-105" w:rightChars="-50"/>
                    <w:jc w:val="center"/>
                    <w:rPr>
                      <w:sz w:val="18"/>
                      <w:szCs w:val="18"/>
                    </w:rPr>
                  </w:pPr>
                  <w:r>
                    <w:rPr>
                      <w:rFonts w:hint="eastAsia"/>
                      <w:sz w:val="18"/>
                      <w:szCs w:val="18"/>
                    </w:rPr>
                    <w:t>合计</w:t>
                  </w:r>
                </w:p>
              </w:tc>
              <w:tc>
                <w:tcPr>
                  <w:tcW w:w="640" w:type="pct"/>
                  <w:shd w:val="clear" w:color="auto" w:fill="auto"/>
                  <w:vAlign w:val="center"/>
                </w:tcPr>
                <w:p w14:paraId="4728F8BF">
                  <w:pPr>
                    <w:ind w:left="-105" w:leftChars="-50" w:right="-105" w:rightChars="-50"/>
                    <w:jc w:val="center"/>
                    <w:rPr>
                      <w:rFonts w:hint="eastAsia"/>
                      <w:sz w:val="18"/>
                      <w:szCs w:val="18"/>
                    </w:rPr>
                  </w:pPr>
                  <w:r>
                    <w:rPr>
                      <w:rFonts w:hint="eastAsia"/>
                      <w:sz w:val="18"/>
                      <w:szCs w:val="18"/>
                    </w:rPr>
                    <w:t>16.83</w:t>
                  </w:r>
                </w:p>
              </w:tc>
              <w:tc>
                <w:tcPr>
                  <w:tcW w:w="636" w:type="pct"/>
                  <w:vAlign w:val="center"/>
                </w:tcPr>
                <w:p w14:paraId="09DB8BFC">
                  <w:pPr>
                    <w:ind w:left="-105" w:leftChars="-50" w:right="-105" w:rightChars="-50"/>
                    <w:jc w:val="center"/>
                    <w:rPr>
                      <w:rFonts w:hint="eastAsia"/>
                      <w:sz w:val="18"/>
                      <w:szCs w:val="18"/>
                    </w:rPr>
                  </w:pPr>
                  <w:r>
                    <w:rPr>
                      <w:rFonts w:hint="eastAsia"/>
                      <w:sz w:val="18"/>
                      <w:szCs w:val="18"/>
                    </w:rPr>
                    <w:t>5057.07</w:t>
                  </w:r>
                </w:p>
              </w:tc>
              <w:tc>
                <w:tcPr>
                  <w:tcW w:w="342" w:type="pct"/>
                  <w:vAlign w:val="center"/>
                </w:tcPr>
                <w:p w14:paraId="4695F8CB">
                  <w:pPr>
                    <w:ind w:left="-105" w:leftChars="-50" w:right="-105" w:rightChars="-50"/>
                    <w:jc w:val="center"/>
                    <w:rPr>
                      <w:sz w:val="18"/>
                      <w:szCs w:val="18"/>
                    </w:rPr>
                  </w:pPr>
                  <w:r>
                    <w:rPr>
                      <w:rFonts w:hint="eastAsia"/>
                      <w:sz w:val="18"/>
                      <w:szCs w:val="18"/>
                    </w:rPr>
                    <w:t>/</w:t>
                  </w:r>
                </w:p>
              </w:tc>
              <w:tc>
                <w:tcPr>
                  <w:tcW w:w="715" w:type="pct"/>
                  <w:shd w:val="clear" w:color="auto" w:fill="auto"/>
                  <w:vAlign w:val="center"/>
                </w:tcPr>
                <w:p w14:paraId="02767112">
                  <w:pPr>
                    <w:ind w:left="-105" w:leftChars="-50" w:right="-105" w:rightChars="-50"/>
                    <w:jc w:val="center"/>
                    <w:rPr>
                      <w:rFonts w:hint="eastAsia"/>
                      <w:sz w:val="18"/>
                      <w:szCs w:val="18"/>
                    </w:rPr>
                  </w:pPr>
                  <w:r>
                    <w:rPr>
                      <w:rFonts w:hint="eastAsia"/>
                      <w:sz w:val="18"/>
                      <w:szCs w:val="18"/>
                    </w:rPr>
                    <w:t>11.58</w:t>
                  </w:r>
                </w:p>
              </w:tc>
              <w:tc>
                <w:tcPr>
                  <w:tcW w:w="595" w:type="pct"/>
                  <w:vAlign w:val="center"/>
                </w:tcPr>
                <w:p w14:paraId="14DC738B">
                  <w:pPr>
                    <w:ind w:left="-105" w:leftChars="-50" w:right="-105" w:rightChars="-50"/>
                    <w:jc w:val="center"/>
                    <w:rPr>
                      <w:rFonts w:hint="eastAsia"/>
                      <w:sz w:val="18"/>
                      <w:szCs w:val="18"/>
                    </w:rPr>
                  </w:pPr>
                  <w:r>
                    <w:rPr>
                      <w:rFonts w:hint="eastAsia"/>
                      <w:sz w:val="18"/>
                      <w:szCs w:val="18"/>
                    </w:rPr>
                    <w:t>3473.30</w:t>
                  </w:r>
                </w:p>
              </w:tc>
            </w:tr>
            <w:tr w14:paraId="4BA2F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9"/>
                  <w:shd w:val="clear" w:color="auto" w:fill="auto"/>
                  <w:vAlign w:val="center"/>
                </w:tcPr>
                <w:p w14:paraId="5D84D317">
                  <w:pPr>
                    <w:ind w:left="-105" w:leftChars="-50" w:right="-105" w:rightChars="-50"/>
                    <w:rPr>
                      <w:rFonts w:hint="eastAsia"/>
                      <w:sz w:val="18"/>
                      <w:szCs w:val="18"/>
                    </w:rPr>
                  </w:pPr>
                  <w:r>
                    <w:rPr>
                      <w:rFonts w:hint="eastAsia"/>
                      <w:sz w:val="18"/>
                      <w:szCs w:val="18"/>
                    </w:rPr>
                    <w:t>注：*煎药用水和</w:t>
                  </w:r>
                  <w:r>
                    <w:rPr>
                      <w:rFonts w:hint="eastAsia"/>
                      <w:bCs/>
                      <w:sz w:val="18"/>
                      <w:szCs w:val="18"/>
                    </w:rPr>
                    <w:t>蒸汽发生器用水来源于纯水制备软水，均不计入新水（自来水）用量。</w:t>
                  </w:r>
                </w:p>
              </w:tc>
            </w:tr>
          </w:tbl>
          <w:p w14:paraId="0F2B4466">
            <w:pPr>
              <w:autoSpaceDE w:val="0"/>
              <w:autoSpaceDN w:val="0"/>
              <w:adjustRightInd w:val="0"/>
              <w:snapToGrid w:val="0"/>
              <w:jc w:val="center"/>
              <w:rPr>
                <w:b/>
              </w:rPr>
            </w:pPr>
            <w:r>
              <w:rPr>
                <w:rFonts w:hint="eastAsia"/>
              </w:rPr>
              <w:object>
                <v:shape id="_x0000_i1025" o:spt="75" type="#_x0000_t75" style="height:307.15pt;width:359.15pt;" o:ole="t" filled="f" o:preferrelative="t" stroked="f" coordsize="21600,21600">
                  <v:path/>
                  <v:fill on="f" focussize="0,0"/>
                  <v:stroke on="f" joinstyle="miter"/>
                  <v:imagedata r:id="rId11" o:title=""/>
                  <o:lock v:ext="edit" aspectratio="t"/>
                  <w10:wrap type="none"/>
                  <w10:anchorlock/>
                </v:shape>
                <o:OLEObject Type="Embed" ProgID="Visio.Drawing.11" ShapeID="_x0000_i1025" DrawAspect="Content" ObjectID="_1468075725" r:id="rId10">
                  <o:LockedField>false</o:LockedField>
                </o:OLEObject>
              </w:object>
            </w:r>
          </w:p>
          <w:p w14:paraId="09EBB0FC">
            <w:pPr>
              <w:autoSpaceDE w:val="0"/>
              <w:autoSpaceDN w:val="0"/>
              <w:adjustRightInd w:val="0"/>
              <w:snapToGrid w:val="0"/>
              <w:jc w:val="center"/>
              <w:rPr>
                <w:b/>
              </w:rPr>
            </w:pPr>
            <w:r>
              <w:rPr>
                <w:rFonts w:hint="eastAsia"/>
                <w:b/>
              </w:rPr>
              <w:t>图2</w:t>
            </w:r>
            <w:r>
              <w:rPr>
                <w:b/>
              </w:rPr>
              <w:t>-</w:t>
            </w:r>
            <w:r>
              <w:rPr>
                <w:rFonts w:hint="eastAsia"/>
                <w:b/>
              </w:rPr>
              <w:t>1</w:t>
            </w:r>
            <w:r>
              <w:rPr>
                <w:b/>
              </w:rPr>
              <w:t xml:space="preserve">  </w:t>
            </w:r>
            <w:r>
              <w:rPr>
                <w:rFonts w:hint="eastAsia"/>
                <w:b/>
              </w:rPr>
              <w:t>项目水平衡图</w:t>
            </w:r>
            <w:r>
              <w:rPr>
                <w:b/>
              </w:rPr>
              <w:t xml:space="preserve"> </w:t>
            </w:r>
            <w:r>
              <w:rPr>
                <w:rFonts w:hint="eastAsia"/>
                <w:b/>
              </w:rPr>
              <w:t>（</w:t>
            </w:r>
            <w:r>
              <w:rPr>
                <w:b/>
              </w:rPr>
              <w:t>m</w:t>
            </w:r>
            <w:r>
              <w:rPr>
                <w:b/>
                <w:vertAlign w:val="superscript"/>
              </w:rPr>
              <w:t>3</w:t>
            </w:r>
            <w:r>
              <w:rPr>
                <w:b/>
              </w:rPr>
              <w:t>/d</w:t>
            </w:r>
            <w:r>
              <w:rPr>
                <w:rFonts w:hint="eastAsia"/>
                <w:b/>
              </w:rPr>
              <w:t>）</w:t>
            </w:r>
          </w:p>
          <w:p w14:paraId="31F1624E">
            <w:pPr>
              <w:adjustRightInd w:val="0"/>
              <w:snapToGrid w:val="0"/>
              <w:spacing w:line="360" w:lineRule="auto"/>
              <w:ind w:firstLine="422" w:firstLineChars="200"/>
              <w:rPr>
                <w:rFonts w:hint="eastAsia" w:ascii="宋体" w:hAnsi="宋体"/>
                <w:b/>
              </w:rPr>
            </w:pPr>
            <w:r>
              <w:rPr>
                <w:rFonts w:ascii="宋体" w:hAnsi="宋体"/>
                <w:b/>
              </w:rPr>
              <w:t>7</w:t>
            </w:r>
            <w:r>
              <w:rPr>
                <w:rFonts w:hint="eastAsia" w:ascii="宋体" w:hAnsi="宋体"/>
                <w:b/>
              </w:rPr>
              <w:t>、劳动定员及工作制度</w:t>
            </w:r>
          </w:p>
          <w:p w14:paraId="14550B01">
            <w:pPr>
              <w:widowControl/>
              <w:spacing w:line="360" w:lineRule="auto"/>
              <w:ind w:firstLine="420" w:firstLineChars="200"/>
            </w:pPr>
            <w:r>
              <w:rPr>
                <w:rFonts w:hint="eastAsia"/>
                <w:lang w:bidi="ar"/>
              </w:rPr>
              <w:t>本项目建成后劳动定员6</w:t>
            </w:r>
            <w:r>
              <w:rPr>
                <w:lang w:bidi="ar"/>
              </w:rPr>
              <w:t>0</w:t>
            </w:r>
            <w:r>
              <w:rPr>
                <w:rFonts w:hint="eastAsia"/>
                <w:lang w:bidi="ar"/>
              </w:rPr>
              <w:t>人。每天工作24小时，每班8小时，共三班，年工作日</w:t>
            </w:r>
            <w:r>
              <w:rPr>
                <w:lang w:bidi="ar"/>
              </w:rPr>
              <w:t>300</w:t>
            </w:r>
            <w:r>
              <w:rPr>
                <w:rFonts w:hint="eastAsia"/>
                <w:lang w:bidi="ar"/>
              </w:rPr>
              <w:t>天，项目不设置员工食堂及宿舍。</w:t>
            </w:r>
          </w:p>
          <w:p w14:paraId="1D93CF7A">
            <w:pPr>
              <w:adjustRightInd w:val="0"/>
              <w:snapToGrid w:val="0"/>
              <w:spacing w:line="360" w:lineRule="auto"/>
              <w:ind w:firstLine="422" w:firstLineChars="200"/>
              <w:rPr>
                <w:rFonts w:hint="eastAsia" w:ascii="宋体" w:hAnsi="宋体"/>
                <w:b/>
              </w:rPr>
            </w:pPr>
            <w:r>
              <w:rPr>
                <w:rFonts w:ascii="宋体" w:hAnsi="宋体"/>
                <w:b/>
              </w:rPr>
              <w:t>8</w:t>
            </w:r>
            <w:r>
              <w:rPr>
                <w:rFonts w:hint="eastAsia" w:ascii="宋体" w:hAnsi="宋体"/>
                <w:b/>
              </w:rPr>
              <w:t>、厂区平面布置</w:t>
            </w:r>
          </w:p>
          <w:p w14:paraId="4A8B31F1">
            <w:pPr>
              <w:pStyle w:val="68"/>
              <w:spacing w:line="360" w:lineRule="auto"/>
              <w:ind w:left="0" w:right="0" w:firstLine="420" w:firstLineChars="200"/>
              <w:jc w:val="both"/>
              <w:rPr>
                <w:rFonts w:hint="eastAsia"/>
                <w:bCs/>
                <w:sz w:val="21"/>
              </w:rPr>
            </w:pPr>
            <w:r>
              <w:rPr>
                <w:rFonts w:hint="eastAsia"/>
                <w:bCs/>
                <w:sz w:val="21"/>
              </w:rPr>
              <w:t>本项目租赁通川经开区医药产业园面积约 4564 m</w:t>
            </w:r>
            <w:r>
              <w:rPr>
                <w:rFonts w:hint="eastAsia"/>
                <w:bCs/>
                <w:sz w:val="21"/>
                <w:vertAlign w:val="superscript"/>
              </w:rPr>
              <w:t>2</w:t>
            </w:r>
            <w:r>
              <w:rPr>
                <w:rFonts w:hint="eastAsia"/>
                <w:bCs/>
                <w:sz w:val="21"/>
              </w:rPr>
              <w:t>标准厂房进行场地区域改造。其中生产车间主要布设于南侧2260m</w:t>
            </w:r>
            <w:r>
              <w:rPr>
                <w:rFonts w:hint="eastAsia"/>
                <w:bCs/>
                <w:sz w:val="21"/>
                <w:vertAlign w:val="superscript"/>
              </w:rPr>
              <w:t>2</w:t>
            </w:r>
            <w:r>
              <w:rPr>
                <w:rFonts w:hint="eastAsia"/>
                <w:bCs/>
                <w:sz w:val="21"/>
              </w:rPr>
              <w:t>区域，北侧2304m</w:t>
            </w:r>
            <w:r>
              <w:rPr>
                <w:rFonts w:hint="eastAsia"/>
                <w:bCs/>
                <w:sz w:val="21"/>
                <w:vertAlign w:val="superscript"/>
              </w:rPr>
              <w:t>2</w:t>
            </w:r>
            <w:r>
              <w:rPr>
                <w:rFonts w:hint="eastAsia"/>
                <w:bCs/>
                <w:sz w:val="21"/>
              </w:rPr>
              <w:t>作为后续项目预留仓库区域，本次项目不涉及。</w:t>
            </w:r>
          </w:p>
          <w:p w14:paraId="5907D459">
            <w:pPr>
              <w:pStyle w:val="68"/>
              <w:spacing w:line="360" w:lineRule="auto"/>
              <w:ind w:left="0" w:right="0" w:firstLine="420" w:firstLineChars="200"/>
              <w:jc w:val="both"/>
              <w:rPr>
                <w:bCs/>
                <w:sz w:val="21"/>
              </w:rPr>
            </w:pPr>
            <w:r>
              <w:rPr>
                <w:rFonts w:hint="eastAsia"/>
                <w:bCs/>
                <w:sz w:val="21"/>
              </w:rPr>
              <w:t>本项目生产车间按照流程布置功能区，确保生产连续性。厂区工作人员及参观人员出入口与上货入库出入口分开设置。上货入库出入口设置于厂区西北侧入口，厂区工作人员及参观人员出入口设置于厂区东北侧，从工作人员及参观人员出入口进入厂区后为展示大厅，相邻展示大厅设置办公室、接方审方间、更衣室等区域。从厂区东往西按照工艺流程依次设置人工上料间、配方间、自动加水浸泡间、净水间、粉碎间、丸剂间、煎药间、药渣暂存及清洗间、膏方间、外包发货间、外包材间等，饮片暂存间主要从上货入库出入口开始由西往东设置L型饮片暂存间，内包材间等区域。厂区物流呈环状流转，厂区内部物流通道顺畅，生产、办公、生活分区设置。综上所述，本项目各功能分区明确、间距合理、工艺流程顺畅、管线短捷，在生产厂房布局时满足工艺流程，也满足功能分区要求及运输作业要求。评价认为，本项目总图布置合理可行。</w:t>
            </w:r>
          </w:p>
          <w:p w14:paraId="1C6A4675">
            <w:pPr>
              <w:adjustRightInd w:val="0"/>
              <w:snapToGrid w:val="0"/>
              <w:spacing w:line="360" w:lineRule="auto"/>
              <w:ind w:firstLine="422" w:firstLineChars="200"/>
              <w:rPr>
                <w:rFonts w:hint="eastAsia" w:ascii="宋体" w:hAnsi="宋体"/>
                <w:b/>
              </w:rPr>
            </w:pPr>
            <w:r>
              <w:rPr>
                <w:rFonts w:hint="eastAsia" w:ascii="宋体" w:hAnsi="宋体"/>
                <w:b/>
              </w:rPr>
              <w:t>9、公辅设施依托情况可行性及可靠性分析</w:t>
            </w:r>
          </w:p>
          <w:p w14:paraId="341DAE1A">
            <w:pPr>
              <w:widowControl/>
              <w:spacing w:line="360" w:lineRule="auto"/>
              <w:ind w:firstLine="420" w:firstLineChars="200"/>
            </w:pPr>
            <w:r>
              <w:rPr>
                <w:rFonts w:hint="eastAsia"/>
              </w:rPr>
              <w:t>根据建设单位提供医药产业园设计资料，通川区中医药产业示范园已从市政给排水管网接入园区，本项目可直接利用通川区中医药产业示范园已建的给排水管网，本项目污水可直接排入通川区中医药产业示范园已建的预处理池处理后排入市政污水管网。因此，本项目依托园区已建给排水设施是可行的。主要依托情况及依托可行性见下表。</w:t>
            </w:r>
          </w:p>
          <w:p w14:paraId="71ACECBD">
            <w:pPr>
              <w:autoSpaceDE w:val="0"/>
              <w:autoSpaceDN w:val="0"/>
              <w:adjustRightInd w:val="0"/>
              <w:snapToGrid w:val="0"/>
              <w:jc w:val="center"/>
              <w:rPr>
                <w:b/>
              </w:rPr>
            </w:pPr>
            <w:r>
              <w:rPr>
                <w:rFonts w:hint="eastAsia"/>
                <w:b/>
              </w:rPr>
              <w:t>表2</w:t>
            </w:r>
            <w:r>
              <w:rPr>
                <w:b/>
              </w:rPr>
              <w:t>-</w:t>
            </w:r>
            <w:r>
              <w:rPr>
                <w:rFonts w:hint="eastAsia"/>
                <w:b/>
              </w:rPr>
              <w:t>6</w:t>
            </w:r>
            <w:r>
              <w:rPr>
                <w:b/>
              </w:rPr>
              <w:t xml:space="preserve">  </w:t>
            </w:r>
            <w:r>
              <w:rPr>
                <w:rFonts w:hint="eastAsia"/>
                <w:b/>
              </w:rPr>
              <w:t>公辅及环保设施依托情况可行性及可靠性分析</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90"/>
              <w:gridCol w:w="713"/>
              <w:gridCol w:w="1743"/>
              <w:gridCol w:w="3495"/>
            </w:tblGrid>
            <w:tr w14:paraId="18B1B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9" w:hRule="atLeast"/>
                <w:jc w:val="center"/>
              </w:trPr>
              <w:tc>
                <w:tcPr>
                  <w:tcW w:w="443" w:type="pct"/>
                  <w:shd w:val="clear" w:color="auto" w:fill="auto"/>
                  <w:vAlign w:val="center"/>
                </w:tcPr>
                <w:p w14:paraId="120311F0">
                  <w:pPr>
                    <w:jc w:val="center"/>
                    <w:rPr>
                      <w:b/>
                      <w:bCs/>
                    </w:rPr>
                  </w:pPr>
                  <w:r>
                    <w:rPr>
                      <w:rFonts w:hint="eastAsia"/>
                      <w:b/>
                      <w:bCs/>
                    </w:rPr>
                    <w:t>序号</w:t>
                  </w:r>
                </w:p>
              </w:tc>
              <w:tc>
                <w:tcPr>
                  <w:tcW w:w="812" w:type="pct"/>
                  <w:shd w:val="clear" w:color="auto" w:fill="auto"/>
                  <w:vAlign w:val="center"/>
                </w:tcPr>
                <w:p w14:paraId="1AD3E0A8">
                  <w:pPr>
                    <w:jc w:val="center"/>
                    <w:rPr>
                      <w:b/>
                      <w:bCs/>
                    </w:rPr>
                  </w:pPr>
                  <w:r>
                    <w:rPr>
                      <w:rFonts w:hint="eastAsia"/>
                      <w:b/>
                      <w:bCs/>
                    </w:rPr>
                    <w:t>名称</w:t>
                  </w:r>
                </w:p>
              </w:tc>
              <w:tc>
                <w:tcPr>
                  <w:tcW w:w="449" w:type="pct"/>
                  <w:shd w:val="clear" w:color="auto" w:fill="auto"/>
                  <w:vAlign w:val="center"/>
                </w:tcPr>
                <w:p w14:paraId="4D5E56E9">
                  <w:pPr>
                    <w:jc w:val="center"/>
                    <w:rPr>
                      <w:b/>
                      <w:bCs/>
                    </w:rPr>
                  </w:pPr>
                  <w:r>
                    <w:rPr>
                      <w:rFonts w:hint="eastAsia"/>
                      <w:b/>
                      <w:bCs/>
                    </w:rPr>
                    <w:t>数量</w:t>
                  </w:r>
                </w:p>
              </w:tc>
              <w:tc>
                <w:tcPr>
                  <w:tcW w:w="1097" w:type="pct"/>
                  <w:shd w:val="clear" w:color="auto" w:fill="auto"/>
                  <w:vAlign w:val="center"/>
                </w:tcPr>
                <w:p w14:paraId="3739063B">
                  <w:pPr>
                    <w:jc w:val="center"/>
                    <w:rPr>
                      <w:b/>
                      <w:bCs/>
                    </w:rPr>
                  </w:pPr>
                  <w:r>
                    <w:rPr>
                      <w:rFonts w:hint="eastAsia"/>
                      <w:b/>
                      <w:bCs/>
                    </w:rPr>
                    <w:t>内容</w:t>
                  </w:r>
                </w:p>
              </w:tc>
              <w:tc>
                <w:tcPr>
                  <w:tcW w:w="2199" w:type="pct"/>
                  <w:shd w:val="clear" w:color="auto" w:fill="auto"/>
                  <w:vAlign w:val="center"/>
                </w:tcPr>
                <w:p w14:paraId="21B0DA41">
                  <w:pPr>
                    <w:jc w:val="center"/>
                    <w:rPr>
                      <w:b/>
                      <w:bCs/>
                    </w:rPr>
                  </w:pPr>
                  <w:r>
                    <w:rPr>
                      <w:rFonts w:hint="eastAsia"/>
                      <w:b/>
                      <w:bCs/>
                    </w:rPr>
                    <w:t>依托可行性</w:t>
                  </w:r>
                </w:p>
              </w:tc>
            </w:tr>
            <w:tr w14:paraId="1A50F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443" w:type="pct"/>
                  <w:shd w:val="clear" w:color="auto" w:fill="auto"/>
                  <w:vAlign w:val="center"/>
                </w:tcPr>
                <w:p w14:paraId="7556D228">
                  <w:pPr>
                    <w:jc w:val="center"/>
                  </w:pPr>
                  <w:r>
                    <w:rPr>
                      <w:rFonts w:hint="eastAsia"/>
                    </w:rPr>
                    <w:t>1</w:t>
                  </w:r>
                </w:p>
              </w:tc>
              <w:tc>
                <w:tcPr>
                  <w:tcW w:w="812" w:type="pct"/>
                  <w:shd w:val="clear" w:color="auto" w:fill="auto"/>
                  <w:vAlign w:val="center"/>
                </w:tcPr>
                <w:p w14:paraId="1EC94A62">
                  <w:pPr>
                    <w:jc w:val="center"/>
                  </w:pPr>
                  <w:r>
                    <w:rPr>
                      <w:rFonts w:hint="eastAsia"/>
                    </w:rPr>
                    <w:t>预处理池</w:t>
                  </w:r>
                </w:p>
              </w:tc>
              <w:tc>
                <w:tcPr>
                  <w:tcW w:w="449" w:type="pct"/>
                  <w:shd w:val="clear" w:color="auto" w:fill="auto"/>
                  <w:vAlign w:val="center"/>
                </w:tcPr>
                <w:p w14:paraId="2B376333">
                  <w:pPr>
                    <w:jc w:val="center"/>
                  </w:pPr>
                  <w:r>
                    <w:rPr>
                      <w:rFonts w:hint="eastAsia"/>
                    </w:rPr>
                    <w:t>1个</w:t>
                  </w:r>
                </w:p>
              </w:tc>
              <w:tc>
                <w:tcPr>
                  <w:tcW w:w="1097" w:type="pct"/>
                  <w:shd w:val="clear" w:color="auto" w:fill="auto"/>
                  <w:vAlign w:val="center"/>
                </w:tcPr>
                <w:p w14:paraId="06E56DF4">
                  <w:r>
                    <w:rPr>
                      <w:rFonts w:hint="eastAsia"/>
                    </w:rPr>
                    <w:t>通川区中医药产业示范园设计预处理池处理能力为250m³/d，</w:t>
                  </w:r>
                  <w:r>
                    <w:rPr>
                      <w:rFonts w:hint="eastAsia"/>
                      <w:lang w:bidi="ar"/>
                    </w:rPr>
                    <w:t>目前实际处理量约45m</w:t>
                  </w:r>
                  <w:r>
                    <w:rPr>
                      <w:rFonts w:hint="eastAsia"/>
                      <w:vertAlign w:val="superscript"/>
                      <w:lang w:bidi="ar"/>
                    </w:rPr>
                    <w:t>3</w:t>
                  </w:r>
                  <w:r>
                    <w:rPr>
                      <w:rFonts w:hint="eastAsia"/>
                      <w:lang w:bidi="ar"/>
                    </w:rPr>
                    <w:t>/d，剩余处理负荷约205m</w:t>
                  </w:r>
                  <w:r>
                    <w:rPr>
                      <w:rFonts w:hint="eastAsia"/>
                      <w:vertAlign w:val="superscript"/>
                      <w:lang w:bidi="ar"/>
                    </w:rPr>
                    <w:t>3</w:t>
                  </w:r>
                  <w:r>
                    <w:rPr>
                      <w:rFonts w:hint="eastAsia"/>
                      <w:lang w:bidi="ar"/>
                    </w:rPr>
                    <w:t>/d。</w:t>
                  </w:r>
                  <w:r>
                    <w:rPr>
                      <w:rFonts w:hint="eastAsia"/>
                    </w:rPr>
                    <w:t>现有预处理池出水可实现达标排放。</w:t>
                  </w:r>
                </w:p>
              </w:tc>
              <w:tc>
                <w:tcPr>
                  <w:tcW w:w="2199" w:type="pct"/>
                  <w:shd w:val="clear" w:color="auto" w:fill="auto"/>
                  <w:vAlign w:val="center"/>
                </w:tcPr>
                <w:p w14:paraId="2AB7D5A0">
                  <w:r>
                    <w:rPr>
                      <w:rFonts w:hint="eastAsia"/>
                    </w:rPr>
                    <w:t>本项目污水量为11.58m³/d，通川区中医药产业示范园现有预处理池有足够的剩余处理负荷接纳本项目废水。</w:t>
                  </w:r>
                </w:p>
                <w:p w14:paraId="698B2680">
                  <w:r>
                    <w:rPr>
                      <w:rFonts w:hint="eastAsia"/>
                    </w:rPr>
                    <w:t>本项目依托现有预处理池剩余处理能力可行，已建预处理池出水达标排放可靠，依托可行。依托预处理池环保责任主体为通川区中医药产业示范园，由出租方定期清掏。</w:t>
                  </w:r>
                </w:p>
              </w:tc>
            </w:tr>
            <w:tr w14:paraId="6B6260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443" w:type="pct"/>
                  <w:shd w:val="clear" w:color="auto" w:fill="auto"/>
                  <w:vAlign w:val="center"/>
                </w:tcPr>
                <w:p w14:paraId="2E6EA8E9">
                  <w:pPr>
                    <w:jc w:val="center"/>
                  </w:pPr>
                  <w:r>
                    <w:rPr>
                      <w:rFonts w:hint="eastAsia"/>
                    </w:rPr>
                    <w:t>2</w:t>
                  </w:r>
                </w:p>
              </w:tc>
              <w:tc>
                <w:tcPr>
                  <w:tcW w:w="812" w:type="pct"/>
                  <w:shd w:val="clear" w:color="auto" w:fill="auto"/>
                  <w:vAlign w:val="center"/>
                </w:tcPr>
                <w:p w14:paraId="6652C54A">
                  <w:pPr>
                    <w:jc w:val="center"/>
                  </w:pPr>
                  <w:r>
                    <w:rPr>
                      <w:rFonts w:hint="eastAsia"/>
                    </w:rPr>
                    <w:t>供配电系统</w:t>
                  </w:r>
                </w:p>
              </w:tc>
              <w:tc>
                <w:tcPr>
                  <w:tcW w:w="449" w:type="pct"/>
                  <w:shd w:val="clear" w:color="auto" w:fill="auto"/>
                  <w:vAlign w:val="center"/>
                </w:tcPr>
                <w:p w14:paraId="10678F23">
                  <w:pPr>
                    <w:jc w:val="center"/>
                  </w:pPr>
                  <w:r>
                    <w:rPr>
                      <w:rFonts w:hint="eastAsia"/>
                    </w:rPr>
                    <w:t>1套</w:t>
                  </w:r>
                </w:p>
              </w:tc>
              <w:tc>
                <w:tcPr>
                  <w:tcW w:w="1097" w:type="pct"/>
                  <w:shd w:val="clear" w:color="auto" w:fill="auto"/>
                  <w:vAlign w:val="center"/>
                </w:tcPr>
                <w:p w14:paraId="6FEAF0BA">
                  <w:r>
                    <w:rPr>
                      <w:rFonts w:hint="eastAsia"/>
                    </w:rPr>
                    <w:t>接入园区电网</w:t>
                  </w:r>
                </w:p>
              </w:tc>
              <w:tc>
                <w:tcPr>
                  <w:tcW w:w="2199" w:type="pct"/>
                  <w:shd w:val="clear" w:color="auto" w:fill="auto"/>
                  <w:vAlign w:val="center"/>
                </w:tcPr>
                <w:p w14:paraId="2322068F">
                  <w:r>
                    <w:rPr>
                      <w:rFonts w:hint="eastAsia"/>
                    </w:rPr>
                    <w:t>能够满足本项目需求，依托可行</w:t>
                  </w:r>
                </w:p>
              </w:tc>
            </w:tr>
            <w:tr w14:paraId="54532B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443" w:type="pct"/>
                  <w:shd w:val="clear" w:color="auto" w:fill="auto"/>
                  <w:vAlign w:val="center"/>
                </w:tcPr>
                <w:p w14:paraId="381D3CC9">
                  <w:pPr>
                    <w:jc w:val="center"/>
                  </w:pPr>
                  <w:r>
                    <w:rPr>
                      <w:rFonts w:hint="eastAsia"/>
                    </w:rPr>
                    <w:t>3</w:t>
                  </w:r>
                </w:p>
              </w:tc>
              <w:tc>
                <w:tcPr>
                  <w:tcW w:w="812" w:type="pct"/>
                  <w:shd w:val="clear" w:color="auto" w:fill="auto"/>
                  <w:vAlign w:val="center"/>
                </w:tcPr>
                <w:p w14:paraId="54B1B1AD">
                  <w:pPr>
                    <w:jc w:val="center"/>
                  </w:pPr>
                  <w:r>
                    <w:rPr>
                      <w:rFonts w:hint="eastAsia"/>
                    </w:rPr>
                    <w:t>供水系统</w:t>
                  </w:r>
                </w:p>
              </w:tc>
              <w:tc>
                <w:tcPr>
                  <w:tcW w:w="449" w:type="pct"/>
                  <w:shd w:val="clear" w:color="auto" w:fill="auto"/>
                  <w:vAlign w:val="center"/>
                </w:tcPr>
                <w:p w14:paraId="3FFA1EB4">
                  <w:pPr>
                    <w:jc w:val="center"/>
                  </w:pPr>
                  <w:r>
                    <w:rPr>
                      <w:rFonts w:hint="eastAsia"/>
                    </w:rPr>
                    <w:t>1套</w:t>
                  </w:r>
                </w:p>
              </w:tc>
              <w:tc>
                <w:tcPr>
                  <w:tcW w:w="1097" w:type="pct"/>
                  <w:shd w:val="clear" w:color="auto" w:fill="auto"/>
                  <w:vAlign w:val="center"/>
                </w:tcPr>
                <w:p w14:paraId="7978A598">
                  <w:r>
                    <w:rPr>
                      <w:rFonts w:hint="eastAsia"/>
                    </w:rPr>
                    <w:t>接入园区供水管</w:t>
                  </w:r>
                </w:p>
              </w:tc>
              <w:tc>
                <w:tcPr>
                  <w:tcW w:w="2199" w:type="pct"/>
                  <w:shd w:val="clear" w:color="auto" w:fill="auto"/>
                  <w:vAlign w:val="center"/>
                </w:tcPr>
                <w:p w14:paraId="2475BFFE">
                  <w:r>
                    <w:rPr>
                      <w:rFonts w:hint="eastAsia"/>
                    </w:rPr>
                    <w:t>能够满足本项目需求，依托可行</w:t>
                  </w:r>
                </w:p>
              </w:tc>
            </w:tr>
          </w:tbl>
          <w:p w14:paraId="15C5DCA1">
            <w:pPr>
              <w:widowControl/>
              <w:spacing w:line="360" w:lineRule="auto"/>
              <w:ind w:firstLine="420" w:firstLineChars="200"/>
            </w:pPr>
            <w:r>
              <w:rPr>
                <w:rFonts w:hint="eastAsia"/>
              </w:rPr>
              <w:t>根据调查，通川区中医药产业示范园区各项环保设施均已建成，目前各设施运行正常，剩余处理规模可满足本项目需求，故依托可行。</w:t>
            </w:r>
          </w:p>
          <w:p w14:paraId="62ADDA30">
            <w:pPr>
              <w:widowControl/>
              <w:spacing w:line="360" w:lineRule="auto"/>
              <w:ind w:firstLine="420" w:firstLineChars="200"/>
              <w:rPr>
                <w:szCs w:val="20"/>
              </w:rPr>
            </w:pPr>
          </w:p>
        </w:tc>
      </w:tr>
      <w:tr w14:paraId="79E5A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vAlign w:val="center"/>
          </w:tcPr>
          <w:p w14:paraId="6787668A">
            <w:pPr>
              <w:pStyle w:val="15"/>
              <w:rPr>
                <w:rFonts w:hint="eastAsia"/>
                <w:sz w:val="21"/>
                <w:szCs w:val="21"/>
              </w:rPr>
            </w:pPr>
            <w:r>
              <w:rPr>
                <w:rFonts w:hint="eastAsia"/>
                <w:sz w:val="21"/>
                <w:szCs w:val="21"/>
              </w:rPr>
              <w:t>工艺流程和产排污环节</w:t>
            </w:r>
          </w:p>
        </w:tc>
        <w:tc>
          <w:tcPr>
            <w:tcW w:w="8161" w:type="dxa"/>
          </w:tcPr>
          <w:p w14:paraId="50759A64">
            <w:pPr>
              <w:adjustRightInd w:val="0"/>
              <w:snapToGrid w:val="0"/>
              <w:spacing w:line="360" w:lineRule="auto"/>
              <w:ind w:firstLine="422" w:firstLineChars="200"/>
              <w:rPr>
                <w:b/>
                <w:bCs/>
              </w:rPr>
            </w:pPr>
            <w:r>
              <w:rPr>
                <w:rFonts w:hint="eastAsia"/>
                <w:b/>
                <w:bCs/>
              </w:rPr>
              <w:t>一、</w:t>
            </w:r>
            <w:r>
              <w:rPr>
                <w:rFonts w:hint="eastAsia"/>
                <w:b/>
              </w:rPr>
              <w:t>施工期项目工艺流程及产排污环节</w:t>
            </w:r>
          </w:p>
          <w:p w14:paraId="4AB0DB80">
            <w:pPr>
              <w:adjustRightInd w:val="0"/>
              <w:snapToGrid w:val="0"/>
              <w:spacing w:line="360" w:lineRule="auto"/>
              <w:ind w:firstLine="420" w:firstLineChars="200"/>
              <w:rPr>
                <w:bCs/>
              </w:rPr>
            </w:pPr>
            <w:r>
              <w:rPr>
                <w:rFonts w:hint="eastAsia"/>
                <w:bCs/>
              </w:rPr>
              <w:t>项目在现有闲置标准化厂房内进行建设，主要为设备安装，不涉及土建施工，因此，本项目施工期工艺流程及产污环节如下图2-2所示：</w:t>
            </w:r>
          </w:p>
          <w:p w14:paraId="7DE189EC">
            <w:pPr>
              <w:adjustRightInd w:val="0"/>
              <w:snapToGrid w:val="0"/>
              <w:ind w:firstLine="420"/>
              <w:jc w:val="center"/>
              <w:rPr>
                <w:bCs/>
              </w:rPr>
            </w:pPr>
            <w:r>
              <w:drawing>
                <wp:inline distT="0" distB="0" distL="0" distR="0">
                  <wp:extent cx="4694555" cy="1032510"/>
                  <wp:effectExtent l="0" t="0" r="0" b="0"/>
                  <wp:docPr id="17465345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34504" name="图片 1"/>
                          <pic:cNvPicPr>
                            <a:picLocks noChangeAspect="1"/>
                          </pic:cNvPicPr>
                        </pic:nvPicPr>
                        <pic:blipFill>
                          <a:blip r:embed="rId12"/>
                          <a:stretch>
                            <a:fillRect/>
                          </a:stretch>
                        </pic:blipFill>
                        <pic:spPr>
                          <a:xfrm>
                            <a:off x="0" y="0"/>
                            <a:ext cx="4789876" cy="1053946"/>
                          </a:xfrm>
                          <a:prstGeom prst="rect">
                            <a:avLst/>
                          </a:prstGeom>
                        </pic:spPr>
                      </pic:pic>
                    </a:graphicData>
                  </a:graphic>
                </wp:inline>
              </w:drawing>
            </w:r>
          </w:p>
          <w:p w14:paraId="50752D6D">
            <w:pPr>
              <w:autoSpaceDE w:val="0"/>
              <w:autoSpaceDN w:val="0"/>
              <w:adjustRightInd w:val="0"/>
              <w:snapToGrid w:val="0"/>
              <w:jc w:val="center"/>
              <w:rPr>
                <w:b/>
              </w:rPr>
            </w:pPr>
            <w:r>
              <w:rPr>
                <w:rFonts w:hint="eastAsia"/>
                <w:b/>
              </w:rPr>
              <w:t>图2-</w:t>
            </w:r>
            <w:r>
              <w:rPr>
                <w:b/>
              </w:rPr>
              <w:t>2</w:t>
            </w:r>
            <w:r>
              <w:rPr>
                <w:rFonts w:hint="eastAsia"/>
                <w:b/>
              </w:rPr>
              <w:t xml:space="preserve"> </w:t>
            </w:r>
            <w:r>
              <w:rPr>
                <w:b/>
              </w:rPr>
              <w:t xml:space="preserve"> </w:t>
            </w:r>
            <w:r>
              <w:rPr>
                <w:rFonts w:hint="eastAsia"/>
                <w:b/>
              </w:rPr>
              <w:t>项目施工期工艺流程及产污环节图</w:t>
            </w:r>
          </w:p>
          <w:p w14:paraId="3A5C90D4">
            <w:pPr>
              <w:adjustRightInd w:val="0"/>
              <w:snapToGrid w:val="0"/>
              <w:spacing w:line="360" w:lineRule="auto"/>
              <w:ind w:firstLine="420" w:firstLineChars="200"/>
              <w:rPr>
                <w:bCs/>
              </w:rPr>
            </w:pPr>
            <w:r>
              <w:rPr>
                <w:rFonts w:hint="eastAsia"/>
                <w:bCs/>
              </w:rPr>
              <w:t>从上图2-2可知，本项目施工期主要进行设备安装。主要污染工序如下：</w:t>
            </w:r>
          </w:p>
          <w:p w14:paraId="0C2CF3E1">
            <w:pPr>
              <w:adjustRightInd w:val="0"/>
              <w:snapToGrid w:val="0"/>
              <w:spacing w:line="360" w:lineRule="auto"/>
              <w:ind w:firstLine="420" w:firstLineChars="200"/>
              <w:rPr>
                <w:bCs/>
              </w:rPr>
            </w:pPr>
            <w:r>
              <w:rPr>
                <w:rFonts w:hint="eastAsia"/>
                <w:bCs/>
              </w:rPr>
              <w:t>（1）废水：本项目废水主要为施工人员生活产生的生活废水。</w:t>
            </w:r>
          </w:p>
          <w:p w14:paraId="3394B091">
            <w:pPr>
              <w:adjustRightInd w:val="0"/>
              <w:snapToGrid w:val="0"/>
              <w:spacing w:line="360" w:lineRule="auto"/>
              <w:ind w:firstLine="420" w:firstLineChars="200"/>
              <w:rPr>
                <w:bCs/>
              </w:rPr>
            </w:pPr>
            <w:r>
              <w:rPr>
                <w:rFonts w:hint="eastAsia"/>
                <w:bCs/>
              </w:rPr>
              <w:t xml:space="preserve">（2）废气：本项目废气主要为对厂房适应性改造、设备安装过程中产生的扬尘。 </w:t>
            </w:r>
          </w:p>
          <w:p w14:paraId="6A467C7F">
            <w:pPr>
              <w:adjustRightInd w:val="0"/>
              <w:snapToGrid w:val="0"/>
              <w:spacing w:line="360" w:lineRule="auto"/>
              <w:ind w:firstLine="420" w:firstLineChars="200"/>
              <w:rPr>
                <w:bCs/>
              </w:rPr>
            </w:pPr>
            <w:r>
              <w:rPr>
                <w:rFonts w:hint="eastAsia"/>
                <w:bCs/>
              </w:rPr>
              <w:t xml:space="preserve">（3）噪声：本项目噪声主要来源于钻机、电锤、电锯等对厂房适应性改造和设备安装过程中产生的噪声。 </w:t>
            </w:r>
          </w:p>
          <w:p w14:paraId="2D22FB77">
            <w:pPr>
              <w:adjustRightInd w:val="0"/>
              <w:snapToGrid w:val="0"/>
              <w:spacing w:line="360" w:lineRule="auto"/>
              <w:ind w:firstLine="420" w:firstLineChars="200"/>
              <w:rPr>
                <w:bCs/>
              </w:rPr>
            </w:pPr>
            <w:r>
              <w:rPr>
                <w:rFonts w:hint="eastAsia"/>
                <w:bCs/>
              </w:rPr>
              <w:t>（4）固废：本项目施工期固废主要来源于对厂房适应性改造、设备安装过程产生的建筑废渣、废边角材料、设备包装垃圾等。</w:t>
            </w:r>
          </w:p>
          <w:p w14:paraId="3215CA37">
            <w:pPr>
              <w:adjustRightInd w:val="0"/>
              <w:snapToGrid w:val="0"/>
              <w:spacing w:line="360" w:lineRule="auto"/>
              <w:ind w:firstLine="422" w:firstLineChars="200"/>
              <w:rPr>
                <w:b/>
                <w:bCs/>
              </w:rPr>
            </w:pPr>
            <w:r>
              <w:rPr>
                <w:rFonts w:hint="eastAsia"/>
                <w:b/>
                <w:bCs/>
              </w:rPr>
              <w:t>二、运营期项目工艺流程及产污环节</w:t>
            </w:r>
          </w:p>
          <w:p w14:paraId="08FB6C7C">
            <w:pPr>
              <w:pStyle w:val="2"/>
              <w:spacing w:line="360" w:lineRule="auto"/>
              <w:ind w:firstLine="420" w:firstLineChars="200"/>
              <w:jc w:val="both"/>
            </w:pPr>
            <w:r>
              <w:rPr>
                <w:rFonts w:hint="eastAsia"/>
              </w:rPr>
              <w:t>项目主要从事中药代煎、膏方、药丸和散剂的加工生产及中西药配送，具体生产工艺流程如下：</w:t>
            </w:r>
            <w:r>
              <w:t xml:space="preserve"> </w:t>
            </w:r>
          </w:p>
          <w:p w14:paraId="307D95FB">
            <w:pPr>
              <w:pStyle w:val="2"/>
              <w:spacing w:line="360" w:lineRule="auto"/>
              <w:ind w:firstLine="420" w:firstLineChars="200"/>
              <w:jc w:val="both"/>
            </w:pPr>
            <w:r>
              <w:rPr>
                <w:rFonts w:hint="eastAsia"/>
              </w:rPr>
              <w:t>1、中药代煎工艺流程：</w:t>
            </w:r>
          </w:p>
          <w:p w14:paraId="2816418C">
            <w:pPr>
              <w:pStyle w:val="2"/>
            </w:pPr>
            <w:r>
              <w:rPr>
                <w:rFonts w:hint="eastAsia"/>
              </w:rPr>
              <w:object>
                <v:shape id="_x0000_i1026" o:spt="75" type="#_x0000_t75" style="height:274.25pt;width:384.55pt;" o:ole="t" filled="f" o:preferrelative="t" stroked="f" coordsize="21600,21600">
                  <v:path/>
                  <v:fill on="f" focussize="0,0"/>
                  <v:stroke on="f" joinstyle="miter"/>
                  <v:imagedata r:id="rId14" o:title=""/>
                  <o:lock v:ext="edit" aspectratio="t"/>
                  <w10:wrap type="none"/>
                  <w10:anchorlock/>
                </v:shape>
                <o:OLEObject Type="Embed" ProgID="Visio.Drawing.11" ShapeID="_x0000_i1026" DrawAspect="Content" ObjectID="_1468075726" r:id="rId13">
                  <o:LockedField>false</o:LockedField>
                </o:OLEObject>
              </w:object>
            </w:r>
          </w:p>
          <w:p w14:paraId="78DD5479">
            <w:pPr>
              <w:autoSpaceDE w:val="0"/>
              <w:autoSpaceDN w:val="0"/>
              <w:adjustRightInd w:val="0"/>
              <w:snapToGrid w:val="0"/>
              <w:jc w:val="center"/>
              <w:rPr>
                <w:b/>
              </w:rPr>
            </w:pPr>
            <w:r>
              <w:rPr>
                <w:rFonts w:hint="eastAsia"/>
                <w:b/>
              </w:rPr>
              <w:t>图2-</w:t>
            </w:r>
            <w:r>
              <w:rPr>
                <w:b/>
              </w:rPr>
              <w:t xml:space="preserve">3  </w:t>
            </w:r>
            <w:r>
              <w:rPr>
                <w:rFonts w:hint="eastAsia"/>
                <w:b/>
              </w:rPr>
              <w:t>中药代煎工艺流程及产污环节图</w:t>
            </w:r>
          </w:p>
          <w:p w14:paraId="5DFEA423">
            <w:pPr>
              <w:pStyle w:val="2"/>
              <w:spacing w:line="360" w:lineRule="auto"/>
              <w:ind w:firstLine="422" w:firstLineChars="200"/>
              <w:jc w:val="both"/>
              <w:rPr>
                <w:b/>
                <w:bCs/>
              </w:rPr>
            </w:pPr>
            <w:r>
              <w:rPr>
                <w:rFonts w:hint="eastAsia"/>
                <w:b/>
              </w:rPr>
              <w:t>中药代煎</w:t>
            </w:r>
            <w:r>
              <w:rPr>
                <w:rFonts w:hint="eastAsia"/>
                <w:b/>
                <w:bCs/>
              </w:rPr>
              <w:t>工艺流程简述：</w:t>
            </w:r>
          </w:p>
          <w:p w14:paraId="0CEBA810">
            <w:pPr>
              <w:pStyle w:val="2"/>
              <w:spacing w:line="360" w:lineRule="auto"/>
              <w:ind w:firstLine="420" w:firstLineChars="200"/>
              <w:jc w:val="both"/>
            </w:pPr>
            <w:r>
              <w:rPr>
                <w:rFonts w:hint="eastAsia"/>
              </w:rPr>
              <w:t>（1）接方审方</w:t>
            </w:r>
          </w:p>
          <w:p w14:paraId="15D28858">
            <w:pPr>
              <w:pStyle w:val="2"/>
              <w:spacing w:line="360" w:lineRule="auto"/>
              <w:ind w:firstLine="420" w:firstLineChars="200"/>
              <w:jc w:val="both"/>
            </w:pPr>
            <w:r>
              <w:rPr>
                <w:rFonts w:hint="eastAsia"/>
              </w:rPr>
              <w:t>接方员对处方进行接收，审方员对处方进行审核。主要包含以下工序：</w:t>
            </w:r>
          </w:p>
          <w:p w14:paraId="0BC03740">
            <w:pPr>
              <w:pStyle w:val="2"/>
              <w:spacing w:line="360" w:lineRule="auto"/>
              <w:ind w:firstLine="420"/>
              <w:jc w:val="both"/>
            </w:pPr>
            <w:r>
              <w:rPr>
                <w:rFonts w:hint="eastAsia"/>
              </w:rPr>
              <w:t>①接收处方：接方员接收电子处方/图片处方，并按医院进行登记汇总以及核对处方数量，电子处方打印处方单和条形码。</w:t>
            </w:r>
          </w:p>
          <w:p w14:paraId="262A4087">
            <w:pPr>
              <w:pStyle w:val="2"/>
              <w:spacing w:line="360" w:lineRule="auto"/>
              <w:ind w:firstLine="420" w:firstLineChars="200"/>
              <w:jc w:val="both"/>
            </w:pPr>
            <w:r>
              <w:rPr>
                <w:rFonts w:hint="eastAsia"/>
              </w:rPr>
              <w:t>②处方初审：接方员初步审查处方上姓名、药味、贴数、地址等基础信息，并确保处方信息清晰完整。</w:t>
            </w:r>
          </w:p>
          <w:p w14:paraId="2E17CB71">
            <w:pPr>
              <w:pStyle w:val="2"/>
              <w:spacing w:line="360" w:lineRule="auto"/>
              <w:ind w:firstLine="420" w:firstLineChars="200"/>
              <w:jc w:val="both"/>
            </w:pPr>
            <w:r>
              <w:rPr>
                <w:rFonts w:hint="eastAsia"/>
              </w:rPr>
              <w:t>③处方审核：审方员审核并核实处方配伍禁忌、超剂量用药等问题，同时对“另包”“外用”等特殊处方盖章。</w:t>
            </w:r>
          </w:p>
          <w:p w14:paraId="3936A80A">
            <w:pPr>
              <w:pStyle w:val="2"/>
              <w:spacing w:line="360" w:lineRule="auto"/>
              <w:ind w:firstLine="420" w:firstLineChars="200"/>
              <w:jc w:val="both"/>
            </w:pPr>
            <w:r>
              <w:rPr>
                <w:rFonts w:hint="eastAsia"/>
              </w:rPr>
              <w:t>④信息录入：输方员对图片处方录入姓名、处方号、贴数、药味以及快递等基础信息，并打印、粘贴对应条形码。</w:t>
            </w:r>
          </w:p>
          <w:p w14:paraId="49C3F505">
            <w:pPr>
              <w:pStyle w:val="2"/>
              <w:spacing w:line="360" w:lineRule="auto"/>
              <w:ind w:firstLine="420" w:firstLineChars="200"/>
              <w:jc w:val="both"/>
            </w:pPr>
            <w:r>
              <w:rPr>
                <w:rFonts w:hint="eastAsia"/>
              </w:rPr>
              <w:t>⑤处方复印：输方员对图片处方进行复印，确保复印处方字迹清晰、完整。</w:t>
            </w:r>
          </w:p>
          <w:p w14:paraId="479B1D04">
            <w:pPr>
              <w:pStyle w:val="2"/>
              <w:spacing w:line="360" w:lineRule="auto"/>
              <w:ind w:firstLine="420" w:firstLineChars="200"/>
              <w:jc w:val="both"/>
            </w:pPr>
            <w:r>
              <w:rPr>
                <w:rFonts w:hint="eastAsia"/>
              </w:rPr>
              <w:t>⑥处方流转：图片处方原件和纸质的电子处方分别放入不煎、外用、内服指定区域内，传真处方复印件转入药材录入处。</w:t>
            </w:r>
          </w:p>
          <w:p w14:paraId="24B50CEE">
            <w:pPr>
              <w:pStyle w:val="2"/>
              <w:spacing w:line="360" w:lineRule="auto"/>
              <w:ind w:firstLine="420" w:firstLineChars="200"/>
              <w:jc w:val="both"/>
            </w:pPr>
            <w:r>
              <w:rPr>
                <w:rFonts w:hint="eastAsia"/>
              </w:rPr>
              <w:t>（2）调配、配料</w:t>
            </w:r>
          </w:p>
          <w:p w14:paraId="5FED765A">
            <w:pPr>
              <w:pStyle w:val="2"/>
              <w:spacing w:line="360" w:lineRule="auto"/>
              <w:ind w:firstLine="420" w:firstLineChars="200"/>
              <w:jc w:val="both"/>
            </w:pPr>
            <w:r>
              <w:rPr>
                <w:rFonts w:hint="eastAsia"/>
              </w:rPr>
              <w:t>配方员对处方进行调配，复核员对处方进行复核。主要包含以下工序：</w:t>
            </w:r>
          </w:p>
          <w:p w14:paraId="0AE8FC35">
            <w:pPr>
              <w:pStyle w:val="2"/>
              <w:spacing w:line="360" w:lineRule="auto"/>
              <w:ind w:firstLine="420" w:firstLineChars="200"/>
              <w:jc w:val="both"/>
            </w:pPr>
            <w:r>
              <w:rPr>
                <w:rFonts w:hint="eastAsia"/>
              </w:rPr>
              <w:t>①处方领取：调配组长至接方审方间领取处方单，并按照医院信息及调配要求分类后分发给各配方员。</w:t>
            </w:r>
          </w:p>
          <w:p w14:paraId="1B2ACE64">
            <w:pPr>
              <w:pStyle w:val="2"/>
              <w:spacing w:line="360" w:lineRule="auto"/>
              <w:ind w:firstLine="420" w:firstLineChars="200"/>
              <w:jc w:val="both"/>
            </w:pPr>
            <w:r>
              <w:rPr>
                <w:rFonts w:hint="eastAsia"/>
              </w:rPr>
              <w:t>②处方调配：配方员分别扫描处方单条码和员工工号，并按处方饮片逐一调配、称量、留样。代配处方的饮片分盘放置。</w:t>
            </w:r>
          </w:p>
          <w:p w14:paraId="31225ECB">
            <w:pPr>
              <w:pStyle w:val="2"/>
              <w:spacing w:line="360" w:lineRule="auto"/>
              <w:ind w:firstLine="420" w:firstLineChars="200"/>
              <w:jc w:val="both"/>
            </w:pPr>
            <w:r>
              <w:rPr>
                <w:rFonts w:hint="eastAsia"/>
              </w:rPr>
              <w:t>③调配复合：复核员根据处方单对留样进行核对，确保饮片无遗漏、品种无差错后扫描处方单和工号，并对留样拍照上传。</w:t>
            </w:r>
          </w:p>
          <w:p w14:paraId="6D231860">
            <w:pPr>
              <w:pStyle w:val="2"/>
              <w:spacing w:line="360" w:lineRule="auto"/>
              <w:ind w:firstLine="420" w:firstLineChars="200"/>
              <w:jc w:val="both"/>
            </w:pPr>
            <w:r>
              <w:rPr>
                <w:rFonts w:hint="eastAsia"/>
              </w:rPr>
              <w:t>④代配分装：调配员将代配饮片按照处方剂数进行均分，按照医院要求进行包装。</w:t>
            </w:r>
          </w:p>
          <w:p w14:paraId="2280E3E8">
            <w:pPr>
              <w:pStyle w:val="2"/>
              <w:spacing w:line="360" w:lineRule="auto"/>
              <w:ind w:firstLine="420" w:firstLineChars="200"/>
              <w:jc w:val="both"/>
            </w:pPr>
            <w:r>
              <w:rPr>
                <w:rFonts w:hint="eastAsia"/>
              </w:rPr>
              <w:t>⑤调配流转：将代煎饮片和处方转入泡药区，将另包饮片转入灌装区，将包装好的代配饮片和处方转入包装区打印标签。</w:t>
            </w:r>
          </w:p>
          <w:p w14:paraId="1A36D67E">
            <w:pPr>
              <w:pStyle w:val="2"/>
              <w:spacing w:line="360" w:lineRule="auto"/>
              <w:ind w:firstLine="420" w:firstLineChars="200"/>
              <w:jc w:val="both"/>
            </w:pPr>
            <w:r>
              <w:rPr>
                <w:rFonts w:hint="eastAsia"/>
              </w:rPr>
              <w:t>（3）浸泡</w:t>
            </w:r>
          </w:p>
          <w:p w14:paraId="44CF4E14">
            <w:pPr>
              <w:pStyle w:val="2"/>
              <w:spacing w:line="360" w:lineRule="auto"/>
              <w:ind w:firstLine="420" w:firstLineChars="200"/>
              <w:jc w:val="both"/>
            </w:pPr>
            <w:r>
              <w:rPr>
                <w:rFonts w:hint="eastAsia"/>
              </w:rPr>
              <w:t>项目代煎的中药饮片需要使用浸泡池进行预先浸泡，中药饮片无需清洗，中药浸泡后和浸泡用水一起排进煎药机内煎煮。泡药员根据处方剂数和饮片特性进行加水浸泡，浸泡开始和结束分别扫处方条码，浸泡时间不少于30分钟。浸泡池使用后需要进行清洗，该过程产生清洗废水。</w:t>
            </w:r>
          </w:p>
          <w:p w14:paraId="5FF338D8">
            <w:pPr>
              <w:pStyle w:val="2"/>
              <w:spacing w:line="360" w:lineRule="auto"/>
              <w:ind w:firstLine="420" w:firstLineChars="200"/>
              <w:jc w:val="both"/>
            </w:pPr>
            <w:r>
              <w:rPr>
                <w:rFonts w:hint="eastAsia"/>
              </w:rPr>
              <w:t>（4）煎煮</w:t>
            </w:r>
          </w:p>
          <w:p w14:paraId="15C48366">
            <w:pPr>
              <w:pStyle w:val="2"/>
              <w:spacing w:line="360" w:lineRule="auto"/>
              <w:ind w:firstLine="420" w:firstLineChars="200"/>
              <w:jc w:val="both"/>
              <w:rPr>
                <w:color w:val="FF0000"/>
              </w:rPr>
            </w:pPr>
            <w:r>
              <w:rPr>
                <w:rFonts w:hint="eastAsia"/>
              </w:rPr>
              <w:t>煎药员和灌装员确保煎药系统及辅助设备运转正常，煎药机和灌装机清洁、干净。煎药员将浸泡后的药袋和泡药水加入煎药机，如有需要补充适量水，按照中药处方剂量，使用合适型号的煎药机中进行煎煮，代煎使用20L、40L 的煎药机进行煎煮，门诊代煎用的煎药机为密封的加压加热设备，煎煮过程中无需人工开盖操作，全过程密封煎煮，因此仅在清理煎药机时散发少量中药材气味。项目使用的煎药机在每煎煮完一次中药后需要进行设备清洗，设备清洗过程会产生清洗废水，煎煮后同时产生药渣和废药渣袋。</w:t>
            </w:r>
          </w:p>
          <w:p w14:paraId="61723DDC">
            <w:pPr>
              <w:pStyle w:val="2"/>
              <w:spacing w:line="360" w:lineRule="auto"/>
              <w:ind w:firstLine="420" w:firstLineChars="200"/>
              <w:jc w:val="both"/>
            </w:pPr>
            <w:r>
              <w:rPr>
                <w:rFonts w:hint="eastAsia"/>
              </w:rPr>
              <w:t>（5）灌装</w:t>
            </w:r>
          </w:p>
          <w:p w14:paraId="4B88CA68">
            <w:pPr>
              <w:pStyle w:val="2"/>
              <w:spacing w:line="360" w:lineRule="auto"/>
              <w:ind w:firstLine="420" w:firstLineChars="200"/>
              <w:jc w:val="both"/>
            </w:pPr>
            <w:r>
              <w:rPr>
                <w:rFonts w:hint="eastAsia"/>
              </w:rPr>
              <w:t>灌装员在灌装前检查药液量是否符合处方剂数要求，药液颜色是否正常，确认无误后进行灌装，灌装员将打印出的标签粘贴在药液包合适位置，将包装好的药液转移到外包装间指定位置。中药汤剂包装机采用无毒、无菌、食品级的PE 复合膜材料包装袋进行自动包装。包装机具有按药液总量自动计算分装的功能，包装机头自动完成PE 膜的封口和切断等一系列操作，该过程会产生少量有机废气、清洗废水和包装垃圾。</w:t>
            </w:r>
          </w:p>
          <w:p w14:paraId="245EFEB6">
            <w:pPr>
              <w:pStyle w:val="2"/>
              <w:spacing w:line="360" w:lineRule="auto"/>
              <w:ind w:firstLine="420" w:firstLineChars="200"/>
              <w:jc w:val="both"/>
            </w:pPr>
            <w:r>
              <w:rPr>
                <w:rFonts w:hint="eastAsia"/>
              </w:rPr>
              <w:t>（6）包装</w:t>
            </w:r>
          </w:p>
          <w:p w14:paraId="142DE3AA">
            <w:pPr>
              <w:pStyle w:val="2"/>
              <w:spacing w:line="360" w:lineRule="auto"/>
              <w:ind w:firstLine="420" w:firstLineChars="200"/>
              <w:jc w:val="both"/>
            </w:pPr>
            <w:r>
              <w:rPr>
                <w:rFonts w:hint="eastAsia"/>
              </w:rPr>
              <w:t>包装员按照医院要求进行包装，包装后的药液安排配送。</w:t>
            </w:r>
          </w:p>
          <w:p w14:paraId="0945DC4C">
            <w:pPr>
              <w:pStyle w:val="2"/>
              <w:spacing w:line="360" w:lineRule="auto"/>
              <w:ind w:firstLine="422" w:firstLineChars="200"/>
              <w:jc w:val="both"/>
              <w:rPr>
                <w:b/>
                <w:bCs/>
              </w:rPr>
            </w:pPr>
            <w:r>
              <w:rPr>
                <w:rFonts w:hint="eastAsia"/>
                <w:b/>
                <w:bCs/>
              </w:rPr>
              <w:t>2、膏方制作工艺流程：</w:t>
            </w:r>
          </w:p>
          <w:p w14:paraId="48CCBC47">
            <w:pPr>
              <w:pStyle w:val="2"/>
            </w:pPr>
            <w:r>
              <w:rPr>
                <w:rFonts w:hint="eastAsia"/>
              </w:rPr>
              <w:object>
                <v:shape id="_x0000_i1027" o:spt="75" type="#_x0000_t75" style="height:437pt;width:384.95pt;" o:ole="t" filled="f" o:preferrelative="t" stroked="f" coordsize="21600,21600">
                  <v:path/>
                  <v:fill on="f" focussize="0,0"/>
                  <v:stroke on="f" joinstyle="miter"/>
                  <v:imagedata r:id="rId16" o:title=""/>
                  <o:lock v:ext="edit" aspectratio="t"/>
                  <w10:wrap type="none"/>
                  <w10:anchorlock/>
                </v:shape>
                <o:OLEObject Type="Embed" ProgID="Visio.Drawing.11" ShapeID="_x0000_i1027" DrawAspect="Content" ObjectID="_1468075727" r:id="rId15">
                  <o:LockedField>false</o:LockedField>
                </o:OLEObject>
              </w:object>
            </w:r>
          </w:p>
          <w:p w14:paraId="715FBF37">
            <w:pPr>
              <w:autoSpaceDE w:val="0"/>
              <w:autoSpaceDN w:val="0"/>
              <w:adjustRightInd w:val="0"/>
              <w:snapToGrid w:val="0"/>
              <w:jc w:val="center"/>
              <w:rPr>
                <w:b/>
              </w:rPr>
            </w:pPr>
            <w:r>
              <w:rPr>
                <w:rFonts w:hint="eastAsia"/>
                <w:b/>
              </w:rPr>
              <w:t>图2-4</w:t>
            </w:r>
            <w:r>
              <w:rPr>
                <w:b/>
              </w:rPr>
              <w:t xml:space="preserve">  </w:t>
            </w:r>
            <w:r>
              <w:rPr>
                <w:rFonts w:hint="eastAsia"/>
                <w:b/>
              </w:rPr>
              <w:t>膏方制作工艺流程及产污环节图</w:t>
            </w:r>
          </w:p>
          <w:p w14:paraId="01378F81">
            <w:pPr>
              <w:widowControl/>
              <w:spacing w:line="360" w:lineRule="auto"/>
              <w:ind w:firstLine="422" w:firstLineChars="200"/>
              <w:rPr>
                <w:b/>
                <w:bCs/>
                <w:lang w:bidi="ar"/>
              </w:rPr>
            </w:pPr>
            <w:r>
              <w:rPr>
                <w:rFonts w:hint="eastAsia"/>
                <w:b/>
                <w:bCs/>
                <w:lang w:bidi="ar"/>
              </w:rPr>
              <w:t>膏方制作工艺流程简述：</w:t>
            </w:r>
          </w:p>
          <w:p w14:paraId="60AC0F73">
            <w:pPr>
              <w:pStyle w:val="2"/>
              <w:spacing w:line="360" w:lineRule="auto"/>
              <w:ind w:firstLine="420" w:firstLineChars="200"/>
              <w:jc w:val="both"/>
            </w:pPr>
            <w:r>
              <w:rPr>
                <w:rFonts w:hint="eastAsia"/>
              </w:rPr>
              <w:t>项目膏方制作工艺流程（1）~（4）与中药代煎工艺流程一致，此处不再赘述。</w:t>
            </w:r>
          </w:p>
          <w:p w14:paraId="43D99F05">
            <w:pPr>
              <w:pStyle w:val="2"/>
              <w:spacing w:line="360" w:lineRule="auto"/>
              <w:ind w:firstLine="420" w:firstLineChars="200"/>
              <w:jc w:val="both"/>
            </w:pPr>
            <w:r>
              <w:rPr>
                <w:rFonts w:hint="eastAsia"/>
              </w:rPr>
              <w:t>（5）过滤</w:t>
            </w:r>
          </w:p>
          <w:p w14:paraId="0EB66068">
            <w:pPr>
              <w:pStyle w:val="2"/>
              <w:spacing w:line="360" w:lineRule="auto"/>
              <w:ind w:firstLine="420" w:firstLineChars="200"/>
              <w:jc w:val="both"/>
            </w:pPr>
            <w:r>
              <w:rPr>
                <w:rFonts w:hint="eastAsia"/>
              </w:rPr>
              <w:t>取经沉淀后的上清液，用80-100目的筛网过滤。过滤过程会产生中药材气味和药渣。</w:t>
            </w:r>
          </w:p>
          <w:p w14:paraId="059D243E">
            <w:pPr>
              <w:pStyle w:val="2"/>
              <w:spacing w:line="360" w:lineRule="auto"/>
              <w:ind w:firstLine="420" w:firstLineChars="200"/>
              <w:jc w:val="both"/>
            </w:pPr>
            <w:r>
              <w:rPr>
                <w:rFonts w:hint="eastAsia"/>
              </w:rPr>
              <w:t>（6）浓缩</w:t>
            </w:r>
          </w:p>
          <w:p w14:paraId="5D50E9C4">
            <w:pPr>
              <w:pStyle w:val="2"/>
              <w:spacing w:line="360" w:lineRule="auto"/>
              <w:ind w:firstLine="420" w:firstLineChars="200"/>
              <w:jc w:val="both"/>
            </w:pPr>
            <w:r>
              <w:rPr>
                <w:rFonts w:hint="eastAsia"/>
              </w:rPr>
              <w:t>过滤后的药液倒入浓缩机或夹层锅中进一步蒸发水分，从而达到浓缩效果，浓缩过程中控制浓缩温度、压力等，防止药液起泡、溢出等，浓缩至一定比重。</w:t>
            </w:r>
          </w:p>
          <w:p w14:paraId="02A678E8">
            <w:pPr>
              <w:pStyle w:val="2"/>
              <w:spacing w:line="360" w:lineRule="auto"/>
              <w:ind w:firstLine="420" w:firstLineChars="200"/>
              <w:jc w:val="both"/>
            </w:pPr>
            <w:r>
              <w:rPr>
                <w:rFonts w:hint="eastAsia"/>
              </w:rPr>
              <w:t>由于浓缩过程为非密闭过程，因此会产生中药材气味。夹层锅配套蒸汽发生器使用，蒸汽发生器使用期间会产生排水。没完成一剂膏方后需要对浓缩机或夹层锅进行一次清洗，该过程会产生清洗废水。</w:t>
            </w:r>
          </w:p>
          <w:p w14:paraId="7B7FF504">
            <w:pPr>
              <w:pStyle w:val="2"/>
              <w:spacing w:line="360" w:lineRule="auto"/>
              <w:ind w:firstLine="420" w:firstLineChars="200"/>
              <w:jc w:val="both"/>
            </w:pPr>
            <w:r>
              <w:rPr>
                <w:rFonts w:hint="eastAsia"/>
              </w:rPr>
              <w:t>（7）收膏：</w:t>
            </w:r>
          </w:p>
          <w:p w14:paraId="76E79C73">
            <w:pPr>
              <w:pStyle w:val="2"/>
              <w:spacing w:line="360" w:lineRule="auto"/>
              <w:ind w:firstLine="420" w:firstLineChars="200"/>
              <w:jc w:val="both"/>
            </w:pPr>
            <w:r>
              <w:rPr>
                <w:rFonts w:hint="eastAsia"/>
              </w:rPr>
              <w:t>根据处方要求，适时将贵、细饮片药汁（或粉末）和辅料加入浓缩药液中，浓缩成合适比重的膏滋。</w:t>
            </w:r>
          </w:p>
          <w:p w14:paraId="2E69EDAD">
            <w:pPr>
              <w:pStyle w:val="2"/>
              <w:spacing w:line="360" w:lineRule="auto"/>
              <w:ind w:firstLine="420" w:firstLineChars="200"/>
              <w:jc w:val="both"/>
            </w:pPr>
            <w:r>
              <w:rPr>
                <w:rFonts w:hint="eastAsia"/>
              </w:rPr>
              <w:t>（8）分装：</w:t>
            </w:r>
          </w:p>
          <w:p w14:paraId="30CFD01A">
            <w:pPr>
              <w:pStyle w:val="2"/>
              <w:spacing w:line="360" w:lineRule="auto"/>
              <w:ind w:firstLine="420" w:firstLineChars="200"/>
              <w:jc w:val="both"/>
            </w:pPr>
            <w:r>
              <w:rPr>
                <w:rFonts w:hint="eastAsia"/>
              </w:rPr>
              <w:t>趁热将膏滋倒入洁净包装容器/分装机内进行分装，或倒入洁净的内表面涂有食用油的不锈钢托盘内冷凉后进行切片分装，分装后的膏滋应粘贴相应的标识。每完成一剂膏方，都需要对膏方分装机进行一次清洗，该过程会产生清洗废水</w:t>
            </w:r>
          </w:p>
          <w:p w14:paraId="2F6F4F83">
            <w:pPr>
              <w:pStyle w:val="2"/>
              <w:spacing w:line="360" w:lineRule="auto"/>
              <w:ind w:firstLine="420" w:firstLineChars="200"/>
              <w:jc w:val="both"/>
            </w:pPr>
            <w:r>
              <w:rPr>
                <w:rFonts w:hint="eastAsia"/>
              </w:rPr>
              <w:t>（9）凉膏</w:t>
            </w:r>
          </w:p>
          <w:p w14:paraId="5C4A14CD">
            <w:pPr>
              <w:pStyle w:val="2"/>
              <w:spacing w:line="360" w:lineRule="auto"/>
              <w:ind w:firstLine="420" w:firstLineChars="200"/>
              <w:jc w:val="both"/>
            </w:pPr>
            <w:r>
              <w:rPr>
                <w:rFonts w:hint="eastAsia"/>
              </w:rPr>
              <w:t>已分装的膏滋成品应放在凉膏间进行冷却。</w:t>
            </w:r>
          </w:p>
          <w:p w14:paraId="22D5872B">
            <w:pPr>
              <w:pStyle w:val="2"/>
              <w:spacing w:line="360" w:lineRule="auto"/>
              <w:ind w:firstLine="422" w:firstLineChars="200"/>
              <w:jc w:val="both"/>
              <w:rPr>
                <w:b/>
                <w:bCs/>
              </w:rPr>
            </w:pPr>
            <w:r>
              <w:rPr>
                <w:rFonts w:hint="eastAsia"/>
                <w:b/>
                <w:bCs/>
              </w:rPr>
              <w:t>3、丸剂制作工艺流程：</w:t>
            </w:r>
          </w:p>
          <w:p w14:paraId="74AF4AEB">
            <w:pPr>
              <w:pStyle w:val="2"/>
            </w:pPr>
            <w:r>
              <w:rPr>
                <w:rFonts w:hint="eastAsia"/>
              </w:rPr>
              <w:object>
                <v:shape id="_x0000_i1028" o:spt="75" type="#_x0000_t75" style="height:349.2pt;width:386.65pt;" o:ole="t" filled="f" o:preferrelative="t" stroked="f" coordsize="21600,21600">
                  <v:path/>
                  <v:fill on="f" focussize="0,0"/>
                  <v:stroke on="f" joinstyle="miter"/>
                  <v:imagedata r:id="rId18" o:title=""/>
                  <o:lock v:ext="edit" aspectratio="t"/>
                  <w10:wrap type="none"/>
                  <w10:anchorlock/>
                </v:shape>
                <o:OLEObject Type="Embed" ProgID="Visio.Drawing.11" ShapeID="_x0000_i1028" DrawAspect="Content" ObjectID="_1468075728" r:id="rId17">
                  <o:LockedField>false</o:LockedField>
                </o:OLEObject>
              </w:object>
            </w:r>
          </w:p>
          <w:p w14:paraId="03DA1276">
            <w:pPr>
              <w:autoSpaceDE w:val="0"/>
              <w:autoSpaceDN w:val="0"/>
              <w:adjustRightInd w:val="0"/>
              <w:snapToGrid w:val="0"/>
              <w:jc w:val="center"/>
              <w:rPr>
                <w:b/>
              </w:rPr>
            </w:pPr>
            <w:r>
              <w:rPr>
                <w:rFonts w:hint="eastAsia"/>
                <w:b/>
              </w:rPr>
              <w:t>图2-4</w:t>
            </w:r>
            <w:r>
              <w:rPr>
                <w:b/>
              </w:rPr>
              <w:t xml:space="preserve">  </w:t>
            </w:r>
            <w:r>
              <w:rPr>
                <w:rFonts w:hint="eastAsia"/>
                <w:b/>
              </w:rPr>
              <w:t>丸剂制作工艺流程及产污环节图</w:t>
            </w:r>
          </w:p>
          <w:p w14:paraId="6002DA5C">
            <w:pPr>
              <w:widowControl/>
              <w:spacing w:line="360" w:lineRule="auto"/>
              <w:ind w:firstLine="422" w:firstLineChars="200"/>
              <w:rPr>
                <w:b/>
                <w:bCs/>
                <w:lang w:bidi="ar"/>
              </w:rPr>
            </w:pPr>
            <w:r>
              <w:rPr>
                <w:rFonts w:hint="eastAsia"/>
                <w:b/>
                <w:bCs/>
                <w:lang w:bidi="ar"/>
              </w:rPr>
              <w:t>丸剂制作工艺流程简述：</w:t>
            </w:r>
          </w:p>
          <w:p w14:paraId="687FDCAD">
            <w:pPr>
              <w:pStyle w:val="2"/>
              <w:spacing w:line="360" w:lineRule="auto"/>
              <w:ind w:firstLine="420" w:firstLineChars="200"/>
              <w:jc w:val="both"/>
            </w:pPr>
            <w:r>
              <w:rPr>
                <w:rFonts w:hint="eastAsia"/>
              </w:rPr>
              <w:t>项目丸剂制作工艺流程（1）与中药代煎工艺流程一致，此处不再赘述。</w:t>
            </w:r>
          </w:p>
          <w:p w14:paraId="0C41D036">
            <w:pPr>
              <w:pStyle w:val="2"/>
              <w:spacing w:line="360" w:lineRule="auto"/>
              <w:ind w:firstLine="420" w:firstLineChars="200"/>
              <w:jc w:val="both"/>
            </w:pPr>
            <w:r>
              <w:rPr>
                <w:rFonts w:hint="eastAsia"/>
              </w:rPr>
              <w:t>（2）粉碎</w:t>
            </w:r>
          </w:p>
          <w:p w14:paraId="53DD68A7">
            <w:pPr>
              <w:pStyle w:val="2"/>
              <w:spacing w:line="360" w:lineRule="auto"/>
              <w:ind w:firstLine="420" w:firstLineChars="200"/>
              <w:jc w:val="both"/>
            </w:pPr>
            <w:r>
              <w:rPr>
                <w:rFonts w:hint="eastAsia"/>
              </w:rPr>
              <w:t>将需粉碎的饮片混合均匀，置于粉碎机中粉碎。将需提取的饮片进行煎煮过滤并浓缩成清膏。中药饮片通过粉碎机将中药饮片粉碎成细粉，粉碎机为密闭设备，仅在开盖清理时产生粉尘废气。粉碎过程还会产生噪声。</w:t>
            </w:r>
          </w:p>
          <w:p w14:paraId="7004C1FB">
            <w:pPr>
              <w:pStyle w:val="2"/>
              <w:spacing w:line="360" w:lineRule="auto"/>
              <w:ind w:firstLine="420" w:firstLineChars="200"/>
              <w:jc w:val="both"/>
            </w:pPr>
            <w:r>
              <w:rPr>
                <w:rFonts w:hint="eastAsia"/>
              </w:rPr>
              <w:t>（3）制软材</w:t>
            </w:r>
          </w:p>
          <w:p w14:paraId="0192A8EF">
            <w:pPr>
              <w:pStyle w:val="2"/>
              <w:spacing w:line="360" w:lineRule="auto"/>
              <w:ind w:firstLine="420" w:firstLineChars="200"/>
              <w:jc w:val="both"/>
            </w:pPr>
            <w:r>
              <w:rPr>
                <w:rFonts w:hint="eastAsia"/>
              </w:rPr>
              <w:t>混合药粉及提取液，加适量淀粉或炼蜜等，充分混匀， 制成软硬适宜、可塑性好的丸块。</w:t>
            </w:r>
          </w:p>
          <w:p w14:paraId="726777EB">
            <w:pPr>
              <w:pStyle w:val="2"/>
              <w:spacing w:line="360" w:lineRule="auto"/>
              <w:ind w:firstLine="420" w:firstLineChars="200"/>
              <w:jc w:val="both"/>
            </w:pPr>
            <w:r>
              <w:rPr>
                <w:rFonts w:hint="eastAsia"/>
              </w:rPr>
              <w:t>（4）制丸：</w:t>
            </w:r>
          </w:p>
          <w:p w14:paraId="06705AD3">
            <w:pPr>
              <w:pStyle w:val="2"/>
              <w:spacing w:line="360" w:lineRule="auto"/>
              <w:ind w:firstLine="420" w:firstLineChars="200"/>
              <w:jc w:val="both"/>
            </w:pPr>
            <w:r>
              <w:rPr>
                <w:rFonts w:hint="eastAsia"/>
              </w:rPr>
              <w:t>将制好的丸块放入制丸机，制成大小适宜的丸粒。</w:t>
            </w:r>
          </w:p>
          <w:p w14:paraId="1F59179D">
            <w:pPr>
              <w:pStyle w:val="2"/>
              <w:spacing w:line="360" w:lineRule="auto"/>
              <w:ind w:firstLine="420" w:firstLineChars="200"/>
              <w:jc w:val="both"/>
            </w:pPr>
            <w:r>
              <w:rPr>
                <w:rFonts w:hint="eastAsia"/>
              </w:rPr>
              <w:t>（5）丸剂盖面：</w:t>
            </w:r>
          </w:p>
          <w:p w14:paraId="37EB9609">
            <w:pPr>
              <w:pStyle w:val="2"/>
              <w:spacing w:line="360" w:lineRule="auto"/>
              <w:ind w:firstLine="420" w:firstLineChars="200"/>
              <w:jc w:val="both"/>
            </w:pPr>
            <w:r>
              <w:rPr>
                <w:rFonts w:hint="eastAsia"/>
              </w:rPr>
              <w:t>将制好的丸粒投入糖衣锅，匀速转动设备，并循环三次加入药液及药粉，最后吹风干燥。</w:t>
            </w:r>
          </w:p>
          <w:p w14:paraId="4DA901FA">
            <w:pPr>
              <w:pStyle w:val="2"/>
              <w:spacing w:line="360" w:lineRule="auto"/>
              <w:ind w:firstLine="420" w:firstLineChars="200"/>
              <w:jc w:val="both"/>
            </w:pPr>
            <w:r>
              <w:rPr>
                <w:rFonts w:hint="eastAsia"/>
              </w:rPr>
              <w:t>（6）烘干</w:t>
            </w:r>
          </w:p>
          <w:p w14:paraId="710CD176">
            <w:pPr>
              <w:pStyle w:val="2"/>
              <w:spacing w:line="360" w:lineRule="auto"/>
              <w:ind w:firstLine="420" w:firstLineChars="200"/>
              <w:jc w:val="both"/>
            </w:pPr>
            <w:r>
              <w:rPr>
                <w:rFonts w:hint="eastAsia"/>
              </w:rPr>
              <w:t>将盖面完成的丸粒放入温度设置在80℃以下的烘箱，干燥2小时，定时翻动，烘干后装瓶。</w:t>
            </w:r>
          </w:p>
          <w:p w14:paraId="3F1CF9A4">
            <w:pPr>
              <w:pStyle w:val="2"/>
              <w:spacing w:line="360" w:lineRule="auto"/>
              <w:ind w:firstLine="420" w:firstLineChars="200"/>
              <w:jc w:val="both"/>
            </w:pPr>
            <w:r>
              <w:rPr>
                <w:rFonts w:hint="eastAsia"/>
              </w:rPr>
              <w:t>（7）包装</w:t>
            </w:r>
          </w:p>
          <w:p w14:paraId="2C21A990">
            <w:pPr>
              <w:pStyle w:val="2"/>
              <w:spacing w:line="360" w:lineRule="auto"/>
              <w:ind w:firstLine="420" w:firstLineChars="200"/>
              <w:jc w:val="both"/>
            </w:pPr>
            <w:r>
              <w:rPr>
                <w:rFonts w:hint="eastAsia"/>
              </w:rPr>
              <w:t>干燥后的药丸通过人工进行称量，并分装到瓶中，分装后安排配送。</w:t>
            </w:r>
          </w:p>
          <w:p w14:paraId="7E0AB06A">
            <w:pPr>
              <w:pStyle w:val="2"/>
              <w:spacing w:line="360" w:lineRule="auto"/>
              <w:ind w:firstLine="422" w:firstLineChars="200"/>
              <w:jc w:val="both"/>
              <w:rPr>
                <w:b/>
                <w:bCs/>
              </w:rPr>
            </w:pPr>
            <w:r>
              <w:rPr>
                <w:rFonts w:hint="eastAsia"/>
                <w:b/>
                <w:bCs/>
              </w:rPr>
              <w:t>3、营运期主要污染物及产污工序</w:t>
            </w:r>
          </w:p>
          <w:p w14:paraId="7B1ED4F4">
            <w:pPr>
              <w:pStyle w:val="2"/>
              <w:spacing w:line="360" w:lineRule="auto"/>
              <w:ind w:firstLine="420" w:firstLineChars="200"/>
              <w:jc w:val="both"/>
            </w:pPr>
            <w:r>
              <w:rPr>
                <w:rFonts w:hint="eastAsia"/>
              </w:rPr>
              <w:t>根据工艺流程可知，本项目在运营期产生的主要污染物主要有：</w:t>
            </w:r>
          </w:p>
          <w:p w14:paraId="68DC9DFB">
            <w:pPr>
              <w:pStyle w:val="2"/>
              <w:spacing w:line="360" w:lineRule="auto"/>
              <w:ind w:firstLine="420" w:firstLineChars="200"/>
              <w:jc w:val="both"/>
            </w:pPr>
            <w:r>
              <w:rPr>
                <w:rFonts w:hint="eastAsia"/>
              </w:rPr>
              <w:t>（1）废气：本项目产生的废气主要为中药煎煮过程中产生的中药材气味、药材粉碎产生的粉尘废气、包装袋封口时产生的少量有机废气和废水处理废气。</w:t>
            </w:r>
          </w:p>
          <w:p w14:paraId="72A5A46F">
            <w:pPr>
              <w:pStyle w:val="2"/>
              <w:spacing w:line="360" w:lineRule="auto"/>
              <w:ind w:firstLine="420" w:firstLineChars="200"/>
              <w:jc w:val="both"/>
            </w:pPr>
            <w:r>
              <w:rPr>
                <w:rFonts w:hint="eastAsia"/>
              </w:rPr>
              <w:t>（2）废水：本项目废水主要员工生活污水、设备清洗废水、蒸汽发生器排水、滤水系统浓水地面清洁废水等。</w:t>
            </w:r>
          </w:p>
          <w:p w14:paraId="57A238FF">
            <w:pPr>
              <w:pStyle w:val="2"/>
              <w:spacing w:line="360" w:lineRule="auto"/>
              <w:ind w:firstLine="420" w:firstLineChars="200"/>
              <w:jc w:val="both"/>
            </w:pPr>
            <w:r>
              <w:rPr>
                <w:rFonts w:hint="eastAsia"/>
              </w:rPr>
              <w:t>（3）噪声：本项目运营期噪声主要来自生产设备运行时产生的设备噪声。</w:t>
            </w:r>
          </w:p>
          <w:p w14:paraId="05718673">
            <w:pPr>
              <w:pStyle w:val="2"/>
              <w:spacing w:line="360" w:lineRule="auto"/>
              <w:ind w:firstLine="420" w:firstLineChars="200"/>
              <w:jc w:val="both"/>
            </w:pPr>
            <w:r>
              <w:rPr>
                <w:rFonts w:hint="eastAsia"/>
              </w:rPr>
              <w:t>（4）固废：本项目运营期固体废物包括生产性固废和生活垃圾，生产性固废主要为药渣、废药渣袋、包装垃圾、废滤水材料、生产废水处理设施污泥、收集的粉尘、废活性炭等。</w:t>
            </w:r>
          </w:p>
          <w:p w14:paraId="6F3FAE42">
            <w:pPr>
              <w:autoSpaceDE w:val="0"/>
              <w:autoSpaceDN w:val="0"/>
              <w:adjustRightInd w:val="0"/>
              <w:snapToGrid w:val="0"/>
              <w:jc w:val="center"/>
              <w:rPr>
                <w:b/>
              </w:rPr>
            </w:pPr>
            <w:r>
              <w:rPr>
                <w:rFonts w:hint="eastAsia"/>
                <w:b/>
              </w:rPr>
              <w:t>表2-7  项目主要产污情况表</w:t>
            </w:r>
          </w:p>
          <w:tbl>
            <w:tblPr>
              <w:tblStyle w:val="18"/>
              <w:tblW w:w="498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716"/>
              <w:gridCol w:w="1747"/>
              <w:gridCol w:w="3264"/>
              <w:gridCol w:w="1642"/>
            </w:tblGrid>
            <w:tr w14:paraId="64E6B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shd w:val="clear" w:color="auto" w:fill="auto"/>
                  <w:vAlign w:val="center"/>
                </w:tcPr>
                <w:p w14:paraId="790D1AED">
                  <w:pPr>
                    <w:jc w:val="center"/>
                    <w:rPr>
                      <w:b/>
                      <w:bCs/>
                    </w:rPr>
                  </w:pPr>
                  <w:r>
                    <w:rPr>
                      <w:rFonts w:hint="eastAsia"/>
                      <w:b/>
                      <w:bCs/>
                    </w:rPr>
                    <w:t>序号</w:t>
                  </w:r>
                </w:p>
              </w:tc>
              <w:tc>
                <w:tcPr>
                  <w:tcW w:w="452" w:type="pct"/>
                  <w:shd w:val="clear" w:color="auto" w:fill="auto"/>
                  <w:vAlign w:val="center"/>
                </w:tcPr>
                <w:p w14:paraId="06CEE72B">
                  <w:pPr>
                    <w:jc w:val="center"/>
                    <w:rPr>
                      <w:b/>
                      <w:bCs/>
                    </w:rPr>
                  </w:pPr>
                  <w:r>
                    <w:rPr>
                      <w:rFonts w:hint="eastAsia"/>
                      <w:b/>
                      <w:bCs/>
                    </w:rPr>
                    <w:t>类别</w:t>
                  </w:r>
                </w:p>
              </w:tc>
              <w:tc>
                <w:tcPr>
                  <w:tcW w:w="1103" w:type="pct"/>
                  <w:vAlign w:val="center"/>
                </w:tcPr>
                <w:p w14:paraId="4A8713D8">
                  <w:pPr>
                    <w:jc w:val="center"/>
                    <w:rPr>
                      <w:b/>
                      <w:bCs/>
                    </w:rPr>
                  </w:pPr>
                  <w:r>
                    <w:rPr>
                      <w:rFonts w:hint="eastAsia"/>
                      <w:b/>
                      <w:bCs/>
                    </w:rPr>
                    <w:t>名称</w:t>
                  </w:r>
                </w:p>
              </w:tc>
              <w:tc>
                <w:tcPr>
                  <w:tcW w:w="2061" w:type="pct"/>
                  <w:shd w:val="clear" w:color="auto" w:fill="auto"/>
                  <w:vAlign w:val="center"/>
                </w:tcPr>
                <w:p w14:paraId="3B111A4A">
                  <w:pPr>
                    <w:jc w:val="center"/>
                    <w:rPr>
                      <w:b/>
                      <w:bCs/>
                    </w:rPr>
                  </w:pPr>
                  <w:r>
                    <w:rPr>
                      <w:rFonts w:hint="eastAsia"/>
                      <w:b/>
                      <w:bCs/>
                    </w:rPr>
                    <w:t>产生工序</w:t>
                  </w:r>
                </w:p>
              </w:tc>
              <w:tc>
                <w:tcPr>
                  <w:tcW w:w="1037" w:type="pct"/>
                  <w:shd w:val="clear" w:color="auto" w:fill="auto"/>
                  <w:vAlign w:val="center"/>
                </w:tcPr>
                <w:p w14:paraId="1A2A540A">
                  <w:pPr>
                    <w:jc w:val="center"/>
                    <w:rPr>
                      <w:b/>
                      <w:bCs/>
                    </w:rPr>
                  </w:pPr>
                  <w:r>
                    <w:rPr>
                      <w:rFonts w:hint="eastAsia"/>
                      <w:b/>
                      <w:bCs/>
                    </w:rPr>
                    <w:t>主要污染物</w:t>
                  </w:r>
                </w:p>
              </w:tc>
            </w:tr>
            <w:tr w14:paraId="57D20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47" w:type="pct"/>
                  <w:vMerge w:val="restart"/>
                  <w:shd w:val="clear" w:color="auto" w:fill="auto"/>
                  <w:vAlign w:val="center"/>
                </w:tcPr>
                <w:p w14:paraId="031C9290">
                  <w:pPr>
                    <w:jc w:val="center"/>
                  </w:pPr>
                  <w:r>
                    <w:rPr>
                      <w:rFonts w:hint="eastAsia"/>
                    </w:rPr>
                    <w:t>1</w:t>
                  </w:r>
                </w:p>
              </w:tc>
              <w:tc>
                <w:tcPr>
                  <w:tcW w:w="452" w:type="pct"/>
                  <w:vMerge w:val="restart"/>
                  <w:shd w:val="clear" w:color="auto" w:fill="auto"/>
                  <w:vAlign w:val="center"/>
                </w:tcPr>
                <w:p w14:paraId="7A2F4978">
                  <w:pPr>
                    <w:jc w:val="center"/>
                  </w:pPr>
                  <w:r>
                    <w:rPr>
                      <w:rFonts w:hint="eastAsia"/>
                    </w:rPr>
                    <w:t>废水</w:t>
                  </w:r>
                </w:p>
              </w:tc>
              <w:tc>
                <w:tcPr>
                  <w:tcW w:w="1103" w:type="pct"/>
                  <w:vAlign w:val="center"/>
                </w:tcPr>
                <w:p w14:paraId="0322726B">
                  <w:pPr>
                    <w:jc w:val="center"/>
                  </w:pPr>
                  <w:r>
                    <w:rPr>
                      <w:rFonts w:hint="eastAsia"/>
                    </w:rPr>
                    <w:t>生活污水</w:t>
                  </w:r>
                </w:p>
              </w:tc>
              <w:tc>
                <w:tcPr>
                  <w:tcW w:w="2061" w:type="pct"/>
                  <w:shd w:val="clear" w:color="auto" w:fill="auto"/>
                  <w:vAlign w:val="center"/>
                </w:tcPr>
                <w:p w14:paraId="5B8C139D">
                  <w:pPr>
                    <w:jc w:val="center"/>
                  </w:pPr>
                  <w:r>
                    <w:rPr>
                      <w:rFonts w:hint="eastAsia"/>
                    </w:rPr>
                    <w:t>员工办公</w:t>
                  </w:r>
                </w:p>
              </w:tc>
              <w:tc>
                <w:tcPr>
                  <w:tcW w:w="1037" w:type="pct"/>
                  <w:vMerge w:val="restart"/>
                  <w:shd w:val="clear" w:color="auto" w:fill="auto"/>
                  <w:vAlign w:val="center"/>
                </w:tcPr>
                <w:p w14:paraId="27D95657">
                  <w:pPr>
                    <w:jc w:val="center"/>
                  </w:pPr>
                  <w:r>
                    <w:rPr>
                      <w:rFonts w:hint="eastAsia"/>
                    </w:rPr>
                    <w:t>pH、COD、BOD</w:t>
                  </w:r>
                  <w:r>
                    <w:rPr>
                      <w:rFonts w:hint="eastAsia"/>
                      <w:vertAlign w:val="subscript"/>
                    </w:rPr>
                    <w:t>5</w:t>
                  </w:r>
                  <w:r>
                    <w:rPr>
                      <w:rFonts w:hint="eastAsia"/>
                    </w:rPr>
                    <w:t>、氨氮、总氮、SS、动植物油</w:t>
                  </w:r>
                </w:p>
              </w:tc>
            </w:tr>
            <w:tr w14:paraId="2CAAC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47" w:type="pct"/>
                  <w:vMerge w:val="continue"/>
                  <w:shd w:val="clear" w:color="auto" w:fill="auto"/>
                  <w:vAlign w:val="center"/>
                </w:tcPr>
                <w:p w14:paraId="3026A8F2">
                  <w:pPr>
                    <w:jc w:val="center"/>
                  </w:pPr>
                </w:p>
              </w:tc>
              <w:tc>
                <w:tcPr>
                  <w:tcW w:w="452" w:type="pct"/>
                  <w:vMerge w:val="continue"/>
                  <w:shd w:val="clear" w:color="auto" w:fill="auto"/>
                  <w:vAlign w:val="center"/>
                </w:tcPr>
                <w:p w14:paraId="562C168B">
                  <w:pPr>
                    <w:jc w:val="center"/>
                  </w:pPr>
                </w:p>
              </w:tc>
              <w:tc>
                <w:tcPr>
                  <w:tcW w:w="1103" w:type="pct"/>
                  <w:vAlign w:val="center"/>
                </w:tcPr>
                <w:p w14:paraId="7469A909">
                  <w:pPr>
                    <w:jc w:val="center"/>
                  </w:pPr>
                  <w:r>
                    <w:rPr>
                      <w:rFonts w:hint="eastAsia"/>
                    </w:rPr>
                    <w:t>生产废水</w:t>
                  </w:r>
                </w:p>
              </w:tc>
              <w:tc>
                <w:tcPr>
                  <w:tcW w:w="2061" w:type="pct"/>
                  <w:shd w:val="clear" w:color="auto" w:fill="auto"/>
                  <w:vAlign w:val="center"/>
                </w:tcPr>
                <w:p w14:paraId="1486B69B">
                  <w:pPr>
                    <w:jc w:val="center"/>
                  </w:pPr>
                  <w:r>
                    <w:rPr>
                      <w:rFonts w:hint="eastAsia"/>
                    </w:rPr>
                    <w:t>设备清洗</w:t>
                  </w:r>
                </w:p>
              </w:tc>
              <w:tc>
                <w:tcPr>
                  <w:tcW w:w="1037" w:type="pct"/>
                  <w:vMerge w:val="continue"/>
                  <w:shd w:val="clear" w:color="auto" w:fill="auto"/>
                  <w:vAlign w:val="center"/>
                </w:tcPr>
                <w:p w14:paraId="0F18275C">
                  <w:pPr>
                    <w:jc w:val="center"/>
                  </w:pPr>
                </w:p>
              </w:tc>
            </w:tr>
            <w:tr w14:paraId="7E94B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47" w:type="pct"/>
                  <w:vMerge w:val="continue"/>
                  <w:shd w:val="clear" w:color="auto" w:fill="auto"/>
                  <w:vAlign w:val="center"/>
                </w:tcPr>
                <w:p w14:paraId="2D986A75">
                  <w:pPr>
                    <w:jc w:val="center"/>
                  </w:pPr>
                </w:p>
              </w:tc>
              <w:tc>
                <w:tcPr>
                  <w:tcW w:w="452" w:type="pct"/>
                  <w:vMerge w:val="continue"/>
                  <w:shd w:val="clear" w:color="auto" w:fill="auto"/>
                  <w:vAlign w:val="center"/>
                </w:tcPr>
                <w:p w14:paraId="4B38C925">
                  <w:pPr>
                    <w:jc w:val="center"/>
                  </w:pPr>
                </w:p>
              </w:tc>
              <w:tc>
                <w:tcPr>
                  <w:tcW w:w="1103" w:type="pct"/>
                  <w:vAlign w:val="center"/>
                </w:tcPr>
                <w:p w14:paraId="5C896496">
                  <w:pPr>
                    <w:jc w:val="center"/>
                  </w:pPr>
                  <w:r>
                    <w:rPr>
                      <w:rFonts w:hint="eastAsia"/>
                    </w:rPr>
                    <w:t>蒸汽发生器排水</w:t>
                  </w:r>
                </w:p>
              </w:tc>
              <w:tc>
                <w:tcPr>
                  <w:tcW w:w="2061" w:type="pct"/>
                  <w:shd w:val="clear" w:color="auto" w:fill="auto"/>
                  <w:vAlign w:val="center"/>
                </w:tcPr>
                <w:p w14:paraId="1DE4A7A9">
                  <w:pPr>
                    <w:jc w:val="center"/>
                  </w:pPr>
                  <w:r>
                    <w:rPr>
                      <w:rFonts w:hint="eastAsia"/>
                    </w:rPr>
                    <w:t>蒸汽发生器</w:t>
                  </w:r>
                </w:p>
              </w:tc>
              <w:tc>
                <w:tcPr>
                  <w:tcW w:w="1037" w:type="pct"/>
                  <w:vMerge w:val="continue"/>
                  <w:shd w:val="clear" w:color="auto" w:fill="auto"/>
                  <w:vAlign w:val="center"/>
                </w:tcPr>
                <w:p w14:paraId="6800B7B6">
                  <w:pPr>
                    <w:jc w:val="center"/>
                  </w:pPr>
                </w:p>
              </w:tc>
            </w:tr>
            <w:tr w14:paraId="0156F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47" w:type="pct"/>
                  <w:vMerge w:val="continue"/>
                  <w:shd w:val="clear" w:color="auto" w:fill="auto"/>
                  <w:vAlign w:val="center"/>
                </w:tcPr>
                <w:p w14:paraId="2B871B70">
                  <w:pPr>
                    <w:jc w:val="center"/>
                  </w:pPr>
                </w:p>
              </w:tc>
              <w:tc>
                <w:tcPr>
                  <w:tcW w:w="452" w:type="pct"/>
                  <w:vMerge w:val="continue"/>
                  <w:shd w:val="clear" w:color="auto" w:fill="auto"/>
                  <w:vAlign w:val="center"/>
                </w:tcPr>
                <w:p w14:paraId="79345CD8">
                  <w:pPr>
                    <w:jc w:val="center"/>
                  </w:pPr>
                </w:p>
              </w:tc>
              <w:tc>
                <w:tcPr>
                  <w:tcW w:w="1103" w:type="pct"/>
                  <w:vAlign w:val="center"/>
                </w:tcPr>
                <w:p w14:paraId="68DABD68">
                  <w:pPr>
                    <w:jc w:val="center"/>
                  </w:pPr>
                  <w:r>
                    <w:rPr>
                      <w:rFonts w:hint="eastAsia"/>
                    </w:rPr>
                    <w:t>纯水制备浓水</w:t>
                  </w:r>
                </w:p>
              </w:tc>
              <w:tc>
                <w:tcPr>
                  <w:tcW w:w="2061" w:type="pct"/>
                  <w:shd w:val="clear" w:color="auto" w:fill="auto"/>
                  <w:vAlign w:val="center"/>
                </w:tcPr>
                <w:p w14:paraId="2AA13133">
                  <w:pPr>
                    <w:jc w:val="center"/>
                  </w:pPr>
                  <w:r>
                    <w:rPr>
                      <w:rFonts w:hint="eastAsia"/>
                    </w:rPr>
                    <w:t>软水制备</w:t>
                  </w:r>
                </w:p>
              </w:tc>
              <w:tc>
                <w:tcPr>
                  <w:tcW w:w="1037" w:type="pct"/>
                  <w:vMerge w:val="continue"/>
                  <w:shd w:val="clear" w:color="auto" w:fill="auto"/>
                  <w:vAlign w:val="center"/>
                </w:tcPr>
                <w:p w14:paraId="04E93305">
                  <w:pPr>
                    <w:jc w:val="center"/>
                  </w:pPr>
                </w:p>
              </w:tc>
            </w:tr>
            <w:tr w14:paraId="30A37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47" w:type="pct"/>
                  <w:vMerge w:val="continue"/>
                  <w:shd w:val="clear" w:color="auto" w:fill="auto"/>
                  <w:vAlign w:val="center"/>
                </w:tcPr>
                <w:p w14:paraId="7F62B136">
                  <w:pPr>
                    <w:jc w:val="center"/>
                  </w:pPr>
                </w:p>
              </w:tc>
              <w:tc>
                <w:tcPr>
                  <w:tcW w:w="452" w:type="pct"/>
                  <w:vMerge w:val="continue"/>
                  <w:shd w:val="clear" w:color="auto" w:fill="auto"/>
                  <w:vAlign w:val="center"/>
                </w:tcPr>
                <w:p w14:paraId="0835528B">
                  <w:pPr>
                    <w:jc w:val="center"/>
                  </w:pPr>
                </w:p>
              </w:tc>
              <w:tc>
                <w:tcPr>
                  <w:tcW w:w="1103" w:type="pct"/>
                  <w:vAlign w:val="center"/>
                </w:tcPr>
                <w:p w14:paraId="00AC4922">
                  <w:pPr>
                    <w:jc w:val="center"/>
                  </w:pPr>
                  <w:r>
                    <w:rPr>
                      <w:rFonts w:hint="eastAsia"/>
                    </w:rPr>
                    <w:t>地面清洁废水</w:t>
                  </w:r>
                </w:p>
              </w:tc>
              <w:tc>
                <w:tcPr>
                  <w:tcW w:w="2061" w:type="pct"/>
                  <w:shd w:val="clear" w:color="auto" w:fill="auto"/>
                  <w:vAlign w:val="center"/>
                </w:tcPr>
                <w:p w14:paraId="6C7E5E63">
                  <w:pPr>
                    <w:jc w:val="center"/>
                  </w:pPr>
                  <w:r>
                    <w:rPr>
                      <w:rFonts w:hint="eastAsia"/>
                    </w:rPr>
                    <w:t>车间清洁</w:t>
                  </w:r>
                </w:p>
              </w:tc>
              <w:tc>
                <w:tcPr>
                  <w:tcW w:w="1037" w:type="pct"/>
                  <w:vMerge w:val="continue"/>
                  <w:shd w:val="clear" w:color="auto" w:fill="auto"/>
                  <w:vAlign w:val="center"/>
                </w:tcPr>
                <w:p w14:paraId="46F7EF48">
                  <w:pPr>
                    <w:jc w:val="center"/>
                  </w:pPr>
                </w:p>
              </w:tc>
            </w:tr>
            <w:tr w14:paraId="53AA7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47" w:type="pct"/>
                  <w:vMerge w:val="restart"/>
                  <w:shd w:val="clear" w:color="auto" w:fill="auto"/>
                  <w:vAlign w:val="center"/>
                </w:tcPr>
                <w:p w14:paraId="40CAF153">
                  <w:pPr>
                    <w:jc w:val="center"/>
                  </w:pPr>
                  <w:r>
                    <w:rPr>
                      <w:rFonts w:hint="eastAsia"/>
                    </w:rPr>
                    <w:t>2</w:t>
                  </w:r>
                </w:p>
              </w:tc>
              <w:tc>
                <w:tcPr>
                  <w:tcW w:w="452" w:type="pct"/>
                  <w:vMerge w:val="restart"/>
                  <w:shd w:val="clear" w:color="auto" w:fill="auto"/>
                  <w:vAlign w:val="center"/>
                </w:tcPr>
                <w:p w14:paraId="4498CA07">
                  <w:pPr>
                    <w:jc w:val="center"/>
                  </w:pPr>
                  <w:r>
                    <w:rPr>
                      <w:rFonts w:hint="eastAsia"/>
                    </w:rPr>
                    <w:t>废气</w:t>
                  </w:r>
                </w:p>
              </w:tc>
              <w:tc>
                <w:tcPr>
                  <w:tcW w:w="1103" w:type="pct"/>
                  <w:vAlign w:val="center"/>
                </w:tcPr>
                <w:p w14:paraId="348B5652">
                  <w:pPr>
                    <w:jc w:val="center"/>
                  </w:pPr>
                  <w:r>
                    <w:rPr>
                      <w:rFonts w:hint="eastAsia"/>
                    </w:rPr>
                    <w:t>中药材气味</w:t>
                  </w:r>
                </w:p>
              </w:tc>
              <w:tc>
                <w:tcPr>
                  <w:tcW w:w="2061" w:type="pct"/>
                  <w:shd w:val="clear" w:color="auto" w:fill="auto"/>
                  <w:vAlign w:val="center"/>
                </w:tcPr>
                <w:p w14:paraId="607B5138">
                  <w:pPr>
                    <w:jc w:val="center"/>
                  </w:pPr>
                  <w:r>
                    <w:rPr>
                      <w:rFonts w:hint="eastAsia"/>
                    </w:rPr>
                    <w:t>中药煎煮</w:t>
                  </w:r>
                </w:p>
              </w:tc>
              <w:tc>
                <w:tcPr>
                  <w:tcW w:w="1037" w:type="pct"/>
                  <w:shd w:val="clear" w:color="auto" w:fill="auto"/>
                  <w:vAlign w:val="center"/>
                </w:tcPr>
                <w:p w14:paraId="75E7AB7B">
                  <w:pPr>
                    <w:jc w:val="center"/>
                  </w:pPr>
                  <w:r>
                    <w:rPr>
                      <w:rFonts w:hint="eastAsia"/>
                    </w:rPr>
                    <w:t>异味</w:t>
                  </w:r>
                </w:p>
              </w:tc>
            </w:tr>
            <w:tr w14:paraId="4D993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47" w:type="pct"/>
                  <w:vMerge w:val="continue"/>
                  <w:shd w:val="clear" w:color="auto" w:fill="auto"/>
                  <w:vAlign w:val="center"/>
                </w:tcPr>
                <w:p w14:paraId="4E464F7D">
                  <w:pPr>
                    <w:jc w:val="center"/>
                  </w:pPr>
                </w:p>
              </w:tc>
              <w:tc>
                <w:tcPr>
                  <w:tcW w:w="452" w:type="pct"/>
                  <w:vMerge w:val="continue"/>
                  <w:shd w:val="clear" w:color="auto" w:fill="auto"/>
                  <w:vAlign w:val="center"/>
                </w:tcPr>
                <w:p w14:paraId="7A644C11">
                  <w:pPr>
                    <w:jc w:val="center"/>
                  </w:pPr>
                </w:p>
              </w:tc>
              <w:tc>
                <w:tcPr>
                  <w:tcW w:w="1103" w:type="pct"/>
                  <w:vAlign w:val="center"/>
                </w:tcPr>
                <w:p w14:paraId="74C72A53">
                  <w:pPr>
                    <w:jc w:val="center"/>
                  </w:pPr>
                  <w:r>
                    <w:rPr>
                      <w:rFonts w:hint="eastAsia"/>
                    </w:rPr>
                    <w:t>破碎粉尘</w:t>
                  </w:r>
                </w:p>
              </w:tc>
              <w:tc>
                <w:tcPr>
                  <w:tcW w:w="2061" w:type="pct"/>
                  <w:shd w:val="clear" w:color="auto" w:fill="auto"/>
                  <w:vAlign w:val="center"/>
                </w:tcPr>
                <w:p w14:paraId="17AF9FA0">
                  <w:pPr>
                    <w:jc w:val="center"/>
                  </w:pPr>
                  <w:r>
                    <w:rPr>
                      <w:rFonts w:hint="eastAsia"/>
                    </w:rPr>
                    <w:t>中药材破碎</w:t>
                  </w:r>
                </w:p>
              </w:tc>
              <w:tc>
                <w:tcPr>
                  <w:tcW w:w="1037" w:type="pct"/>
                  <w:shd w:val="clear" w:color="auto" w:fill="auto"/>
                  <w:vAlign w:val="center"/>
                </w:tcPr>
                <w:p w14:paraId="478B7F23">
                  <w:pPr>
                    <w:jc w:val="center"/>
                  </w:pPr>
                  <w:r>
                    <w:rPr>
                      <w:rFonts w:hint="eastAsia"/>
                    </w:rPr>
                    <w:t>颗粒物</w:t>
                  </w:r>
                </w:p>
              </w:tc>
            </w:tr>
            <w:tr w14:paraId="1900F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47" w:type="pct"/>
                  <w:vMerge w:val="continue"/>
                  <w:shd w:val="clear" w:color="auto" w:fill="auto"/>
                  <w:vAlign w:val="center"/>
                </w:tcPr>
                <w:p w14:paraId="0AB3E695">
                  <w:pPr>
                    <w:jc w:val="center"/>
                  </w:pPr>
                </w:p>
              </w:tc>
              <w:tc>
                <w:tcPr>
                  <w:tcW w:w="452" w:type="pct"/>
                  <w:vMerge w:val="continue"/>
                  <w:shd w:val="clear" w:color="auto" w:fill="auto"/>
                  <w:vAlign w:val="center"/>
                </w:tcPr>
                <w:p w14:paraId="32A185F2">
                  <w:pPr>
                    <w:jc w:val="center"/>
                  </w:pPr>
                </w:p>
              </w:tc>
              <w:tc>
                <w:tcPr>
                  <w:tcW w:w="1103" w:type="pct"/>
                  <w:vAlign w:val="center"/>
                </w:tcPr>
                <w:p w14:paraId="799C6802">
                  <w:pPr>
                    <w:jc w:val="center"/>
                  </w:pPr>
                  <w:r>
                    <w:rPr>
                      <w:rFonts w:hint="eastAsia"/>
                    </w:rPr>
                    <w:t>包装有机废气</w:t>
                  </w:r>
                </w:p>
              </w:tc>
              <w:tc>
                <w:tcPr>
                  <w:tcW w:w="2061" w:type="pct"/>
                  <w:shd w:val="clear" w:color="auto" w:fill="auto"/>
                  <w:vAlign w:val="center"/>
                </w:tcPr>
                <w:p w14:paraId="004EFF6E">
                  <w:pPr>
                    <w:jc w:val="center"/>
                  </w:pPr>
                  <w:r>
                    <w:rPr>
                      <w:rFonts w:hint="eastAsia"/>
                    </w:rPr>
                    <w:t>中药液包装</w:t>
                  </w:r>
                </w:p>
              </w:tc>
              <w:tc>
                <w:tcPr>
                  <w:tcW w:w="1037" w:type="pct"/>
                  <w:shd w:val="clear" w:color="auto" w:fill="auto"/>
                  <w:vAlign w:val="center"/>
                </w:tcPr>
                <w:p w14:paraId="71A9C53F">
                  <w:pPr>
                    <w:jc w:val="center"/>
                  </w:pPr>
                  <w:r>
                    <w:rPr>
                      <w:rFonts w:hint="eastAsia"/>
                    </w:rPr>
                    <w:t>有机废气</w:t>
                  </w:r>
                </w:p>
              </w:tc>
            </w:tr>
            <w:tr w14:paraId="6EC00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47" w:type="pct"/>
                  <w:vMerge w:val="continue"/>
                  <w:shd w:val="clear" w:color="auto" w:fill="auto"/>
                  <w:vAlign w:val="center"/>
                </w:tcPr>
                <w:p w14:paraId="55AEB871">
                  <w:pPr>
                    <w:jc w:val="center"/>
                  </w:pPr>
                </w:p>
              </w:tc>
              <w:tc>
                <w:tcPr>
                  <w:tcW w:w="452" w:type="pct"/>
                  <w:vMerge w:val="continue"/>
                  <w:shd w:val="clear" w:color="auto" w:fill="auto"/>
                  <w:vAlign w:val="center"/>
                </w:tcPr>
                <w:p w14:paraId="2AE69B46">
                  <w:pPr>
                    <w:jc w:val="center"/>
                  </w:pPr>
                </w:p>
              </w:tc>
              <w:tc>
                <w:tcPr>
                  <w:tcW w:w="1103" w:type="pct"/>
                  <w:vAlign w:val="center"/>
                </w:tcPr>
                <w:p w14:paraId="6BDF8632">
                  <w:pPr>
                    <w:jc w:val="center"/>
                  </w:pPr>
                  <w:r>
                    <w:rPr>
                      <w:rFonts w:hint="eastAsia"/>
                    </w:rPr>
                    <w:t>废水处理废气</w:t>
                  </w:r>
                </w:p>
              </w:tc>
              <w:tc>
                <w:tcPr>
                  <w:tcW w:w="2061" w:type="pct"/>
                  <w:shd w:val="clear" w:color="auto" w:fill="auto"/>
                  <w:vAlign w:val="center"/>
                </w:tcPr>
                <w:p w14:paraId="792C2E16">
                  <w:pPr>
                    <w:jc w:val="center"/>
                  </w:pPr>
                  <w:r>
                    <w:rPr>
                      <w:rFonts w:hint="eastAsia"/>
                    </w:rPr>
                    <w:t>废水处理设施</w:t>
                  </w:r>
                </w:p>
              </w:tc>
              <w:tc>
                <w:tcPr>
                  <w:tcW w:w="1037" w:type="pct"/>
                  <w:shd w:val="clear" w:color="auto" w:fill="auto"/>
                  <w:vAlign w:val="center"/>
                </w:tcPr>
                <w:p w14:paraId="2EF100FF">
                  <w:pPr>
                    <w:jc w:val="center"/>
                  </w:pPr>
                  <w:r>
                    <w:rPr>
                      <w:rFonts w:hint="eastAsia"/>
                    </w:rPr>
                    <w:t>恶臭</w:t>
                  </w:r>
                </w:p>
              </w:tc>
            </w:tr>
            <w:tr w14:paraId="336E4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shd w:val="clear" w:color="auto" w:fill="auto"/>
                  <w:vAlign w:val="center"/>
                </w:tcPr>
                <w:p w14:paraId="451698D6">
                  <w:pPr>
                    <w:jc w:val="center"/>
                  </w:pPr>
                  <w:r>
                    <w:t>3</w:t>
                  </w:r>
                </w:p>
              </w:tc>
              <w:tc>
                <w:tcPr>
                  <w:tcW w:w="452" w:type="pct"/>
                  <w:shd w:val="clear" w:color="auto" w:fill="auto"/>
                  <w:vAlign w:val="center"/>
                </w:tcPr>
                <w:p w14:paraId="0EF232A5">
                  <w:pPr>
                    <w:jc w:val="center"/>
                  </w:pPr>
                  <w:r>
                    <w:rPr>
                      <w:rFonts w:hint="eastAsia"/>
                    </w:rPr>
                    <w:t>噪声</w:t>
                  </w:r>
                </w:p>
              </w:tc>
              <w:tc>
                <w:tcPr>
                  <w:tcW w:w="1103" w:type="pct"/>
                  <w:vAlign w:val="center"/>
                </w:tcPr>
                <w:p w14:paraId="7C8DA2CE">
                  <w:pPr>
                    <w:jc w:val="center"/>
                  </w:pPr>
                  <w:r>
                    <w:rPr>
                      <w:rFonts w:hint="eastAsia"/>
                    </w:rPr>
                    <w:t>噪声</w:t>
                  </w:r>
                </w:p>
              </w:tc>
              <w:tc>
                <w:tcPr>
                  <w:tcW w:w="3098" w:type="pct"/>
                  <w:gridSpan w:val="2"/>
                  <w:shd w:val="clear" w:color="auto" w:fill="auto"/>
                  <w:vAlign w:val="center"/>
                </w:tcPr>
                <w:p w14:paraId="60ABA1E2">
                  <w:pPr>
                    <w:jc w:val="center"/>
                  </w:pPr>
                  <w:r>
                    <w:rPr>
                      <w:rFonts w:hint="eastAsia"/>
                    </w:rPr>
                    <w:t>设备噪声</w:t>
                  </w:r>
                </w:p>
              </w:tc>
            </w:tr>
            <w:tr w14:paraId="415E3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Merge w:val="restart"/>
                  <w:shd w:val="clear" w:color="auto" w:fill="auto"/>
                  <w:vAlign w:val="center"/>
                </w:tcPr>
                <w:p w14:paraId="29C32741">
                  <w:pPr>
                    <w:jc w:val="center"/>
                  </w:pPr>
                  <w:r>
                    <w:rPr>
                      <w:rFonts w:hint="eastAsia"/>
                    </w:rPr>
                    <w:t>4</w:t>
                  </w:r>
                </w:p>
              </w:tc>
              <w:tc>
                <w:tcPr>
                  <w:tcW w:w="452" w:type="pct"/>
                  <w:vMerge w:val="restart"/>
                  <w:shd w:val="clear" w:color="auto" w:fill="auto"/>
                  <w:vAlign w:val="center"/>
                </w:tcPr>
                <w:p w14:paraId="3EC5ADEC">
                  <w:pPr>
                    <w:jc w:val="center"/>
                  </w:pPr>
                  <w:r>
                    <w:rPr>
                      <w:rFonts w:hint="eastAsia"/>
                    </w:rPr>
                    <w:t>固废</w:t>
                  </w:r>
                </w:p>
              </w:tc>
              <w:tc>
                <w:tcPr>
                  <w:tcW w:w="1103" w:type="pct"/>
                  <w:vAlign w:val="center"/>
                </w:tcPr>
                <w:p w14:paraId="40AE113F">
                  <w:pPr>
                    <w:jc w:val="center"/>
                  </w:pPr>
                  <w:r>
                    <w:rPr>
                      <w:rFonts w:hint="eastAsia"/>
                    </w:rPr>
                    <w:t>生活垃圾</w:t>
                  </w:r>
                </w:p>
              </w:tc>
              <w:tc>
                <w:tcPr>
                  <w:tcW w:w="2061" w:type="pct"/>
                  <w:shd w:val="clear" w:color="auto" w:fill="auto"/>
                  <w:vAlign w:val="center"/>
                </w:tcPr>
                <w:p w14:paraId="70D887E8">
                  <w:pPr>
                    <w:jc w:val="center"/>
                  </w:pPr>
                  <w:r>
                    <w:rPr>
                      <w:rFonts w:hint="eastAsia"/>
                    </w:rPr>
                    <w:t>员工办公</w:t>
                  </w:r>
                </w:p>
              </w:tc>
              <w:tc>
                <w:tcPr>
                  <w:tcW w:w="1037" w:type="pct"/>
                  <w:shd w:val="clear" w:color="auto" w:fill="auto"/>
                  <w:vAlign w:val="center"/>
                </w:tcPr>
                <w:p w14:paraId="3DE2D04F">
                  <w:pPr>
                    <w:jc w:val="center"/>
                  </w:pPr>
                  <w:r>
                    <w:rPr>
                      <w:rFonts w:hint="eastAsia"/>
                    </w:rPr>
                    <w:t>/</w:t>
                  </w:r>
                </w:p>
              </w:tc>
            </w:tr>
            <w:tr w14:paraId="35686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Merge w:val="continue"/>
                  <w:shd w:val="clear" w:color="auto" w:fill="auto"/>
                  <w:vAlign w:val="center"/>
                </w:tcPr>
                <w:p w14:paraId="56A84DC5">
                  <w:pPr>
                    <w:adjustRightInd w:val="0"/>
                    <w:snapToGrid w:val="0"/>
                    <w:ind w:firstLine="420"/>
                    <w:jc w:val="center"/>
                    <w:rPr>
                      <w:bCs/>
                    </w:rPr>
                  </w:pPr>
                </w:p>
              </w:tc>
              <w:tc>
                <w:tcPr>
                  <w:tcW w:w="452" w:type="pct"/>
                  <w:vMerge w:val="continue"/>
                  <w:shd w:val="clear" w:color="auto" w:fill="auto"/>
                  <w:vAlign w:val="center"/>
                </w:tcPr>
                <w:p w14:paraId="11BC6F09">
                  <w:pPr>
                    <w:adjustRightInd w:val="0"/>
                    <w:snapToGrid w:val="0"/>
                    <w:ind w:firstLine="420"/>
                    <w:jc w:val="center"/>
                    <w:rPr>
                      <w:bCs/>
                    </w:rPr>
                  </w:pPr>
                </w:p>
              </w:tc>
              <w:tc>
                <w:tcPr>
                  <w:tcW w:w="1103" w:type="pct"/>
                  <w:vAlign w:val="center"/>
                </w:tcPr>
                <w:p w14:paraId="04FC7867">
                  <w:pPr>
                    <w:jc w:val="center"/>
                  </w:pPr>
                  <w:r>
                    <w:rPr>
                      <w:rFonts w:hint="eastAsia"/>
                    </w:rPr>
                    <w:t>药渣</w:t>
                  </w:r>
                </w:p>
              </w:tc>
              <w:tc>
                <w:tcPr>
                  <w:tcW w:w="2061" w:type="pct"/>
                  <w:shd w:val="clear" w:color="auto" w:fill="auto"/>
                  <w:vAlign w:val="center"/>
                </w:tcPr>
                <w:p w14:paraId="64A3A982">
                  <w:pPr>
                    <w:jc w:val="center"/>
                  </w:pPr>
                  <w:r>
                    <w:rPr>
                      <w:rFonts w:hint="eastAsia"/>
                    </w:rPr>
                    <w:t>煎药</w:t>
                  </w:r>
                </w:p>
              </w:tc>
              <w:tc>
                <w:tcPr>
                  <w:tcW w:w="1037" w:type="pct"/>
                  <w:shd w:val="clear" w:color="auto" w:fill="auto"/>
                  <w:vAlign w:val="center"/>
                </w:tcPr>
                <w:p w14:paraId="75AAD2DD">
                  <w:pPr>
                    <w:jc w:val="center"/>
                  </w:pPr>
                  <w:r>
                    <w:rPr>
                      <w:rFonts w:hint="eastAsia"/>
                    </w:rPr>
                    <w:t>/</w:t>
                  </w:r>
                </w:p>
              </w:tc>
            </w:tr>
            <w:tr w14:paraId="0C29A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Merge w:val="continue"/>
                  <w:shd w:val="clear" w:color="auto" w:fill="auto"/>
                  <w:vAlign w:val="center"/>
                </w:tcPr>
                <w:p w14:paraId="00F91B1C">
                  <w:pPr>
                    <w:adjustRightInd w:val="0"/>
                    <w:snapToGrid w:val="0"/>
                    <w:ind w:firstLine="420"/>
                    <w:jc w:val="center"/>
                    <w:rPr>
                      <w:bCs/>
                    </w:rPr>
                  </w:pPr>
                </w:p>
              </w:tc>
              <w:tc>
                <w:tcPr>
                  <w:tcW w:w="452" w:type="pct"/>
                  <w:vMerge w:val="continue"/>
                  <w:shd w:val="clear" w:color="auto" w:fill="auto"/>
                  <w:vAlign w:val="center"/>
                </w:tcPr>
                <w:p w14:paraId="6F91B8EA">
                  <w:pPr>
                    <w:adjustRightInd w:val="0"/>
                    <w:snapToGrid w:val="0"/>
                    <w:ind w:firstLine="420"/>
                    <w:jc w:val="center"/>
                    <w:rPr>
                      <w:bCs/>
                    </w:rPr>
                  </w:pPr>
                </w:p>
              </w:tc>
              <w:tc>
                <w:tcPr>
                  <w:tcW w:w="1103" w:type="pct"/>
                  <w:vAlign w:val="center"/>
                </w:tcPr>
                <w:p w14:paraId="446FEE9B">
                  <w:pPr>
                    <w:jc w:val="center"/>
                  </w:pPr>
                  <w:r>
                    <w:rPr>
                      <w:rFonts w:hint="eastAsia"/>
                    </w:rPr>
                    <w:t>废药渣袋</w:t>
                  </w:r>
                </w:p>
              </w:tc>
              <w:tc>
                <w:tcPr>
                  <w:tcW w:w="2061" w:type="pct"/>
                  <w:shd w:val="clear" w:color="auto" w:fill="auto"/>
                  <w:vAlign w:val="center"/>
                </w:tcPr>
                <w:p w14:paraId="15219098">
                  <w:pPr>
                    <w:jc w:val="center"/>
                  </w:pPr>
                  <w:r>
                    <w:rPr>
                      <w:rFonts w:hint="eastAsia"/>
                    </w:rPr>
                    <w:t>煎药</w:t>
                  </w:r>
                </w:p>
              </w:tc>
              <w:tc>
                <w:tcPr>
                  <w:tcW w:w="1037" w:type="pct"/>
                  <w:shd w:val="clear" w:color="auto" w:fill="auto"/>
                  <w:vAlign w:val="center"/>
                </w:tcPr>
                <w:p w14:paraId="43B4DA5B">
                  <w:pPr>
                    <w:jc w:val="center"/>
                  </w:pPr>
                  <w:r>
                    <w:rPr>
                      <w:rFonts w:hint="eastAsia"/>
                    </w:rPr>
                    <w:t>/</w:t>
                  </w:r>
                </w:p>
              </w:tc>
            </w:tr>
            <w:tr w14:paraId="56DB7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Merge w:val="continue"/>
                  <w:shd w:val="clear" w:color="auto" w:fill="auto"/>
                  <w:vAlign w:val="center"/>
                </w:tcPr>
                <w:p w14:paraId="34B78FC8">
                  <w:pPr>
                    <w:adjustRightInd w:val="0"/>
                    <w:snapToGrid w:val="0"/>
                    <w:ind w:firstLine="420"/>
                    <w:jc w:val="center"/>
                    <w:rPr>
                      <w:bCs/>
                    </w:rPr>
                  </w:pPr>
                </w:p>
              </w:tc>
              <w:tc>
                <w:tcPr>
                  <w:tcW w:w="452" w:type="pct"/>
                  <w:vMerge w:val="continue"/>
                  <w:shd w:val="clear" w:color="auto" w:fill="auto"/>
                  <w:vAlign w:val="center"/>
                </w:tcPr>
                <w:p w14:paraId="0113BB76">
                  <w:pPr>
                    <w:adjustRightInd w:val="0"/>
                    <w:snapToGrid w:val="0"/>
                    <w:ind w:firstLine="420"/>
                    <w:jc w:val="center"/>
                    <w:rPr>
                      <w:bCs/>
                    </w:rPr>
                  </w:pPr>
                </w:p>
              </w:tc>
              <w:tc>
                <w:tcPr>
                  <w:tcW w:w="1103" w:type="pct"/>
                  <w:vAlign w:val="center"/>
                </w:tcPr>
                <w:p w14:paraId="6D0B3C23">
                  <w:pPr>
                    <w:jc w:val="center"/>
                  </w:pPr>
                  <w:r>
                    <w:rPr>
                      <w:rFonts w:hint="eastAsia"/>
                      <w:lang w:bidi="ar"/>
                    </w:rPr>
                    <w:t>包装垃圾</w:t>
                  </w:r>
                </w:p>
              </w:tc>
              <w:tc>
                <w:tcPr>
                  <w:tcW w:w="2061" w:type="pct"/>
                  <w:shd w:val="clear" w:color="auto" w:fill="auto"/>
                  <w:vAlign w:val="center"/>
                </w:tcPr>
                <w:p w14:paraId="630EF33D">
                  <w:pPr>
                    <w:jc w:val="center"/>
                  </w:pPr>
                  <w:r>
                    <w:rPr>
                      <w:rFonts w:hint="eastAsia"/>
                    </w:rPr>
                    <w:t>原辅料使用</w:t>
                  </w:r>
                </w:p>
              </w:tc>
              <w:tc>
                <w:tcPr>
                  <w:tcW w:w="1037" w:type="pct"/>
                  <w:shd w:val="clear" w:color="auto" w:fill="auto"/>
                  <w:vAlign w:val="center"/>
                </w:tcPr>
                <w:p w14:paraId="4F965F86">
                  <w:pPr>
                    <w:jc w:val="center"/>
                  </w:pPr>
                  <w:r>
                    <w:rPr>
                      <w:rFonts w:hint="eastAsia"/>
                    </w:rPr>
                    <w:t>/</w:t>
                  </w:r>
                </w:p>
              </w:tc>
            </w:tr>
            <w:tr w14:paraId="0C3BF5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Merge w:val="continue"/>
                  <w:shd w:val="clear" w:color="auto" w:fill="auto"/>
                  <w:vAlign w:val="center"/>
                </w:tcPr>
                <w:p w14:paraId="3C20272B">
                  <w:pPr>
                    <w:adjustRightInd w:val="0"/>
                    <w:snapToGrid w:val="0"/>
                    <w:ind w:firstLine="420"/>
                    <w:jc w:val="center"/>
                    <w:rPr>
                      <w:bCs/>
                    </w:rPr>
                  </w:pPr>
                </w:p>
              </w:tc>
              <w:tc>
                <w:tcPr>
                  <w:tcW w:w="452" w:type="pct"/>
                  <w:vMerge w:val="continue"/>
                  <w:shd w:val="clear" w:color="auto" w:fill="auto"/>
                  <w:vAlign w:val="center"/>
                </w:tcPr>
                <w:p w14:paraId="388B7C61">
                  <w:pPr>
                    <w:adjustRightInd w:val="0"/>
                    <w:snapToGrid w:val="0"/>
                    <w:ind w:firstLine="420"/>
                    <w:jc w:val="center"/>
                    <w:rPr>
                      <w:bCs/>
                    </w:rPr>
                  </w:pPr>
                </w:p>
              </w:tc>
              <w:tc>
                <w:tcPr>
                  <w:tcW w:w="1103" w:type="pct"/>
                  <w:vAlign w:val="center"/>
                </w:tcPr>
                <w:p w14:paraId="5A2F7452">
                  <w:pPr>
                    <w:jc w:val="center"/>
                  </w:pPr>
                  <w:r>
                    <w:rPr>
                      <w:rFonts w:hint="eastAsia"/>
                    </w:rPr>
                    <w:t>废滤水材料</w:t>
                  </w:r>
                </w:p>
              </w:tc>
              <w:tc>
                <w:tcPr>
                  <w:tcW w:w="2061" w:type="pct"/>
                  <w:shd w:val="clear" w:color="auto" w:fill="auto"/>
                  <w:vAlign w:val="center"/>
                </w:tcPr>
                <w:p w14:paraId="698E5AE2">
                  <w:pPr>
                    <w:jc w:val="center"/>
                  </w:pPr>
                  <w:r>
                    <w:rPr>
                      <w:rFonts w:hint="eastAsia"/>
                    </w:rPr>
                    <w:t>净水设施</w:t>
                  </w:r>
                </w:p>
              </w:tc>
              <w:tc>
                <w:tcPr>
                  <w:tcW w:w="1037" w:type="pct"/>
                  <w:shd w:val="clear" w:color="auto" w:fill="auto"/>
                  <w:vAlign w:val="center"/>
                </w:tcPr>
                <w:p w14:paraId="15417BED">
                  <w:pPr>
                    <w:jc w:val="center"/>
                  </w:pPr>
                  <w:r>
                    <w:rPr>
                      <w:rFonts w:hint="eastAsia"/>
                    </w:rPr>
                    <w:t>/</w:t>
                  </w:r>
                </w:p>
              </w:tc>
            </w:tr>
            <w:tr w14:paraId="38315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Merge w:val="continue"/>
                  <w:shd w:val="clear" w:color="auto" w:fill="auto"/>
                  <w:vAlign w:val="center"/>
                </w:tcPr>
                <w:p w14:paraId="7339EDDA">
                  <w:pPr>
                    <w:adjustRightInd w:val="0"/>
                    <w:snapToGrid w:val="0"/>
                    <w:ind w:firstLine="420"/>
                    <w:jc w:val="center"/>
                    <w:rPr>
                      <w:bCs/>
                    </w:rPr>
                  </w:pPr>
                </w:p>
              </w:tc>
              <w:tc>
                <w:tcPr>
                  <w:tcW w:w="452" w:type="pct"/>
                  <w:vMerge w:val="continue"/>
                  <w:shd w:val="clear" w:color="auto" w:fill="auto"/>
                  <w:vAlign w:val="center"/>
                </w:tcPr>
                <w:p w14:paraId="1066C5F9">
                  <w:pPr>
                    <w:adjustRightInd w:val="0"/>
                    <w:snapToGrid w:val="0"/>
                    <w:ind w:firstLine="420"/>
                    <w:jc w:val="center"/>
                    <w:rPr>
                      <w:bCs/>
                    </w:rPr>
                  </w:pPr>
                </w:p>
              </w:tc>
              <w:tc>
                <w:tcPr>
                  <w:tcW w:w="1103" w:type="pct"/>
                  <w:vAlign w:val="center"/>
                </w:tcPr>
                <w:p w14:paraId="51C5AC03">
                  <w:pPr>
                    <w:jc w:val="center"/>
                  </w:pPr>
                  <w:r>
                    <w:rPr>
                      <w:rFonts w:hint="eastAsia"/>
                    </w:rPr>
                    <w:t>中药粉尘</w:t>
                  </w:r>
                </w:p>
              </w:tc>
              <w:tc>
                <w:tcPr>
                  <w:tcW w:w="2061" w:type="pct"/>
                  <w:shd w:val="clear" w:color="auto" w:fill="auto"/>
                  <w:vAlign w:val="center"/>
                </w:tcPr>
                <w:p w14:paraId="2764BEAA">
                  <w:pPr>
                    <w:jc w:val="center"/>
                  </w:pPr>
                  <w:r>
                    <w:rPr>
                      <w:rFonts w:hint="eastAsia"/>
                    </w:rPr>
                    <w:t>布袋除尘器收集</w:t>
                  </w:r>
                </w:p>
              </w:tc>
              <w:tc>
                <w:tcPr>
                  <w:tcW w:w="1037" w:type="pct"/>
                  <w:shd w:val="clear" w:color="auto" w:fill="auto"/>
                  <w:vAlign w:val="center"/>
                </w:tcPr>
                <w:p w14:paraId="5EF355D9">
                  <w:pPr>
                    <w:jc w:val="center"/>
                  </w:pPr>
                  <w:r>
                    <w:rPr>
                      <w:rFonts w:hint="eastAsia"/>
                    </w:rPr>
                    <w:t>/</w:t>
                  </w:r>
                </w:p>
              </w:tc>
            </w:tr>
            <w:tr w14:paraId="60FCF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Merge w:val="continue"/>
                  <w:shd w:val="clear" w:color="auto" w:fill="auto"/>
                  <w:vAlign w:val="center"/>
                </w:tcPr>
                <w:p w14:paraId="58722C78">
                  <w:pPr>
                    <w:adjustRightInd w:val="0"/>
                    <w:snapToGrid w:val="0"/>
                    <w:ind w:firstLine="420"/>
                    <w:jc w:val="center"/>
                    <w:rPr>
                      <w:bCs/>
                    </w:rPr>
                  </w:pPr>
                </w:p>
              </w:tc>
              <w:tc>
                <w:tcPr>
                  <w:tcW w:w="452" w:type="pct"/>
                  <w:vMerge w:val="continue"/>
                  <w:shd w:val="clear" w:color="auto" w:fill="auto"/>
                  <w:vAlign w:val="center"/>
                </w:tcPr>
                <w:p w14:paraId="2F20D974">
                  <w:pPr>
                    <w:adjustRightInd w:val="0"/>
                    <w:snapToGrid w:val="0"/>
                    <w:ind w:firstLine="420"/>
                    <w:jc w:val="center"/>
                    <w:rPr>
                      <w:bCs/>
                    </w:rPr>
                  </w:pPr>
                </w:p>
              </w:tc>
              <w:tc>
                <w:tcPr>
                  <w:tcW w:w="1103" w:type="pct"/>
                  <w:vAlign w:val="center"/>
                </w:tcPr>
                <w:p w14:paraId="1A42F329">
                  <w:pPr>
                    <w:jc w:val="center"/>
                  </w:pPr>
                  <w:r>
                    <w:rPr>
                      <w:rFonts w:hint="eastAsia"/>
                    </w:rPr>
                    <w:t>污泥</w:t>
                  </w:r>
                </w:p>
              </w:tc>
              <w:tc>
                <w:tcPr>
                  <w:tcW w:w="2061" w:type="pct"/>
                  <w:shd w:val="clear" w:color="auto" w:fill="auto"/>
                  <w:vAlign w:val="center"/>
                </w:tcPr>
                <w:p w14:paraId="15773254">
                  <w:pPr>
                    <w:jc w:val="center"/>
                  </w:pPr>
                  <w:r>
                    <w:rPr>
                      <w:rFonts w:hint="eastAsia"/>
                    </w:rPr>
                    <w:t>废水处理设施</w:t>
                  </w:r>
                </w:p>
              </w:tc>
              <w:tc>
                <w:tcPr>
                  <w:tcW w:w="1037" w:type="pct"/>
                  <w:shd w:val="clear" w:color="auto" w:fill="auto"/>
                  <w:vAlign w:val="center"/>
                </w:tcPr>
                <w:p w14:paraId="18D29078">
                  <w:pPr>
                    <w:jc w:val="center"/>
                  </w:pPr>
                  <w:r>
                    <w:rPr>
                      <w:rFonts w:hint="eastAsia"/>
                    </w:rPr>
                    <w:t>/</w:t>
                  </w:r>
                </w:p>
              </w:tc>
            </w:tr>
          </w:tbl>
          <w:p w14:paraId="5FC3E99A">
            <w:pPr>
              <w:adjustRightInd w:val="0"/>
              <w:snapToGrid w:val="0"/>
              <w:spacing w:line="360" w:lineRule="auto"/>
              <w:ind w:firstLine="422" w:firstLineChars="200"/>
              <w:rPr>
                <w:b/>
              </w:rPr>
            </w:pPr>
          </w:p>
        </w:tc>
      </w:tr>
      <w:tr w14:paraId="622A6E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14:paraId="79D4FCD0">
            <w:pPr>
              <w:pStyle w:val="15"/>
              <w:rPr>
                <w:rFonts w:hint="eastAsia"/>
                <w:sz w:val="21"/>
                <w:szCs w:val="21"/>
              </w:rPr>
            </w:pPr>
            <w:r>
              <w:rPr>
                <w:rFonts w:hint="eastAsia"/>
                <w:sz w:val="21"/>
                <w:szCs w:val="21"/>
              </w:rPr>
              <w:t>与项目有关的原有环境污染问题</w:t>
            </w:r>
          </w:p>
        </w:tc>
        <w:tc>
          <w:tcPr>
            <w:tcW w:w="8161" w:type="dxa"/>
          </w:tcPr>
          <w:p w14:paraId="3444A4EB">
            <w:pPr>
              <w:pStyle w:val="2"/>
              <w:spacing w:line="360" w:lineRule="auto"/>
              <w:ind w:firstLine="420" w:firstLineChars="200"/>
              <w:jc w:val="both"/>
            </w:pPr>
            <w:r>
              <w:rPr>
                <w:rFonts w:hint="eastAsia"/>
              </w:rPr>
              <w:t>本项目租用四川达州通川经济开发区医疗产业园11 栋3 层标准厂房从事生产经营活动，根据现场踏勘，项目租用厂房为闲置厂房，地面现状为混凝土地面，无遗留环境问题。</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7"/>
              <w:gridCol w:w="3968"/>
            </w:tblGrid>
            <w:tr w14:paraId="10DE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5" w:type="dxa"/>
                  <w:shd w:val="clear" w:color="auto" w:fill="auto"/>
                  <w:vAlign w:val="center"/>
                </w:tcPr>
                <w:p w14:paraId="1C46826F">
                  <w:pPr>
                    <w:widowControl/>
                    <w:jc w:val="center"/>
                  </w:pPr>
                  <w:r>
                    <w:drawing>
                      <wp:inline distT="0" distB="0" distL="0" distR="0">
                        <wp:extent cx="2305050" cy="1729105"/>
                        <wp:effectExtent l="0" t="0" r="0" b="4445"/>
                        <wp:docPr id="249278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7849"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29601" cy="1747741"/>
                                </a:xfrm>
                                <a:prstGeom prst="rect">
                                  <a:avLst/>
                                </a:prstGeom>
                                <a:noFill/>
                                <a:ln>
                                  <a:noFill/>
                                </a:ln>
                              </pic:spPr>
                            </pic:pic>
                          </a:graphicData>
                        </a:graphic>
                      </wp:inline>
                    </w:drawing>
                  </w:r>
                </w:p>
              </w:tc>
              <w:tc>
                <w:tcPr>
                  <w:tcW w:w="4035" w:type="dxa"/>
                  <w:shd w:val="clear" w:color="auto" w:fill="auto"/>
                  <w:vAlign w:val="center"/>
                </w:tcPr>
                <w:p w14:paraId="58069DBC">
                  <w:pPr>
                    <w:widowControl/>
                    <w:jc w:val="center"/>
                  </w:pPr>
                  <w:r>
                    <w:drawing>
                      <wp:inline distT="0" distB="0" distL="0" distR="0">
                        <wp:extent cx="2303780" cy="1728470"/>
                        <wp:effectExtent l="0" t="0" r="1270" b="5080"/>
                        <wp:docPr id="365441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4165"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22458" cy="1742254"/>
                                </a:xfrm>
                                <a:prstGeom prst="rect">
                                  <a:avLst/>
                                </a:prstGeom>
                                <a:noFill/>
                                <a:ln>
                                  <a:noFill/>
                                </a:ln>
                              </pic:spPr>
                            </pic:pic>
                          </a:graphicData>
                        </a:graphic>
                      </wp:inline>
                    </w:drawing>
                  </w:r>
                </w:p>
              </w:tc>
            </w:tr>
            <w:tr w14:paraId="0A87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5" w:type="dxa"/>
                  <w:shd w:val="clear" w:color="auto" w:fill="auto"/>
                  <w:vAlign w:val="center"/>
                </w:tcPr>
                <w:p w14:paraId="3541BD7F">
                  <w:pPr>
                    <w:widowControl/>
                    <w:jc w:val="center"/>
                  </w:pPr>
                  <w:r>
                    <w:rPr>
                      <w:rFonts w:hint="eastAsia"/>
                    </w:rPr>
                    <w:t>项目租用厂房现状</w:t>
                  </w:r>
                </w:p>
              </w:tc>
              <w:tc>
                <w:tcPr>
                  <w:tcW w:w="4035" w:type="dxa"/>
                  <w:shd w:val="clear" w:color="auto" w:fill="auto"/>
                  <w:vAlign w:val="center"/>
                </w:tcPr>
                <w:p w14:paraId="360F7852">
                  <w:pPr>
                    <w:widowControl/>
                    <w:jc w:val="center"/>
                  </w:pPr>
                  <w:r>
                    <w:rPr>
                      <w:rFonts w:hint="eastAsia"/>
                    </w:rPr>
                    <w:t>项目租用厂房现状</w:t>
                  </w:r>
                </w:p>
              </w:tc>
            </w:tr>
          </w:tbl>
          <w:p w14:paraId="72AECE30">
            <w:pPr>
              <w:pStyle w:val="2"/>
              <w:spacing w:line="360" w:lineRule="auto"/>
              <w:ind w:firstLine="420" w:firstLineChars="200"/>
              <w:jc w:val="both"/>
            </w:pPr>
            <w:r>
              <w:rPr>
                <w:rFonts w:hint="eastAsia"/>
              </w:rPr>
              <w:t>医疗产业园位于达州市农产品加工集中区西北侧，在达州市农产品加工集中区中的农产品加工组团内。医疗产业园建设用地面积13万m</w:t>
            </w:r>
            <w:r>
              <w:rPr>
                <w:rFonts w:hint="eastAsia"/>
                <w:vertAlign w:val="superscript"/>
              </w:rPr>
              <w:t>2</w:t>
            </w:r>
            <w:r>
              <w:rPr>
                <w:rFonts w:hint="eastAsia"/>
              </w:rPr>
              <w:t>，总规划建筑面积约28.8万m</w:t>
            </w:r>
            <w:r>
              <w:rPr>
                <w:rFonts w:hint="eastAsia"/>
                <w:vertAlign w:val="superscript"/>
              </w:rPr>
              <w:t>2</w:t>
            </w:r>
            <w:r>
              <w:rPr>
                <w:rFonts w:hint="eastAsia"/>
              </w:rPr>
              <w:t>，规划建设内容包括1#~9#标准厂房、11~16#标准厂房，均为丙类厂房，及倒班楼食堂（10#楼，9F）等其他配套设施，根据《建设项目环境影响评价分类管理名录（2021年版）》，建设标准厂房（不涉及环境敏感区的）无需办理环保手续。</w:t>
            </w:r>
          </w:p>
          <w:p w14:paraId="229B6D7E">
            <w:pPr>
              <w:pStyle w:val="2"/>
              <w:spacing w:line="360" w:lineRule="auto"/>
              <w:ind w:firstLine="420" w:firstLineChars="200"/>
              <w:jc w:val="both"/>
            </w:pPr>
            <w:r>
              <w:rPr>
                <w:rFonts w:hint="eastAsia"/>
              </w:rPr>
              <w:t>综上，拟建项目租用标准厂房已建设完成，且空置状态。无与项目有关的原有环境污染问题。</w:t>
            </w:r>
          </w:p>
          <w:p w14:paraId="679BD77A">
            <w:pPr>
              <w:pStyle w:val="2"/>
              <w:spacing w:line="360" w:lineRule="auto"/>
              <w:ind w:firstLine="420" w:firstLineChars="200"/>
              <w:jc w:val="both"/>
            </w:pPr>
          </w:p>
          <w:p w14:paraId="65CFB0B1">
            <w:pPr>
              <w:pStyle w:val="2"/>
              <w:spacing w:line="360" w:lineRule="auto"/>
              <w:ind w:firstLine="420" w:firstLineChars="200"/>
              <w:jc w:val="both"/>
            </w:pPr>
          </w:p>
          <w:p w14:paraId="69477CB8">
            <w:pPr>
              <w:pStyle w:val="2"/>
              <w:spacing w:line="360" w:lineRule="auto"/>
              <w:ind w:firstLine="420" w:firstLineChars="200"/>
              <w:jc w:val="both"/>
            </w:pPr>
          </w:p>
          <w:p w14:paraId="01DBA3E0">
            <w:pPr>
              <w:pStyle w:val="2"/>
              <w:spacing w:line="360" w:lineRule="auto"/>
              <w:ind w:firstLine="420" w:firstLineChars="200"/>
              <w:jc w:val="both"/>
            </w:pPr>
          </w:p>
        </w:tc>
      </w:tr>
    </w:tbl>
    <w:p w14:paraId="774CF29C">
      <w:pPr>
        <w:pStyle w:val="15"/>
        <w:ind w:firstLine="480"/>
        <w:rPr>
          <w:rFonts w:hint="eastAsia"/>
          <w:snapToGrid w:val="0"/>
        </w:rPr>
        <w:sectPr>
          <w:pgSz w:w="11906" w:h="16838"/>
          <w:pgMar w:top="1701" w:right="1531" w:bottom="1701" w:left="1531" w:header="851" w:footer="851" w:gutter="0"/>
          <w:cols w:space="720" w:num="1"/>
          <w:docGrid w:linePitch="312" w:charSpace="0"/>
        </w:sectPr>
      </w:pPr>
    </w:p>
    <w:p w14:paraId="43503381">
      <w:pPr>
        <w:pStyle w:val="15"/>
        <w:ind w:firstLine="480"/>
        <w:rPr>
          <w:rFonts w:hint="eastAsia"/>
          <w:snapToGrid w:val="0"/>
        </w:rPr>
      </w:pPr>
    </w:p>
    <w:p w14:paraId="76D4AB0F">
      <w:pPr>
        <w:pStyle w:val="15"/>
        <w:adjustRightInd/>
        <w:snapToGrid/>
        <w:spacing w:before="100" w:beforeAutospacing="1" w:after="100" w:afterAutospacing="1"/>
        <w:ind w:firstLine="600"/>
        <w:outlineLvl w:val="0"/>
        <w:rPr>
          <w:rFonts w:hint="eastAsia" w:ascii="黑体" w:hAnsi="黑体" w:eastAsia="黑体"/>
          <w:snapToGrid w:val="0"/>
          <w:sz w:val="30"/>
          <w:szCs w:val="30"/>
        </w:rPr>
      </w:pPr>
      <w:bookmarkStart w:id="11" w:name="_Toc77234835"/>
      <w:r>
        <w:rPr>
          <w:rFonts w:hint="eastAsia" w:ascii="黑体" w:hAnsi="黑体" w:eastAsia="黑体"/>
          <w:snapToGrid w:val="0"/>
          <w:sz w:val="30"/>
          <w:szCs w:val="30"/>
        </w:rPr>
        <w:t>三、区域环境质量现状、环境保护目标及评价标准</w:t>
      </w:r>
      <w:bookmarkEnd w:id="11"/>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251"/>
      </w:tblGrid>
      <w:tr w14:paraId="73C61E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00" w:type="dxa"/>
            <w:vAlign w:val="center"/>
          </w:tcPr>
          <w:p w14:paraId="57B35E6D">
            <w:pPr>
              <w:adjustRightInd w:val="0"/>
              <w:snapToGrid w:val="0"/>
              <w:jc w:val="center"/>
              <w:rPr>
                <w:rFonts w:hint="eastAsia" w:ascii="宋体" w:hAnsi="宋体"/>
              </w:rPr>
            </w:pPr>
            <w:r>
              <w:rPr>
                <w:rFonts w:hint="eastAsia" w:ascii="宋体" w:hAnsi="宋体"/>
              </w:rPr>
              <w:t>区域</w:t>
            </w:r>
          </w:p>
          <w:p w14:paraId="173A5EBB">
            <w:pPr>
              <w:adjustRightInd w:val="0"/>
              <w:snapToGrid w:val="0"/>
              <w:jc w:val="center"/>
              <w:rPr>
                <w:rFonts w:hint="eastAsia" w:ascii="宋体" w:hAnsi="宋体"/>
              </w:rPr>
            </w:pPr>
            <w:r>
              <w:rPr>
                <w:rFonts w:hint="eastAsia" w:ascii="宋体" w:hAnsi="宋体"/>
              </w:rPr>
              <w:t>环境</w:t>
            </w:r>
          </w:p>
          <w:p w14:paraId="3550EB53">
            <w:pPr>
              <w:adjustRightInd w:val="0"/>
              <w:snapToGrid w:val="0"/>
              <w:jc w:val="center"/>
              <w:rPr>
                <w:rFonts w:hint="eastAsia" w:ascii="宋体" w:hAnsi="宋体"/>
              </w:rPr>
            </w:pPr>
            <w:r>
              <w:rPr>
                <w:rFonts w:hint="eastAsia" w:ascii="宋体" w:hAnsi="宋体"/>
              </w:rPr>
              <w:t>质量</w:t>
            </w:r>
          </w:p>
          <w:p w14:paraId="7C609C40">
            <w:pPr>
              <w:adjustRightInd w:val="0"/>
              <w:snapToGrid w:val="0"/>
              <w:jc w:val="center"/>
              <w:rPr>
                <w:rFonts w:hint="eastAsia" w:ascii="宋体" w:hAnsi="宋体"/>
              </w:rPr>
            </w:pPr>
            <w:r>
              <w:rPr>
                <w:rFonts w:hint="eastAsia" w:ascii="宋体" w:hAnsi="宋体"/>
              </w:rPr>
              <w:t>现状</w:t>
            </w:r>
          </w:p>
        </w:tc>
        <w:tc>
          <w:tcPr>
            <w:tcW w:w="8190" w:type="dxa"/>
            <w:vAlign w:val="center"/>
          </w:tcPr>
          <w:p w14:paraId="21573FEF">
            <w:pPr>
              <w:widowControl/>
              <w:spacing w:line="360" w:lineRule="auto"/>
              <w:ind w:firstLine="422" w:firstLineChars="200"/>
              <w:rPr>
                <w:b/>
                <w:bCs/>
                <w:lang w:bidi="ar"/>
              </w:rPr>
            </w:pPr>
            <w:r>
              <w:rPr>
                <w:rFonts w:hint="eastAsia"/>
                <w:b/>
                <w:bCs/>
                <w:lang w:bidi="ar"/>
              </w:rPr>
              <w:t>1、</w:t>
            </w:r>
            <w:r>
              <w:rPr>
                <w:b/>
                <w:bCs/>
              </w:rPr>
              <w:t>环境空气质量现状</w:t>
            </w:r>
          </w:p>
          <w:p w14:paraId="2B3C70E4">
            <w:pPr>
              <w:widowControl/>
              <w:spacing w:line="360" w:lineRule="auto"/>
              <w:ind w:firstLine="422" w:firstLineChars="200"/>
              <w:rPr>
                <w:b/>
                <w:bCs/>
                <w:lang w:bidi="ar"/>
              </w:rPr>
            </w:pPr>
            <w:r>
              <w:rPr>
                <w:rFonts w:hint="eastAsia"/>
                <w:b/>
                <w:bCs/>
              </w:rPr>
              <w:t>（1）区域环境空气达标判定</w:t>
            </w:r>
          </w:p>
          <w:p w14:paraId="48C3B617">
            <w:pPr>
              <w:pStyle w:val="2"/>
              <w:spacing w:line="360" w:lineRule="auto"/>
              <w:ind w:firstLine="420" w:firstLineChars="200"/>
              <w:jc w:val="both"/>
            </w:pPr>
            <w: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172D7357">
            <w:pPr>
              <w:pStyle w:val="2"/>
              <w:spacing w:line="360" w:lineRule="auto"/>
              <w:ind w:firstLine="420" w:firstLineChars="200"/>
              <w:jc w:val="both"/>
            </w:pPr>
            <w:r>
              <w:rPr>
                <w:rFonts w:hint="eastAsia"/>
              </w:rPr>
              <w:t>本项目位于四川省达州市通川经开区医药产业园11 栋3 层。为反映项目建设区域环境空气质量现状，本评价大气常规因子引用达州市生态环境局公布的达州市生态环境局官方网站发布的《达州市2023年环境空气质量状况》中通川区环境空气质量现状数据进行达标判定依据：</w:t>
            </w:r>
          </w:p>
          <w:p w14:paraId="45AE820F">
            <w:pPr>
              <w:autoSpaceDE w:val="0"/>
              <w:autoSpaceDN w:val="0"/>
              <w:adjustRightInd w:val="0"/>
              <w:snapToGrid w:val="0"/>
              <w:jc w:val="center"/>
              <w:rPr>
                <w:b/>
              </w:rPr>
            </w:pPr>
            <w:r>
              <w:rPr>
                <w:rFonts w:hint="eastAsia"/>
                <w:b/>
              </w:rPr>
              <w:t>表3-1  项目所在区域空气质量现状评价表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2688"/>
              <w:gridCol w:w="1163"/>
              <w:gridCol w:w="1163"/>
              <w:gridCol w:w="971"/>
              <w:gridCol w:w="795"/>
            </w:tblGrid>
            <w:tr w14:paraId="04DC1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048" w:type="dxa"/>
                  <w:shd w:val="clear" w:color="auto" w:fill="auto"/>
                  <w:vAlign w:val="center"/>
                </w:tcPr>
                <w:p w14:paraId="52C04ECB">
                  <w:pPr>
                    <w:jc w:val="center"/>
                    <w:rPr>
                      <w:b/>
                      <w:bCs/>
                    </w:rPr>
                  </w:pPr>
                  <w:r>
                    <w:rPr>
                      <w:b/>
                      <w:bCs/>
                    </w:rPr>
                    <w:t>污染物</w:t>
                  </w:r>
                </w:p>
              </w:tc>
              <w:tc>
                <w:tcPr>
                  <w:tcW w:w="2688" w:type="dxa"/>
                  <w:shd w:val="clear" w:color="auto" w:fill="auto"/>
                  <w:vAlign w:val="center"/>
                </w:tcPr>
                <w:p w14:paraId="369B9751">
                  <w:pPr>
                    <w:jc w:val="center"/>
                    <w:rPr>
                      <w:b/>
                      <w:bCs/>
                    </w:rPr>
                  </w:pPr>
                  <w:r>
                    <w:rPr>
                      <w:b/>
                      <w:bCs/>
                    </w:rPr>
                    <w:t>年评价指标</w:t>
                  </w:r>
                </w:p>
              </w:tc>
              <w:tc>
                <w:tcPr>
                  <w:tcW w:w="1163" w:type="dxa"/>
                  <w:shd w:val="clear" w:color="auto" w:fill="auto"/>
                  <w:vAlign w:val="center"/>
                </w:tcPr>
                <w:p w14:paraId="0A08C28A">
                  <w:pPr>
                    <w:jc w:val="center"/>
                    <w:rPr>
                      <w:b/>
                      <w:bCs/>
                    </w:rPr>
                  </w:pPr>
                  <w:r>
                    <w:rPr>
                      <w:b/>
                      <w:bCs/>
                    </w:rPr>
                    <w:t>现状浓度</w:t>
                  </w:r>
                </w:p>
                <w:p w14:paraId="0D1BDFE2">
                  <w:pPr>
                    <w:jc w:val="center"/>
                    <w:rPr>
                      <w:b/>
                      <w:bCs/>
                    </w:rPr>
                  </w:pPr>
                  <w:r>
                    <w:rPr>
                      <w:b/>
                      <w:bCs/>
                    </w:rPr>
                    <w:t>（ug/m</w:t>
                  </w:r>
                  <w:r>
                    <w:rPr>
                      <w:b/>
                      <w:bCs/>
                      <w:vertAlign w:val="superscript"/>
                    </w:rPr>
                    <w:t>3</w:t>
                  </w:r>
                  <w:r>
                    <w:rPr>
                      <w:b/>
                      <w:bCs/>
                    </w:rPr>
                    <w:t>）</w:t>
                  </w:r>
                </w:p>
              </w:tc>
              <w:tc>
                <w:tcPr>
                  <w:tcW w:w="1163" w:type="dxa"/>
                  <w:shd w:val="clear" w:color="auto" w:fill="auto"/>
                  <w:vAlign w:val="center"/>
                </w:tcPr>
                <w:p w14:paraId="016899FA">
                  <w:pPr>
                    <w:jc w:val="center"/>
                    <w:rPr>
                      <w:b/>
                      <w:bCs/>
                    </w:rPr>
                  </w:pPr>
                  <w:r>
                    <w:rPr>
                      <w:b/>
                      <w:bCs/>
                    </w:rPr>
                    <w:t>标准值</w:t>
                  </w:r>
                </w:p>
                <w:p w14:paraId="24E7BA21">
                  <w:pPr>
                    <w:jc w:val="center"/>
                    <w:rPr>
                      <w:b/>
                      <w:bCs/>
                    </w:rPr>
                  </w:pPr>
                  <w:r>
                    <w:rPr>
                      <w:b/>
                      <w:bCs/>
                    </w:rPr>
                    <w:t>（ug/m</w:t>
                  </w:r>
                  <w:r>
                    <w:rPr>
                      <w:b/>
                      <w:bCs/>
                      <w:vertAlign w:val="superscript"/>
                    </w:rPr>
                    <w:t>3</w:t>
                  </w:r>
                  <w:r>
                    <w:rPr>
                      <w:b/>
                      <w:bCs/>
                    </w:rPr>
                    <w:t>）</w:t>
                  </w:r>
                </w:p>
              </w:tc>
              <w:tc>
                <w:tcPr>
                  <w:tcW w:w="971" w:type="dxa"/>
                  <w:shd w:val="clear" w:color="auto" w:fill="auto"/>
                  <w:vAlign w:val="center"/>
                </w:tcPr>
                <w:p w14:paraId="68DC4134">
                  <w:pPr>
                    <w:jc w:val="center"/>
                    <w:rPr>
                      <w:b/>
                      <w:bCs/>
                    </w:rPr>
                  </w:pPr>
                  <w:r>
                    <w:rPr>
                      <w:b/>
                      <w:bCs/>
                    </w:rPr>
                    <w:t>占标率（%）</w:t>
                  </w:r>
                </w:p>
              </w:tc>
              <w:tc>
                <w:tcPr>
                  <w:tcW w:w="795" w:type="dxa"/>
                  <w:shd w:val="clear" w:color="auto" w:fill="auto"/>
                  <w:vAlign w:val="center"/>
                </w:tcPr>
                <w:p w14:paraId="64BE5C97">
                  <w:pPr>
                    <w:jc w:val="center"/>
                    <w:rPr>
                      <w:b/>
                      <w:bCs/>
                    </w:rPr>
                  </w:pPr>
                  <w:r>
                    <w:rPr>
                      <w:b/>
                      <w:bCs/>
                    </w:rPr>
                    <w:t>达标</w:t>
                  </w:r>
                </w:p>
                <w:p w14:paraId="75F2F634">
                  <w:pPr>
                    <w:jc w:val="center"/>
                    <w:rPr>
                      <w:b/>
                      <w:bCs/>
                    </w:rPr>
                  </w:pPr>
                  <w:r>
                    <w:rPr>
                      <w:b/>
                      <w:bCs/>
                    </w:rPr>
                    <w:t>情况</w:t>
                  </w:r>
                </w:p>
              </w:tc>
            </w:tr>
            <w:tr w14:paraId="7E8B7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048" w:type="dxa"/>
                  <w:shd w:val="clear" w:color="auto" w:fill="auto"/>
                  <w:vAlign w:val="center"/>
                </w:tcPr>
                <w:p w14:paraId="099AB814">
                  <w:pPr>
                    <w:jc w:val="center"/>
                  </w:pPr>
                  <w:r>
                    <w:t>SO</w:t>
                  </w:r>
                  <w:r>
                    <w:rPr>
                      <w:vertAlign w:val="subscript"/>
                    </w:rPr>
                    <w:t>2</w:t>
                  </w:r>
                </w:p>
              </w:tc>
              <w:tc>
                <w:tcPr>
                  <w:tcW w:w="2688" w:type="dxa"/>
                  <w:vMerge w:val="restart"/>
                  <w:shd w:val="clear" w:color="auto" w:fill="auto"/>
                  <w:vAlign w:val="center"/>
                </w:tcPr>
                <w:p w14:paraId="0F9486EC">
                  <w:pPr>
                    <w:jc w:val="center"/>
                  </w:pPr>
                  <w:r>
                    <w:t>年平均质量浓度</w:t>
                  </w:r>
                </w:p>
              </w:tc>
              <w:tc>
                <w:tcPr>
                  <w:tcW w:w="1163" w:type="dxa"/>
                  <w:shd w:val="clear" w:color="auto" w:fill="auto"/>
                  <w:vAlign w:val="center"/>
                </w:tcPr>
                <w:p w14:paraId="5008D34A">
                  <w:pPr>
                    <w:jc w:val="center"/>
                  </w:pPr>
                  <w:r>
                    <w:rPr>
                      <w:rFonts w:hint="eastAsia" w:cs="Times New Roman"/>
                    </w:rPr>
                    <w:t>9</w:t>
                  </w:r>
                </w:p>
              </w:tc>
              <w:tc>
                <w:tcPr>
                  <w:tcW w:w="1163" w:type="dxa"/>
                  <w:shd w:val="clear" w:color="auto" w:fill="auto"/>
                  <w:vAlign w:val="center"/>
                </w:tcPr>
                <w:p w14:paraId="7D9EA9A0">
                  <w:pPr>
                    <w:jc w:val="center"/>
                  </w:pPr>
                  <w:r>
                    <w:rPr>
                      <w:rFonts w:cs="Times New Roman"/>
                    </w:rPr>
                    <w:t>60</w:t>
                  </w:r>
                </w:p>
              </w:tc>
              <w:tc>
                <w:tcPr>
                  <w:tcW w:w="971" w:type="dxa"/>
                  <w:shd w:val="clear" w:color="auto" w:fill="auto"/>
                  <w:vAlign w:val="center"/>
                </w:tcPr>
                <w:p w14:paraId="4ADE66F8">
                  <w:pPr>
                    <w:jc w:val="center"/>
                  </w:pPr>
                  <w:r>
                    <w:rPr>
                      <w:rFonts w:hint="eastAsia" w:cs="Times New Roman"/>
                    </w:rPr>
                    <w:t>15</w:t>
                  </w:r>
                </w:p>
              </w:tc>
              <w:tc>
                <w:tcPr>
                  <w:tcW w:w="795" w:type="dxa"/>
                  <w:shd w:val="clear" w:color="auto" w:fill="auto"/>
                  <w:vAlign w:val="center"/>
                </w:tcPr>
                <w:p w14:paraId="51211E12">
                  <w:pPr>
                    <w:jc w:val="center"/>
                  </w:pPr>
                  <w:r>
                    <w:t>达标</w:t>
                  </w:r>
                </w:p>
              </w:tc>
            </w:tr>
            <w:tr w14:paraId="2985C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48" w:type="dxa"/>
                  <w:shd w:val="clear" w:color="auto" w:fill="auto"/>
                  <w:vAlign w:val="center"/>
                </w:tcPr>
                <w:p w14:paraId="47E916D0">
                  <w:pPr>
                    <w:jc w:val="center"/>
                  </w:pPr>
                  <w:r>
                    <w:t>NO</w:t>
                  </w:r>
                  <w:r>
                    <w:rPr>
                      <w:vertAlign w:val="subscript"/>
                    </w:rPr>
                    <w:t>2</w:t>
                  </w:r>
                </w:p>
              </w:tc>
              <w:tc>
                <w:tcPr>
                  <w:tcW w:w="2688" w:type="dxa"/>
                  <w:vMerge w:val="continue"/>
                  <w:shd w:val="clear" w:color="auto" w:fill="auto"/>
                  <w:vAlign w:val="center"/>
                </w:tcPr>
                <w:p w14:paraId="541D0E31">
                  <w:pPr>
                    <w:jc w:val="center"/>
                  </w:pPr>
                </w:p>
              </w:tc>
              <w:tc>
                <w:tcPr>
                  <w:tcW w:w="1163" w:type="dxa"/>
                  <w:shd w:val="clear" w:color="auto" w:fill="auto"/>
                  <w:vAlign w:val="center"/>
                </w:tcPr>
                <w:p w14:paraId="79B64577">
                  <w:pPr>
                    <w:jc w:val="center"/>
                  </w:pPr>
                  <w:r>
                    <w:rPr>
                      <w:rFonts w:hint="eastAsia" w:cs="Times New Roman"/>
                    </w:rPr>
                    <w:t>33</w:t>
                  </w:r>
                </w:p>
              </w:tc>
              <w:tc>
                <w:tcPr>
                  <w:tcW w:w="1163" w:type="dxa"/>
                  <w:shd w:val="clear" w:color="auto" w:fill="auto"/>
                  <w:vAlign w:val="center"/>
                </w:tcPr>
                <w:p w14:paraId="6093D400">
                  <w:pPr>
                    <w:jc w:val="center"/>
                  </w:pPr>
                  <w:r>
                    <w:rPr>
                      <w:rFonts w:cs="Times New Roman"/>
                    </w:rPr>
                    <w:t>40</w:t>
                  </w:r>
                </w:p>
              </w:tc>
              <w:tc>
                <w:tcPr>
                  <w:tcW w:w="971" w:type="dxa"/>
                  <w:shd w:val="clear" w:color="auto" w:fill="auto"/>
                  <w:vAlign w:val="center"/>
                </w:tcPr>
                <w:p w14:paraId="2238E1E3">
                  <w:pPr>
                    <w:jc w:val="center"/>
                  </w:pPr>
                  <w:r>
                    <w:rPr>
                      <w:rFonts w:hint="eastAsia" w:cs="Times New Roman"/>
                    </w:rPr>
                    <w:t>82.5</w:t>
                  </w:r>
                </w:p>
              </w:tc>
              <w:tc>
                <w:tcPr>
                  <w:tcW w:w="795" w:type="dxa"/>
                  <w:shd w:val="clear" w:color="auto" w:fill="auto"/>
                  <w:vAlign w:val="center"/>
                </w:tcPr>
                <w:p w14:paraId="7B3E8BCA">
                  <w:pPr>
                    <w:jc w:val="center"/>
                  </w:pPr>
                  <w:r>
                    <w:t>达标</w:t>
                  </w:r>
                </w:p>
              </w:tc>
            </w:tr>
            <w:tr w14:paraId="7B893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48" w:type="dxa"/>
                  <w:shd w:val="clear" w:color="auto" w:fill="auto"/>
                  <w:vAlign w:val="center"/>
                </w:tcPr>
                <w:p w14:paraId="0CE773D4">
                  <w:pPr>
                    <w:jc w:val="center"/>
                  </w:pPr>
                  <w:r>
                    <w:t>PM</w:t>
                  </w:r>
                  <w:r>
                    <w:rPr>
                      <w:vertAlign w:val="subscript"/>
                    </w:rPr>
                    <w:t>10</w:t>
                  </w:r>
                </w:p>
              </w:tc>
              <w:tc>
                <w:tcPr>
                  <w:tcW w:w="2688" w:type="dxa"/>
                  <w:vMerge w:val="continue"/>
                  <w:shd w:val="clear" w:color="auto" w:fill="auto"/>
                  <w:vAlign w:val="center"/>
                </w:tcPr>
                <w:p w14:paraId="26533A06">
                  <w:pPr>
                    <w:jc w:val="center"/>
                  </w:pPr>
                </w:p>
              </w:tc>
              <w:tc>
                <w:tcPr>
                  <w:tcW w:w="1163" w:type="dxa"/>
                  <w:shd w:val="clear" w:color="auto" w:fill="auto"/>
                  <w:vAlign w:val="center"/>
                </w:tcPr>
                <w:p w14:paraId="61E5BFE2">
                  <w:pPr>
                    <w:jc w:val="center"/>
                  </w:pPr>
                  <w:r>
                    <w:rPr>
                      <w:rFonts w:hint="eastAsia" w:cs="Times New Roman"/>
                    </w:rPr>
                    <w:t>56</w:t>
                  </w:r>
                </w:p>
              </w:tc>
              <w:tc>
                <w:tcPr>
                  <w:tcW w:w="1163" w:type="dxa"/>
                  <w:shd w:val="clear" w:color="auto" w:fill="auto"/>
                  <w:vAlign w:val="center"/>
                </w:tcPr>
                <w:p w14:paraId="45FF3AC9">
                  <w:pPr>
                    <w:jc w:val="center"/>
                  </w:pPr>
                  <w:r>
                    <w:rPr>
                      <w:rFonts w:cs="Times New Roman"/>
                    </w:rPr>
                    <w:t>70</w:t>
                  </w:r>
                </w:p>
              </w:tc>
              <w:tc>
                <w:tcPr>
                  <w:tcW w:w="971" w:type="dxa"/>
                  <w:shd w:val="clear" w:color="auto" w:fill="auto"/>
                  <w:vAlign w:val="center"/>
                </w:tcPr>
                <w:p w14:paraId="6B7F0A42">
                  <w:pPr>
                    <w:jc w:val="center"/>
                  </w:pPr>
                  <w:r>
                    <w:rPr>
                      <w:rFonts w:hint="eastAsia" w:cs="Times New Roman"/>
                    </w:rPr>
                    <w:t>80</w:t>
                  </w:r>
                </w:p>
              </w:tc>
              <w:tc>
                <w:tcPr>
                  <w:tcW w:w="795" w:type="dxa"/>
                  <w:shd w:val="clear" w:color="auto" w:fill="auto"/>
                  <w:vAlign w:val="center"/>
                </w:tcPr>
                <w:p w14:paraId="03B96CA2">
                  <w:pPr>
                    <w:jc w:val="center"/>
                  </w:pPr>
                  <w:r>
                    <w:t>达标</w:t>
                  </w:r>
                </w:p>
              </w:tc>
            </w:tr>
            <w:tr w14:paraId="3A1AB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48" w:type="dxa"/>
                  <w:shd w:val="clear" w:color="auto" w:fill="auto"/>
                  <w:vAlign w:val="center"/>
                </w:tcPr>
                <w:p w14:paraId="591B9004">
                  <w:pPr>
                    <w:jc w:val="center"/>
                  </w:pPr>
                  <w:r>
                    <w:t>PM</w:t>
                  </w:r>
                  <w:r>
                    <w:rPr>
                      <w:vertAlign w:val="subscript"/>
                    </w:rPr>
                    <w:t>2.5</w:t>
                  </w:r>
                </w:p>
              </w:tc>
              <w:tc>
                <w:tcPr>
                  <w:tcW w:w="2688" w:type="dxa"/>
                  <w:vMerge w:val="continue"/>
                  <w:shd w:val="clear" w:color="auto" w:fill="auto"/>
                  <w:vAlign w:val="center"/>
                </w:tcPr>
                <w:p w14:paraId="1170C94A">
                  <w:pPr>
                    <w:jc w:val="center"/>
                  </w:pPr>
                </w:p>
              </w:tc>
              <w:tc>
                <w:tcPr>
                  <w:tcW w:w="1163" w:type="dxa"/>
                  <w:shd w:val="clear" w:color="auto" w:fill="auto"/>
                  <w:vAlign w:val="center"/>
                </w:tcPr>
                <w:p w14:paraId="2EE6DB93">
                  <w:pPr>
                    <w:jc w:val="center"/>
                  </w:pPr>
                  <w:r>
                    <w:rPr>
                      <w:rFonts w:hint="eastAsia" w:cs="Times New Roman"/>
                    </w:rPr>
                    <w:t>31</w:t>
                  </w:r>
                </w:p>
              </w:tc>
              <w:tc>
                <w:tcPr>
                  <w:tcW w:w="1163" w:type="dxa"/>
                  <w:shd w:val="clear" w:color="auto" w:fill="auto"/>
                  <w:vAlign w:val="center"/>
                </w:tcPr>
                <w:p w14:paraId="69825903">
                  <w:pPr>
                    <w:jc w:val="center"/>
                  </w:pPr>
                  <w:r>
                    <w:rPr>
                      <w:rFonts w:cs="Times New Roman"/>
                    </w:rPr>
                    <w:t>35</w:t>
                  </w:r>
                </w:p>
              </w:tc>
              <w:tc>
                <w:tcPr>
                  <w:tcW w:w="971" w:type="dxa"/>
                  <w:shd w:val="clear" w:color="auto" w:fill="auto"/>
                  <w:vAlign w:val="center"/>
                </w:tcPr>
                <w:p w14:paraId="489DB449">
                  <w:pPr>
                    <w:jc w:val="center"/>
                  </w:pPr>
                  <w:r>
                    <w:rPr>
                      <w:rFonts w:hint="eastAsia" w:cs="Times New Roman"/>
                    </w:rPr>
                    <w:t>88.6</w:t>
                  </w:r>
                </w:p>
              </w:tc>
              <w:tc>
                <w:tcPr>
                  <w:tcW w:w="795" w:type="dxa"/>
                  <w:shd w:val="clear" w:color="auto" w:fill="auto"/>
                  <w:vAlign w:val="center"/>
                </w:tcPr>
                <w:p w14:paraId="651A3972">
                  <w:pPr>
                    <w:jc w:val="center"/>
                  </w:pPr>
                  <w:r>
                    <w:t>达标</w:t>
                  </w:r>
                </w:p>
              </w:tc>
            </w:tr>
            <w:tr w14:paraId="72506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48" w:type="dxa"/>
                  <w:shd w:val="clear" w:color="auto" w:fill="auto"/>
                  <w:vAlign w:val="center"/>
                </w:tcPr>
                <w:p w14:paraId="2EF616ED">
                  <w:pPr>
                    <w:jc w:val="center"/>
                  </w:pPr>
                  <w:r>
                    <w:t>CO</w:t>
                  </w:r>
                </w:p>
              </w:tc>
              <w:tc>
                <w:tcPr>
                  <w:tcW w:w="2688" w:type="dxa"/>
                  <w:shd w:val="clear" w:color="auto" w:fill="auto"/>
                  <w:vAlign w:val="center"/>
                </w:tcPr>
                <w:p w14:paraId="31DA6168">
                  <w:pPr>
                    <w:jc w:val="center"/>
                  </w:pPr>
                  <w:r>
                    <w:rPr>
                      <w:rFonts w:hint="eastAsia"/>
                    </w:rPr>
                    <w:t>日平均的第95%百分位数</w:t>
                  </w:r>
                </w:p>
              </w:tc>
              <w:tc>
                <w:tcPr>
                  <w:tcW w:w="1163" w:type="dxa"/>
                  <w:shd w:val="clear" w:color="auto" w:fill="auto"/>
                  <w:vAlign w:val="center"/>
                </w:tcPr>
                <w:p w14:paraId="21D7AE6C">
                  <w:pPr>
                    <w:jc w:val="center"/>
                  </w:pPr>
                  <w:r>
                    <w:rPr>
                      <w:rFonts w:cs="Times New Roman"/>
                    </w:rPr>
                    <w:t>1.</w:t>
                  </w:r>
                  <w:r>
                    <w:rPr>
                      <w:rFonts w:hint="eastAsia" w:cs="Times New Roman"/>
                    </w:rPr>
                    <w:t>4</w:t>
                  </w:r>
                  <w:r>
                    <w:rPr>
                      <w:rFonts w:cs="Times New Roman"/>
                    </w:rPr>
                    <w:t>mg/m</w:t>
                  </w:r>
                  <w:r>
                    <w:rPr>
                      <w:rFonts w:cs="Times New Roman"/>
                      <w:vertAlign w:val="superscript"/>
                    </w:rPr>
                    <w:t>3</w:t>
                  </w:r>
                </w:p>
              </w:tc>
              <w:tc>
                <w:tcPr>
                  <w:tcW w:w="1163" w:type="dxa"/>
                  <w:shd w:val="clear" w:color="auto" w:fill="auto"/>
                  <w:vAlign w:val="center"/>
                </w:tcPr>
                <w:p w14:paraId="6A4B1E54">
                  <w:pPr>
                    <w:jc w:val="center"/>
                  </w:pPr>
                  <w:r>
                    <w:rPr>
                      <w:rFonts w:cs="Times New Roman"/>
                    </w:rPr>
                    <w:t>4mg/m</w:t>
                  </w:r>
                  <w:r>
                    <w:rPr>
                      <w:rFonts w:cs="Times New Roman"/>
                      <w:vertAlign w:val="superscript"/>
                    </w:rPr>
                    <w:t>3</w:t>
                  </w:r>
                </w:p>
              </w:tc>
              <w:tc>
                <w:tcPr>
                  <w:tcW w:w="971" w:type="dxa"/>
                  <w:shd w:val="clear" w:color="auto" w:fill="auto"/>
                  <w:vAlign w:val="center"/>
                </w:tcPr>
                <w:p w14:paraId="5ED76617">
                  <w:pPr>
                    <w:jc w:val="center"/>
                  </w:pPr>
                  <w:r>
                    <w:rPr>
                      <w:rFonts w:hint="eastAsia" w:cs="Times New Roman"/>
                    </w:rPr>
                    <w:t>35</w:t>
                  </w:r>
                </w:p>
              </w:tc>
              <w:tc>
                <w:tcPr>
                  <w:tcW w:w="795" w:type="dxa"/>
                  <w:shd w:val="clear" w:color="auto" w:fill="auto"/>
                  <w:vAlign w:val="center"/>
                </w:tcPr>
                <w:p w14:paraId="08745793">
                  <w:pPr>
                    <w:jc w:val="center"/>
                  </w:pPr>
                  <w:r>
                    <w:t>达标</w:t>
                  </w:r>
                </w:p>
              </w:tc>
            </w:tr>
            <w:tr w14:paraId="7F133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48" w:type="dxa"/>
                  <w:shd w:val="clear" w:color="auto" w:fill="auto"/>
                  <w:vAlign w:val="center"/>
                </w:tcPr>
                <w:p w14:paraId="1173CDF6">
                  <w:pPr>
                    <w:jc w:val="center"/>
                  </w:pPr>
                  <w:r>
                    <w:t>O</w:t>
                  </w:r>
                  <w:r>
                    <w:rPr>
                      <w:vertAlign w:val="subscript"/>
                    </w:rPr>
                    <w:t>3</w:t>
                  </w:r>
                </w:p>
              </w:tc>
              <w:tc>
                <w:tcPr>
                  <w:tcW w:w="2688" w:type="dxa"/>
                  <w:shd w:val="clear" w:color="auto" w:fill="auto"/>
                  <w:vAlign w:val="center"/>
                </w:tcPr>
                <w:p w14:paraId="22B117A2">
                  <w:pPr>
                    <w:jc w:val="center"/>
                  </w:pPr>
                  <w:r>
                    <w:rPr>
                      <w:rFonts w:hint="eastAsia"/>
                    </w:rPr>
                    <w:t>日最大8小时平均的第90%百分位数</w:t>
                  </w:r>
                </w:p>
              </w:tc>
              <w:tc>
                <w:tcPr>
                  <w:tcW w:w="1163" w:type="dxa"/>
                  <w:shd w:val="clear" w:color="auto" w:fill="auto"/>
                  <w:vAlign w:val="center"/>
                </w:tcPr>
                <w:p w14:paraId="7EE45D57">
                  <w:pPr>
                    <w:jc w:val="center"/>
                  </w:pPr>
                  <w:r>
                    <w:rPr>
                      <w:rFonts w:cs="Times New Roman"/>
                    </w:rPr>
                    <w:t>1</w:t>
                  </w:r>
                  <w:r>
                    <w:rPr>
                      <w:rFonts w:hint="eastAsia" w:cs="Times New Roman"/>
                    </w:rPr>
                    <w:t>24</w:t>
                  </w:r>
                </w:p>
              </w:tc>
              <w:tc>
                <w:tcPr>
                  <w:tcW w:w="1163" w:type="dxa"/>
                  <w:shd w:val="clear" w:color="auto" w:fill="auto"/>
                  <w:vAlign w:val="center"/>
                </w:tcPr>
                <w:p w14:paraId="19DDDB5A">
                  <w:pPr>
                    <w:jc w:val="center"/>
                  </w:pPr>
                  <w:r>
                    <w:rPr>
                      <w:rFonts w:cs="Times New Roman"/>
                    </w:rPr>
                    <w:t>160</w:t>
                  </w:r>
                </w:p>
              </w:tc>
              <w:tc>
                <w:tcPr>
                  <w:tcW w:w="971" w:type="dxa"/>
                  <w:shd w:val="clear" w:color="auto" w:fill="auto"/>
                  <w:vAlign w:val="center"/>
                </w:tcPr>
                <w:p w14:paraId="6F34D233">
                  <w:pPr>
                    <w:jc w:val="center"/>
                  </w:pPr>
                  <w:r>
                    <w:rPr>
                      <w:rFonts w:hint="eastAsia" w:cs="Times New Roman"/>
                    </w:rPr>
                    <w:t>77.5</w:t>
                  </w:r>
                </w:p>
              </w:tc>
              <w:tc>
                <w:tcPr>
                  <w:tcW w:w="795" w:type="dxa"/>
                  <w:shd w:val="clear" w:color="auto" w:fill="auto"/>
                  <w:vAlign w:val="center"/>
                </w:tcPr>
                <w:p w14:paraId="5870EBCE">
                  <w:pPr>
                    <w:jc w:val="center"/>
                  </w:pPr>
                  <w:r>
                    <w:t>达标</w:t>
                  </w:r>
                </w:p>
              </w:tc>
            </w:tr>
          </w:tbl>
          <w:p w14:paraId="1E8AEAF7">
            <w:pPr>
              <w:widowControl/>
              <w:spacing w:line="360" w:lineRule="auto"/>
              <w:ind w:firstLine="420" w:firstLineChars="200"/>
              <w:rPr>
                <w:b/>
                <w:bCs/>
                <w:lang w:bidi="ar"/>
              </w:rPr>
            </w:pPr>
            <w:r>
              <w:t>从上表可知，</w:t>
            </w:r>
            <w:r>
              <w:rPr>
                <w:rFonts w:hint="eastAsia"/>
              </w:rPr>
              <w:t>2023年通川区环境空气SO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、CO、O</w:t>
            </w:r>
            <w:r>
              <w:rPr>
                <w:rFonts w:hint="eastAsia"/>
                <w:vertAlign w:val="subscript"/>
              </w:rPr>
              <w:t>3</w:t>
            </w:r>
            <w:r>
              <w:rPr>
                <w:rFonts w:hint="eastAsia"/>
              </w:rPr>
              <w:t>质量达到《环境空气质量标准》（GB3095-2012）中二级标准要求，</w:t>
            </w:r>
            <w:r>
              <w:t>确定</w:t>
            </w:r>
            <w:r>
              <w:rPr>
                <w:rFonts w:hint="eastAsia"/>
              </w:rPr>
              <w:t>项目所在区域为达标区。</w:t>
            </w:r>
          </w:p>
          <w:p w14:paraId="5264C57E">
            <w:pPr>
              <w:widowControl/>
              <w:spacing w:line="360" w:lineRule="auto"/>
              <w:ind w:firstLine="422" w:firstLineChars="200"/>
              <w:rPr>
                <w:b/>
                <w:bCs/>
                <w:lang w:bidi="ar"/>
              </w:rPr>
            </w:pPr>
            <w:r>
              <w:rPr>
                <w:rFonts w:hint="eastAsia"/>
                <w:b/>
                <w:bCs/>
              </w:rPr>
              <w:t>（</w:t>
            </w:r>
            <w:r>
              <w:rPr>
                <w:b/>
                <w:bCs/>
              </w:rPr>
              <w:t>2</w:t>
            </w:r>
            <w:r>
              <w:rPr>
                <w:rFonts w:hint="eastAsia"/>
                <w:b/>
                <w:bCs/>
              </w:rPr>
              <w:t>）特征因子环境质量现状评价</w:t>
            </w:r>
          </w:p>
          <w:p w14:paraId="404CEE8E">
            <w:pPr>
              <w:pStyle w:val="2"/>
              <w:spacing w:line="360" w:lineRule="auto"/>
              <w:ind w:firstLine="420" w:firstLineChars="200"/>
              <w:jc w:val="both"/>
            </w:pPr>
            <w:r>
              <w:rPr>
                <w:rFonts w:hint="eastAsia"/>
              </w:rPr>
              <w:t>本项目大气污染特征因子为颗粒物。为了解项目所在区域大气环境总悬浮颗粒物环境质量现状，特委托四川省汉谱环境检测服务有限公司于2024.8.26~2024.8.29对项目所在区域总悬浮颗粒物进行环境质量检测。监测结果如下表所示。</w:t>
            </w:r>
          </w:p>
          <w:p w14:paraId="6268A2F6">
            <w:pPr>
              <w:autoSpaceDE w:val="0"/>
              <w:autoSpaceDN w:val="0"/>
              <w:adjustRightInd w:val="0"/>
              <w:snapToGrid w:val="0"/>
              <w:jc w:val="center"/>
              <w:rPr>
                <w:b/>
              </w:rPr>
            </w:pPr>
            <w:r>
              <w:rPr>
                <w:rFonts w:hint="eastAsia"/>
                <w:b/>
              </w:rPr>
              <w:t>表3-2  特征因子监测数据统计表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6"/>
              <w:gridCol w:w="2473"/>
              <w:gridCol w:w="1891"/>
              <w:gridCol w:w="1685"/>
            </w:tblGrid>
            <w:tr w14:paraId="05836B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0" w:hRule="atLeast"/>
                <w:jc w:val="center"/>
              </w:trPr>
              <w:tc>
                <w:tcPr>
                  <w:tcW w:w="1236" w:type="pct"/>
                  <w:shd w:val="clear" w:color="auto" w:fill="auto"/>
                  <w:vAlign w:val="center"/>
                </w:tcPr>
                <w:p w14:paraId="71892FD5">
                  <w:pPr>
                    <w:jc w:val="center"/>
                  </w:pPr>
                  <w:r>
                    <w:rPr>
                      <w:rFonts w:hint="eastAsia"/>
                      <w:b/>
                      <w:bCs/>
                    </w:rPr>
                    <w:t>监测因子</w:t>
                  </w:r>
                </w:p>
              </w:tc>
              <w:tc>
                <w:tcPr>
                  <w:tcW w:w="1539" w:type="pct"/>
                  <w:shd w:val="clear" w:color="auto" w:fill="auto"/>
                  <w:vAlign w:val="center"/>
                </w:tcPr>
                <w:p w14:paraId="36FCF597">
                  <w:pPr>
                    <w:jc w:val="center"/>
                  </w:pPr>
                  <w:r>
                    <w:rPr>
                      <w:rFonts w:hint="eastAsia"/>
                      <w:b/>
                      <w:bCs/>
                    </w:rPr>
                    <w:t>检测日期</w:t>
                  </w:r>
                </w:p>
              </w:tc>
              <w:tc>
                <w:tcPr>
                  <w:tcW w:w="1177" w:type="pct"/>
                  <w:shd w:val="clear" w:color="auto" w:fill="auto"/>
                  <w:vAlign w:val="center"/>
                </w:tcPr>
                <w:p w14:paraId="21667B66">
                  <w:pPr>
                    <w:jc w:val="center"/>
                    <w:rPr>
                      <w:b/>
                      <w:bCs/>
                    </w:rPr>
                  </w:pPr>
                  <w:r>
                    <w:rPr>
                      <w:rFonts w:hint="eastAsia"/>
                      <w:b/>
                      <w:bCs/>
                    </w:rPr>
                    <w:t>检测结果</w:t>
                  </w:r>
                </w:p>
                <w:p w14:paraId="7398ADDA">
                  <w:pPr>
                    <w:jc w:val="center"/>
                  </w:pPr>
                  <w:r>
                    <w:rPr>
                      <w:b/>
                      <w:bCs/>
                    </w:rPr>
                    <w:t>（</w:t>
                  </w:r>
                  <w:r>
                    <w:rPr>
                      <w:rFonts w:hint="eastAsia"/>
                      <w:b/>
                      <w:bCs/>
                    </w:rPr>
                    <w:t>m</w:t>
                  </w:r>
                  <w:r>
                    <w:rPr>
                      <w:b/>
                      <w:bCs/>
                    </w:rPr>
                    <w:t>g/m</w:t>
                  </w:r>
                  <w:r>
                    <w:rPr>
                      <w:b/>
                      <w:bCs/>
                      <w:vertAlign w:val="superscript"/>
                    </w:rPr>
                    <w:t>3</w:t>
                  </w:r>
                  <w:r>
                    <w:rPr>
                      <w:b/>
                      <w:bCs/>
                    </w:rPr>
                    <w:t>）</w:t>
                  </w:r>
                </w:p>
              </w:tc>
              <w:tc>
                <w:tcPr>
                  <w:tcW w:w="1048" w:type="pct"/>
                  <w:shd w:val="clear" w:color="auto" w:fill="auto"/>
                  <w:vAlign w:val="center"/>
                </w:tcPr>
                <w:p w14:paraId="43526E12">
                  <w:pPr>
                    <w:jc w:val="center"/>
                    <w:rPr>
                      <w:b/>
                      <w:bCs/>
                    </w:rPr>
                  </w:pPr>
                  <w:r>
                    <w:rPr>
                      <w:rFonts w:hint="eastAsia"/>
                      <w:b/>
                      <w:bCs/>
                    </w:rPr>
                    <w:t>浓度限值</w:t>
                  </w:r>
                </w:p>
                <w:p w14:paraId="4C557557">
                  <w:pPr>
                    <w:jc w:val="center"/>
                  </w:pPr>
                  <w:r>
                    <w:rPr>
                      <w:b/>
                      <w:bCs/>
                    </w:rPr>
                    <w:t>（</w:t>
                  </w:r>
                  <w:r>
                    <w:rPr>
                      <w:rFonts w:hint="eastAsia"/>
                      <w:b/>
                      <w:bCs/>
                    </w:rPr>
                    <w:t>m</w:t>
                  </w:r>
                  <w:r>
                    <w:rPr>
                      <w:b/>
                      <w:bCs/>
                    </w:rPr>
                    <w:t>g/m</w:t>
                  </w:r>
                  <w:r>
                    <w:rPr>
                      <w:b/>
                      <w:bCs/>
                      <w:vertAlign w:val="superscript"/>
                    </w:rPr>
                    <w:t>3</w:t>
                  </w:r>
                  <w:r>
                    <w:rPr>
                      <w:b/>
                      <w:bCs/>
                    </w:rPr>
                    <w:t>）</w:t>
                  </w:r>
                </w:p>
              </w:tc>
            </w:tr>
            <w:tr w14:paraId="7A65F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36" w:type="pct"/>
                  <w:vMerge w:val="restart"/>
                  <w:shd w:val="clear" w:color="auto" w:fill="auto"/>
                  <w:vAlign w:val="center"/>
                </w:tcPr>
                <w:p w14:paraId="1DBC8F10">
                  <w:pPr>
                    <w:jc w:val="center"/>
                  </w:pPr>
                  <w:r>
                    <w:rPr>
                      <w:rFonts w:hint="eastAsia"/>
                    </w:rPr>
                    <w:t>总悬浮颗粒物（24 小时平均）</w:t>
                  </w:r>
                </w:p>
              </w:tc>
              <w:tc>
                <w:tcPr>
                  <w:tcW w:w="1539" w:type="pct"/>
                  <w:shd w:val="clear" w:color="auto" w:fill="auto"/>
                  <w:vAlign w:val="center"/>
                </w:tcPr>
                <w:p w14:paraId="65C90C36">
                  <w:pPr>
                    <w:jc w:val="center"/>
                  </w:pPr>
                  <w:r>
                    <w:t>202</w:t>
                  </w:r>
                  <w:r>
                    <w:rPr>
                      <w:rFonts w:hint="eastAsia"/>
                    </w:rPr>
                    <w:t>4</w:t>
                  </w:r>
                  <w:r>
                    <w:t>.</w:t>
                  </w:r>
                  <w:r>
                    <w:rPr>
                      <w:rFonts w:hint="eastAsia"/>
                    </w:rPr>
                    <w:t>8</w:t>
                  </w:r>
                  <w:r>
                    <w:t>.</w:t>
                  </w:r>
                  <w:r>
                    <w:rPr>
                      <w:rFonts w:hint="eastAsia"/>
                    </w:rPr>
                    <w:t>26</w:t>
                  </w:r>
                  <w:r>
                    <w:t>~202</w:t>
                  </w:r>
                  <w:r>
                    <w:rPr>
                      <w:rFonts w:hint="eastAsia"/>
                    </w:rPr>
                    <w:t>4</w:t>
                  </w:r>
                  <w:r>
                    <w:t>.</w:t>
                  </w:r>
                  <w:r>
                    <w:rPr>
                      <w:rFonts w:hint="eastAsia"/>
                    </w:rPr>
                    <w:t>8</w:t>
                  </w:r>
                  <w:r>
                    <w:t>.</w:t>
                  </w:r>
                  <w:r>
                    <w:rPr>
                      <w:rFonts w:hint="eastAsia"/>
                    </w:rPr>
                    <w:t>27</w:t>
                  </w:r>
                </w:p>
              </w:tc>
              <w:tc>
                <w:tcPr>
                  <w:tcW w:w="1177" w:type="pct"/>
                  <w:shd w:val="clear" w:color="auto" w:fill="auto"/>
                  <w:vAlign w:val="center"/>
                </w:tcPr>
                <w:p w14:paraId="6CE664AE">
                  <w:pPr>
                    <w:jc w:val="center"/>
                  </w:pPr>
                  <w:r>
                    <w:rPr>
                      <w:rFonts w:hint="eastAsia"/>
                    </w:rPr>
                    <w:t>0.067</w:t>
                  </w:r>
                </w:p>
              </w:tc>
              <w:tc>
                <w:tcPr>
                  <w:tcW w:w="1048" w:type="pct"/>
                  <w:vMerge w:val="restart"/>
                  <w:shd w:val="clear" w:color="auto" w:fill="auto"/>
                  <w:vAlign w:val="center"/>
                </w:tcPr>
                <w:p w14:paraId="5DB16B15">
                  <w:pPr>
                    <w:jc w:val="center"/>
                  </w:pPr>
                  <w:r>
                    <w:rPr>
                      <w:rFonts w:hint="eastAsia"/>
                    </w:rPr>
                    <w:t>300（二级）</w:t>
                  </w:r>
                </w:p>
              </w:tc>
            </w:tr>
            <w:tr w14:paraId="3DCFA9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36" w:type="pct"/>
                  <w:vMerge w:val="continue"/>
                  <w:shd w:val="clear" w:color="auto" w:fill="auto"/>
                  <w:vAlign w:val="center"/>
                </w:tcPr>
                <w:p w14:paraId="350845BE">
                  <w:pPr>
                    <w:jc w:val="center"/>
                  </w:pPr>
                </w:p>
              </w:tc>
              <w:tc>
                <w:tcPr>
                  <w:tcW w:w="1539" w:type="pct"/>
                  <w:shd w:val="clear" w:color="auto" w:fill="auto"/>
                  <w:vAlign w:val="center"/>
                </w:tcPr>
                <w:p w14:paraId="19686AC2">
                  <w:pPr>
                    <w:jc w:val="center"/>
                  </w:pPr>
                  <w:r>
                    <w:t>202</w:t>
                  </w:r>
                  <w:r>
                    <w:rPr>
                      <w:rFonts w:hint="eastAsia"/>
                    </w:rPr>
                    <w:t>4</w:t>
                  </w:r>
                  <w:r>
                    <w:t>.</w:t>
                  </w:r>
                  <w:r>
                    <w:rPr>
                      <w:rFonts w:hint="eastAsia"/>
                    </w:rPr>
                    <w:t>8</w:t>
                  </w:r>
                  <w:r>
                    <w:t>.</w:t>
                  </w:r>
                  <w:r>
                    <w:rPr>
                      <w:rFonts w:hint="eastAsia"/>
                    </w:rPr>
                    <w:t>27</w:t>
                  </w:r>
                  <w:r>
                    <w:t>~202</w:t>
                  </w:r>
                  <w:r>
                    <w:rPr>
                      <w:rFonts w:hint="eastAsia"/>
                    </w:rPr>
                    <w:t>4</w:t>
                  </w:r>
                  <w:r>
                    <w:t>.</w:t>
                  </w:r>
                  <w:r>
                    <w:rPr>
                      <w:rFonts w:hint="eastAsia"/>
                    </w:rPr>
                    <w:t>8</w:t>
                  </w:r>
                  <w:r>
                    <w:t>.</w:t>
                  </w:r>
                  <w:r>
                    <w:rPr>
                      <w:rFonts w:hint="eastAsia"/>
                    </w:rPr>
                    <w:t>28</w:t>
                  </w:r>
                </w:p>
              </w:tc>
              <w:tc>
                <w:tcPr>
                  <w:tcW w:w="1177" w:type="pct"/>
                  <w:shd w:val="clear" w:color="auto" w:fill="auto"/>
                  <w:vAlign w:val="center"/>
                </w:tcPr>
                <w:p w14:paraId="55D45B0F">
                  <w:pPr>
                    <w:jc w:val="center"/>
                  </w:pPr>
                  <w:r>
                    <w:rPr>
                      <w:rFonts w:hint="eastAsia"/>
                    </w:rPr>
                    <w:t>0.061</w:t>
                  </w:r>
                </w:p>
              </w:tc>
              <w:tc>
                <w:tcPr>
                  <w:tcW w:w="1048" w:type="pct"/>
                  <w:vMerge w:val="continue"/>
                  <w:shd w:val="clear" w:color="auto" w:fill="auto"/>
                  <w:vAlign w:val="center"/>
                </w:tcPr>
                <w:p w14:paraId="4EB62C55">
                  <w:pPr>
                    <w:jc w:val="center"/>
                  </w:pPr>
                </w:p>
              </w:tc>
            </w:tr>
            <w:tr w14:paraId="392B9F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36" w:type="pct"/>
                  <w:vMerge w:val="continue"/>
                  <w:shd w:val="clear" w:color="auto" w:fill="auto"/>
                  <w:vAlign w:val="center"/>
                </w:tcPr>
                <w:p w14:paraId="62A92712">
                  <w:pPr>
                    <w:jc w:val="center"/>
                  </w:pPr>
                </w:p>
              </w:tc>
              <w:tc>
                <w:tcPr>
                  <w:tcW w:w="1539" w:type="pct"/>
                  <w:shd w:val="clear" w:color="auto" w:fill="auto"/>
                  <w:vAlign w:val="center"/>
                </w:tcPr>
                <w:p w14:paraId="0E4CC000">
                  <w:pPr>
                    <w:jc w:val="center"/>
                  </w:pPr>
                  <w:r>
                    <w:t>202</w:t>
                  </w:r>
                  <w:r>
                    <w:rPr>
                      <w:rFonts w:hint="eastAsia"/>
                    </w:rPr>
                    <w:t>4</w:t>
                  </w:r>
                  <w:r>
                    <w:t>.</w:t>
                  </w:r>
                  <w:r>
                    <w:rPr>
                      <w:rFonts w:hint="eastAsia"/>
                    </w:rPr>
                    <w:t>8</w:t>
                  </w:r>
                  <w:r>
                    <w:t>.</w:t>
                  </w:r>
                  <w:r>
                    <w:rPr>
                      <w:rFonts w:hint="eastAsia"/>
                    </w:rPr>
                    <w:t>28</w:t>
                  </w:r>
                  <w:r>
                    <w:t>~202</w:t>
                  </w:r>
                  <w:r>
                    <w:rPr>
                      <w:rFonts w:hint="eastAsia"/>
                    </w:rPr>
                    <w:t>4</w:t>
                  </w:r>
                  <w:r>
                    <w:t>.</w:t>
                  </w:r>
                  <w:r>
                    <w:rPr>
                      <w:rFonts w:hint="eastAsia"/>
                    </w:rPr>
                    <w:t>8</w:t>
                  </w:r>
                  <w:r>
                    <w:t>.</w:t>
                  </w:r>
                  <w:r>
                    <w:rPr>
                      <w:rFonts w:hint="eastAsia"/>
                    </w:rPr>
                    <w:t>29</w:t>
                  </w:r>
                </w:p>
              </w:tc>
              <w:tc>
                <w:tcPr>
                  <w:tcW w:w="1177" w:type="pct"/>
                  <w:shd w:val="clear" w:color="auto" w:fill="auto"/>
                  <w:vAlign w:val="center"/>
                </w:tcPr>
                <w:p w14:paraId="316E670A">
                  <w:pPr>
                    <w:jc w:val="center"/>
                  </w:pPr>
                  <w:r>
                    <w:rPr>
                      <w:rFonts w:hint="eastAsia"/>
                    </w:rPr>
                    <w:t>0.057</w:t>
                  </w:r>
                </w:p>
              </w:tc>
              <w:tc>
                <w:tcPr>
                  <w:tcW w:w="1048" w:type="pct"/>
                  <w:vMerge w:val="continue"/>
                  <w:shd w:val="clear" w:color="auto" w:fill="auto"/>
                  <w:vAlign w:val="center"/>
                </w:tcPr>
                <w:p w14:paraId="7373B675">
                  <w:pPr>
                    <w:jc w:val="center"/>
                  </w:pPr>
                </w:p>
              </w:tc>
            </w:tr>
          </w:tbl>
          <w:p w14:paraId="69BC753D">
            <w:pPr>
              <w:pStyle w:val="2"/>
              <w:spacing w:line="360" w:lineRule="auto"/>
              <w:ind w:firstLine="420" w:firstLineChars="200"/>
              <w:jc w:val="both"/>
            </w:pPr>
            <w:r>
              <w:rPr>
                <w:rFonts w:hint="eastAsia"/>
              </w:rPr>
              <w:t>由上表可知，项目所在区域总悬浮颗粒物（24小时平均）满足《环境空气质量标准》（GB3095-2012）二级浓度限值，说明该区域环境空气质量良好。</w:t>
            </w:r>
          </w:p>
          <w:p w14:paraId="7DEA9E8A">
            <w:pPr>
              <w:widowControl/>
              <w:spacing w:line="360" w:lineRule="auto"/>
              <w:ind w:firstLine="422" w:firstLineChars="200"/>
              <w:rPr>
                <w:b/>
                <w:bCs/>
                <w:lang w:bidi="ar"/>
              </w:rPr>
            </w:pPr>
            <w:r>
              <w:rPr>
                <w:rFonts w:hint="eastAsia"/>
                <w:b/>
                <w:bCs/>
                <w:lang w:bidi="ar"/>
              </w:rPr>
              <w:t>2、地表水环境质量现状</w:t>
            </w:r>
          </w:p>
          <w:p w14:paraId="2CD11E3A">
            <w:pPr>
              <w:pStyle w:val="2"/>
              <w:spacing w:line="360" w:lineRule="auto"/>
              <w:ind w:firstLine="420" w:firstLineChars="200"/>
              <w:jc w:val="both"/>
            </w:pPr>
            <w:r>
              <w:rPr>
                <w:rFonts w:hint="eastAsia"/>
              </w:rPr>
              <w:t>根据《建设项目环境影响报告表编制技术指南（污染影响类）（试行）》的要求，引用与建设项目距离近的有效数据，包括近3年的规划环境影响评价的监测数据，所在流域控制单元内国家、地方控制断面监测数据，生态环境主管部门发布的水环境质量数据或地表水达标情况的结论。</w:t>
            </w:r>
          </w:p>
          <w:p w14:paraId="1C8AEE62">
            <w:pPr>
              <w:pStyle w:val="2"/>
              <w:spacing w:line="360" w:lineRule="auto"/>
              <w:ind w:firstLine="420" w:firstLineChars="200"/>
              <w:jc w:val="both"/>
            </w:pPr>
            <w:r>
              <w:rPr>
                <w:rFonts w:hint="eastAsia"/>
              </w:rPr>
              <w:t>本项目废水经厂区污水处理站处理后排入魏兴场镇污水处理厂处理达《城镇污水处理厂污染物排放标准》（GB18918-2002）中一级标准中的A标准后排入州河，州河属于Ⅲ类水域，地表水环境质量执行 《地表水环境质量标准》（GB3838-2002）中Ⅲ类标准。</w:t>
            </w:r>
          </w:p>
          <w:p w14:paraId="607FACE6">
            <w:pPr>
              <w:pStyle w:val="2"/>
              <w:spacing w:line="360" w:lineRule="auto"/>
              <w:ind w:firstLine="420" w:firstLineChars="200"/>
              <w:jc w:val="both"/>
            </w:pPr>
            <w:r>
              <w:rPr>
                <w:rFonts w:hint="eastAsia"/>
              </w:rPr>
              <w:t>根据《环境影响评价技术导则地表水环境》（HJ2.3-2018），水环境质量现状调查应根据不同评价等级对应的评价时期要求开展水环境质量现状调查；应优先采用国务院生态环境保护主管部门统一发布的水环境状况信息。本报告采用州河的水质月报数据说明区域的水环境质量。根据《2024年5月达州市地表水水质月报》：2024年5月全市37个河流断面中，优（Ⅰ~Ⅱ类）良（Ⅲ类）水质断面36个，占比97.3%。项目涉及断面为车家河断面，区域水质评价结果表如下。</w:t>
            </w:r>
          </w:p>
          <w:p w14:paraId="42BAD007">
            <w:pPr>
              <w:autoSpaceDE w:val="0"/>
              <w:autoSpaceDN w:val="0"/>
              <w:adjustRightInd w:val="0"/>
              <w:snapToGrid w:val="0"/>
              <w:jc w:val="center"/>
              <w:rPr>
                <w:b/>
              </w:rPr>
            </w:pPr>
            <w:r>
              <w:rPr>
                <w:b/>
              </w:rPr>
              <w:t>表</w:t>
            </w:r>
            <w:r>
              <w:rPr>
                <w:rFonts w:hint="eastAsia"/>
                <w:b/>
              </w:rPr>
              <w:t>3-3</w:t>
            </w:r>
            <w:r>
              <w:rPr>
                <w:b/>
              </w:rPr>
              <w:t xml:space="preserve">  202</w:t>
            </w:r>
            <w:r>
              <w:rPr>
                <w:rFonts w:hint="eastAsia"/>
                <w:b/>
              </w:rPr>
              <w:t>4</w:t>
            </w:r>
            <w:r>
              <w:rPr>
                <w:b/>
              </w:rPr>
              <w:t>年</w:t>
            </w:r>
            <w:r>
              <w:rPr>
                <w:rFonts w:hint="eastAsia"/>
                <w:b/>
              </w:rPr>
              <w:t>5月州河水质评价结果表</w:t>
            </w:r>
          </w:p>
          <w:tbl>
            <w:tblPr>
              <w:tblStyle w:val="57"/>
              <w:tblW w:w="80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1041"/>
              <w:gridCol w:w="708"/>
              <w:gridCol w:w="851"/>
              <w:gridCol w:w="850"/>
              <w:gridCol w:w="709"/>
              <w:gridCol w:w="709"/>
              <w:gridCol w:w="709"/>
              <w:gridCol w:w="708"/>
              <w:gridCol w:w="1353"/>
            </w:tblGrid>
            <w:tr w14:paraId="59FA0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397" w:type="dxa"/>
                  <w:vAlign w:val="center"/>
                </w:tcPr>
                <w:p w14:paraId="13CB6DC5">
                  <w:pPr>
                    <w:widowControl/>
                    <w:jc w:val="center"/>
                    <w:rPr>
                      <w:rFonts w:cs="Times New Roman"/>
                      <w:b/>
                      <w:bCs/>
                      <w:sz w:val="18"/>
                      <w:szCs w:val="18"/>
                    </w:rPr>
                  </w:pPr>
                  <w:r>
                    <w:rPr>
                      <w:rFonts w:cs="Times New Roman"/>
                      <w:b/>
                      <w:bCs/>
                      <w:sz w:val="18"/>
                      <w:szCs w:val="18"/>
                    </w:rPr>
                    <w:t>序号</w:t>
                  </w:r>
                </w:p>
              </w:tc>
              <w:tc>
                <w:tcPr>
                  <w:tcW w:w="1749" w:type="dxa"/>
                  <w:gridSpan w:val="2"/>
                  <w:vAlign w:val="center"/>
                </w:tcPr>
                <w:p w14:paraId="7E3ECE24">
                  <w:pPr>
                    <w:widowControl/>
                    <w:jc w:val="center"/>
                    <w:rPr>
                      <w:rFonts w:cs="Times New Roman"/>
                      <w:b/>
                      <w:bCs/>
                      <w:sz w:val="18"/>
                      <w:szCs w:val="18"/>
                    </w:rPr>
                  </w:pPr>
                  <w:r>
                    <w:rPr>
                      <w:rFonts w:cs="Times New Roman"/>
                      <w:b/>
                      <w:bCs/>
                      <w:sz w:val="18"/>
                      <w:szCs w:val="18"/>
                    </w:rPr>
                    <w:t>河流</w:t>
                  </w:r>
                </w:p>
              </w:tc>
              <w:tc>
                <w:tcPr>
                  <w:tcW w:w="851" w:type="dxa"/>
                  <w:vAlign w:val="center"/>
                </w:tcPr>
                <w:p w14:paraId="4A774865">
                  <w:pPr>
                    <w:widowControl/>
                    <w:jc w:val="center"/>
                    <w:rPr>
                      <w:rFonts w:cs="Times New Roman"/>
                      <w:b/>
                      <w:bCs/>
                      <w:sz w:val="18"/>
                      <w:szCs w:val="18"/>
                    </w:rPr>
                  </w:pPr>
                  <w:r>
                    <w:rPr>
                      <w:rFonts w:cs="Times New Roman"/>
                      <w:b/>
                      <w:bCs/>
                      <w:sz w:val="18"/>
                      <w:szCs w:val="18"/>
                    </w:rPr>
                    <w:t>断面名称</w:t>
                  </w:r>
                </w:p>
              </w:tc>
              <w:tc>
                <w:tcPr>
                  <w:tcW w:w="850" w:type="dxa"/>
                  <w:vAlign w:val="center"/>
                </w:tcPr>
                <w:p w14:paraId="5D211458">
                  <w:pPr>
                    <w:widowControl/>
                    <w:jc w:val="center"/>
                    <w:rPr>
                      <w:rFonts w:cs="Times New Roman"/>
                      <w:b/>
                      <w:bCs/>
                      <w:sz w:val="18"/>
                      <w:szCs w:val="18"/>
                    </w:rPr>
                  </w:pPr>
                  <w:r>
                    <w:rPr>
                      <w:rFonts w:cs="Times New Roman"/>
                      <w:b/>
                      <w:bCs/>
                      <w:sz w:val="18"/>
                      <w:szCs w:val="18"/>
                    </w:rPr>
                    <w:t>断面属性</w:t>
                  </w:r>
                </w:p>
              </w:tc>
              <w:tc>
                <w:tcPr>
                  <w:tcW w:w="709" w:type="dxa"/>
                  <w:vAlign w:val="center"/>
                </w:tcPr>
                <w:p w14:paraId="59166303">
                  <w:pPr>
                    <w:widowControl/>
                    <w:jc w:val="center"/>
                    <w:rPr>
                      <w:rFonts w:cs="Times New Roman"/>
                      <w:b/>
                      <w:bCs/>
                      <w:sz w:val="18"/>
                      <w:szCs w:val="18"/>
                    </w:rPr>
                  </w:pPr>
                  <w:r>
                    <w:rPr>
                      <w:rFonts w:cs="Times New Roman"/>
                      <w:b/>
                      <w:bCs/>
                      <w:sz w:val="18"/>
                      <w:szCs w:val="18"/>
                    </w:rPr>
                    <w:t>断面性质</w:t>
                  </w:r>
                </w:p>
              </w:tc>
              <w:tc>
                <w:tcPr>
                  <w:tcW w:w="709" w:type="dxa"/>
                  <w:vAlign w:val="center"/>
                </w:tcPr>
                <w:p w14:paraId="40118676">
                  <w:pPr>
                    <w:widowControl/>
                    <w:jc w:val="center"/>
                    <w:rPr>
                      <w:rFonts w:cs="Times New Roman"/>
                      <w:b/>
                      <w:bCs/>
                      <w:sz w:val="18"/>
                      <w:szCs w:val="18"/>
                    </w:rPr>
                  </w:pPr>
                  <w:r>
                    <w:rPr>
                      <w:rFonts w:cs="Times New Roman"/>
                      <w:b/>
                      <w:bCs/>
                      <w:sz w:val="18"/>
                      <w:szCs w:val="18"/>
                    </w:rPr>
                    <w:t>上年同期</w:t>
                  </w:r>
                </w:p>
              </w:tc>
              <w:tc>
                <w:tcPr>
                  <w:tcW w:w="709" w:type="dxa"/>
                  <w:vAlign w:val="center"/>
                </w:tcPr>
                <w:p w14:paraId="3206331F">
                  <w:pPr>
                    <w:widowControl/>
                    <w:jc w:val="center"/>
                    <w:rPr>
                      <w:rFonts w:cs="Times New Roman"/>
                      <w:b/>
                      <w:bCs/>
                      <w:sz w:val="18"/>
                      <w:szCs w:val="18"/>
                    </w:rPr>
                  </w:pPr>
                  <w:r>
                    <w:rPr>
                      <w:rFonts w:cs="Times New Roman"/>
                      <w:b/>
                      <w:bCs/>
                      <w:sz w:val="18"/>
                      <w:szCs w:val="18"/>
                    </w:rPr>
                    <w:t>上月类别</w:t>
                  </w:r>
                </w:p>
              </w:tc>
              <w:tc>
                <w:tcPr>
                  <w:tcW w:w="708" w:type="dxa"/>
                  <w:vAlign w:val="center"/>
                </w:tcPr>
                <w:p w14:paraId="6EB9FCE9">
                  <w:pPr>
                    <w:widowControl/>
                    <w:jc w:val="center"/>
                    <w:rPr>
                      <w:rFonts w:cs="Times New Roman"/>
                      <w:b/>
                      <w:bCs/>
                      <w:sz w:val="18"/>
                      <w:szCs w:val="18"/>
                    </w:rPr>
                  </w:pPr>
                  <w:r>
                    <w:rPr>
                      <w:rFonts w:cs="Times New Roman"/>
                      <w:b/>
                      <w:bCs/>
                      <w:sz w:val="18"/>
                      <w:szCs w:val="18"/>
                    </w:rPr>
                    <w:t>本月类别</w:t>
                  </w:r>
                </w:p>
              </w:tc>
              <w:tc>
                <w:tcPr>
                  <w:tcW w:w="1353" w:type="dxa"/>
                  <w:vAlign w:val="center"/>
                </w:tcPr>
                <w:p w14:paraId="70286D67">
                  <w:pPr>
                    <w:widowControl/>
                    <w:jc w:val="center"/>
                    <w:rPr>
                      <w:rFonts w:cs="Times New Roman"/>
                      <w:b/>
                      <w:bCs/>
                      <w:sz w:val="18"/>
                      <w:szCs w:val="18"/>
                    </w:rPr>
                  </w:pPr>
                  <w:r>
                    <w:rPr>
                      <w:rFonts w:cs="Times New Roman"/>
                      <w:b/>
                      <w:bCs/>
                      <w:sz w:val="18"/>
                      <w:szCs w:val="18"/>
                    </w:rPr>
                    <w:t>主要污染指标（类别）</w:t>
                  </w:r>
                </w:p>
              </w:tc>
            </w:tr>
            <w:tr w14:paraId="27BFB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97" w:type="dxa"/>
                  <w:vAlign w:val="center"/>
                </w:tcPr>
                <w:p w14:paraId="6799D3F9">
                  <w:pPr>
                    <w:widowControl/>
                    <w:jc w:val="center"/>
                    <w:rPr>
                      <w:rFonts w:cs="Times New Roman"/>
                      <w:sz w:val="18"/>
                      <w:szCs w:val="18"/>
                    </w:rPr>
                  </w:pPr>
                  <w:r>
                    <w:rPr>
                      <w:rFonts w:cs="Times New Roman"/>
                      <w:sz w:val="18"/>
                      <w:szCs w:val="18"/>
                    </w:rPr>
                    <w:t>1</w:t>
                  </w:r>
                </w:p>
              </w:tc>
              <w:tc>
                <w:tcPr>
                  <w:tcW w:w="1041" w:type="dxa"/>
                  <w:vAlign w:val="center"/>
                </w:tcPr>
                <w:p w14:paraId="1365E60E">
                  <w:pPr>
                    <w:widowControl/>
                    <w:jc w:val="center"/>
                    <w:rPr>
                      <w:rFonts w:cs="Times New Roman"/>
                      <w:sz w:val="18"/>
                      <w:szCs w:val="18"/>
                    </w:rPr>
                  </w:pPr>
                  <w:r>
                    <w:rPr>
                      <w:rFonts w:cs="Times New Roman"/>
                      <w:sz w:val="18"/>
                      <w:szCs w:val="18"/>
                    </w:rPr>
                    <w:t>州河水系</w:t>
                  </w:r>
                </w:p>
              </w:tc>
              <w:tc>
                <w:tcPr>
                  <w:tcW w:w="708" w:type="dxa"/>
                  <w:vAlign w:val="center"/>
                </w:tcPr>
                <w:p w14:paraId="47375E75">
                  <w:pPr>
                    <w:widowControl/>
                    <w:jc w:val="center"/>
                    <w:rPr>
                      <w:rFonts w:cs="Times New Roman"/>
                      <w:sz w:val="18"/>
                      <w:szCs w:val="18"/>
                    </w:rPr>
                  </w:pPr>
                  <w:r>
                    <w:rPr>
                      <w:rFonts w:cs="Times New Roman"/>
                      <w:sz w:val="18"/>
                      <w:szCs w:val="18"/>
                    </w:rPr>
                    <w:t>干流</w:t>
                  </w:r>
                </w:p>
              </w:tc>
              <w:tc>
                <w:tcPr>
                  <w:tcW w:w="851" w:type="dxa"/>
                  <w:vAlign w:val="center"/>
                </w:tcPr>
                <w:p w14:paraId="322F9143">
                  <w:pPr>
                    <w:widowControl/>
                    <w:jc w:val="center"/>
                    <w:rPr>
                      <w:rFonts w:cs="Times New Roman"/>
                      <w:sz w:val="18"/>
                      <w:szCs w:val="18"/>
                    </w:rPr>
                  </w:pPr>
                  <w:r>
                    <w:rPr>
                      <w:rFonts w:cs="Times New Roman"/>
                      <w:sz w:val="18"/>
                      <w:szCs w:val="18"/>
                    </w:rPr>
                    <w:t>车家河</w:t>
                  </w:r>
                </w:p>
              </w:tc>
              <w:tc>
                <w:tcPr>
                  <w:tcW w:w="850" w:type="dxa"/>
                  <w:vAlign w:val="center"/>
                </w:tcPr>
                <w:p w14:paraId="65E47A40">
                  <w:pPr>
                    <w:widowControl/>
                    <w:jc w:val="center"/>
                    <w:rPr>
                      <w:rFonts w:cs="Times New Roman"/>
                      <w:kern w:val="2"/>
                      <w:sz w:val="18"/>
                      <w:szCs w:val="18"/>
                    </w:rPr>
                  </w:pPr>
                  <w:r>
                    <w:rPr>
                      <w:rFonts w:cs="Times New Roman"/>
                      <w:sz w:val="18"/>
                      <w:szCs w:val="18"/>
                    </w:rPr>
                    <w:t>市城区</w:t>
                  </w:r>
                </w:p>
              </w:tc>
              <w:tc>
                <w:tcPr>
                  <w:tcW w:w="709" w:type="dxa"/>
                  <w:vAlign w:val="center"/>
                </w:tcPr>
                <w:p w14:paraId="0932CAF6">
                  <w:pPr>
                    <w:widowControl/>
                    <w:jc w:val="center"/>
                    <w:rPr>
                      <w:rFonts w:cs="Times New Roman"/>
                      <w:sz w:val="18"/>
                      <w:szCs w:val="18"/>
                    </w:rPr>
                  </w:pPr>
                  <w:r>
                    <w:rPr>
                      <w:rFonts w:cs="Times New Roman"/>
                      <w:sz w:val="18"/>
                      <w:szCs w:val="18"/>
                    </w:rPr>
                    <w:t>国考</w:t>
                  </w:r>
                </w:p>
              </w:tc>
              <w:tc>
                <w:tcPr>
                  <w:tcW w:w="709" w:type="dxa"/>
                  <w:vAlign w:val="center"/>
                </w:tcPr>
                <w:p w14:paraId="7CA0ED72">
                  <w:pPr>
                    <w:widowControl/>
                    <w:jc w:val="center"/>
                    <w:rPr>
                      <w:rFonts w:cs="Times New Roman"/>
                      <w:kern w:val="2"/>
                      <w:sz w:val="18"/>
                      <w:szCs w:val="18"/>
                    </w:rPr>
                  </w:pPr>
                  <w:r>
                    <w:rPr>
                      <w:rFonts w:hint="eastAsia" w:ascii="宋体" w:hAnsi="宋体"/>
                      <w:kern w:val="2"/>
                      <w:sz w:val="18"/>
                      <w:szCs w:val="18"/>
                    </w:rPr>
                    <w:t>Ⅱ</w:t>
                  </w:r>
                </w:p>
              </w:tc>
              <w:tc>
                <w:tcPr>
                  <w:tcW w:w="709" w:type="dxa"/>
                  <w:vAlign w:val="center"/>
                </w:tcPr>
                <w:p w14:paraId="44C22374">
                  <w:pPr>
                    <w:widowControl/>
                    <w:jc w:val="center"/>
                    <w:rPr>
                      <w:rFonts w:cs="Times New Roman"/>
                      <w:kern w:val="2"/>
                      <w:sz w:val="18"/>
                      <w:szCs w:val="18"/>
                    </w:rPr>
                  </w:pPr>
                  <w:r>
                    <w:rPr>
                      <w:rFonts w:hint="eastAsia" w:ascii="宋体" w:hAnsi="宋体"/>
                      <w:kern w:val="2"/>
                      <w:sz w:val="18"/>
                      <w:szCs w:val="18"/>
                    </w:rPr>
                    <w:t>Ⅱ</w:t>
                  </w:r>
                </w:p>
              </w:tc>
              <w:tc>
                <w:tcPr>
                  <w:tcW w:w="708" w:type="dxa"/>
                  <w:vAlign w:val="center"/>
                </w:tcPr>
                <w:p w14:paraId="66D6E87D">
                  <w:pPr>
                    <w:widowControl/>
                    <w:jc w:val="center"/>
                    <w:rPr>
                      <w:rFonts w:cs="Times New Roman"/>
                      <w:kern w:val="2"/>
                      <w:sz w:val="18"/>
                      <w:szCs w:val="18"/>
                    </w:rPr>
                  </w:pPr>
                  <w:r>
                    <w:rPr>
                      <w:rFonts w:hint="eastAsia" w:ascii="宋体" w:hAnsi="宋体"/>
                      <w:kern w:val="2"/>
                      <w:sz w:val="18"/>
                      <w:szCs w:val="18"/>
                    </w:rPr>
                    <w:t>Ⅱ</w:t>
                  </w:r>
                </w:p>
              </w:tc>
              <w:tc>
                <w:tcPr>
                  <w:tcW w:w="1353" w:type="dxa"/>
                  <w:vAlign w:val="center"/>
                </w:tcPr>
                <w:p w14:paraId="5DA1EAF6">
                  <w:pPr>
                    <w:widowControl/>
                    <w:jc w:val="center"/>
                    <w:rPr>
                      <w:rFonts w:cs="Times New Roman"/>
                      <w:sz w:val="18"/>
                      <w:szCs w:val="18"/>
                    </w:rPr>
                  </w:pPr>
                  <w:r>
                    <w:rPr>
                      <w:rFonts w:cs="Times New Roman"/>
                      <w:sz w:val="18"/>
                      <w:szCs w:val="18"/>
                    </w:rPr>
                    <w:t>/</w:t>
                  </w:r>
                </w:p>
              </w:tc>
            </w:tr>
          </w:tbl>
          <w:p w14:paraId="7AA79615">
            <w:pPr>
              <w:pStyle w:val="2"/>
              <w:spacing w:line="360" w:lineRule="auto"/>
              <w:ind w:firstLine="420" w:firstLineChars="200"/>
              <w:jc w:val="both"/>
            </w:pPr>
            <w:r>
              <w:rPr>
                <w:rFonts w:hint="eastAsia"/>
              </w:rPr>
              <w:t>根据上表例行监测数据表明：项目所在区域车家河监测断面水质能够满足《地表水环境质量标准》（GB3838-2002）Ⅲ类水域水质标准。因此拟建项目所在区域水环境质量状况良好。</w:t>
            </w:r>
          </w:p>
          <w:p w14:paraId="0A359F90">
            <w:pPr>
              <w:widowControl/>
              <w:spacing w:line="360" w:lineRule="auto"/>
              <w:ind w:firstLine="422" w:firstLineChars="200"/>
              <w:rPr>
                <w:b/>
                <w:bCs/>
                <w:lang w:bidi="ar"/>
              </w:rPr>
            </w:pPr>
            <w:r>
              <w:rPr>
                <w:rFonts w:hint="eastAsia"/>
                <w:b/>
                <w:bCs/>
                <w:lang w:bidi="ar"/>
              </w:rPr>
              <w:t>3、声环境质量现状</w:t>
            </w:r>
          </w:p>
          <w:p w14:paraId="5F042F3C">
            <w:pPr>
              <w:pStyle w:val="2"/>
              <w:spacing w:line="360" w:lineRule="auto"/>
              <w:ind w:firstLine="420" w:firstLineChars="200"/>
              <w:jc w:val="both"/>
            </w:pPr>
            <w:r>
              <w:rPr>
                <w:rFonts w:hint="eastAsia"/>
              </w:rPr>
              <w:t>根据《建设项目环境影响报告表编制技术指南》（污染影响类）（试行），“厂界外周边50米范围内存在声环境保护目标的建设项目，应监测保护目标声环境质量现状并评价达标情况”。</w:t>
            </w:r>
          </w:p>
          <w:p w14:paraId="46371B92">
            <w:pPr>
              <w:pStyle w:val="2"/>
              <w:spacing w:line="360" w:lineRule="auto"/>
              <w:ind w:firstLine="420" w:firstLineChars="200"/>
              <w:jc w:val="both"/>
            </w:pPr>
            <w:r>
              <w:rPr>
                <w:rFonts w:hint="eastAsia"/>
              </w:rPr>
              <w:t>本项目位于四川省达州市通川经开区医药产业园11 栋3 层。根据现场踏勘，周边50m范围内无保护目标，无需进行声环境质量现状调查。</w:t>
            </w:r>
          </w:p>
          <w:p w14:paraId="4B299C16">
            <w:pPr>
              <w:widowControl/>
              <w:spacing w:line="360" w:lineRule="auto"/>
              <w:ind w:firstLine="422" w:firstLineChars="200"/>
              <w:rPr>
                <w:b/>
                <w:bCs/>
                <w:lang w:bidi="ar"/>
              </w:rPr>
            </w:pPr>
            <w:r>
              <w:rPr>
                <w:rFonts w:hint="eastAsia"/>
                <w:b/>
                <w:bCs/>
                <w:lang w:bidi="ar"/>
              </w:rPr>
              <w:t>4、生态环境</w:t>
            </w:r>
          </w:p>
          <w:p w14:paraId="1655CEFD">
            <w:pPr>
              <w:pStyle w:val="2"/>
              <w:spacing w:line="360" w:lineRule="auto"/>
              <w:ind w:firstLine="420" w:firstLineChars="200"/>
              <w:jc w:val="both"/>
            </w:pPr>
            <w:r>
              <w:rPr>
                <w:rFonts w:hint="eastAsia"/>
              </w:rPr>
              <w:t>根据《建设项目环境影响报告表编制技术指南》（污染影响类）（试行），“产业园区外建设项目新增用地且用地范围内含有生态环境保护目标时，应进行生态现状调查”。</w:t>
            </w:r>
          </w:p>
          <w:p w14:paraId="74F26EF6">
            <w:pPr>
              <w:pStyle w:val="2"/>
              <w:spacing w:line="360" w:lineRule="auto"/>
              <w:ind w:firstLine="420" w:firstLineChars="200"/>
              <w:jc w:val="both"/>
            </w:pPr>
            <w:r>
              <w:rPr>
                <w:rFonts w:hint="eastAsia"/>
              </w:rPr>
              <w:t>本项目位于达州市农产品加工集中区内，项目所在区域通川经开区医药产业园，用地为工业用地，周围主要为已建工业企业，受人类活动影响较大，植被以人工植被为主，涉及区域内无珍稀动、植物，也无古稀树木和保护树种，区域生态系统敏感程度低，因此可不进行生态现状调查。</w:t>
            </w:r>
          </w:p>
          <w:p w14:paraId="1397D645">
            <w:pPr>
              <w:widowControl/>
              <w:spacing w:line="360" w:lineRule="auto"/>
              <w:ind w:firstLine="422" w:firstLineChars="200"/>
              <w:rPr>
                <w:b/>
                <w:bCs/>
                <w:lang w:bidi="ar"/>
              </w:rPr>
            </w:pPr>
            <w:r>
              <w:rPr>
                <w:rFonts w:hint="eastAsia"/>
                <w:b/>
                <w:bCs/>
                <w:lang w:bidi="ar"/>
              </w:rPr>
              <w:t>5、地下水、土壤环境</w:t>
            </w:r>
          </w:p>
          <w:p w14:paraId="4303D521">
            <w:pPr>
              <w:pStyle w:val="2"/>
              <w:spacing w:line="360" w:lineRule="auto"/>
              <w:ind w:firstLine="420" w:firstLineChars="200"/>
              <w:jc w:val="both"/>
            </w:pPr>
            <w:r>
              <w:rPr>
                <w:rFonts w:hint="eastAsia"/>
              </w:rPr>
              <w:t>根据《建设项目环境影响报告表编制技术指南》（污染影响类）（试行），“原则上不开展环境质量现状调查。建设项目存在土壤、地下水环境污染途径的，应结合污染源、保护目标分布情况开展现状调查以留作背景值”。</w:t>
            </w:r>
          </w:p>
          <w:p w14:paraId="05143872">
            <w:pPr>
              <w:pStyle w:val="2"/>
              <w:spacing w:line="360" w:lineRule="auto"/>
              <w:ind w:firstLine="420" w:firstLineChars="200"/>
              <w:jc w:val="both"/>
              <w:rPr>
                <w:lang w:bidi="ar"/>
              </w:rPr>
            </w:pPr>
            <w:r>
              <w:rPr>
                <w:rFonts w:hint="eastAsia"/>
              </w:rPr>
              <w:t>本项目属于C2740 中成药生产项目，项目位于11 栋3 层且运营期会根据地下水分区防渗要求进行地面硬化、防渗处理等，有效阻断了土壤、地下水污染途径，不会对地下水和土壤造成污染。因此，不开展土壤和地下水环境质量现状调查。</w:t>
            </w:r>
          </w:p>
        </w:tc>
      </w:tr>
      <w:tr w14:paraId="01F33A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00" w:type="dxa"/>
            <w:vAlign w:val="center"/>
          </w:tcPr>
          <w:p w14:paraId="12926062">
            <w:pPr>
              <w:adjustRightInd w:val="0"/>
              <w:snapToGrid w:val="0"/>
              <w:jc w:val="center"/>
              <w:rPr>
                <w:rFonts w:hint="eastAsia" w:ascii="宋体" w:hAnsi="宋体"/>
              </w:rPr>
            </w:pPr>
            <w:r>
              <w:rPr>
                <w:rFonts w:hint="eastAsia" w:ascii="宋体" w:hAnsi="宋体"/>
              </w:rPr>
              <w:t>环境</w:t>
            </w:r>
          </w:p>
          <w:p w14:paraId="14884B2C">
            <w:pPr>
              <w:adjustRightInd w:val="0"/>
              <w:snapToGrid w:val="0"/>
              <w:jc w:val="center"/>
              <w:rPr>
                <w:rFonts w:hint="eastAsia" w:ascii="宋体" w:hAnsi="宋体"/>
              </w:rPr>
            </w:pPr>
            <w:r>
              <w:rPr>
                <w:rFonts w:hint="eastAsia" w:ascii="宋体" w:hAnsi="宋体"/>
              </w:rPr>
              <w:t>保护</w:t>
            </w:r>
          </w:p>
          <w:p w14:paraId="4BB899F8">
            <w:pPr>
              <w:adjustRightInd w:val="0"/>
              <w:snapToGrid w:val="0"/>
              <w:jc w:val="center"/>
              <w:rPr>
                <w:rFonts w:hint="eastAsia" w:ascii="宋体" w:hAnsi="宋体"/>
              </w:rPr>
            </w:pPr>
            <w:r>
              <w:rPr>
                <w:rFonts w:hint="eastAsia" w:ascii="宋体" w:hAnsi="宋体"/>
              </w:rPr>
              <w:t>目标</w:t>
            </w:r>
          </w:p>
        </w:tc>
        <w:tc>
          <w:tcPr>
            <w:tcW w:w="8190" w:type="dxa"/>
            <w:vAlign w:val="center"/>
          </w:tcPr>
          <w:p w14:paraId="03F7A7C6">
            <w:pPr>
              <w:widowControl/>
              <w:spacing w:line="360" w:lineRule="auto"/>
              <w:ind w:firstLine="422" w:firstLineChars="200"/>
              <w:rPr>
                <w:b/>
                <w:bCs/>
                <w:lang w:bidi="ar"/>
              </w:rPr>
            </w:pPr>
            <w:r>
              <w:rPr>
                <w:rFonts w:hint="eastAsia"/>
                <w:b/>
                <w:bCs/>
                <w:lang w:bidi="ar"/>
              </w:rPr>
              <w:t>1、</w:t>
            </w:r>
            <w:r>
              <w:rPr>
                <w:b/>
                <w:bCs/>
                <w:lang w:bidi="ar"/>
              </w:rPr>
              <w:t>大气环境</w:t>
            </w:r>
          </w:p>
          <w:p w14:paraId="4EEC00E4">
            <w:pPr>
              <w:widowControl/>
              <w:spacing w:line="360" w:lineRule="auto"/>
              <w:ind w:firstLine="420" w:firstLineChars="200"/>
              <w:rPr>
                <w:lang w:bidi="ar"/>
              </w:rPr>
            </w:pPr>
            <w:r>
              <w:rPr>
                <w:rFonts w:hint="eastAsia"/>
                <w:lang w:bidi="ar"/>
              </w:rPr>
              <w:t>项目场界外500m范围内无自然保护区、风景名胜区等保护目标，周围主要为农村散户居民和魏兴派出所等保护目标。</w:t>
            </w:r>
          </w:p>
          <w:p w14:paraId="4EEAF9E0">
            <w:pPr>
              <w:widowControl/>
              <w:spacing w:line="360" w:lineRule="auto"/>
              <w:ind w:firstLine="422" w:firstLineChars="200"/>
              <w:rPr>
                <w:b/>
                <w:bCs/>
                <w:lang w:bidi="ar"/>
              </w:rPr>
            </w:pPr>
            <w:r>
              <w:rPr>
                <w:b/>
                <w:bCs/>
                <w:lang w:bidi="ar"/>
              </w:rPr>
              <w:t>2、声环境</w:t>
            </w:r>
          </w:p>
          <w:p w14:paraId="2780F86B">
            <w:pPr>
              <w:widowControl/>
              <w:spacing w:line="360" w:lineRule="auto"/>
              <w:ind w:firstLine="420" w:firstLineChars="200"/>
              <w:rPr>
                <w:lang w:bidi="ar"/>
              </w:rPr>
            </w:pPr>
            <w:r>
              <w:rPr>
                <w:lang w:bidi="ar"/>
              </w:rPr>
              <w:t>本项目厂界外50m范围内无声环境保护目标</w:t>
            </w:r>
            <w:r>
              <w:rPr>
                <w:rFonts w:hint="eastAsia"/>
                <w:lang w:bidi="ar"/>
              </w:rPr>
              <w:t>。</w:t>
            </w:r>
          </w:p>
          <w:p w14:paraId="19C6E5E2">
            <w:pPr>
              <w:widowControl/>
              <w:spacing w:line="360" w:lineRule="auto"/>
              <w:ind w:firstLine="422" w:firstLineChars="200"/>
              <w:rPr>
                <w:b/>
                <w:bCs/>
                <w:lang w:bidi="ar"/>
              </w:rPr>
            </w:pPr>
            <w:r>
              <w:rPr>
                <w:b/>
                <w:bCs/>
                <w:lang w:bidi="ar"/>
              </w:rPr>
              <w:t>3、地下水环境</w:t>
            </w:r>
          </w:p>
          <w:p w14:paraId="7E6DCDBD">
            <w:pPr>
              <w:widowControl/>
              <w:spacing w:line="360" w:lineRule="auto"/>
              <w:ind w:firstLine="420" w:firstLineChars="200"/>
              <w:rPr>
                <w:lang w:bidi="ar"/>
              </w:rPr>
            </w:pPr>
            <w:r>
              <w:rPr>
                <w:lang w:bidi="ar"/>
              </w:rPr>
              <w:t>本项目厂界外500m无地下水集中式饮用水水源和热水、矿泉水、温泉等特殊地下水资源。</w:t>
            </w:r>
          </w:p>
          <w:p w14:paraId="557AC62B">
            <w:pPr>
              <w:widowControl/>
              <w:spacing w:line="360" w:lineRule="auto"/>
              <w:ind w:firstLine="422" w:firstLineChars="200"/>
              <w:rPr>
                <w:b/>
                <w:bCs/>
                <w:lang w:bidi="ar"/>
              </w:rPr>
            </w:pPr>
            <w:r>
              <w:rPr>
                <w:rFonts w:hint="eastAsia"/>
                <w:b/>
                <w:bCs/>
                <w:lang w:bidi="ar"/>
              </w:rPr>
              <w:t>4、生态环境</w:t>
            </w:r>
          </w:p>
          <w:p w14:paraId="621138DC">
            <w:pPr>
              <w:widowControl/>
              <w:spacing w:line="360" w:lineRule="auto"/>
              <w:ind w:firstLine="420" w:firstLineChars="200"/>
              <w:rPr>
                <w:lang w:bidi="ar"/>
              </w:rPr>
            </w:pPr>
            <w:r>
              <w:rPr>
                <w:rFonts w:hint="eastAsia"/>
                <w:lang w:bidi="ar"/>
              </w:rPr>
              <w:t>本项目位于</w:t>
            </w:r>
            <w:r>
              <w:rPr>
                <w:rFonts w:hint="eastAsia"/>
              </w:rPr>
              <w:t>达州市农产品加工集中区的医药产业园11 栋3 层</w:t>
            </w:r>
            <w:r>
              <w:rPr>
                <w:rFonts w:hint="eastAsia"/>
                <w:lang w:bidi="ar"/>
              </w:rPr>
              <w:t>，不新增用地。项目建设区域内不涉及自然保护区、森林公园及风景名胜区、生活饮用水水源保护区及其他需要特别保护区域，区域内无国家保护的重点野生动植物，无名木古树及珍稀动植物等，无特殊文物保护单位。</w:t>
            </w:r>
          </w:p>
          <w:p w14:paraId="49BF3693">
            <w:pPr>
              <w:widowControl/>
              <w:spacing w:line="360" w:lineRule="auto"/>
              <w:ind w:firstLine="420" w:firstLineChars="200"/>
              <w:rPr>
                <w:lang w:bidi="ar"/>
              </w:rPr>
            </w:pPr>
            <w:r>
              <w:rPr>
                <w:rFonts w:hint="eastAsia"/>
                <w:lang w:bidi="ar"/>
              </w:rPr>
              <w:t>根据现场调查，本项目主要环境保护目标见下表：</w:t>
            </w:r>
          </w:p>
          <w:p w14:paraId="479D7966">
            <w:pPr>
              <w:autoSpaceDE w:val="0"/>
              <w:autoSpaceDN w:val="0"/>
              <w:adjustRightInd w:val="0"/>
              <w:snapToGrid w:val="0"/>
              <w:jc w:val="center"/>
              <w:rPr>
                <w:b/>
              </w:rPr>
            </w:pPr>
            <w:r>
              <w:rPr>
                <w:rFonts w:hint="eastAsia"/>
                <w:b/>
              </w:rPr>
              <w:t>表</w:t>
            </w:r>
            <w:r>
              <w:rPr>
                <w:b/>
              </w:rPr>
              <w:t>3-</w:t>
            </w:r>
            <w:r>
              <w:rPr>
                <w:rFonts w:hint="eastAsia"/>
                <w:b/>
              </w:rPr>
              <w:t>3</w:t>
            </w:r>
            <w:r>
              <w:rPr>
                <w:b/>
              </w:rPr>
              <w:t xml:space="preserve">  </w:t>
            </w:r>
            <w:r>
              <w:rPr>
                <w:rFonts w:hint="eastAsia"/>
                <w:b/>
              </w:rPr>
              <w:t>项目主要环境保护目标一览表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204"/>
              <w:gridCol w:w="710"/>
              <w:gridCol w:w="709"/>
              <w:gridCol w:w="1419"/>
              <w:gridCol w:w="1634"/>
              <w:gridCol w:w="768"/>
              <w:gridCol w:w="934"/>
            </w:tblGrid>
            <w:tr w14:paraId="761A5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9" w:type="pct"/>
                  <w:vMerge w:val="restart"/>
                  <w:shd w:val="clear" w:color="auto" w:fill="auto"/>
                  <w:vAlign w:val="center"/>
                </w:tcPr>
                <w:p w14:paraId="7F470947">
                  <w:pPr>
                    <w:jc w:val="center"/>
                    <w:rPr>
                      <w:b/>
                      <w:bCs/>
                    </w:rPr>
                  </w:pPr>
                  <w:r>
                    <w:rPr>
                      <w:rFonts w:hint="eastAsia"/>
                      <w:b/>
                      <w:bCs/>
                    </w:rPr>
                    <w:t>环境要素</w:t>
                  </w:r>
                </w:p>
              </w:tc>
              <w:tc>
                <w:tcPr>
                  <w:tcW w:w="749" w:type="pct"/>
                  <w:vMerge w:val="restart"/>
                  <w:vAlign w:val="center"/>
                </w:tcPr>
                <w:p w14:paraId="633BF714">
                  <w:pPr>
                    <w:jc w:val="center"/>
                    <w:rPr>
                      <w:b/>
                      <w:bCs/>
                    </w:rPr>
                  </w:pPr>
                  <w:r>
                    <w:rPr>
                      <w:rFonts w:hint="eastAsia"/>
                      <w:b/>
                      <w:bCs/>
                    </w:rPr>
                    <w:t>保护对象</w:t>
                  </w:r>
                </w:p>
              </w:tc>
              <w:tc>
                <w:tcPr>
                  <w:tcW w:w="883" w:type="pct"/>
                  <w:gridSpan w:val="2"/>
                  <w:vAlign w:val="center"/>
                </w:tcPr>
                <w:p w14:paraId="0E82B813">
                  <w:pPr>
                    <w:jc w:val="center"/>
                    <w:rPr>
                      <w:b/>
                      <w:bCs/>
                    </w:rPr>
                  </w:pPr>
                  <w:r>
                    <w:rPr>
                      <w:rFonts w:hint="eastAsia"/>
                      <w:b/>
                      <w:bCs/>
                    </w:rPr>
                    <w:t>坐标</w:t>
                  </w:r>
                </w:p>
              </w:tc>
              <w:tc>
                <w:tcPr>
                  <w:tcW w:w="882" w:type="pct"/>
                  <w:vMerge w:val="restart"/>
                  <w:vAlign w:val="center"/>
                </w:tcPr>
                <w:p w14:paraId="47DC6367">
                  <w:pPr>
                    <w:jc w:val="center"/>
                    <w:rPr>
                      <w:b/>
                      <w:bCs/>
                    </w:rPr>
                  </w:pPr>
                  <w:r>
                    <w:rPr>
                      <w:rFonts w:hint="eastAsia"/>
                      <w:b/>
                      <w:bCs/>
                    </w:rPr>
                    <w:t>保护规模</w:t>
                  </w:r>
                </w:p>
              </w:tc>
              <w:tc>
                <w:tcPr>
                  <w:tcW w:w="1017" w:type="pct"/>
                  <w:vMerge w:val="restart"/>
                  <w:shd w:val="clear" w:color="auto" w:fill="auto"/>
                  <w:vAlign w:val="center"/>
                </w:tcPr>
                <w:p w14:paraId="6CDE5097">
                  <w:pPr>
                    <w:jc w:val="center"/>
                    <w:rPr>
                      <w:b/>
                      <w:bCs/>
                    </w:rPr>
                  </w:pPr>
                  <w:r>
                    <w:rPr>
                      <w:rFonts w:hint="eastAsia"/>
                      <w:b/>
                      <w:bCs/>
                    </w:rPr>
                    <w:t>环境功能区</w:t>
                  </w:r>
                </w:p>
              </w:tc>
              <w:tc>
                <w:tcPr>
                  <w:tcW w:w="478" w:type="pct"/>
                  <w:vMerge w:val="restart"/>
                  <w:shd w:val="clear" w:color="auto" w:fill="auto"/>
                  <w:vAlign w:val="center"/>
                </w:tcPr>
                <w:p w14:paraId="27C69975">
                  <w:pPr>
                    <w:jc w:val="center"/>
                    <w:rPr>
                      <w:b/>
                      <w:bCs/>
                    </w:rPr>
                  </w:pPr>
                  <w:r>
                    <w:rPr>
                      <w:rFonts w:hint="eastAsia"/>
                      <w:b/>
                      <w:bCs/>
                    </w:rPr>
                    <w:t>相对厂址方位</w:t>
                  </w:r>
                </w:p>
              </w:tc>
              <w:tc>
                <w:tcPr>
                  <w:tcW w:w="581" w:type="pct"/>
                  <w:vMerge w:val="restart"/>
                  <w:shd w:val="clear" w:color="auto" w:fill="auto"/>
                  <w:vAlign w:val="center"/>
                </w:tcPr>
                <w:p w14:paraId="08F9E6DD">
                  <w:pPr>
                    <w:jc w:val="center"/>
                    <w:rPr>
                      <w:b/>
                      <w:bCs/>
                    </w:rPr>
                  </w:pPr>
                  <w:r>
                    <w:rPr>
                      <w:rFonts w:hint="eastAsia"/>
                      <w:b/>
                      <w:bCs/>
                    </w:rPr>
                    <w:t>相对厂界距离/m</w:t>
                  </w:r>
                </w:p>
              </w:tc>
            </w:tr>
            <w:tr w14:paraId="61E5C2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9" w:type="pct"/>
                  <w:vMerge w:val="continue"/>
                  <w:shd w:val="clear" w:color="auto" w:fill="auto"/>
                  <w:vAlign w:val="center"/>
                </w:tcPr>
                <w:p w14:paraId="6BD8B905">
                  <w:pPr>
                    <w:jc w:val="center"/>
                  </w:pPr>
                </w:p>
              </w:tc>
              <w:tc>
                <w:tcPr>
                  <w:tcW w:w="749" w:type="pct"/>
                  <w:vMerge w:val="continue"/>
                  <w:vAlign w:val="center"/>
                </w:tcPr>
                <w:p w14:paraId="743EE3C8">
                  <w:pPr>
                    <w:jc w:val="center"/>
                  </w:pPr>
                </w:p>
              </w:tc>
              <w:tc>
                <w:tcPr>
                  <w:tcW w:w="442" w:type="pct"/>
                  <w:vAlign w:val="center"/>
                </w:tcPr>
                <w:p w14:paraId="2BB5704F">
                  <w:pPr>
                    <w:jc w:val="center"/>
                    <w:rPr>
                      <w:b/>
                      <w:bCs/>
                    </w:rPr>
                  </w:pPr>
                  <w:r>
                    <w:rPr>
                      <w:rFonts w:hint="eastAsia"/>
                      <w:b/>
                      <w:bCs/>
                    </w:rPr>
                    <w:t>X</w:t>
                  </w:r>
                </w:p>
              </w:tc>
              <w:tc>
                <w:tcPr>
                  <w:tcW w:w="441" w:type="pct"/>
                  <w:vAlign w:val="center"/>
                </w:tcPr>
                <w:p w14:paraId="6AA25BE4">
                  <w:pPr>
                    <w:jc w:val="center"/>
                    <w:rPr>
                      <w:b/>
                      <w:bCs/>
                    </w:rPr>
                  </w:pPr>
                  <w:r>
                    <w:rPr>
                      <w:rFonts w:hint="eastAsia"/>
                      <w:b/>
                      <w:bCs/>
                    </w:rPr>
                    <w:t>Y</w:t>
                  </w:r>
                </w:p>
              </w:tc>
              <w:tc>
                <w:tcPr>
                  <w:tcW w:w="882" w:type="pct"/>
                  <w:vMerge w:val="continue"/>
                  <w:vAlign w:val="center"/>
                </w:tcPr>
                <w:p w14:paraId="71AC27D2">
                  <w:pPr>
                    <w:jc w:val="center"/>
                  </w:pPr>
                </w:p>
              </w:tc>
              <w:tc>
                <w:tcPr>
                  <w:tcW w:w="1017" w:type="pct"/>
                  <w:vMerge w:val="continue"/>
                  <w:shd w:val="clear" w:color="auto" w:fill="auto"/>
                  <w:vAlign w:val="center"/>
                </w:tcPr>
                <w:p w14:paraId="74809600">
                  <w:pPr>
                    <w:jc w:val="center"/>
                  </w:pPr>
                </w:p>
              </w:tc>
              <w:tc>
                <w:tcPr>
                  <w:tcW w:w="478" w:type="pct"/>
                  <w:vMerge w:val="continue"/>
                  <w:shd w:val="clear" w:color="auto" w:fill="auto"/>
                  <w:vAlign w:val="center"/>
                </w:tcPr>
                <w:p w14:paraId="040781CE">
                  <w:pPr>
                    <w:jc w:val="center"/>
                  </w:pPr>
                </w:p>
              </w:tc>
              <w:tc>
                <w:tcPr>
                  <w:tcW w:w="581" w:type="pct"/>
                  <w:vMerge w:val="continue"/>
                  <w:shd w:val="clear" w:color="auto" w:fill="auto"/>
                  <w:vAlign w:val="center"/>
                </w:tcPr>
                <w:p w14:paraId="2F0B5C6E">
                  <w:pPr>
                    <w:jc w:val="center"/>
                  </w:pPr>
                </w:p>
              </w:tc>
            </w:tr>
            <w:tr w14:paraId="7A927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9" w:type="pct"/>
                  <w:vMerge w:val="restart"/>
                  <w:shd w:val="clear" w:color="auto" w:fill="auto"/>
                  <w:vAlign w:val="center"/>
                </w:tcPr>
                <w:p w14:paraId="465CC63D">
                  <w:pPr>
                    <w:jc w:val="center"/>
                  </w:pPr>
                  <w:r>
                    <w:rPr>
                      <w:rFonts w:hint="eastAsia"/>
                    </w:rPr>
                    <w:t>环境空气</w:t>
                  </w:r>
                </w:p>
              </w:tc>
              <w:tc>
                <w:tcPr>
                  <w:tcW w:w="749" w:type="pct"/>
                  <w:vAlign w:val="center"/>
                </w:tcPr>
                <w:p w14:paraId="702DF510">
                  <w:pPr>
                    <w:jc w:val="center"/>
                  </w:pPr>
                  <w:r>
                    <w:rPr>
                      <w:rFonts w:hint="eastAsia"/>
                    </w:rPr>
                    <w:t>方家浩</w:t>
                  </w:r>
                </w:p>
              </w:tc>
              <w:tc>
                <w:tcPr>
                  <w:tcW w:w="442" w:type="pct"/>
                  <w:vAlign w:val="center"/>
                </w:tcPr>
                <w:p w14:paraId="0466E5B9">
                  <w:pPr>
                    <w:jc w:val="center"/>
                  </w:pPr>
                  <w:r>
                    <w:rPr>
                      <w:rFonts w:hint="eastAsia"/>
                      <w:bCs/>
                      <w:lang w:bidi="ar"/>
                    </w:rPr>
                    <w:t>0</w:t>
                  </w:r>
                </w:p>
              </w:tc>
              <w:tc>
                <w:tcPr>
                  <w:tcW w:w="441" w:type="pct"/>
                  <w:vAlign w:val="center"/>
                </w:tcPr>
                <w:p w14:paraId="4012303D">
                  <w:pPr>
                    <w:jc w:val="center"/>
                    <w:rPr>
                      <w:rFonts w:hint="eastAsia"/>
                    </w:rPr>
                  </w:pPr>
                  <w:r>
                    <w:rPr>
                      <w:rFonts w:hint="eastAsia"/>
                      <w:bCs/>
                      <w:lang w:bidi="ar"/>
                    </w:rPr>
                    <w:t>-150</w:t>
                  </w:r>
                </w:p>
              </w:tc>
              <w:tc>
                <w:tcPr>
                  <w:tcW w:w="882" w:type="pct"/>
                  <w:vAlign w:val="center"/>
                </w:tcPr>
                <w:p w14:paraId="14D160F7">
                  <w:pPr>
                    <w:jc w:val="center"/>
                  </w:pPr>
                  <w:r>
                    <w:t>1</w:t>
                  </w:r>
                  <w:r>
                    <w:rPr>
                      <w:rFonts w:hint="eastAsia"/>
                    </w:rPr>
                    <w:t>0户，20人</w:t>
                  </w:r>
                </w:p>
              </w:tc>
              <w:tc>
                <w:tcPr>
                  <w:tcW w:w="1017" w:type="pct"/>
                  <w:vMerge w:val="restart"/>
                  <w:shd w:val="clear" w:color="auto" w:fill="auto"/>
                  <w:vAlign w:val="center"/>
                </w:tcPr>
                <w:p w14:paraId="5B8C2B5E">
                  <w:pPr>
                    <w:jc w:val="center"/>
                  </w:pPr>
                  <w:r>
                    <w:rPr>
                      <w:rFonts w:hint="eastAsia"/>
                    </w:rPr>
                    <w:t>《环境空气质量标准》（GB3095-2012）二级功能区</w:t>
                  </w:r>
                </w:p>
              </w:tc>
              <w:tc>
                <w:tcPr>
                  <w:tcW w:w="478" w:type="pct"/>
                  <w:shd w:val="clear" w:color="auto" w:fill="auto"/>
                  <w:vAlign w:val="center"/>
                </w:tcPr>
                <w:p w14:paraId="2B68AADD">
                  <w:pPr>
                    <w:jc w:val="center"/>
                  </w:pPr>
                  <w:r>
                    <w:rPr>
                      <w:rFonts w:hint="eastAsia"/>
                      <w:bCs/>
                      <w:lang w:bidi="ar"/>
                    </w:rPr>
                    <w:t>S</w:t>
                  </w:r>
                </w:p>
              </w:tc>
              <w:tc>
                <w:tcPr>
                  <w:tcW w:w="581" w:type="pct"/>
                  <w:shd w:val="clear" w:color="auto" w:fill="auto"/>
                  <w:vAlign w:val="center"/>
                </w:tcPr>
                <w:p w14:paraId="696FA178">
                  <w:pPr>
                    <w:jc w:val="center"/>
                    <w:rPr>
                      <w:rFonts w:hint="eastAsia"/>
                    </w:rPr>
                  </w:pPr>
                  <w:r>
                    <w:rPr>
                      <w:rFonts w:hint="eastAsia"/>
                      <w:bCs/>
                      <w:lang w:bidi="ar"/>
                    </w:rPr>
                    <w:t>150</w:t>
                  </w:r>
                </w:p>
              </w:tc>
            </w:tr>
            <w:tr w14:paraId="431B5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9" w:type="pct"/>
                  <w:vMerge w:val="continue"/>
                  <w:shd w:val="clear" w:color="auto" w:fill="auto"/>
                  <w:vAlign w:val="center"/>
                </w:tcPr>
                <w:p w14:paraId="605939F8">
                  <w:pPr>
                    <w:jc w:val="center"/>
                  </w:pPr>
                </w:p>
              </w:tc>
              <w:tc>
                <w:tcPr>
                  <w:tcW w:w="749" w:type="pct"/>
                  <w:vAlign w:val="center"/>
                </w:tcPr>
                <w:p w14:paraId="5A11CB84">
                  <w:pPr>
                    <w:jc w:val="center"/>
                  </w:pPr>
                  <w:r>
                    <w:rPr>
                      <w:rFonts w:hint="eastAsia"/>
                    </w:rPr>
                    <w:t>魏兴派出所</w:t>
                  </w:r>
                </w:p>
              </w:tc>
              <w:tc>
                <w:tcPr>
                  <w:tcW w:w="442" w:type="pct"/>
                  <w:vAlign w:val="center"/>
                </w:tcPr>
                <w:p w14:paraId="1CCEC86A">
                  <w:pPr>
                    <w:jc w:val="center"/>
                    <w:rPr>
                      <w:bCs/>
                    </w:rPr>
                  </w:pPr>
                  <w:r>
                    <w:rPr>
                      <w:rFonts w:hint="eastAsia"/>
                      <w:bCs/>
                    </w:rPr>
                    <w:t>85</w:t>
                  </w:r>
                </w:p>
              </w:tc>
              <w:tc>
                <w:tcPr>
                  <w:tcW w:w="441" w:type="pct"/>
                  <w:vAlign w:val="center"/>
                </w:tcPr>
                <w:p w14:paraId="3367F634">
                  <w:pPr>
                    <w:jc w:val="center"/>
                    <w:rPr>
                      <w:bCs/>
                    </w:rPr>
                  </w:pPr>
                  <w:r>
                    <w:rPr>
                      <w:rFonts w:hint="eastAsia"/>
                      <w:bCs/>
                    </w:rPr>
                    <w:t>-65</w:t>
                  </w:r>
                </w:p>
              </w:tc>
              <w:tc>
                <w:tcPr>
                  <w:tcW w:w="882" w:type="pct"/>
                  <w:vAlign w:val="center"/>
                </w:tcPr>
                <w:p w14:paraId="365CE8F5">
                  <w:pPr>
                    <w:jc w:val="center"/>
                  </w:pPr>
                  <w:r>
                    <w:rPr>
                      <w:rFonts w:hint="eastAsia"/>
                    </w:rPr>
                    <w:t>约1</w:t>
                  </w:r>
                  <w:r>
                    <w:t>0</w:t>
                  </w:r>
                  <w:r>
                    <w:rPr>
                      <w:rFonts w:hint="eastAsia"/>
                    </w:rPr>
                    <w:t>人</w:t>
                  </w:r>
                </w:p>
              </w:tc>
              <w:tc>
                <w:tcPr>
                  <w:tcW w:w="1017" w:type="pct"/>
                  <w:vMerge w:val="continue"/>
                  <w:shd w:val="clear" w:color="auto" w:fill="auto"/>
                  <w:vAlign w:val="center"/>
                </w:tcPr>
                <w:p w14:paraId="2561BE18">
                  <w:pPr>
                    <w:jc w:val="center"/>
                  </w:pPr>
                </w:p>
              </w:tc>
              <w:tc>
                <w:tcPr>
                  <w:tcW w:w="478" w:type="pct"/>
                  <w:shd w:val="clear" w:color="auto" w:fill="auto"/>
                  <w:vAlign w:val="center"/>
                </w:tcPr>
                <w:p w14:paraId="31C67650">
                  <w:pPr>
                    <w:jc w:val="center"/>
                  </w:pPr>
                  <w:r>
                    <w:rPr>
                      <w:rFonts w:hint="eastAsia"/>
                      <w:bCs/>
                    </w:rPr>
                    <w:t>SE</w:t>
                  </w:r>
                </w:p>
              </w:tc>
              <w:tc>
                <w:tcPr>
                  <w:tcW w:w="581" w:type="pct"/>
                  <w:shd w:val="clear" w:color="auto" w:fill="auto"/>
                  <w:vAlign w:val="center"/>
                </w:tcPr>
                <w:p w14:paraId="25B59B81">
                  <w:pPr>
                    <w:jc w:val="center"/>
                    <w:rPr>
                      <w:rFonts w:hint="eastAsia"/>
                    </w:rPr>
                  </w:pPr>
                  <w:r>
                    <w:rPr>
                      <w:rFonts w:hint="eastAsia"/>
                      <w:bCs/>
                    </w:rPr>
                    <w:t>120</w:t>
                  </w:r>
                </w:p>
              </w:tc>
            </w:tr>
            <w:tr w14:paraId="482D3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9" w:type="pct"/>
                  <w:vMerge w:val="continue"/>
                  <w:shd w:val="clear" w:color="auto" w:fill="auto"/>
                  <w:vAlign w:val="center"/>
                </w:tcPr>
                <w:p w14:paraId="0C28E850">
                  <w:pPr>
                    <w:jc w:val="center"/>
                  </w:pPr>
                </w:p>
              </w:tc>
              <w:tc>
                <w:tcPr>
                  <w:tcW w:w="749" w:type="pct"/>
                  <w:vAlign w:val="center"/>
                </w:tcPr>
                <w:p w14:paraId="18650760">
                  <w:pPr>
                    <w:jc w:val="center"/>
                  </w:pPr>
                  <w:r>
                    <w:rPr>
                      <w:rFonts w:hint="eastAsia"/>
                    </w:rPr>
                    <w:t>谭山湾综合体小区</w:t>
                  </w:r>
                </w:p>
              </w:tc>
              <w:tc>
                <w:tcPr>
                  <w:tcW w:w="442" w:type="pct"/>
                  <w:vAlign w:val="center"/>
                </w:tcPr>
                <w:p w14:paraId="74057993">
                  <w:pPr>
                    <w:jc w:val="center"/>
                    <w:rPr>
                      <w:rFonts w:hint="eastAsia"/>
                      <w:bCs/>
                    </w:rPr>
                  </w:pPr>
                  <w:r>
                    <w:rPr>
                      <w:rFonts w:hint="eastAsia"/>
                      <w:bCs/>
                    </w:rPr>
                    <w:t>215</w:t>
                  </w:r>
                </w:p>
              </w:tc>
              <w:tc>
                <w:tcPr>
                  <w:tcW w:w="441" w:type="pct"/>
                  <w:vAlign w:val="center"/>
                </w:tcPr>
                <w:p w14:paraId="116C305F">
                  <w:pPr>
                    <w:jc w:val="center"/>
                    <w:rPr>
                      <w:rFonts w:hint="eastAsia"/>
                      <w:bCs/>
                    </w:rPr>
                  </w:pPr>
                  <w:r>
                    <w:rPr>
                      <w:rFonts w:hint="eastAsia"/>
                      <w:bCs/>
                    </w:rPr>
                    <w:t>-150</w:t>
                  </w:r>
                </w:p>
              </w:tc>
              <w:tc>
                <w:tcPr>
                  <w:tcW w:w="882" w:type="pct"/>
                  <w:vAlign w:val="center"/>
                </w:tcPr>
                <w:p w14:paraId="7E886DFF">
                  <w:pPr>
                    <w:jc w:val="center"/>
                  </w:pPr>
                  <w:r>
                    <w:rPr>
                      <w:rFonts w:hint="eastAsia"/>
                    </w:rPr>
                    <w:t>330户，900人</w:t>
                  </w:r>
                </w:p>
              </w:tc>
              <w:tc>
                <w:tcPr>
                  <w:tcW w:w="1017" w:type="pct"/>
                  <w:vMerge w:val="continue"/>
                  <w:shd w:val="clear" w:color="auto" w:fill="auto"/>
                  <w:vAlign w:val="center"/>
                </w:tcPr>
                <w:p w14:paraId="52F0C666">
                  <w:pPr>
                    <w:jc w:val="center"/>
                  </w:pPr>
                </w:p>
              </w:tc>
              <w:tc>
                <w:tcPr>
                  <w:tcW w:w="478" w:type="pct"/>
                  <w:shd w:val="clear" w:color="auto" w:fill="auto"/>
                  <w:vAlign w:val="center"/>
                </w:tcPr>
                <w:p w14:paraId="79F80D25">
                  <w:pPr>
                    <w:jc w:val="center"/>
                  </w:pPr>
                  <w:r>
                    <w:rPr>
                      <w:rFonts w:hint="eastAsia"/>
                      <w:bCs/>
                    </w:rPr>
                    <w:t>SE</w:t>
                  </w:r>
                </w:p>
              </w:tc>
              <w:tc>
                <w:tcPr>
                  <w:tcW w:w="581" w:type="pct"/>
                  <w:shd w:val="clear" w:color="auto" w:fill="auto"/>
                  <w:vAlign w:val="center"/>
                </w:tcPr>
                <w:p w14:paraId="3C1D3955">
                  <w:pPr>
                    <w:jc w:val="center"/>
                  </w:pPr>
                  <w:r>
                    <w:rPr>
                      <w:rFonts w:hint="eastAsia"/>
                      <w:bCs/>
                    </w:rPr>
                    <w:t>250</w:t>
                  </w:r>
                </w:p>
              </w:tc>
            </w:tr>
            <w:tr w14:paraId="150BB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9" w:type="pct"/>
                  <w:vMerge w:val="restart"/>
                  <w:shd w:val="clear" w:color="auto" w:fill="auto"/>
                  <w:vAlign w:val="center"/>
                </w:tcPr>
                <w:p w14:paraId="66B417ED">
                  <w:pPr>
                    <w:jc w:val="center"/>
                  </w:pPr>
                  <w:r>
                    <w:rPr>
                      <w:rFonts w:hint="eastAsia"/>
                    </w:rPr>
                    <w:t>地表水</w:t>
                  </w:r>
                </w:p>
              </w:tc>
              <w:tc>
                <w:tcPr>
                  <w:tcW w:w="749" w:type="pct"/>
                  <w:vAlign w:val="center"/>
                </w:tcPr>
                <w:p w14:paraId="2606B9FD">
                  <w:pPr>
                    <w:jc w:val="center"/>
                  </w:pPr>
                  <w:r>
                    <w:rPr>
                      <w:rFonts w:hint="eastAsia"/>
                      <w:bCs/>
                      <w:lang w:bidi="ar"/>
                    </w:rPr>
                    <w:t>魏家河</w:t>
                  </w:r>
                </w:p>
              </w:tc>
              <w:tc>
                <w:tcPr>
                  <w:tcW w:w="442" w:type="pct"/>
                  <w:vAlign w:val="center"/>
                </w:tcPr>
                <w:p w14:paraId="6B19DF0C">
                  <w:pPr>
                    <w:jc w:val="center"/>
                    <w:rPr>
                      <w:b/>
                    </w:rPr>
                  </w:pPr>
                  <w:r>
                    <w:rPr>
                      <w:rFonts w:hint="eastAsia"/>
                      <w:b/>
                    </w:rPr>
                    <w:t>/</w:t>
                  </w:r>
                </w:p>
              </w:tc>
              <w:tc>
                <w:tcPr>
                  <w:tcW w:w="441" w:type="pct"/>
                  <w:vAlign w:val="center"/>
                </w:tcPr>
                <w:p w14:paraId="5A8EBBC8">
                  <w:pPr>
                    <w:jc w:val="center"/>
                    <w:rPr>
                      <w:b/>
                    </w:rPr>
                  </w:pPr>
                  <w:r>
                    <w:rPr>
                      <w:rFonts w:hint="eastAsia"/>
                      <w:b/>
                    </w:rPr>
                    <w:t>/</w:t>
                  </w:r>
                </w:p>
              </w:tc>
              <w:tc>
                <w:tcPr>
                  <w:tcW w:w="882" w:type="pct"/>
                  <w:vMerge w:val="restart"/>
                  <w:vAlign w:val="center"/>
                </w:tcPr>
                <w:p w14:paraId="30C6BB34">
                  <w:pPr>
                    <w:jc w:val="center"/>
                  </w:pPr>
                  <w:r>
                    <w:rPr>
                      <w:rFonts w:hint="eastAsia"/>
                    </w:rPr>
                    <w:t>水域功能</w:t>
                  </w:r>
                  <w:r>
                    <w:t>III</w:t>
                  </w:r>
                  <w:r>
                    <w:rPr>
                      <w:rFonts w:hint="eastAsia" w:ascii="宋体" w:hAnsi="宋体"/>
                    </w:rPr>
                    <w:t>类</w:t>
                  </w:r>
                </w:p>
              </w:tc>
              <w:tc>
                <w:tcPr>
                  <w:tcW w:w="1017" w:type="pct"/>
                  <w:vMerge w:val="restart"/>
                  <w:shd w:val="clear" w:color="auto" w:fill="auto"/>
                  <w:vAlign w:val="center"/>
                </w:tcPr>
                <w:p w14:paraId="530881AC">
                  <w:pPr>
                    <w:jc w:val="center"/>
                  </w:pPr>
                  <w:r>
                    <w:rPr>
                      <w:rFonts w:hint="eastAsia"/>
                    </w:rPr>
                    <w:t>《地表水环境质量标准》（GB3838-2002）Ⅲ类水域</w:t>
                  </w:r>
                </w:p>
              </w:tc>
              <w:tc>
                <w:tcPr>
                  <w:tcW w:w="478" w:type="pct"/>
                  <w:shd w:val="clear" w:color="auto" w:fill="auto"/>
                  <w:vAlign w:val="center"/>
                </w:tcPr>
                <w:p w14:paraId="08637DC7">
                  <w:pPr>
                    <w:jc w:val="center"/>
                    <w:rPr>
                      <w:bCs/>
                    </w:rPr>
                  </w:pPr>
                  <w:r>
                    <w:rPr>
                      <w:rFonts w:hint="eastAsia"/>
                      <w:bCs/>
                    </w:rPr>
                    <w:t>E</w:t>
                  </w:r>
                </w:p>
              </w:tc>
              <w:tc>
                <w:tcPr>
                  <w:tcW w:w="581" w:type="pct"/>
                  <w:shd w:val="clear" w:color="auto" w:fill="auto"/>
                  <w:vAlign w:val="center"/>
                </w:tcPr>
                <w:p w14:paraId="6BDCEA0C">
                  <w:pPr>
                    <w:jc w:val="center"/>
                    <w:rPr>
                      <w:bCs/>
                    </w:rPr>
                  </w:pPr>
                  <w:r>
                    <w:rPr>
                      <w:rFonts w:hint="eastAsia"/>
                      <w:bCs/>
                    </w:rPr>
                    <w:t>800</w:t>
                  </w:r>
                </w:p>
              </w:tc>
            </w:tr>
            <w:tr w14:paraId="65384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9" w:type="pct"/>
                  <w:vMerge w:val="continue"/>
                  <w:shd w:val="clear" w:color="auto" w:fill="auto"/>
                  <w:vAlign w:val="center"/>
                </w:tcPr>
                <w:p w14:paraId="550E078F">
                  <w:pPr>
                    <w:jc w:val="center"/>
                  </w:pPr>
                </w:p>
              </w:tc>
              <w:tc>
                <w:tcPr>
                  <w:tcW w:w="749" w:type="pct"/>
                  <w:vAlign w:val="center"/>
                </w:tcPr>
                <w:p w14:paraId="1644DF87">
                  <w:pPr>
                    <w:jc w:val="center"/>
                  </w:pPr>
                  <w:r>
                    <w:rPr>
                      <w:rFonts w:hint="eastAsia"/>
                      <w:bCs/>
                      <w:lang w:bidi="ar"/>
                    </w:rPr>
                    <w:t>州河</w:t>
                  </w:r>
                </w:p>
              </w:tc>
              <w:tc>
                <w:tcPr>
                  <w:tcW w:w="442" w:type="pct"/>
                  <w:vAlign w:val="center"/>
                </w:tcPr>
                <w:p w14:paraId="6B400B11">
                  <w:pPr>
                    <w:jc w:val="center"/>
                    <w:rPr>
                      <w:b/>
                    </w:rPr>
                  </w:pPr>
                  <w:r>
                    <w:rPr>
                      <w:rFonts w:hint="eastAsia"/>
                      <w:b/>
                    </w:rPr>
                    <w:t>/</w:t>
                  </w:r>
                </w:p>
              </w:tc>
              <w:tc>
                <w:tcPr>
                  <w:tcW w:w="441" w:type="pct"/>
                  <w:vAlign w:val="center"/>
                </w:tcPr>
                <w:p w14:paraId="12F580E4">
                  <w:pPr>
                    <w:jc w:val="center"/>
                    <w:rPr>
                      <w:b/>
                    </w:rPr>
                  </w:pPr>
                  <w:r>
                    <w:rPr>
                      <w:rFonts w:hint="eastAsia"/>
                      <w:b/>
                    </w:rPr>
                    <w:t>/</w:t>
                  </w:r>
                </w:p>
              </w:tc>
              <w:tc>
                <w:tcPr>
                  <w:tcW w:w="882" w:type="pct"/>
                  <w:vMerge w:val="continue"/>
                  <w:vAlign w:val="center"/>
                </w:tcPr>
                <w:p w14:paraId="6F5E6C17">
                  <w:pPr>
                    <w:jc w:val="center"/>
                  </w:pPr>
                </w:p>
              </w:tc>
              <w:tc>
                <w:tcPr>
                  <w:tcW w:w="1017" w:type="pct"/>
                  <w:vMerge w:val="continue"/>
                  <w:shd w:val="clear" w:color="auto" w:fill="auto"/>
                  <w:vAlign w:val="center"/>
                </w:tcPr>
                <w:p w14:paraId="14659037">
                  <w:pPr>
                    <w:jc w:val="center"/>
                  </w:pPr>
                </w:p>
              </w:tc>
              <w:tc>
                <w:tcPr>
                  <w:tcW w:w="478" w:type="pct"/>
                  <w:shd w:val="clear" w:color="auto" w:fill="auto"/>
                  <w:vAlign w:val="center"/>
                </w:tcPr>
                <w:p w14:paraId="175A4A27">
                  <w:pPr>
                    <w:jc w:val="center"/>
                    <w:rPr>
                      <w:bCs/>
                    </w:rPr>
                  </w:pPr>
                  <w:r>
                    <w:rPr>
                      <w:rFonts w:hint="eastAsia"/>
                      <w:bCs/>
                    </w:rPr>
                    <w:t>SE</w:t>
                  </w:r>
                </w:p>
              </w:tc>
              <w:tc>
                <w:tcPr>
                  <w:tcW w:w="581" w:type="pct"/>
                  <w:shd w:val="clear" w:color="auto" w:fill="auto"/>
                  <w:vAlign w:val="center"/>
                </w:tcPr>
                <w:p w14:paraId="7DDB682C">
                  <w:pPr>
                    <w:jc w:val="center"/>
                    <w:rPr>
                      <w:bCs/>
                    </w:rPr>
                  </w:pPr>
                  <w:r>
                    <w:rPr>
                      <w:rFonts w:hint="eastAsia"/>
                      <w:bCs/>
                    </w:rPr>
                    <w:t>5120</w:t>
                  </w:r>
                </w:p>
              </w:tc>
            </w:tr>
            <w:tr w14:paraId="5BB23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9" w:type="pct"/>
                  <w:shd w:val="clear" w:color="auto" w:fill="auto"/>
                  <w:vAlign w:val="center"/>
                </w:tcPr>
                <w:p w14:paraId="090FCDF0">
                  <w:pPr>
                    <w:jc w:val="center"/>
                  </w:pPr>
                  <w:r>
                    <w:rPr>
                      <w:rFonts w:hint="eastAsia"/>
                    </w:rPr>
                    <w:t>声环境</w:t>
                  </w:r>
                </w:p>
              </w:tc>
              <w:tc>
                <w:tcPr>
                  <w:tcW w:w="2515" w:type="pct"/>
                  <w:gridSpan w:val="4"/>
                  <w:vAlign w:val="center"/>
                </w:tcPr>
                <w:p w14:paraId="3E5C2C35">
                  <w:pPr>
                    <w:jc w:val="center"/>
                  </w:pPr>
                  <w:r>
                    <w:rPr>
                      <w:rFonts w:hint="eastAsia"/>
                    </w:rPr>
                    <w:t>项目厂界外50m范围内无</w:t>
                  </w:r>
                  <w:r>
                    <w:t>声环境保护目标</w:t>
                  </w:r>
                </w:p>
              </w:tc>
              <w:tc>
                <w:tcPr>
                  <w:tcW w:w="2077" w:type="pct"/>
                  <w:gridSpan w:val="3"/>
                  <w:shd w:val="clear" w:color="auto" w:fill="auto"/>
                  <w:vAlign w:val="center"/>
                </w:tcPr>
                <w:p w14:paraId="7118B3AF">
                  <w:pPr>
                    <w:jc w:val="center"/>
                  </w:pPr>
                  <w:r>
                    <w:rPr>
                      <w:rFonts w:hint="eastAsia"/>
                    </w:rPr>
                    <w:t>《声环境质量标准》（GB3096-2008）3类</w:t>
                  </w:r>
                </w:p>
              </w:tc>
            </w:tr>
            <w:tr w14:paraId="71A88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9" w:type="pct"/>
                  <w:shd w:val="clear" w:color="auto" w:fill="auto"/>
                  <w:vAlign w:val="center"/>
                </w:tcPr>
                <w:p w14:paraId="5EF0751C">
                  <w:pPr>
                    <w:jc w:val="center"/>
                  </w:pPr>
                  <w:r>
                    <w:rPr>
                      <w:rFonts w:hint="eastAsia"/>
                    </w:rPr>
                    <w:t>地下水</w:t>
                  </w:r>
                </w:p>
              </w:tc>
              <w:tc>
                <w:tcPr>
                  <w:tcW w:w="2515" w:type="pct"/>
                  <w:gridSpan w:val="4"/>
                  <w:vAlign w:val="center"/>
                </w:tcPr>
                <w:p w14:paraId="49C99A6C">
                  <w:pPr>
                    <w:jc w:val="center"/>
                  </w:pPr>
                  <w:r>
                    <w:rPr>
                      <w:rFonts w:hint="eastAsia"/>
                    </w:rPr>
                    <w:t>项目厂界外 500m 范围内无地下水集中式饮用水源和热水、矿泉水、温泉等特殊地下水资源</w:t>
                  </w:r>
                </w:p>
              </w:tc>
              <w:tc>
                <w:tcPr>
                  <w:tcW w:w="2077" w:type="pct"/>
                  <w:gridSpan w:val="3"/>
                  <w:shd w:val="clear" w:color="auto" w:fill="auto"/>
                  <w:vAlign w:val="center"/>
                </w:tcPr>
                <w:p w14:paraId="5636069C">
                  <w:pPr>
                    <w:jc w:val="center"/>
                  </w:pPr>
                  <w:r>
                    <w:rPr>
                      <w:rFonts w:hint="eastAsia"/>
                    </w:rPr>
                    <w:t>《地下水质量标准》（GB/T14848-2017）Ⅲ类水域标准</w:t>
                  </w:r>
                </w:p>
              </w:tc>
            </w:tr>
          </w:tbl>
          <w:p w14:paraId="691C68F4">
            <w:pPr>
              <w:widowControl/>
              <w:spacing w:line="360" w:lineRule="auto"/>
              <w:ind w:firstLine="420" w:firstLineChars="200"/>
              <w:rPr>
                <w:lang w:bidi="ar"/>
              </w:rPr>
            </w:pPr>
          </w:p>
        </w:tc>
      </w:tr>
      <w:tr w14:paraId="5A4E20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0" w:type="dxa"/>
            <w:tcMar>
              <w:left w:w="28" w:type="dxa"/>
              <w:right w:w="28" w:type="dxa"/>
            </w:tcMar>
            <w:vAlign w:val="center"/>
          </w:tcPr>
          <w:p w14:paraId="6B0F5CE7">
            <w:pPr>
              <w:adjustRightInd w:val="0"/>
              <w:snapToGrid w:val="0"/>
              <w:jc w:val="center"/>
              <w:rPr>
                <w:rFonts w:hint="eastAsia" w:ascii="宋体" w:hAnsi="宋体"/>
              </w:rPr>
            </w:pPr>
            <w:r>
              <w:rPr>
                <w:rFonts w:hint="eastAsia" w:ascii="宋体" w:hAnsi="宋体"/>
              </w:rPr>
              <w:t>污染</w:t>
            </w:r>
          </w:p>
          <w:p w14:paraId="476C0314">
            <w:pPr>
              <w:adjustRightInd w:val="0"/>
              <w:snapToGrid w:val="0"/>
              <w:jc w:val="center"/>
              <w:rPr>
                <w:rFonts w:hint="eastAsia" w:ascii="宋体" w:hAnsi="宋体"/>
              </w:rPr>
            </w:pPr>
            <w:r>
              <w:rPr>
                <w:rFonts w:hint="eastAsia" w:ascii="宋体" w:hAnsi="宋体"/>
              </w:rPr>
              <w:t>物排</w:t>
            </w:r>
          </w:p>
          <w:p w14:paraId="15BEFC19">
            <w:pPr>
              <w:adjustRightInd w:val="0"/>
              <w:snapToGrid w:val="0"/>
              <w:jc w:val="center"/>
              <w:rPr>
                <w:rFonts w:hint="eastAsia" w:ascii="宋体" w:hAnsi="宋体"/>
              </w:rPr>
            </w:pPr>
            <w:r>
              <w:rPr>
                <w:rFonts w:hint="eastAsia" w:ascii="宋体" w:hAnsi="宋体"/>
              </w:rPr>
              <w:t>放控</w:t>
            </w:r>
          </w:p>
          <w:p w14:paraId="5AD9F8C9">
            <w:pPr>
              <w:adjustRightInd w:val="0"/>
              <w:snapToGrid w:val="0"/>
              <w:jc w:val="center"/>
              <w:rPr>
                <w:rFonts w:hint="eastAsia" w:ascii="宋体" w:hAnsi="宋体"/>
              </w:rPr>
            </w:pPr>
            <w:r>
              <w:rPr>
                <w:rFonts w:hint="eastAsia" w:ascii="宋体" w:hAnsi="宋体"/>
              </w:rPr>
              <w:t>制标</w:t>
            </w:r>
          </w:p>
          <w:p w14:paraId="772A2F93">
            <w:pPr>
              <w:adjustRightInd w:val="0"/>
              <w:snapToGrid w:val="0"/>
              <w:jc w:val="center"/>
              <w:rPr>
                <w:rFonts w:hint="eastAsia" w:ascii="宋体" w:hAnsi="宋体"/>
              </w:rPr>
            </w:pPr>
            <w:r>
              <w:rPr>
                <w:rFonts w:hint="eastAsia" w:ascii="宋体" w:hAnsi="宋体"/>
              </w:rPr>
              <w:t>准</w:t>
            </w:r>
          </w:p>
        </w:tc>
        <w:tc>
          <w:tcPr>
            <w:tcW w:w="8190" w:type="dxa"/>
            <w:vAlign w:val="center"/>
          </w:tcPr>
          <w:p w14:paraId="28702492">
            <w:pPr>
              <w:widowControl/>
              <w:spacing w:line="360" w:lineRule="auto"/>
              <w:ind w:firstLine="422" w:firstLineChars="200"/>
              <w:rPr>
                <w:b/>
                <w:bCs/>
                <w:lang w:bidi="ar"/>
              </w:rPr>
            </w:pPr>
            <w:r>
              <w:rPr>
                <w:rFonts w:hint="eastAsia"/>
                <w:b/>
                <w:bCs/>
              </w:rPr>
              <w:t>1</w:t>
            </w:r>
            <w:r>
              <w:rPr>
                <w:rFonts w:hint="eastAsia"/>
                <w:b/>
                <w:bCs/>
                <w:lang w:bidi="ar"/>
              </w:rPr>
              <w:t>、废水</w:t>
            </w:r>
          </w:p>
          <w:p w14:paraId="7137CCC7">
            <w:pPr>
              <w:widowControl/>
              <w:spacing w:line="360" w:lineRule="auto"/>
              <w:ind w:firstLine="420" w:firstLineChars="200"/>
              <w:rPr>
                <w:lang w:bidi="ar"/>
              </w:rPr>
            </w:pPr>
            <w:r>
              <w:rPr>
                <w:rFonts w:hint="eastAsia"/>
                <w:lang w:bidi="ar"/>
              </w:rPr>
              <w:t>本项目生活废水、设备清洗废水、地面清洁废水收集后排入厂区新建污水设施处理达到《中药类制药工业水污染物排放标准》  (GB21906-2008) 表 2 标准后进入魏兴场镇污水处理厂，处理达到《城镇污水处理厂污染物排放标准》(GB18918-2002) 一级 A 标准后排入州河。各标准值见下表。</w:t>
            </w:r>
          </w:p>
          <w:p w14:paraId="1D8D83BF">
            <w:pPr>
              <w:autoSpaceDE w:val="0"/>
              <w:autoSpaceDN w:val="0"/>
              <w:adjustRightInd w:val="0"/>
              <w:snapToGrid w:val="0"/>
              <w:jc w:val="center"/>
              <w:rPr>
                <w:b/>
              </w:rPr>
            </w:pPr>
            <w:r>
              <w:rPr>
                <w:rFonts w:hint="eastAsia"/>
                <w:b/>
              </w:rPr>
              <w:t>表3-4</w:t>
            </w:r>
            <w:r>
              <w:rPr>
                <w:b/>
              </w:rPr>
              <w:t xml:space="preserve">  </w:t>
            </w:r>
            <w:r>
              <w:rPr>
                <w:rFonts w:hint="eastAsia"/>
                <w:b/>
              </w:rPr>
              <w:t>施工期、运营期外排污水执行标准</w:t>
            </w:r>
            <w:r>
              <w:rPr>
                <w:b/>
              </w:rPr>
              <w:t xml:space="preserve">  </w:t>
            </w:r>
            <w:r>
              <w:rPr>
                <w:rFonts w:hint="eastAsia"/>
                <w:b/>
              </w:rPr>
              <w:t>单位：</w:t>
            </w:r>
            <w:r>
              <w:rPr>
                <w:b/>
              </w:rPr>
              <w:t>mg/L</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38"/>
              <w:gridCol w:w="715"/>
              <w:gridCol w:w="699"/>
              <w:gridCol w:w="747"/>
              <w:gridCol w:w="566"/>
              <w:gridCol w:w="1075"/>
              <w:gridCol w:w="709"/>
              <w:gridCol w:w="786"/>
            </w:tblGrid>
            <w:tr w14:paraId="0BAA9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704" w:type="pct"/>
                  <w:tcBorders>
                    <w:top w:val="single" w:color="auto" w:sz="12" w:space="0"/>
                    <w:bottom w:val="single" w:color="auto" w:sz="4" w:space="0"/>
                    <w:tl2br w:val="single" w:color="auto" w:sz="4" w:space="0"/>
                  </w:tcBorders>
                  <w:shd w:val="clear" w:color="auto" w:fill="auto"/>
                  <w:vAlign w:val="center"/>
                </w:tcPr>
                <w:p w14:paraId="5904080F">
                  <w:pPr>
                    <w:jc w:val="center"/>
                  </w:pPr>
                  <w:r>
                    <w:rPr>
                      <w:rFonts w:hint="eastAsia"/>
                    </w:rPr>
                    <w:t xml:space="preserve"> </w:t>
                  </w:r>
                  <w:r>
                    <w:t xml:space="preserve">                          </w:t>
                  </w:r>
                  <w:r>
                    <w:rPr>
                      <w:rFonts w:hint="eastAsia"/>
                    </w:rPr>
                    <w:t>污染物</w:t>
                  </w:r>
                </w:p>
                <w:p w14:paraId="0AB600D8">
                  <w:r>
                    <w:rPr>
                      <w:rFonts w:hint="eastAsia"/>
                    </w:rPr>
                    <w:t>标准</w:t>
                  </w:r>
                </w:p>
              </w:tc>
              <w:tc>
                <w:tcPr>
                  <w:tcW w:w="445" w:type="pct"/>
                  <w:shd w:val="clear" w:color="auto" w:fill="auto"/>
                  <w:vAlign w:val="center"/>
                </w:tcPr>
                <w:p w14:paraId="034B0656">
                  <w:pPr>
                    <w:jc w:val="center"/>
                  </w:pPr>
                  <w:r>
                    <w:t>pH</w:t>
                  </w:r>
                </w:p>
              </w:tc>
              <w:tc>
                <w:tcPr>
                  <w:tcW w:w="435" w:type="pct"/>
                  <w:shd w:val="clear" w:color="auto" w:fill="auto"/>
                  <w:vAlign w:val="center"/>
                </w:tcPr>
                <w:p w14:paraId="703EB6A1">
                  <w:pPr>
                    <w:jc w:val="center"/>
                  </w:pPr>
                  <w:r>
                    <w:t>COD</w:t>
                  </w:r>
                </w:p>
              </w:tc>
              <w:tc>
                <w:tcPr>
                  <w:tcW w:w="465" w:type="pct"/>
                  <w:shd w:val="clear" w:color="auto" w:fill="auto"/>
                  <w:vAlign w:val="center"/>
                </w:tcPr>
                <w:p w14:paraId="30F130D5">
                  <w:pPr>
                    <w:jc w:val="center"/>
                  </w:pPr>
                  <w:r>
                    <w:t>BOD</w:t>
                  </w:r>
                  <w:r>
                    <w:rPr>
                      <w:vertAlign w:val="subscript"/>
                    </w:rPr>
                    <w:t>5</w:t>
                  </w:r>
                </w:p>
              </w:tc>
              <w:tc>
                <w:tcPr>
                  <w:tcW w:w="352" w:type="pct"/>
                  <w:shd w:val="clear" w:color="auto" w:fill="auto"/>
                  <w:vAlign w:val="center"/>
                </w:tcPr>
                <w:p w14:paraId="2FEB2CFA">
                  <w:pPr>
                    <w:jc w:val="center"/>
                  </w:pPr>
                  <w:r>
                    <w:t>SS</w:t>
                  </w:r>
                </w:p>
              </w:tc>
              <w:tc>
                <w:tcPr>
                  <w:tcW w:w="669" w:type="pct"/>
                  <w:shd w:val="clear" w:color="auto" w:fill="auto"/>
                  <w:vAlign w:val="center"/>
                </w:tcPr>
                <w:p w14:paraId="6C29453D">
                  <w:pPr>
                    <w:jc w:val="center"/>
                  </w:pPr>
                  <w:r>
                    <w:t>NH</w:t>
                  </w:r>
                  <w:r>
                    <w:rPr>
                      <w:vertAlign w:val="subscript"/>
                    </w:rPr>
                    <w:t>3</w:t>
                  </w:r>
                  <w:r>
                    <w:t>-N</w:t>
                  </w:r>
                </w:p>
              </w:tc>
              <w:tc>
                <w:tcPr>
                  <w:tcW w:w="441" w:type="pct"/>
                  <w:shd w:val="clear" w:color="auto" w:fill="auto"/>
                  <w:vAlign w:val="center"/>
                </w:tcPr>
                <w:p w14:paraId="06522DE0">
                  <w:pPr>
                    <w:jc w:val="center"/>
                  </w:pPr>
                  <w:r>
                    <w:t>TP</w:t>
                  </w:r>
                </w:p>
              </w:tc>
              <w:tc>
                <w:tcPr>
                  <w:tcW w:w="489" w:type="pct"/>
                  <w:vAlign w:val="center"/>
                </w:tcPr>
                <w:p w14:paraId="19B68F78">
                  <w:pPr>
                    <w:jc w:val="center"/>
                  </w:pPr>
                  <w:r>
                    <w:rPr>
                      <w:rFonts w:hint="eastAsia"/>
                    </w:rPr>
                    <w:t>动植物油</w:t>
                  </w:r>
                </w:p>
              </w:tc>
            </w:tr>
            <w:tr w14:paraId="694D3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1704" w:type="pct"/>
                  <w:tcBorders>
                    <w:top w:val="single" w:color="auto" w:sz="4" w:space="0"/>
                  </w:tcBorders>
                  <w:shd w:val="clear" w:color="auto" w:fill="auto"/>
                  <w:vAlign w:val="center"/>
                </w:tcPr>
                <w:p w14:paraId="2B970408">
                  <w:pPr>
                    <w:jc w:val="center"/>
                  </w:pPr>
                  <w:r>
                    <w:rPr>
                      <w:rFonts w:hint="eastAsia"/>
                    </w:rPr>
                    <w:t>《中药类制药工业水污染物排 放标准》  (GB21906-2008) 表2 标准</w:t>
                  </w:r>
                </w:p>
              </w:tc>
              <w:tc>
                <w:tcPr>
                  <w:tcW w:w="445" w:type="pct"/>
                  <w:shd w:val="clear" w:color="auto" w:fill="auto"/>
                  <w:vAlign w:val="center"/>
                </w:tcPr>
                <w:p w14:paraId="5B8279ED">
                  <w:pPr>
                    <w:jc w:val="center"/>
                  </w:pPr>
                  <w:r>
                    <w:t>6~9</w:t>
                  </w:r>
                </w:p>
              </w:tc>
              <w:tc>
                <w:tcPr>
                  <w:tcW w:w="435" w:type="pct"/>
                  <w:shd w:val="clear" w:color="auto" w:fill="auto"/>
                  <w:vAlign w:val="center"/>
                </w:tcPr>
                <w:p w14:paraId="378C5CD4">
                  <w:pPr>
                    <w:jc w:val="center"/>
                  </w:pPr>
                  <w:r>
                    <w:rPr>
                      <w:rFonts w:hint="eastAsia"/>
                    </w:rPr>
                    <w:t>1</w:t>
                  </w:r>
                  <w:r>
                    <w:t>00</w:t>
                  </w:r>
                </w:p>
              </w:tc>
              <w:tc>
                <w:tcPr>
                  <w:tcW w:w="465" w:type="pct"/>
                  <w:shd w:val="clear" w:color="auto" w:fill="auto"/>
                  <w:vAlign w:val="center"/>
                </w:tcPr>
                <w:p w14:paraId="1ED201CA">
                  <w:pPr>
                    <w:jc w:val="center"/>
                  </w:pPr>
                  <w:r>
                    <w:rPr>
                      <w:rFonts w:hint="eastAsia"/>
                    </w:rPr>
                    <w:t>2</w:t>
                  </w:r>
                  <w:r>
                    <w:t>0</w:t>
                  </w:r>
                </w:p>
              </w:tc>
              <w:tc>
                <w:tcPr>
                  <w:tcW w:w="352" w:type="pct"/>
                  <w:shd w:val="clear" w:color="auto" w:fill="auto"/>
                  <w:vAlign w:val="center"/>
                </w:tcPr>
                <w:p w14:paraId="799B74E0">
                  <w:pPr>
                    <w:jc w:val="center"/>
                  </w:pPr>
                  <w:r>
                    <w:rPr>
                      <w:rFonts w:hint="eastAsia"/>
                    </w:rPr>
                    <w:t>5</w:t>
                  </w:r>
                  <w:r>
                    <w:t>0</w:t>
                  </w:r>
                </w:p>
              </w:tc>
              <w:tc>
                <w:tcPr>
                  <w:tcW w:w="669" w:type="pct"/>
                  <w:shd w:val="clear" w:color="auto" w:fill="auto"/>
                  <w:vAlign w:val="center"/>
                </w:tcPr>
                <w:p w14:paraId="5BDFB50D">
                  <w:pPr>
                    <w:jc w:val="center"/>
                  </w:pPr>
                  <w:r>
                    <w:rPr>
                      <w:rFonts w:hint="eastAsia"/>
                    </w:rPr>
                    <w:t>8</w:t>
                  </w:r>
                </w:p>
              </w:tc>
              <w:tc>
                <w:tcPr>
                  <w:tcW w:w="441" w:type="pct"/>
                  <w:shd w:val="clear" w:color="auto" w:fill="auto"/>
                  <w:vAlign w:val="center"/>
                </w:tcPr>
                <w:p w14:paraId="3031A158">
                  <w:pPr>
                    <w:jc w:val="center"/>
                  </w:pPr>
                  <w:r>
                    <w:t>/</w:t>
                  </w:r>
                </w:p>
              </w:tc>
              <w:tc>
                <w:tcPr>
                  <w:tcW w:w="489" w:type="pct"/>
                  <w:vAlign w:val="center"/>
                </w:tcPr>
                <w:p w14:paraId="7B077CD7">
                  <w:pPr>
                    <w:jc w:val="center"/>
                  </w:pPr>
                  <w:r>
                    <w:rPr>
                      <w:rFonts w:hint="eastAsia"/>
                    </w:rPr>
                    <w:t>5</w:t>
                  </w:r>
                </w:p>
              </w:tc>
            </w:tr>
            <w:tr w14:paraId="3647B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1704" w:type="pct"/>
                  <w:shd w:val="clear" w:color="auto" w:fill="auto"/>
                  <w:vAlign w:val="center"/>
                </w:tcPr>
                <w:p w14:paraId="52203504">
                  <w:pPr>
                    <w:jc w:val="center"/>
                  </w:pPr>
                  <w:r>
                    <w:rPr>
                      <w:rFonts w:hint="eastAsia"/>
                    </w:rPr>
                    <w:t>污水排入城镇下水道水质标准</w:t>
                  </w:r>
                </w:p>
              </w:tc>
              <w:tc>
                <w:tcPr>
                  <w:tcW w:w="445" w:type="pct"/>
                  <w:shd w:val="clear" w:color="auto" w:fill="auto"/>
                  <w:vAlign w:val="center"/>
                </w:tcPr>
                <w:p w14:paraId="389ECA8C">
                  <w:pPr>
                    <w:jc w:val="center"/>
                  </w:pPr>
                  <w:r>
                    <w:t>/</w:t>
                  </w:r>
                </w:p>
              </w:tc>
              <w:tc>
                <w:tcPr>
                  <w:tcW w:w="435" w:type="pct"/>
                  <w:shd w:val="clear" w:color="auto" w:fill="auto"/>
                  <w:vAlign w:val="center"/>
                </w:tcPr>
                <w:p w14:paraId="3ECD2C82">
                  <w:pPr>
                    <w:jc w:val="center"/>
                  </w:pPr>
                  <w:r>
                    <w:t>/</w:t>
                  </w:r>
                </w:p>
              </w:tc>
              <w:tc>
                <w:tcPr>
                  <w:tcW w:w="465" w:type="pct"/>
                  <w:shd w:val="clear" w:color="auto" w:fill="auto"/>
                  <w:vAlign w:val="center"/>
                </w:tcPr>
                <w:p w14:paraId="60315449">
                  <w:pPr>
                    <w:jc w:val="center"/>
                  </w:pPr>
                  <w:r>
                    <w:t>/</w:t>
                  </w:r>
                </w:p>
              </w:tc>
              <w:tc>
                <w:tcPr>
                  <w:tcW w:w="352" w:type="pct"/>
                  <w:shd w:val="clear" w:color="auto" w:fill="auto"/>
                  <w:vAlign w:val="center"/>
                </w:tcPr>
                <w:p w14:paraId="5F7B6549">
                  <w:pPr>
                    <w:jc w:val="center"/>
                  </w:pPr>
                  <w:r>
                    <w:t>/</w:t>
                  </w:r>
                </w:p>
              </w:tc>
              <w:tc>
                <w:tcPr>
                  <w:tcW w:w="669" w:type="pct"/>
                  <w:shd w:val="clear" w:color="auto" w:fill="auto"/>
                  <w:vAlign w:val="center"/>
                </w:tcPr>
                <w:p w14:paraId="1BE98986">
                  <w:pPr>
                    <w:jc w:val="center"/>
                  </w:pPr>
                  <w:r>
                    <w:t>/</w:t>
                  </w:r>
                </w:p>
              </w:tc>
              <w:tc>
                <w:tcPr>
                  <w:tcW w:w="441" w:type="pct"/>
                  <w:shd w:val="clear" w:color="auto" w:fill="auto"/>
                  <w:vAlign w:val="center"/>
                </w:tcPr>
                <w:p w14:paraId="694D91A6">
                  <w:pPr>
                    <w:jc w:val="center"/>
                  </w:pPr>
                  <w:r>
                    <w:t>8</w:t>
                  </w:r>
                  <w:r>
                    <w:rPr>
                      <w:rFonts w:hint="eastAsia"/>
                      <w:vertAlign w:val="superscript"/>
                    </w:rPr>
                    <w:t>①</w:t>
                  </w:r>
                </w:p>
              </w:tc>
              <w:tc>
                <w:tcPr>
                  <w:tcW w:w="489" w:type="pct"/>
                  <w:vAlign w:val="center"/>
                </w:tcPr>
                <w:p w14:paraId="5FD98171">
                  <w:pPr>
                    <w:jc w:val="center"/>
                  </w:pPr>
                  <w:r>
                    <w:rPr>
                      <w:rFonts w:hint="eastAsia"/>
                    </w:rPr>
                    <w:t>/</w:t>
                  </w:r>
                </w:p>
              </w:tc>
            </w:tr>
            <w:tr w14:paraId="795DF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1704" w:type="pct"/>
                  <w:shd w:val="clear" w:color="auto" w:fill="auto"/>
                  <w:vAlign w:val="center"/>
                </w:tcPr>
                <w:p w14:paraId="18C787AC">
                  <w:pPr>
                    <w:jc w:val="center"/>
                  </w:pPr>
                  <w:r>
                    <w:rPr>
                      <w:rFonts w:hint="eastAsia"/>
                    </w:rPr>
                    <w:t>《城镇污水处理厂污染物排放标准》一级A标准</w:t>
                  </w:r>
                </w:p>
              </w:tc>
              <w:tc>
                <w:tcPr>
                  <w:tcW w:w="445" w:type="pct"/>
                  <w:shd w:val="clear" w:color="auto" w:fill="auto"/>
                  <w:vAlign w:val="center"/>
                </w:tcPr>
                <w:p w14:paraId="39AC9046">
                  <w:pPr>
                    <w:jc w:val="center"/>
                  </w:pPr>
                  <w:r>
                    <w:t>6~9</w:t>
                  </w:r>
                </w:p>
              </w:tc>
              <w:tc>
                <w:tcPr>
                  <w:tcW w:w="435" w:type="pct"/>
                  <w:shd w:val="clear" w:color="auto" w:fill="auto"/>
                  <w:vAlign w:val="center"/>
                </w:tcPr>
                <w:p w14:paraId="2C27AF83">
                  <w:pPr>
                    <w:jc w:val="center"/>
                  </w:pPr>
                  <w:r>
                    <w:rPr>
                      <w:rFonts w:hint="eastAsia"/>
                    </w:rPr>
                    <w:t>50</w:t>
                  </w:r>
                </w:p>
              </w:tc>
              <w:tc>
                <w:tcPr>
                  <w:tcW w:w="465" w:type="pct"/>
                  <w:shd w:val="clear" w:color="auto" w:fill="auto"/>
                  <w:vAlign w:val="center"/>
                </w:tcPr>
                <w:p w14:paraId="09850584">
                  <w:pPr>
                    <w:jc w:val="center"/>
                  </w:pPr>
                  <w:r>
                    <w:rPr>
                      <w:rFonts w:hint="eastAsia"/>
                    </w:rPr>
                    <w:t>10</w:t>
                  </w:r>
                </w:p>
              </w:tc>
              <w:tc>
                <w:tcPr>
                  <w:tcW w:w="352" w:type="pct"/>
                  <w:shd w:val="clear" w:color="auto" w:fill="auto"/>
                  <w:vAlign w:val="center"/>
                </w:tcPr>
                <w:p w14:paraId="4F315306">
                  <w:pPr>
                    <w:jc w:val="center"/>
                  </w:pPr>
                  <w:r>
                    <w:rPr>
                      <w:rFonts w:hint="eastAsia"/>
                    </w:rPr>
                    <w:t>10</w:t>
                  </w:r>
                </w:p>
              </w:tc>
              <w:tc>
                <w:tcPr>
                  <w:tcW w:w="669" w:type="pct"/>
                  <w:shd w:val="clear" w:color="auto" w:fill="auto"/>
                  <w:vAlign w:val="center"/>
                </w:tcPr>
                <w:p w14:paraId="324ADE41">
                  <w:pPr>
                    <w:jc w:val="center"/>
                  </w:pPr>
                  <w:r>
                    <w:rPr>
                      <w:rFonts w:hint="eastAsia"/>
                    </w:rPr>
                    <w:t>5（8）</w:t>
                  </w:r>
                  <w:r>
                    <w:rPr>
                      <w:rFonts w:hint="eastAsia"/>
                      <w:vertAlign w:val="superscript"/>
                    </w:rPr>
                    <w:t>②</w:t>
                  </w:r>
                </w:p>
              </w:tc>
              <w:tc>
                <w:tcPr>
                  <w:tcW w:w="441" w:type="pct"/>
                  <w:shd w:val="clear" w:color="auto" w:fill="auto"/>
                  <w:vAlign w:val="center"/>
                </w:tcPr>
                <w:p w14:paraId="7D3D2B9E">
                  <w:pPr>
                    <w:jc w:val="center"/>
                  </w:pPr>
                  <w:r>
                    <w:rPr>
                      <w:rFonts w:hint="eastAsia"/>
                    </w:rPr>
                    <w:t>0.5</w:t>
                  </w:r>
                </w:p>
              </w:tc>
              <w:tc>
                <w:tcPr>
                  <w:tcW w:w="489" w:type="pct"/>
                  <w:vAlign w:val="center"/>
                </w:tcPr>
                <w:p w14:paraId="2EBF3B98">
                  <w:pPr>
                    <w:jc w:val="center"/>
                  </w:pPr>
                  <w:r>
                    <w:rPr>
                      <w:rFonts w:hint="eastAsia"/>
                    </w:rPr>
                    <w:t>1</w:t>
                  </w:r>
                </w:p>
              </w:tc>
            </w:tr>
            <w:tr w14:paraId="75076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5000" w:type="pct"/>
                  <w:gridSpan w:val="8"/>
                  <w:shd w:val="clear" w:color="auto" w:fill="auto"/>
                  <w:vAlign w:val="center"/>
                </w:tcPr>
                <w:p w14:paraId="36E14632">
                  <w:pPr>
                    <w:jc w:val="center"/>
                  </w:pPr>
                  <w:r>
                    <w:rPr>
                      <w:rFonts w:hint="eastAsia"/>
                    </w:rPr>
                    <w:t>注：①参照执行《污水排入城镇下水道水质标准》（GB/T 31962-2015）B级标准。</w:t>
                  </w:r>
                </w:p>
                <w:p w14:paraId="5F12F32A">
                  <w:pPr>
                    <w:jc w:val="center"/>
                  </w:pPr>
                  <w:r>
                    <w:rPr>
                      <w:rFonts w:hint="eastAsia"/>
                    </w:rPr>
                    <w:t>②括号外数值为水温＞12℃时的控制指标，括号内数值为水温≤12℃时的控制指标。</w:t>
                  </w:r>
                </w:p>
              </w:tc>
            </w:tr>
          </w:tbl>
          <w:p w14:paraId="53221E7E">
            <w:pPr>
              <w:autoSpaceDE w:val="0"/>
              <w:autoSpaceDN w:val="0"/>
              <w:adjustRightInd w:val="0"/>
              <w:snapToGrid w:val="0"/>
              <w:jc w:val="center"/>
              <w:rPr>
                <w:b/>
              </w:rPr>
            </w:pPr>
            <w:r>
              <w:rPr>
                <w:b/>
              </w:rPr>
              <w:t>表3-</w:t>
            </w:r>
            <w:r>
              <w:rPr>
                <w:rFonts w:hint="eastAsia"/>
                <w:b/>
              </w:rPr>
              <w:t>5</w:t>
            </w:r>
            <w:r>
              <w:rPr>
                <w:b/>
              </w:rPr>
              <w:t xml:space="preserve">  </w:t>
            </w:r>
            <w:r>
              <w:rPr>
                <w:rFonts w:hint="eastAsia"/>
                <w:b/>
              </w:rPr>
              <w:t>单位产品基准排水量</w:t>
            </w:r>
            <w:r>
              <w:rPr>
                <w:b/>
              </w:rPr>
              <w:t xml:space="preserve">  </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06"/>
              <w:gridCol w:w="4329"/>
            </w:tblGrid>
            <w:tr w14:paraId="752A8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306" w:type="pct"/>
                  <w:shd w:val="clear" w:color="auto" w:fill="auto"/>
                  <w:vAlign w:val="center"/>
                </w:tcPr>
                <w:p w14:paraId="5EF8B17F">
                  <w:pPr>
                    <w:jc w:val="center"/>
                  </w:pPr>
                  <w:r>
                    <w:rPr>
                      <w:rFonts w:hint="eastAsia"/>
                    </w:rPr>
                    <w:t>单位产品基准排水量 (m</w:t>
                  </w:r>
                  <w:r>
                    <w:rPr>
                      <w:rFonts w:hint="eastAsia"/>
                      <w:vertAlign w:val="superscript"/>
                    </w:rPr>
                    <w:t>3</w:t>
                  </w:r>
                  <w:r>
                    <w:rPr>
                      <w:rFonts w:hint="eastAsia"/>
                    </w:rPr>
                    <w:t>/t 产品)</w:t>
                  </w:r>
                </w:p>
              </w:tc>
              <w:tc>
                <w:tcPr>
                  <w:tcW w:w="2694" w:type="pct"/>
                  <w:shd w:val="clear" w:color="auto" w:fill="auto"/>
                  <w:vAlign w:val="center"/>
                </w:tcPr>
                <w:p w14:paraId="05BE3A4B">
                  <w:pPr>
                    <w:jc w:val="center"/>
                  </w:pPr>
                  <w:r>
                    <w:rPr>
                      <w:rFonts w:hint="eastAsia"/>
                    </w:rPr>
                    <w:t>监控位置</w:t>
                  </w:r>
                </w:p>
              </w:tc>
            </w:tr>
            <w:tr w14:paraId="30755F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2306" w:type="pct"/>
                  <w:shd w:val="clear" w:color="auto" w:fill="auto"/>
                  <w:vAlign w:val="center"/>
                </w:tcPr>
                <w:p w14:paraId="7AB015FB">
                  <w:pPr>
                    <w:jc w:val="center"/>
                  </w:pPr>
                  <w:r>
                    <w:t>300</w:t>
                  </w:r>
                </w:p>
              </w:tc>
              <w:tc>
                <w:tcPr>
                  <w:tcW w:w="2694" w:type="pct"/>
                  <w:shd w:val="clear" w:color="auto" w:fill="auto"/>
                  <w:vAlign w:val="center"/>
                </w:tcPr>
                <w:p w14:paraId="50482D4D">
                  <w:pPr>
                    <w:jc w:val="center"/>
                  </w:pPr>
                  <w:r>
                    <w:rPr>
                      <w:rFonts w:hint="eastAsia"/>
                    </w:rPr>
                    <w:t>排水量计量位置与污染物排放监控位置相同</w:t>
                  </w:r>
                </w:p>
              </w:tc>
            </w:tr>
          </w:tbl>
          <w:p w14:paraId="21CAB9E7">
            <w:pPr>
              <w:widowControl/>
              <w:spacing w:line="360" w:lineRule="auto"/>
              <w:ind w:firstLine="422" w:firstLineChars="200"/>
              <w:rPr>
                <w:b/>
                <w:bCs/>
                <w:lang w:bidi="ar"/>
              </w:rPr>
            </w:pPr>
            <w:r>
              <w:rPr>
                <w:rFonts w:hint="eastAsia"/>
                <w:b/>
                <w:bCs/>
                <w:lang w:bidi="ar"/>
              </w:rPr>
              <w:t>2、废气</w:t>
            </w:r>
            <w:r>
              <w:rPr>
                <w:b/>
                <w:bCs/>
                <w:lang w:bidi="ar"/>
              </w:rPr>
              <w:t xml:space="preserve"> </w:t>
            </w:r>
          </w:p>
          <w:p w14:paraId="794A9527">
            <w:pPr>
              <w:widowControl/>
              <w:spacing w:line="360" w:lineRule="auto"/>
              <w:ind w:firstLine="420" w:firstLineChars="200"/>
              <w:rPr>
                <w:lang w:bidi="ar"/>
              </w:rPr>
            </w:pPr>
            <w:r>
              <w:rPr>
                <w:rFonts w:hint="eastAsia"/>
                <w:lang w:bidi="ar"/>
              </w:rPr>
              <w:t>施工期：产生的扬尘（颗粒物）执行《四川省施工场地扬尘排放标准》（</w:t>
            </w:r>
            <w:r>
              <w:rPr>
                <w:lang w:bidi="ar"/>
              </w:rPr>
              <w:t>DB51/2682-2020</w:t>
            </w:r>
            <w:r>
              <w:rPr>
                <w:rFonts w:hint="eastAsia"/>
                <w:lang w:bidi="ar"/>
              </w:rPr>
              <w:t>）表1施工扬尘无组织排放监控浓度限值，见下表。</w:t>
            </w:r>
          </w:p>
          <w:p w14:paraId="3D48E8E3">
            <w:pPr>
              <w:autoSpaceDE w:val="0"/>
              <w:autoSpaceDN w:val="0"/>
              <w:adjustRightInd w:val="0"/>
              <w:snapToGrid w:val="0"/>
              <w:jc w:val="center"/>
              <w:rPr>
                <w:b/>
              </w:rPr>
            </w:pPr>
            <w:r>
              <w:rPr>
                <w:rFonts w:hint="eastAsia"/>
                <w:b/>
              </w:rPr>
              <w:t>表3-6</w:t>
            </w:r>
            <w:r>
              <w:rPr>
                <w:b/>
              </w:rPr>
              <w:t xml:space="preserve">  </w:t>
            </w:r>
            <w:r>
              <w:rPr>
                <w:rFonts w:hint="eastAsia"/>
                <w:b/>
              </w:rPr>
              <w:t>四川省施工场地扬尘排放标准</w:t>
            </w:r>
            <w:r>
              <w:rPr>
                <w:b/>
              </w:rPr>
              <w:t xml:space="preserve">  </w:t>
            </w:r>
            <w:r>
              <w:rPr>
                <w:rFonts w:hint="eastAsia"/>
                <w:b/>
              </w:rPr>
              <w:t>单位</w:t>
            </w:r>
            <w:r>
              <w:rPr>
                <w:b/>
              </w:rPr>
              <w:t>ug/m</w:t>
            </w:r>
            <w:r>
              <w:rPr>
                <w:b/>
                <w:vertAlign w:val="superscript"/>
              </w:rPr>
              <w:t>3</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1891"/>
              <w:gridCol w:w="2303"/>
              <w:gridCol w:w="1848"/>
            </w:tblGrid>
            <w:tr w14:paraId="1D60C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240" w:type="pct"/>
                  <w:shd w:val="clear" w:color="auto" w:fill="auto"/>
                  <w:vAlign w:val="center"/>
                </w:tcPr>
                <w:p w14:paraId="311B1FB6">
                  <w:pPr>
                    <w:jc w:val="center"/>
                    <w:rPr>
                      <w:b/>
                      <w:bCs/>
                    </w:rPr>
                  </w:pPr>
                  <w:r>
                    <w:rPr>
                      <w:rFonts w:hint="eastAsia"/>
                      <w:b/>
                      <w:bCs/>
                    </w:rPr>
                    <w:t>污染物</w:t>
                  </w:r>
                </w:p>
              </w:tc>
              <w:tc>
                <w:tcPr>
                  <w:tcW w:w="1177" w:type="pct"/>
                  <w:shd w:val="clear" w:color="auto" w:fill="auto"/>
                  <w:vAlign w:val="center"/>
                </w:tcPr>
                <w:p w14:paraId="789C5B63">
                  <w:pPr>
                    <w:jc w:val="center"/>
                    <w:rPr>
                      <w:b/>
                      <w:bCs/>
                    </w:rPr>
                  </w:pPr>
                  <w:r>
                    <w:rPr>
                      <w:rFonts w:hint="eastAsia"/>
                      <w:b/>
                      <w:bCs/>
                    </w:rPr>
                    <w:t>区域</w:t>
                  </w:r>
                </w:p>
              </w:tc>
              <w:tc>
                <w:tcPr>
                  <w:tcW w:w="1433" w:type="pct"/>
                  <w:shd w:val="clear" w:color="auto" w:fill="auto"/>
                  <w:vAlign w:val="center"/>
                </w:tcPr>
                <w:p w14:paraId="216ACFBD">
                  <w:pPr>
                    <w:jc w:val="center"/>
                    <w:rPr>
                      <w:b/>
                      <w:bCs/>
                    </w:rPr>
                  </w:pPr>
                  <w:r>
                    <w:rPr>
                      <w:rFonts w:hint="eastAsia"/>
                      <w:b/>
                      <w:bCs/>
                    </w:rPr>
                    <w:t>施工阶段</w:t>
                  </w:r>
                </w:p>
              </w:tc>
              <w:tc>
                <w:tcPr>
                  <w:tcW w:w="1150" w:type="pct"/>
                  <w:shd w:val="clear" w:color="auto" w:fill="auto"/>
                  <w:vAlign w:val="center"/>
                </w:tcPr>
                <w:p w14:paraId="19B0595C">
                  <w:pPr>
                    <w:jc w:val="center"/>
                    <w:rPr>
                      <w:b/>
                      <w:bCs/>
                    </w:rPr>
                  </w:pPr>
                  <w:r>
                    <w:rPr>
                      <w:rFonts w:hint="eastAsia"/>
                      <w:b/>
                      <w:bCs/>
                    </w:rPr>
                    <w:t>监测点排放限值</w:t>
                  </w:r>
                </w:p>
              </w:tc>
            </w:tr>
            <w:tr w14:paraId="2C7EC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240" w:type="pct"/>
                  <w:shd w:val="clear" w:color="auto" w:fill="auto"/>
                  <w:vAlign w:val="center"/>
                </w:tcPr>
                <w:p w14:paraId="25C31D57">
                  <w:pPr>
                    <w:jc w:val="center"/>
                  </w:pPr>
                  <w:r>
                    <w:rPr>
                      <w:rFonts w:hint="eastAsia"/>
                    </w:rPr>
                    <w:t>总悬浮颗粒物</w:t>
                  </w:r>
                </w:p>
              </w:tc>
              <w:tc>
                <w:tcPr>
                  <w:tcW w:w="1177" w:type="pct"/>
                  <w:shd w:val="clear" w:color="auto" w:fill="auto"/>
                  <w:vAlign w:val="center"/>
                </w:tcPr>
                <w:p w14:paraId="49496879">
                  <w:pPr>
                    <w:jc w:val="center"/>
                  </w:pPr>
                  <w:r>
                    <w:rPr>
                      <w:rFonts w:hint="eastAsia"/>
                    </w:rPr>
                    <w:t>达州市</w:t>
                  </w:r>
                </w:p>
              </w:tc>
              <w:tc>
                <w:tcPr>
                  <w:tcW w:w="1433" w:type="pct"/>
                  <w:shd w:val="clear" w:color="auto" w:fill="auto"/>
                  <w:vAlign w:val="center"/>
                </w:tcPr>
                <w:p w14:paraId="2039C9F1">
                  <w:pPr>
                    <w:jc w:val="center"/>
                  </w:pPr>
                  <w:r>
                    <w:rPr>
                      <w:rFonts w:hint="eastAsia"/>
                    </w:rPr>
                    <w:t>其他工程阶段</w:t>
                  </w:r>
                </w:p>
              </w:tc>
              <w:tc>
                <w:tcPr>
                  <w:tcW w:w="1150" w:type="pct"/>
                  <w:shd w:val="clear" w:color="auto" w:fill="auto"/>
                  <w:vAlign w:val="center"/>
                </w:tcPr>
                <w:p w14:paraId="6404F02D">
                  <w:pPr>
                    <w:jc w:val="center"/>
                  </w:pPr>
                  <w:r>
                    <w:t>250</w:t>
                  </w:r>
                </w:p>
              </w:tc>
            </w:tr>
          </w:tbl>
          <w:p w14:paraId="72F5E9E3">
            <w:pPr>
              <w:widowControl/>
              <w:spacing w:line="360" w:lineRule="auto"/>
              <w:ind w:firstLine="420" w:firstLineChars="200"/>
              <w:rPr>
                <w:lang w:bidi="ar"/>
              </w:rPr>
            </w:pPr>
            <w:r>
              <w:rPr>
                <w:rFonts w:hint="eastAsia"/>
                <w:lang w:bidi="ar"/>
              </w:rPr>
              <w:t>营运期：产生的颗粒物执行《大气污染物综合排放标准》（</w:t>
            </w:r>
            <w:r>
              <w:rPr>
                <w:lang w:bidi="ar"/>
              </w:rPr>
              <w:t>GB16297-1996</w:t>
            </w:r>
            <w:r>
              <w:rPr>
                <w:rFonts w:hint="eastAsia"/>
                <w:lang w:bidi="ar"/>
              </w:rPr>
              <w:t>）表2相关标准。蒸煮异味、污水处理设施产 生的硫化氢、氨、臭气浓度执行《恶臭污染物排放标准》  (GB14554-93) 中二 级标准。</w:t>
            </w:r>
          </w:p>
          <w:p w14:paraId="4C493880">
            <w:pPr>
              <w:autoSpaceDE w:val="0"/>
              <w:autoSpaceDN w:val="0"/>
              <w:adjustRightInd w:val="0"/>
              <w:snapToGrid w:val="0"/>
              <w:jc w:val="center"/>
              <w:rPr>
                <w:b/>
              </w:rPr>
            </w:pPr>
            <w:r>
              <w:rPr>
                <w:rFonts w:hint="eastAsia"/>
                <w:b/>
              </w:rPr>
              <w:t>表3-7</w:t>
            </w:r>
            <w:r>
              <w:rPr>
                <w:b/>
              </w:rPr>
              <w:t xml:space="preserve">  </w:t>
            </w:r>
            <w:r>
              <w:rPr>
                <w:rFonts w:hint="eastAsia"/>
                <w:b/>
              </w:rPr>
              <w:t>大气污染物综合排放标准</w:t>
            </w:r>
            <w:r>
              <w:rPr>
                <w:b/>
              </w:rPr>
              <w:t xml:space="preserve">  </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1843"/>
              <w:gridCol w:w="2627"/>
              <w:gridCol w:w="1842"/>
            </w:tblGrid>
            <w:tr w14:paraId="61C54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072" w:type="pct"/>
                  <w:shd w:val="clear" w:color="auto" w:fill="auto"/>
                  <w:vAlign w:val="center"/>
                </w:tcPr>
                <w:p w14:paraId="30097732">
                  <w:pPr>
                    <w:jc w:val="center"/>
                    <w:rPr>
                      <w:b/>
                      <w:bCs/>
                    </w:rPr>
                  </w:pPr>
                  <w:r>
                    <w:rPr>
                      <w:rFonts w:hint="eastAsia"/>
                      <w:b/>
                      <w:bCs/>
                    </w:rPr>
                    <w:t>污染物</w:t>
                  </w:r>
                </w:p>
              </w:tc>
              <w:tc>
                <w:tcPr>
                  <w:tcW w:w="1147" w:type="pct"/>
                  <w:shd w:val="clear" w:color="auto" w:fill="auto"/>
                  <w:vAlign w:val="center"/>
                </w:tcPr>
                <w:p w14:paraId="762E73D4">
                  <w:pPr>
                    <w:jc w:val="center"/>
                    <w:rPr>
                      <w:b/>
                      <w:bCs/>
                    </w:rPr>
                  </w:pPr>
                  <w:r>
                    <w:rPr>
                      <w:rFonts w:hint="eastAsia"/>
                      <w:b/>
                      <w:bCs/>
                    </w:rPr>
                    <w:t>允许最高排放浓度m</w:t>
                  </w:r>
                  <w:r>
                    <w:rPr>
                      <w:b/>
                      <w:bCs/>
                    </w:rPr>
                    <w:t>g/m</w:t>
                  </w:r>
                  <w:r>
                    <w:rPr>
                      <w:b/>
                      <w:bCs/>
                      <w:vertAlign w:val="superscript"/>
                    </w:rPr>
                    <w:t>3</w:t>
                  </w:r>
                </w:p>
              </w:tc>
              <w:tc>
                <w:tcPr>
                  <w:tcW w:w="1635" w:type="pct"/>
                  <w:shd w:val="clear" w:color="auto" w:fill="auto"/>
                  <w:vAlign w:val="center"/>
                </w:tcPr>
                <w:p w14:paraId="6F1E94D5">
                  <w:pPr>
                    <w:jc w:val="center"/>
                    <w:rPr>
                      <w:b/>
                      <w:bCs/>
                    </w:rPr>
                  </w:pPr>
                  <w:r>
                    <w:rPr>
                      <w:rFonts w:hint="eastAsia"/>
                      <w:b/>
                      <w:bCs/>
                    </w:rPr>
                    <w:t>最高允许排放速率kg</w:t>
                  </w:r>
                  <w:r>
                    <w:rPr>
                      <w:b/>
                      <w:bCs/>
                    </w:rPr>
                    <w:t>/h</w:t>
                  </w:r>
                  <w:r>
                    <w:rPr>
                      <w:rFonts w:hint="eastAsia"/>
                      <w:b/>
                      <w:bCs/>
                    </w:rPr>
                    <w:t>（20m排气筒）</w:t>
                  </w:r>
                </w:p>
              </w:tc>
              <w:tc>
                <w:tcPr>
                  <w:tcW w:w="1147" w:type="pct"/>
                  <w:shd w:val="clear" w:color="auto" w:fill="auto"/>
                  <w:vAlign w:val="center"/>
                </w:tcPr>
                <w:p w14:paraId="0340A34C">
                  <w:pPr>
                    <w:jc w:val="center"/>
                    <w:rPr>
                      <w:b/>
                      <w:bCs/>
                    </w:rPr>
                  </w:pPr>
                  <w:r>
                    <w:rPr>
                      <w:rFonts w:hint="eastAsia"/>
                      <w:b/>
                      <w:bCs/>
                    </w:rPr>
                    <w:t>无组织排放监控浓度限值m</w:t>
                  </w:r>
                  <w:r>
                    <w:rPr>
                      <w:b/>
                      <w:bCs/>
                    </w:rPr>
                    <w:t>g/m</w:t>
                  </w:r>
                  <w:r>
                    <w:rPr>
                      <w:b/>
                      <w:bCs/>
                      <w:vertAlign w:val="superscript"/>
                    </w:rPr>
                    <w:t>3</w:t>
                  </w:r>
                </w:p>
              </w:tc>
            </w:tr>
            <w:tr w14:paraId="63D87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72" w:type="pct"/>
                  <w:shd w:val="clear" w:color="auto" w:fill="auto"/>
                  <w:vAlign w:val="center"/>
                </w:tcPr>
                <w:p w14:paraId="695173AA">
                  <w:pPr>
                    <w:jc w:val="center"/>
                  </w:pPr>
                  <w:r>
                    <w:rPr>
                      <w:rFonts w:hint="eastAsia"/>
                    </w:rPr>
                    <w:t>颗粒物</w:t>
                  </w:r>
                </w:p>
              </w:tc>
              <w:tc>
                <w:tcPr>
                  <w:tcW w:w="1147" w:type="pct"/>
                  <w:shd w:val="clear" w:color="auto" w:fill="auto"/>
                  <w:vAlign w:val="center"/>
                </w:tcPr>
                <w:p w14:paraId="74CF3126">
                  <w:pPr>
                    <w:jc w:val="center"/>
                  </w:pPr>
                  <w:r>
                    <w:rPr>
                      <w:rFonts w:hint="eastAsia"/>
                    </w:rPr>
                    <w:t>1</w:t>
                  </w:r>
                  <w:r>
                    <w:t>20</w:t>
                  </w:r>
                </w:p>
              </w:tc>
              <w:tc>
                <w:tcPr>
                  <w:tcW w:w="1635" w:type="pct"/>
                  <w:shd w:val="clear" w:color="auto" w:fill="auto"/>
                  <w:vAlign w:val="center"/>
                </w:tcPr>
                <w:p w14:paraId="4B9D6A54">
                  <w:pPr>
                    <w:jc w:val="center"/>
                  </w:pPr>
                  <w:r>
                    <w:rPr>
                      <w:rFonts w:hint="eastAsia"/>
                    </w:rPr>
                    <w:t>5.9</w:t>
                  </w:r>
                  <w:r>
                    <w:t xml:space="preserve"> </w:t>
                  </w:r>
                </w:p>
              </w:tc>
              <w:tc>
                <w:tcPr>
                  <w:tcW w:w="1147" w:type="pct"/>
                  <w:shd w:val="clear" w:color="auto" w:fill="auto"/>
                  <w:vAlign w:val="center"/>
                </w:tcPr>
                <w:p w14:paraId="7104E52A">
                  <w:pPr>
                    <w:jc w:val="center"/>
                  </w:pPr>
                  <w:r>
                    <w:rPr>
                      <w:rFonts w:hint="eastAsia"/>
                    </w:rPr>
                    <w:t>1</w:t>
                  </w:r>
                  <w:r>
                    <w:t>.0</w:t>
                  </w:r>
                </w:p>
              </w:tc>
            </w:tr>
            <w:tr w14:paraId="25F27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72" w:type="pct"/>
                  <w:shd w:val="clear" w:color="auto" w:fill="auto"/>
                  <w:vAlign w:val="center"/>
                </w:tcPr>
                <w:p w14:paraId="1EDE2CDB">
                  <w:pPr>
                    <w:jc w:val="center"/>
                  </w:pPr>
                  <w:r>
                    <w:rPr>
                      <w:rFonts w:hint="eastAsia"/>
                    </w:rPr>
                    <w:t>臭气浓度</w:t>
                  </w:r>
                </w:p>
              </w:tc>
              <w:tc>
                <w:tcPr>
                  <w:tcW w:w="1147" w:type="pct"/>
                  <w:shd w:val="clear" w:color="auto" w:fill="auto"/>
                  <w:vAlign w:val="center"/>
                </w:tcPr>
                <w:p w14:paraId="4C6B872E">
                  <w:pPr>
                    <w:jc w:val="center"/>
                  </w:pPr>
                  <w:r>
                    <w:rPr>
                      <w:rFonts w:hint="eastAsia"/>
                    </w:rPr>
                    <w:t>/</w:t>
                  </w:r>
                </w:p>
              </w:tc>
              <w:tc>
                <w:tcPr>
                  <w:tcW w:w="1635" w:type="pct"/>
                  <w:shd w:val="clear" w:color="auto" w:fill="auto"/>
                  <w:vAlign w:val="center"/>
                </w:tcPr>
                <w:p w14:paraId="542DBD56">
                  <w:pPr>
                    <w:jc w:val="center"/>
                  </w:pPr>
                  <w:r>
                    <w:rPr>
                      <w:rFonts w:hint="eastAsia"/>
                    </w:rPr>
                    <w:t>4000（无量纲，内插法）</w:t>
                  </w:r>
                </w:p>
              </w:tc>
              <w:tc>
                <w:tcPr>
                  <w:tcW w:w="1147" w:type="pct"/>
                  <w:shd w:val="clear" w:color="auto" w:fill="auto"/>
                  <w:vAlign w:val="center"/>
                </w:tcPr>
                <w:p w14:paraId="79C56CF9">
                  <w:pPr>
                    <w:jc w:val="center"/>
                  </w:pPr>
                  <w:r>
                    <w:rPr>
                      <w:rFonts w:hint="eastAsia"/>
                    </w:rPr>
                    <w:t>20（无量纲）</w:t>
                  </w:r>
                </w:p>
              </w:tc>
            </w:tr>
            <w:tr w14:paraId="16DF1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72" w:type="pct"/>
                  <w:shd w:val="clear" w:color="auto" w:fill="auto"/>
                  <w:vAlign w:val="center"/>
                </w:tcPr>
                <w:p w14:paraId="00AACD40">
                  <w:pPr>
                    <w:jc w:val="center"/>
                  </w:pPr>
                  <w:r>
                    <w:rPr>
                      <w:rFonts w:hint="eastAsia"/>
                    </w:rPr>
                    <w:t>氨</w:t>
                  </w:r>
                </w:p>
              </w:tc>
              <w:tc>
                <w:tcPr>
                  <w:tcW w:w="1147" w:type="pct"/>
                  <w:shd w:val="clear" w:color="auto" w:fill="auto"/>
                  <w:vAlign w:val="center"/>
                </w:tcPr>
                <w:p w14:paraId="3390B2DE">
                  <w:pPr>
                    <w:jc w:val="center"/>
                  </w:pPr>
                  <w:r>
                    <w:rPr>
                      <w:rFonts w:hint="eastAsia"/>
                    </w:rPr>
                    <w:t>/</w:t>
                  </w:r>
                </w:p>
              </w:tc>
              <w:tc>
                <w:tcPr>
                  <w:tcW w:w="1635" w:type="pct"/>
                  <w:shd w:val="clear" w:color="auto" w:fill="auto"/>
                  <w:vAlign w:val="center"/>
                </w:tcPr>
                <w:p w14:paraId="512AC557">
                  <w:pPr>
                    <w:jc w:val="center"/>
                  </w:pPr>
                  <w:r>
                    <w:rPr>
                      <w:rFonts w:hint="eastAsia"/>
                    </w:rPr>
                    <w:t>8.7</w:t>
                  </w:r>
                </w:p>
              </w:tc>
              <w:tc>
                <w:tcPr>
                  <w:tcW w:w="1147" w:type="pct"/>
                  <w:shd w:val="clear" w:color="auto" w:fill="auto"/>
                  <w:vAlign w:val="center"/>
                </w:tcPr>
                <w:p w14:paraId="70E18603">
                  <w:pPr>
                    <w:jc w:val="center"/>
                  </w:pPr>
                  <w:r>
                    <w:rPr>
                      <w:rFonts w:hint="eastAsia"/>
                    </w:rPr>
                    <w:t>1.5</w:t>
                  </w:r>
                </w:p>
              </w:tc>
            </w:tr>
            <w:tr w14:paraId="7632B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072" w:type="pct"/>
                  <w:shd w:val="clear" w:color="auto" w:fill="auto"/>
                  <w:vAlign w:val="center"/>
                </w:tcPr>
                <w:p w14:paraId="0483F598">
                  <w:pPr>
                    <w:jc w:val="center"/>
                  </w:pPr>
                  <w:r>
                    <w:rPr>
                      <w:rFonts w:hint="eastAsia"/>
                    </w:rPr>
                    <w:t>硫化氢</w:t>
                  </w:r>
                </w:p>
              </w:tc>
              <w:tc>
                <w:tcPr>
                  <w:tcW w:w="1147" w:type="pct"/>
                  <w:shd w:val="clear" w:color="auto" w:fill="auto"/>
                  <w:vAlign w:val="center"/>
                </w:tcPr>
                <w:p w14:paraId="55718D27">
                  <w:pPr>
                    <w:jc w:val="center"/>
                  </w:pPr>
                  <w:r>
                    <w:rPr>
                      <w:rFonts w:hint="eastAsia"/>
                    </w:rPr>
                    <w:t>/</w:t>
                  </w:r>
                </w:p>
              </w:tc>
              <w:tc>
                <w:tcPr>
                  <w:tcW w:w="1635" w:type="pct"/>
                  <w:shd w:val="clear" w:color="auto" w:fill="auto"/>
                  <w:vAlign w:val="center"/>
                </w:tcPr>
                <w:p w14:paraId="0040EF35">
                  <w:pPr>
                    <w:jc w:val="center"/>
                  </w:pPr>
                  <w:r>
                    <w:rPr>
                      <w:rFonts w:hint="eastAsia"/>
                    </w:rPr>
                    <w:t>0.58</w:t>
                  </w:r>
                </w:p>
              </w:tc>
              <w:tc>
                <w:tcPr>
                  <w:tcW w:w="1147" w:type="pct"/>
                  <w:shd w:val="clear" w:color="auto" w:fill="auto"/>
                  <w:vAlign w:val="center"/>
                </w:tcPr>
                <w:p w14:paraId="56257628">
                  <w:pPr>
                    <w:jc w:val="center"/>
                  </w:pPr>
                  <w:r>
                    <w:rPr>
                      <w:rFonts w:hint="eastAsia"/>
                    </w:rPr>
                    <w:t>0.06</w:t>
                  </w:r>
                </w:p>
              </w:tc>
            </w:tr>
          </w:tbl>
          <w:p w14:paraId="1AFB7962">
            <w:pPr>
              <w:widowControl/>
              <w:spacing w:line="360" w:lineRule="auto"/>
              <w:ind w:firstLine="422" w:firstLineChars="200"/>
              <w:rPr>
                <w:b/>
                <w:bCs/>
                <w:lang w:bidi="ar"/>
              </w:rPr>
            </w:pPr>
            <w:r>
              <w:rPr>
                <w:b/>
                <w:bCs/>
                <w:lang w:bidi="ar"/>
              </w:rPr>
              <w:t>3</w:t>
            </w:r>
            <w:r>
              <w:rPr>
                <w:rFonts w:hint="eastAsia"/>
                <w:b/>
                <w:bCs/>
                <w:lang w:bidi="ar"/>
              </w:rPr>
              <w:t>、噪声排放标准</w:t>
            </w:r>
          </w:p>
          <w:p w14:paraId="3C6C5C59">
            <w:pPr>
              <w:widowControl/>
              <w:spacing w:line="360" w:lineRule="auto"/>
              <w:ind w:firstLine="420" w:firstLineChars="200"/>
              <w:rPr>
                <w:lang w:bidi="ar"/>
              </w:rPr>
            </w:pPr>
            <w:r>
              <w:rPr>
                <w:rFonts w:hint="eastAsia"/>
                <w:lang w:bidi="ar"/>
              </w:rPr>
              <w:t>施工期噪声执行《建筑施工场界环境噪声排放标准》（</w:t>
            </w:r>
            <w:r>
              <w:rPr>
                <w:lang w:bidi="ar"/>
              </w:rPr>
              <w:t>GB12523-2011</w:t>
            </w:r>
            <w:r>
              <w:rPr>
                <w:rFonts w:hint="eastAsia"/>
                <w:lang w:bidi="ar"/>
              </w:rPr>
              <w:t>）；运营期噪声排放执行《工业企业厂界环境噪声排放标准》</w:t>
            </w:r>
            <w:r>
              <w:rPr>
                <w:lang w:bidi="ar"/>
              </w:rPr>
              <w:t>（GB12348-2008）</w:t>
            </w:r>
            <w:r>
              <w:rPr>
                <w:rFonts w:hint="eastAsia"/>
                <w:lang w:bidi="ar"/>
              </w:rPr>
              <w:t>中的</w:t>
            </w:r>
            <w:r>
              <w:rPr>
                <w:lang w:bidi="ar"/>
              </w:rPr>
              <w:t>3</w:t>
            </w:r>
            <w:r>
              <w:rPr>
                <w:rFonts w:hint="eastAsia"/>
                <w:lang w:bidi="ar"/>
              </w:rPr>
              <w:t>类标准。</w:t>
            </w:r>
          </w:p>
          <w:p w14:paraId="241FA191">
            <w:pPr>
              <w:autoSpaceDE w:val="0"/>
              <w:autoSpaceDN w:val="0"/>
              <w:adjustRightInd w:val="0"/>
              <w:snapToGrid w:val="0"/>
              <w:jc w:val="center"/>
              <w:rPr>
                <w:b/>
              </w:rPr>
            </w:pPr>
            <w:r>
              <w:rPr>
                <w:rFonts w:hint="eastAsia"/>
                <w:b/>
              </w:rPr>
              <w:t>表3</w:t>
            </w:r>
            <w:r>
              <w:rPr>
                <w:b/>
              </w:rPr>
              <w:t>-</w:t>
            </w:r>
            <w:r>
              <w:rPr>
                <w:rFonts w:hint="eastAsia"/>
                <w:b/>
              </w:rPr>
              <w:t xml:space="preserve">8 </w:t>
            </w:r>
            <w:r>
              <w:rPr>
                <w:b/>
              </w:rPr>
              <w:t xml:space="preserve"> </w:t>
            </w:r>
            <w:r>
              <w:rPr>
                <w:rFonts w:hint="eastAsia"/>
                <w:b/>
              </w:rPr>
              <w:t>建筑施工场界环境噪声排放标准限值</w:t>
            </w:r>
            <w:r>
              <w:rPr>
                <w:b/>
              </w:rPr>
              <w:t xml:space="preserve">  </w:t>
            </w:r>
            <w:r>
              <w:rPr>
                <w:rFonts w:hint="eastAsia"/>
                <w:b/>
              </w:rPr>
              <w:t>单位：</w:t>
            </w:r>
            <w:r>
              <w:rPr>
                <w:b/>
              </w:rPr>
              <w:t>dB</w:t>
            </w:r>
            <w:r>
              <w:rPr>
                <w:rFonts w:hint="eastAsia"/>
                <w:b/>
              </w:rPr>
              <w:t>（</w:t>
            </w:r>
            <w:r>
              <w:rPr>
                <w:b/>
              </w:rPr>
              <w:t>A</w:t>
            </w:r>
            <w:r>
              <w:rPr>
                <w:rFonts w:hint="eastAsia"/>
                <w:b/>
              </w:rPr>
              <w:t>）</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5"/>
              <w:gridCol w:w="3760"/>
            </w:tblGrid>
            <w:tr w14:paraId="72883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660" w:type="pct"/>
                  <w:shd w:val="clear" w:color="auto" w:fill="auto"/>
                  <w:vAlign w:val="center"/>
                </w:tcPr>
                <w:p w14:paraId="6C860C58">
                  <w:pPr>
                    <w:jc w:val="center"/>
                    <w:rPr>
                      <w:b/>
                      <w:bCs/>
                    </w:rPr>
                  </w:pPr>
                  <w:r>
                    <w:rPr>
                      <w:rFonts w:hint="eastAsia"/>
                      <w:b/>
                      <w:bCs/>
                    </w:rPr>
                    <w:t>昼间</w:t>
                  </w:r>
                </w:p>
              </w:tc>
              <w:tc>
                <w:tcPr>
                  <w:tcW w:w="2340" w:type="pct"/>
                  <w:shd w:val="clear" w:color="auto" w:fill="auto"/>
                  <w:vAlign w:val="center"/>
                </w:tcPr>
                <w:p w14:paraId="6D946F8C">
                  <w:pPr>
                    <w:jc w:val="center"/>
                    <w:rPr>
                      <w:b/>
                      <w:bCs/>
                    </w:rPr>
                  </w:pPr>
                  <w:r>
                    <w:rPr>
                      <w:rFonts w:hint="eastAsia"/>
                      <w:b/>
                      <w:bCs/>
                    </w:rPr>
                    <w:t>夜间</w:t>
                  </w:r>
                </w:p>
              </w:tc>
            </w:tr>
            <w:tr w14:paraId="2414A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660" w:type="pct"/>
                  <w:shd w:val="clear" w:color="auto" w:fill="auto"/>
                  <w:vAlign w:val="center"/>
                </w:tcPr>
                <w:p w14:paraId="6EB7F521">
                  <w:pPr>
                    <w:jc w:val="center"/>
                  </w:pPr>
                  <w:r>
                    <w:t>70</w:t>
                  </w:r>
                </w:p>
              </w:tc>
              <w:tc>
                <w:tcPr>
                  <w:tcW w:w="2340" w:type="pct"/>
                  <w:shd w:val="clear" w:color="auto" w:fill="auto"/>
                  <w:vAlign w:val="center"/>
                </w:tcPr>
                <w:p w14:paraId="2243F4D7">
                  <w:pPr>
                    <w:jc w:val="center"/>
                  </w:pPr>
                  <w:r>
                    <w:t>55</w:t>
                  </w:r>
                </w:p>
              </w:tc>
            </w:tr>
          </w:tbl>
          <w:p w14:paraId="4858A4D0">
            <w:pPr>
              <w:autoSpaceDE w:val="0"/>
              <w:autoSpaceDN w:val="0"/>
              <w:adjustRightInd w:val="0"/>
              <w:snapToGrid w:val="0"/>
              <w:jc w:val="center"/>
              <w:rPr>
                <w:b/>
              </w:rPr>
            </w:pPr>
            <w:r>
              <w:rPr>
                <w:rFonts w:hint="eastAsia"/>
                <w:b/>
              </w:rPr>
              <w:t>表3</w:t>
            </w:r>
            <w:r>
              <w:rPr>
                <w:b/>
              </w:rPr>
              <w:t>-</w:t>
            </w:r>
            <w:r>
              <w:rPr>
                <w:rFonts w:hint="eastAsia"/>
                <w:b/>
              </w:rPr>
              <w:t>9</w:t>
            </w:r>
            <w:r>
              <w:rPr>
                <w:b/>
              </w:rPr>
              <w:t xml:space="preserve"> </w:t>
            </w:r>
            <w:r>
              <w:rPr>
                <w:rFonts w:hint="eastAsia"/>
                <w:b/>
              </w:rPr>
              <w:t>工业企业厂界噪声排放标准</w:t>
            </w:r>
            <w:r>
              <w:rPr>
                <w:b/>
              </w:rPr>
              <w:t xml:space="preserve">  </w:t>
            </w:r>
            <w:r>
              <w:rPr>
                <w:rFonts w:hint="eastAsia"/>
                <w:b/>
              </w:rPr>
              <w:t>单位：</w:t>
            </w:r>
            <w:r>
              <w:rPr>
                <w:b/>
              </w:rPr>
              <w:t>Leq[dB（A）]</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8"/>
              <w:gridCol w:w="2839"/>
              <w:gridCol w:w="3028"/>
            </w:tblGrid>
            <w:tr w14:paraId="7AB15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349" w:type="pct"/>
                  <w:shd w:val="clear" w:color="auto" w:fill="auto"/>
                  <w:vAlign w:val="center"/>
                </w:tcPr>
                <w:p w14:paraId="0BB791EA">
                  <w:pPr>
                    <w:jc w:val="center"/>
                    <w:rPr>
                      <w:b/>
                      <w:bCs/>
                    </w:rPr>
                  </w:pPr>
                  <w:r>
                    <w:rPr>
                      <w:rFonts w:hint="eastAsia"/>
                      <w:b/>
                      <w:bCs/>
                    </w:rPr>
                    <w:t>类别</w:t>
                  </w:r>
                </w:p>
              </w:tc>
              <w:tc>
                <w:tcPr>
                  <w:tcW w:w="1766" w:type="pct"/>
                  <w:shd w:val="clear" w:color="auto" w:fill="auto"/>
                  <w:vAlign w:val="center"/>
                </w:tcPr>
                <w:p w14:paraId="1C656306">
                  <w:pPr>
                    <w:jc w:val="center"/>
                    <w:rPr>
                      <w:b/>
                      <w:bCs/>
                    </w:rPr>
                  </w:pPr>
                  <w:r>
                    <w:rPr>
                      <w:rFonts w:hint="eastAsia"/>
                      <w:b/>
                      <w:bCs/>
                    </w:rPr>
                    <w:t>昼间</w:t>
                  </w:r>
                </w:p>
              </w:tc>
              <w:tc>
                <w:tcPr>
                  <w:tcW w:w="1884" w:type="pct"/>
                  <w:shd w:val="clear" w:color="auto" w:fill="auto"/>
                  <w:vAlign w:val="center"/>
                </w:tcPr>
                <w:p w14:paraId="7894ACAD">
                  <w:pPr>
                    <w:jc w:val="center"/>
                    <w:rPr>
                      <w:b/>
                      <w:bCs/>
                    </w:rPr>
                  </w:pPr>
                  <w:r>
                    <w:rPr>
                      <w:rFonts w:hint="eastAsia"/>
                      <w:b/>
                      <w:bCs/>
                    </w:rPr>
                    <w:t>夜间</w:t>
                  </w:r>
                </w:p>
              </w:tc>
            </w:tr>
            <w:tr w14:paraId="46FD7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349" w:type="pct"/>
                  <w:shd w:val="clear" w:color="auto" w:fill="auto"/>
                  <w:vAlign w:val="center"/>
                </w:tcPr>
                <w:p w14:paraId="017CDBE4">
                  <w:pPr>
                    <w:jc w:val="center"/>
                  </w:pPr>
                  <w:r>
                    <w:t>3</w:t>
                  </w:r>
                  <w:r>
                    <w:rPr>
                      <w:rFonts w:hint="eastAsia"/>
                    </w:rPr>
                    <w:t>类</w:t>
                  </w:r>
                </w:p>
              </w:tc>
              <w:tc>
                <w:tcPr>
                  <w:tcW w:w="1766" w:type="pct"/>
                  <w:shd w:val="clear" w:color="auto" w:fill="auto"/>
                  <w:vAlign w:val="center"/>
                </w:tcPr>
                <w:p w14:paraId="2E0C7ACB">
                  <w:pPr>
                    <w:jc w:val="center"/>
                  </w:pPr>
                  <w:r>
                    <w:t>65</w:t>
                  </w:r>
                </w:p>
              </w:tc>
              <w:tc>
                <w:tcPr>
                  <w:tcW w:w="1884" w:type="pct"/>
                  <w:shd w:val="clear" w:color="auto" w:fill="auto"/>
                  <w:vAlign w:val="center"/>
                </w:tcPr>
                <w:p w14:paraId="2FCF83BB">
                  <w:pPr>
                    <w:jc w:val="center"/>
                  </w:pPr>
                  <w:r>
                    <w:t>55</w:t>
                  </w:r>
                </w:p>
              </w:tc>
            </w:tr>
          </w:tbl>
          <w:p w14:paraId="047BEEC6">
            <w:pPr>
              <w:widowControl/>
              <w:spacing w:line="360" w:lineRule="auto"/>
              <w:ind w:firstLine="422" w:firstLineChars="200"/>
              <w:rPr>
                <w:b/>
                <w:bCs/>
                <w:lang w:bidi="ar"/>
              </w:rPr>
            </w:pPr>
            <w:r>
              <w:rPr>
                <w:b/>
                <w:bCs/>
                <w:lang w:bidi="ar"/>
              </w:rPr>
              <w:t>4</w:t>
            </w:r>
            <w:r>
              <w:rPr>
                <w:rFonts w:hint="eastAsia"/>
                <w:b/>
                <w:bCs/>
                <w:lang w:bidi="ar"/>
              </w:rPr>
              <w:t>、固体废弃物</w:t>
            </w:r>
          </w:p>
          <w:p w14:paraId="2183D9FA">
            <w:pPr>
              <w:widowControl/>
              <w:spacing w:line="360" w:lineRule="auto"/>
              <w:ind w:firstLine="420" w:firstLineChars="200"/>
              <w:rPr>
                <w:lang w:bidi="ar"/>
              </w:rPr>
            </w:pPr>
            <w:r>
              <w:rPr>
                <w:rFonts w:hint="eastAsia"/>
                <w:lang w:bidi="ar"/>
              </w:rPr>
              <w:t>一般工业固体废物贮存过程参照《一般工业固体废物贮存和填埋污染控制标准》（</w:t>
            </w:r>
            <w:r>
              <w:rPr>
                <w:lang w:bidi="ar"/>
              </w:rPr>
              <w:t>GB18599-2020</w:t>
            </w:r>
            <w:r>
              <w:rPr>
                <w:rFonts w:hint="eastAsia"/>
                <w:lang w:bidi="ar"/>
              </w:rPr>
              <w:t>）防渗漏、防淋雨、防扬尘等要求。危险废物按照《危险废物贮存污染控制标准》（</w:t>
            </w:r>
            <w:r>
              <w:rPr>
                <w:lang w:bidi="ar"/>
              </w:rPr>
              <w:t>GB18597-20</w:t>
            </w:r>
            <w:r>
              <w:rPr>
                <w:rFonts w:hint="eastAsia"/>
                <w:lang w:bidi="ar"/>
              </w:rPr>
              <w:t>23）要求执行。</w:t>
            </w:r>
          </w:p>
        </w:tc>
      </w:tr>
      <w:tr w14:paraId="494A14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02441EDD">
            <w:pPr>
              <w:adjustRightInd w:val="0"/>
              <w:snapToGrid w:val="0"/>
              <w:jc w:val="center"/>
              <w:rPr>
                <w:rFonts w:hint="eastAsia" w:ascii="宋体" w:hAnsi="宋体"/>
              </w:rPr>
            </w:pPr>
            <w:r>
              <w:rPr>
                <w:rFonts w:hint="eastAsia" w:ascii="宋体" w:hAnsi="宋体"/>
              </w:rPr>
              <w:t>总量</w:t>
            </w:r>
          </w:p>
          <w:p w14:paraId="0A60C301">
            <w:pPr>
              <w:adjustRightInd w:val="0"/>
              <w:snapToGrid w:val="0"/>
              <w:jc w:val="center"/>
              <w:rPr>
                <w:rFonts w:hint="eastAsia" w:ascii="宋体" w:hAnsi="宋体"/>
              </w:rPr>
            </w:pPr>
            <w:r>
              <w:rPr>
                <w:rFonts w:hint="eastAsia" w:ascii="宋体" w:hAnsi="宋体"/>
              </w:rPr>
              <w:t>控制</w:t>
            </w:r>
          </w:p>
          <w:p w14:paraId="3D25B21E">
            <w:pPr>
              <w:adjustRightInd w:val="0"/>
              <w:snapToGrid w:val="0"/>
              <w:jc w:val="center"/>
              <w:rPr>
                <w:rFonts w:hint="eastAsia" w:ascii="宋体" w:hAnsi="宋体"/>
              </w:rPr>
            </w:pPr>
            <w:r>
              <w:rPr>
                <w:rFonts w:hint="eastAsia" w:ascii="宋体" w:hAnsi="宋体"/>
              </w:rPr>
              <w:t>指标</w:t>
            </w:r>
          </w:p>
        </w:tc>
        <w:tc>
          <w:tcPr>
            <w:tcW w:w="8190" w:type="dxa"/>
            <w:vAlign w:val="center"/>
          </w:tcPr>
          <w:p w14:paraId="6A2EEE92">
            <w:pPr>
              <w:widowControl/>
              <w:spacing w:line="360" w:lineRule="auto"/>
              <w:ind w:firstLine="420" w:firstLineChars="200"/>
            </w:pPr>
            <w:r>
              <w:rPr>
                <w:rFonts w:hint="eastAsia"/>
              </w:rPr>
              <w:t>根据《“十四五”污染减排综合工作方案编制技术指南》，“十四五”期间对化学需氧量（COD）、氨氮（NH</w:t>
            </w:r>
            <w:r>
              <w:rPr>
                <w:rFonts w:hint="eastAsia"/>
                <w:vertAlign w:val="subscript"/>
              </w:rPr>
              <w:t>3</w:t>
            </w:r>
            <w:r>
              <w:rPr>
                <w:rFonts w:hint="eastAsia"/>
              </w:rPr>
              <w:t>-N）、氮氧化物（NO</w:t>
            </w:r>
            <w:r>
              <w:rPr>
                <w:rFonts w:hint="eastAsia"/>
                <w:vertAlign w:val="subscript"/>
              </w:rPr>
              <w:t>x</w:t>
            </w:r>
            <w:r>
              <w:rPr>
                <w:rFonts w:hint="eastAsia"/>
              </w:rPr>
              <w:t>）、挥发性有机物（VOCs）实施总量控制。</w:t>
            </w:r>
          </w:p>
          <w:p w14:paraId="2583451C">
            <w:pPr>
              <w:widowControl/>
              <w:spacing w:line="360" w:lineRule="auto"/>
              <w:ind w:firstLine="422" w:firstLineChars="200"/>
              <w:rPr>
                <w:b/>
              </w:rPr>
            </w:pPr>
            <w:r>
              <w:rPr>
                <w:rFonts w:hint="eastAsia"/>
                <w:b/>
              </w:rPr>
              <w:t xml:space="preserve">1、废水污染物总量控制 </w:t>
            </w:r>
          </w:p>
          <w:p w14:paraId="37FF167E">
            <w:pPr>
              <w:widowControl/>
              <w:spacing w:line="360" w:lineRule="auto"/>
              <w:ind w:firstLine="420" w:firstLineChars="200"/>
            </w:pPr>
            <w:r>
              <w:rPr>
                <w:rFonts w:hint="eastAsia"/>
              </w:rPr>
              <w:t>本项目涉及的废水总量控制污染物为：COD、NH</w:t>
            </w:r>
            <w:r>
              <w:rPr>
                <w:rFonts w:hint="eastAsia"/>
                <w:vertAlign w:val="subscript"/>
              </w:rPr>
              <w:t>3</w:t>
            </w:r>
            <w:r>
              <w:rPr>
                <w:rFonts w:hint="eastAsia"/>
              </w:rPr>
              <w:t>-N。</w:t>
            </w:r>
          </w:p>
          <w:p w14:paraId="500EB903">
            <w:pPr>
              <w:widowControl/>
              <w:spacing w:line="360" w:lineRule="auto"/>
              <w:ind w:firstLine="420" w:firstLineChars="200"/>
            </w:pPr>
            <w:r>
              <w:rPr>
                <w:rFonts w:hint="eastAsia"/>
              </w:rPr>
              <w:t>（1）企业排口（排入</w:t>
            </w:r>
            <w:r>
              <w:rPr>
                <w:rFonts w:hint="eastAsia"/>
                <w:lang w:bidi="ar"/>
              </w:rPr>
              <w:t>魏兴场镇污水处理厂）</w:t>
            </w:r>
            <w:r>
              <w:rPr>
                <w:rFonts w:hint="eastAsia"/>
              </w:rPr>
              <w:t>：</w:t>
            </w:r>
          </w:p>
          <w:p w14:paraId="5FDC8EBD">
            <w:pPr>
              <w:widowControl/>
              <w:spacing w:line="360" w:lineRule="auto"/>
              <w:ind w:firstLine="420" w:firstLineChars="200"/>
            </w:pPr>
            <w:r>
              <w:rPr>
                <w:rFonts w:hint="eastAsia"/>
              </w:rPr>
              <w:t>COD：</w:t>
            </w:r>
            <w:r>
              <w:t>3473.3</w:t>
            </w:r>
            <w:r>
              <w:rPr>
                <w:rFonts w:hint="eastAsia"/>
              </w:rPr>
              <w:t xml:space="preserve"> （t/a）×500（mg/L） ÷1000000=</w:t>
            </w:r>
            <w:r>
              <w:rPr>
                <w:rFonts w:hint="eastAsia" w:eastAsia="等线"/>
              </w:rPr>
              <w:t>1.7367</w:t>
            </w:r>
            <w:r>
              <w:rPr>
                <w:rFonts w:hint="eastAsia"/>
              </w:rPr>
              <w:t xml:space="preserve"> （t/a）</w:t>
            </w:r>
          </w:p>
          <w:p w14:paraId="2B5CE305">
            <w:pPr>
              <w:widowControl/>
              <w:spacing w:line="360" w:lineRule="auto"/>
              <w:ind w:firstLine="420" w:firstLineChars="200"/>
            </w:pPr>
            <w:r>
              <w:rPr>
                <w:rFonts w:hint="eastAsia"/>
              </w:rPr>
              <w:t>氨氮：</w:t>
            </w:r>
            <w:r>
              <w:t>3473.3</w:t>
            </w:r>
            <w:r>
              <w:rPr>
                <w:rFonts w:hint="eastAsia"/>
              </w:rPr>
              <w:t xml:space="preserve"> （t/a） ×45（mg/L） ÷1000000=</w:t>
            </w:r>
            <w:r>
              <w:rPr>
                <w:rFonts w:eastAsia="等线"/>
              </w:rPr>
              <w:t>0.</w:t>
            </w:r>
            <w:r>
              <w:rPr>
                <w:rFonts w:hint="eastAsia" w:eastAsia="等线"/>
              </w:rPr>
              <w:t xml:space="preserve">1563 </w:t>
            </w:r>
            <w:r>
              <w:rPr>
                <w:rFonts w:hint="eastAsia"/>
              </w:rPr>
              <w:t>（t/a）</w:t>
            </w:r>
          </w:p>
          <w:p w14:paraId="257E020C">
            <w:pPr>
              <w:widowControl/>
              <w:spacing w:line="360" w:lineRule="auto"/>
              <w:ind w:firstLine="420" w:firstLineChars="200"/>
            </w:pPr>
            <w:r>
              <w:rPr>
                <w:rFonts w:hint="eastAsia"/>
              </w:rPr>
              <w:t>（2）魏兴场镇污水处理厂排口（州河）：</w:t>
            </w:r>
          </w:p>
          <w:p w14:paraId="6E2147EB">
            <w:pPr>
              <w:widowControl/>
              <w:spacing w:line="360" w:lineRule="auto"/>
              <w:ind w:firstLine="420" w:firstLineChars="200"/>
            </w:pPr>
            <w:r>
              <w:rPr>
                <w:rFonts w:hint="eastAsia"/>
              </w:rPr>
              <w:t>COD：</w:t>
            </w:r>
            <w:r>
              <w:t>3473.3</w:t>
            </w:r>
            <w:r>
              <w:rPr>
                <w:rFonts w:hint="eastAsia"/>
              </w:rPr>
              <w:t>（t/a） ×50（mg/L） ÷1000000=0.1737 （t/a）</w:t>
            </w:r>
          </w:p>
          <w:p w14:paraId="0DD1001B">
            <w:pPr>
              <w:widowControl/>
              <w:spacing w:line="360" w:lineRule="auto"/>
              <w:ind w:firstLine="420" w:firstLineChars="200"/>
            </w:pPr>
            <w:r>
              <w:rPr>
                <w:rFonts w:hint="eastAsia"/>
              </w:rPr>
              <w:t>氨氮：</w:t>
            </w:r>
            <w:r>
              <w:t>3473.3</w:t>
            </w:r>
            <w:r>
              <w:rPr>
                <w:rFonts w:hint="eastAsia"/>
              </w:rPr>
              <w:t xml:space="preserve"> （t/a） ×3（mg/L） ÷1000000=</w:t>
            </w:r>
            <w:r>
              <w:t>0.0</w:t>
            </w:r>
            <w:r>
              <w:rPr>
                <w:rFonts w:hint="eastAsia"/>
              </w:rPr>
              <w:t>104 （</w:t>
            </w:r>
            <w:r>
              <w:t>t/a）</w:t>
            </w:r>
          </w:p>
          <w:p w14:paraId="25FDB77E">
            <w:pPr>
              <w:widowControl/>
              <w:spacing w:line="360" w:lineRule="auto"/>
              <w:ind w:firstLine="420" w:firstLineChars="200"/>
            </w:pPr>
            <w:r>
              <w:rPr>
                <w:rFonts w:hint="eastAsia"/>
              </w:rPr>
              <w:t>综上，本项目涉及的废水总量控制指标为：</w:t>
            </w:r>
            <w:r>
              <w:t xml:space="preserve"> </w:t>
            </w:r>
          </w:p>
          <w:p w14:paraId="117532A5">
            <w:pPr>
              <w:autoSpaceDE w:val="0"/>
              <w:autoSpaceDN w:val="0"/>
              <w:adjustRightInd w:val="0"/>
              <w:snapToGrid w:val="0"/>
              <w:jc w:val="center"/>
              <w:rPr>
                <w:b/>
              </w:rPr>
            </w:pPr>
            <w:r>
              <w:rPr>
                <w:rFonts w:hint="eastAsia"/>
                <w:b/>
              </w:rPr>
              <w:t>表3</w:t>
            </w:r>
            <w:r>
              <w:rPr>
                <w:b/>
              </w:rPr>
              <w:t>-</w:t>
            </w:r>
            <w:r>
              <w:rPr>
                <w:rFonts w:hint="eastAsia"/>
                <w:b/>
              </w:rPr>
              <w:t>10</w:t>
            </w:r>
            <w:r>
              <w:rPr>
                <w:b/>
              </w:rPr>
              <w:t xml:space="preserve">  </w:t>
            </w:r>
            <w:r>
              <w:rPr>
                <w:rFonts w:hint="eastAsia"/>
                <w:b/>
              </w:rPr>
              <w:t>本项目废水污染物核定总量控制指标</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739"/>
              <w:gridCol w:w="2028"/>
              <w:gridCol w:w="2684"/>
            </w:tblGrid>
            <w:tr w14:paraId="1984F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986" w:type="pct"/>
                  <w:shd w:val="clear" w:color="auto" w:fill="auto"/>
                  <w:vAlign w:val="center"/>
                </w:tcPr>
                <w:p w14:paraId="58249D8F">
                  <w:pPr>
                    <w:jc w:val="center"/>
                    <w:rPr>
                      <w:b/>
                      <w:bCs/>
                    </w:rPr>
                  </w:pPr>
                  <w:bookmarkStart w:id="12" w:name="_Hlk156229893"/>
                  <w:r>
                    <w:rPr>
                      <w:rFonts w:hint="eastAsia"/>
                      <w:b/>
                      <w:bCs/>
                    </w:rPr>
                    <w:t>项目</w:t>
                  </w:r>
                </w:p>
              </w:tc>
              <w:tc>
                <w:tcPr>
                  <w:tcW w:w="1082" w:type="pct"/>
                  <w:vAlign w:val="center"/>
                </w:tcPr>
                <w:p w14:paraId="0FBD6AF1">
                  <w:pPr>
                    <w:jc w:val="center"/>
                    <w:rPr>
                      <w:b/>
                      <w:bCs/>
                    </w:rPr>
                  </w:pPr>
                  <w:r>
                    <w:rPr>
                      <w:rFonts w:hint="eastAsia"/>
                      <w:b/>
                      <w:bCs/>
                    </w:rPr>
                    <w:t>废水去向</w:t>
                  </w:r>
                </w:p>
              </w:tc>
              <w:tc>
                <w:tcPr>
                  <w:tcW w:w="1262" w:type="pct"/>
                  <w:vAlign w:val="center"/>
                </w:tcPr>
                <w:p w14:paraId="70BC59EB">
                  <w:pPr>
                    <w:jc w:val="center"/>
                    <w:rPr>
                      <w:b/>
                      <w:bCs/>
                    </w:rPr>
                  </w:pPr>
                  <w:r>
                    <w:rPr>
                      <w:rFonts w:hint="eastAsia"/>
                      <w:b/>
                      <w:bCs/>
                    </w:rPr>
                    <w:t>污染物名称</w:t>
                  </w:r>
                </w:p>
              </w:tc>
              <w:tc>
                <w:tcPr>
                  <w:tcW w:w="1670" w:type="pct"/>
                  <w:vAlign w:val="center"/>
                </w:tcPr>
                <w:p w14:paraId="04D27952">
                  <w:pPr>
                    <w:jc w:val="center"/>
                    <w:rPr>
                      <w:b/>
                      <w:bCs/>
                    </w:rPr>
                  </w:pPr>
                  <w:r>
                    <w:rPr>
                      <w:rFonts w:hint="eastAsia"/>
                      <w:b/>
                      <w:bCs/>
                    </w:rPr>
                    <w:t>本项目</w:t>
                  </w:r>
                </w:p>
              </w:tc>
            </w:tr>
            <w:tr w14:paraId="63F0D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86" w:type="pct"/>
                  <w:vMerge w:val="restart"/>
                  <w:shd w:val="clear" w:color="auto" w:fill="auto"/>
                  <w:vAlign w:val="center"/>
                </w:tcPr>
                <w:p w14:paraId="1CEFE523">
                  <w:pPr>
                    <w:jc w:val="center"/>
                  </w:pPr>
                  <w:r>
                    <w:rPr>
                      <w:rFonts w:hint="eastAsia"/>
                    </w:rPr>
                    <w:t>水污染物总量控制指标</w:t>
                  </w:r>
                </w:p>
              </w:tc>
              <w:tc>
                <w:tcPr>
                  <w:tcW w:w="1082" w:type="pct"/>
                  <w:vMerge w:val="restart"/>
                  <w:vAlign w:val="center"/>
                </w:tcPr>
                <w:p w14:paraId="3A362224">
                  <w:pPr>
                    <w:jc w:val="center"/>
                  </w:pPr>
                  <w:r>
                    <w:rPr>
                      <w:rFonts w:hint="eastAsia"/>
                    </w:rPr>
                    <w:t>排入魏兴场镇污水处理厂</w:t>
                  </w:r>
                </w:p>
              </w:tc>
              <w:tc>
                <w:tcPr>
                  <w:tcW w:w="1262" w:type="pct"/>
                  <w:shd w:val="clear" w:color="auto" w:fill="auto"/>
                  <w:vAlign w:val="center"/>
                </w:tcPr>
                <w:p w14:paraId="49C8A248">
                  <w:pPr>
                    <w:jc w:val="center"/>
                  </w:pPr>
                  <w:r>
                    <w:rPr>
                      <w:rFonts w:hint="eastAsia"/>
                    </w:rPr>
                    <w:t>COD</w:t>
                  </w:r>
                </w:p>
              </w:tc>
              <w:tc>
                <w:tcPr>
                  <w:tcW w:w="1670" w:type="pct"/>
                  <w:shd w:val="clear" w:color="auto" w:fill="auto"/>
                  <w:vAlign w:val="bottom"/>
                </w:tcPr>
                <w:p w14:paraId="310690E1">
                  <w:pPr>
                    <w:jc w:val="center"/>
                  </w:pPr>
                  <w:r>
                    <w:rPr>
                      <w:rFonts w:hint="eastAsia"/>
                    </w:rPr>
                    <w:t>1.7367 t/a</w:t>
                  </w:r>
                </w:p>
              </w:tc>
            </w:tr>
            <w:tr w14:paraId="0DBCA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86" w:type="pct"/>
                  <w:vMerge w:val="continue"/>
                  <w:shd w:val="clear" w:color="auto" w:fill="auto"/>
                  <w:vAlign w:val="center"/>
                </w:tcPr>
                <w:p w14:paraId="2883F98A">
                  <w:pPr>
                    <w:jc w:val="center"/>
                  </w:pPr>
                </w:p>
              </w:tc>
              <w:tc>
                <w:tcPr>
                  <w:tcW w:w="1082" w:type="pct"/>
                  <w:vMerge w:val="continue"/>
                  <w:vAlign w:val="center"/>
                </w:tcPr>
                <w:p w14:paraId="6A08DCAD">
                  <w:pPr>
                    <w:jc w:val="center"/>
                  </w:pPr>
                </w:p>
              </w:tc>
              <w:tc>
                <w:tcPr>
                  <w:tcW w:w="1262" w:type="pct"/>
                  <w:shd w:val="clear" w:color="auto" w:fill="auto"/>
                  <w:vAlign w:val="center"/>
                </w:tcPr>
                <w:p w14:paraId="7106C5DE">
                  <w:pPr>
                    <w:jc w:val="center"/>
                  </w:pPr>
                  <w:r>
                    <w:rPr>
                      <w:rFonts w:hint="eastAsia"/>
                    </w:rPr>
                    <w:t>NH</w:t>
                  </w:r>
                  <w:r>
                    <w:rPr>
                      <w:rFonts w:hint="eastAsia"/>
                      <w:vertAlign w:val="subscript"/>
                    </w:rPr>
                    <w:t>3</w:t>
                  </w:r>
                  <w:r>
                    <w:rPr>
                      <w:rFonts w:hint="eastAsia"/>
                    </w:rPr>
                    <w:t>-N</w:t>
                  </w:r>
                </w:p>
              </w:tc>
              <w:tc>
                <w:tcPr>
                  <w:tcW w:w="1670" w:type="pct"/>
                  <w:shd w:val="clear" w:color="auto" w:fill="auto"/>
                  <w:vAlign w:val="bottom"/>
                </w:tcPr>
                <w:p w14:paraId="2BE1BA81">
                  <w:pPr>
                    <w:jc w:val="center"/>
                  </w:pPr>
                  <w:r>
                    <w:rPr>
                      <w:rFonts w:hint="eastAsia"/>
                    </w:rPr>
                    <w:t>0.1563 t/a</w:t>
                  </w:r>
                </w:p>
              </w:tc>
            </w:tr>
            <w:tr w14:paraId="591A98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86" w:type="pct"/>
                  <w:vMerge w:val="continue"/>
                  <w:shd w:val="clear" w:color="auto" w:fill="auto"/>
                  <w:vAlign w:val="center"/>
                </w:tcPr>
                <w:p w14:paraId="1A4E2CB1">
                  <w:pPr>
                    <w:jc w:val="center"/>
                  </w:pPr>
                </w:p>
              </w:tc>
              <w:tc>
                <w:tcPr>
                  <w:tcW w:w="1082" w:type="pct"/>
                  <w:vMerge w:val="restart"/>
                  <w:vAlign w:val="center"/>
                </w:tcPr>
                <w:p w14:paraId="441532A1">
                  <w:pPr>
                    <w:jc w:val="center"/>
                  </w:pPr>
                  <w:r>
                    <w:rPr>
                      <w:rFonts w:hint="eastAsia"/>
                    </w:rPr>
                    <w:t>州河</w:t>
                  </w:r>
                </w:p>
              </w:tc>
              <w:tc>
                <w:tcPr>
                  <w:tcW w:w="1262" w:type="pct"/>
                  <w:shd w:val="clear" w:color="auto" w:fill="auto"/>
                  <w:vAlign w:val="center"/>
                </w:tcPr>
                <w:p w14:paraId="7C442A65">
                  <w:pPr>
                    <w:jc w:val="center"/>
                  </w:pPr>
                  <w:r>
                    <w:rPr>
                      <w:rFonts w:hint="eastAsia"/>
                    </w:rPr>
                    <w:t>COD</w:t>
                  </w:r>
                </w:p>
              </w:tc>
              <w:tc>
                <w:tcPr>
                  <w:tcW w:w="1670" w:type="pct"/>
                  <w:shd w:val="clear" w:color="auto" w:fill="auto"/>
                  <w:vAlign w:val="bottom"/>
                </w:tcPr>
                <w:p w14:paraId="5E1B51B6">
                  <w:pPr>
                    <w:jc w:val="center"/>
                  </w:pPr>
                  <w:r>
                    <w:rPr>
                      <w:rFonts w:hint="eastAsia"/>
                    </w:rPr>
                    <w:t>0.1737 t/a</w:t>
                  </w:r>
                </w:p>
              </w:tc>
            </w:tr>
            <w:tr w14:paraId="275F7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86" w:type="pct"/>
                  <w:vMerge w:val="continue"/>
                  <w:shd w:val="clear" w:color="auto" w:fill="auto"/>
                  <w:vAlign w:val="center"/>
                </w:tcPr>
                <w:p w14:paraId="6C47D188">
                  <w:pPr>
                    <w:jc w:val="center"/>
                  </w:pPr>
                </w:p>
              </w:tc>
              <w:tc>
                <w:tcPr>
                  <w:tcW w:w="1082" w:type="pct"/>
                  <w:vMerge w:val="continue"/>
                  <w:vAlign w:val="center"/>
                </w:tcPr>
                <w:p w14:paraId="1A3E520F">
                  <w:pPr>
                    <w:jc w:val="center"/>
                  </w:pPr>
                </w:p>
              </w:tc>
              <w:tc>
                <w:tcPr>
                  <w:tcW w:w="1262" w:type="pct"/>
                  <w:shd w:val="clear" w:color="auto" w:fill="auto"/>
                  <w:vAlign w:val="center"/>
                </w:tcPr>
                <w:p w14:paraId="63DEC278">
                  <w:pPr>
                    <w:jc w:val="center"/>
                  </w:pPr>
                  <w:r>
                    <w:rPr>
                      <w:rFonts w:hint="eastAsia"/>
                    </w:rPr>
                    <w:t>NH</w:t>
                  </w:r>
                  <w:r>
                    <w:rPr>
                      <w:rFonts w:hint="eastAsia"/>
                      <w:vertAlign w:val="subscript"/>
                    </w:rPr>
                    <w:t>3</w:t>
                  </w:r>
                  <w:r>
                    <w:rPr>
                      <w:rFonts w:hint="eastAsia"/>
                    </w:rPr>
                    <w:t>-N</w:t>
                  </w:r>
                </w:p>
              </w:tc>
              <w:tc>
                <w:tcPr>
                  <w:tcW w:w="1670" w:type="pct"/>
                  <w:shd w:val="clear" w:color="auto" w:fill="auto"/>
                  <w:vAlign w:val="bottom"/>
                </w:tcPr>
                <w:p w14:paraId="73D75832">
                  <w:pPr>
                    <w:jc w:val="center"/>
                  </w:pPr>
                  <w:r>
                    <w:rPr>
                      <w:rFonts w:hint="eastAsia"/>
                    </w:rPr>
                    <w:t>0.0104 t/a</w:t>
                  </w:r>
                </w:p>
              </w:tc>
            </w:tr>
            <w:tr w14:paraId="7DD10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000" w:type="pct"/>
                  <w:gridSpan w:val="4"/>
                  <w:shd w:val="clear" w:color="auto" w:fill="auto"/>
                  <w:vAlign w:val="center"/>
                </w:tcPr>
                <w:p w14:paraId="14864350">
                  <w:r>
                    <w:rPr>
                      <w:rFonts w:hint="eastAsia"/>
                    </w:rPr>
                    <w:t>按照四川省生态环境厅办公室《关于贯彻落实《建设项目主要污染物排放总量指标审核及管理暂行办法》的通知》要求，对废水排入集中式工业污水处理厂的建设项目按污水处理厂排放标准计算水污染物总量指标。</w:t>
                  </w:r>
                </w:p>
              </w:tc>
            </w:tr>
            <w:bookmarkEnd w:id="12"/>
          </w:tbl>
          <w:p w14:paraId="573AA962">
            <w:pPr>
              <w:widowControl/>
              <w:spacing w:line="360" w:lineRule="auto"/>
              <w:ind w:firstLine="422" w:firstLineChars="200"/>
              <w:rPr>
                <w:b/>
              </w:rPr>
            </w:pPr>
            <w:r>
              <w:rPr>
                <w:b/>
              </w:rPr>
              <w:t>2</w:t>
            </w:r>
            <w:r>
              <w:rPr>
                <w:rFonts w:hint="eastAsia"/>
                <w:b/>
              </w:rPr>
              <w:t xml:space="preserve">、废气污染物总量控制 </w:t>
            </w:r>
          </w:p>
          <w:p w14:paraId="0080E71A">
            <w:pPr>
              <w:widowControl/>
              <w:spacing w:line="360" w:lineRule="auto"/>
              <w:ind w:firstLine="420" w:firstLineChars="200"/>
            </w:pPr>
            <w:r>
              <w:rPr>
                <w:rFonts w:hint="eastAsia"/>
              </w:rPr>
              <w:t>根据工程分析，本项目不设置废气总量控制指标。</w:t>
            </w:r>
          </w:p>
          <w:p w14:paraId="7619363A">
            <w:pPr>
              <w:widowControl/>
              <w:spacing w:line="360" w:lineRule="auto"/>
              <w:ind w:firstLine="420" w:firstLineChars="200"/>
            </w:pPr>
            <w:r>
              <w:rPr>
                <w:rFonts w:hint="eastAsia"/>
              </w:rPr>
              <w:t>以上总量控制污染物由生态环境行政主管部门核实后下达。</w:t>
            </w:r>
          </w:p>
          <w:p w14:paraId="4042447C">
            <w:pPr>
              <w:widowControl/>
              <w:spacing w:line="360" w:lineRule="auto"/>
              <w:ind w:firstLine="420"/>
            </w:pPr>
          </w:p>
        </w:tc>
      </w:tr>
    </w:tbl>
    <w:p w14:paraId="3A0CC873">
      <w:pPr>
        <w:pStyle w:val="15"/>
        <w:adjustRightInd/>
        <w:snapToGrid/>
        <w:spacing w:before="100" w:beforeAutospacing="1" w:after="100" w:afterAutospacing="1"/>
        <w:ind w:firstLine="720"/>
        <w:outlineLvl w:val="0"/>
        <w:rPr>
          <w:rFonts w:hint="eastAsia"/>
          <w:snapToGrid w:val="0"/>
        </w:rPr>
      </w:pPr>
      <w:r>
        <w:rPr>
          <w:snapToGrid w:val="0"/>
          <w:sz w:val="36"/>
          <w:szCs w:val="36"/>
        </w:rPr>
        <w:br w:type="page"/>
      </w:r>
      <w:bookmarkStart w:id="13" w:name="_Toc77234836"/>
      <w:r>
        <w:rPr>
          <w:rFonts w:hint="eastAsia" w:ascii="黑体" w:hAnsi="黑体" w:eastAsia="黑体"/>
          <w:snapToGrid w:val="0"/>
          <w:sz w:val="30"/>
          <w:szCs w:val="30"/>
        </w:rPr>
        <w:t>四、主要环境影响和保护措施</w:t>
      </w:r>
      <w:bookmarkEnd w:id="13"/>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8"/>
        <w:gridCol w:w="8743"/>
      </w:tblGrid>
      <w:tr w14:paraId="52003F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118" w:type="pct"/>
            <w:tcMar>
              <w:left w:w="28" w:type="dxa"/>
              <w:right w:w="28" w:type="dxa"/>
            </w:tcMar>
            <w:vAlign w:val="center"/>
          </w:tcPr>
          <w:p w14:paraId="1772C4AA">
            <w:pPr>
              <w:adjustRightInd w:val="0"/>
              <w:snapToGrid w:val="0"/>
              <w:jc w:val="center"/>
            </w:pPr>
            <w:r>
              <w:rPr>
                <w:rFonts w:hint="eastAsia" w:ascii="宋体" w:hAnsi="宋体"/>
              </w:rPr>
              <w:t>施工</w:t>
            </w:r>
          </w:p>
          <w:p w14:paraId="28EF5BEA">
            <w:pPr>
              <w:pStyle w:val="15"/>
              <w:rPr>
                <w:rFonts w:hint="eastAsia"/>
                <w:sz w:val="21"/>
                <w:szCs w:val="21"/>
              </w:rPr>
            </w:pPr>
            <w:r>
              <w:rPr>
                <w:rFonts w:hint="eastAsia"/>
                <w:sz w:val="21"/>
                <w:szCs w:val="21"/>
              </w:rPr>
              <w:t>期环</w:t>
            </w:r>
          </w:p>
          <w:p w14:paraId="01A5F5A8">
            <w:pPr>
              <w:pStyle w:val="15"/>
              <w:rPr>
                <w:rFonts w:hint="eastAsia"/>
                <w:sz w:val="21"/>
                <w:szCs w:val="21"/>
              </w:rPr>
            </w:pPr>
            <w:r>
              <w:rPr>
                <w:rFonts w:hint="eastAsia"/>
                <w:sz w:val="21"/>
                <w:szCs w:val="21"/>
              </w:rPr>
              <w:t>境保</w:t>
            </w:r>
          </w:p>
          <w:p w14:paraId="56CDD2BF">
            <w:pPr>
              <w:pStyle w:val="15"/>
              <w:rPr>
                <w:rFonts w:hint="eastAsia"/>
                <w:sz w:val="21"/>
                <w:szCs w:val="21"/>
              </w:rPr>
            </w:pPr>
            <w:r>
              <w:rPr>
                <w:rFonts w:hint="eastAsia"/>
                <w:sz w:val="21"/>
                <w:szCs w:val="21"/>
              </w:rPr>
              <w:t>护措</w:t>
            </w:r>
          </w:p>
          <w:p w14:paraId="311AC361">
            <w:pPr>
              <w:pStyle w:val="15"/>
              <w:rPr>
                <w:rFonts w:hint="eastAsia"/>
                <w:sz w:val="21"/>
                <w:szCs w:val="21"/>
              </w:rPr>
            </w:pPr>
            <w:r>
              <w:rPr>
                <w:rFonts w:hint="eastAsia"/>
                <w:sz w:val="21"/>
                <w:szCs w:val="21"/>
              </w:rPr>
              <w:t>施</w:t>
            </w:r>
          </w:p>
        </w:tc>
        <w:tc>
          <w:tcPr>
            <w:tcW w:w="4882" w:type="pct"/>
            <w:vAlign w:val="center"/>
          </w:tcPr>
          <w:p w14:paraId="6AC624F2">
            <w:pPr>
              <w:widowControl/>
              <w:spacing w:line="360" w:lineRule="auto"/>
              <w:ind w:firstLine="420" w:firstLineChars="200"/>
              <w:rPr>
                <w:lang w:bidi="ar"/>
              </w:rPr>
            </w:pPr>
            <w:r>
              <w:rPr>
                <w:rFonts w:hint="eastAsia"/>
                <w:lang w:bidi="ar"/>
              </w:rPr>
              <w:t>本项目为新建项目，在施工期将不可避免地产生一些局部的环境问题（施工废气、施工废水、施工噪声、施工废渣等），施工期间产生的各类影响将随着施工期的结束而消失。</w:t>
            </w:r>
          </w:p>
          <w:p w14:paraId="4E844768">
            <w:pPr>
              <w:widowControl/>
              <w:spacing w:line="360" w:lineRule="auto"/>
              <w:ind w:firstLine="422" w:firstLineChars="200"/>
              <w:rPr>
                <w:b/>
                <w:bCs/>
                <w:lang w:bidi="ar"/>
              </w:rPr>
            </w:pPr>
            <w:r>
              <w:rPr>
                <w:rFonts w:hint="eastAsia"/>
                <w:b/>
                <w:bCs/>
                <w:lang w:bidi="ar"/>
              </w:rPr>
              <w:t>一、施工期大气污染物</w:t>
            </w:r>
          </w:p>
          <w:p w14:paraId="43B44569">
            <w:pPr>
              <w:widowControl/>
              <w:spacing w:line="360" w:lineRule="auto"/>
              <w:ind w:firstLine="422" w:firstLineChars="200"/>
              <w:rPr>
                <w:b/>
                <w:bCs/>
                <w:lang w:bidi="ar"/>
              </w:rPr>
            </w:pPr>
            <w:r>
              <w:rPr>
                <w:rFonts w:hint="eastAsia"/>
                <w:b/>
                <w:bCs/>
                <w:lang w:bidi="ar"/>
              </w:rPr>
              <w:t>（一）施工扬尘</w:t>
            </w:r>
          </w:p>
          <w:p w14:paraId="75D7A4CF">
            <w:pPr>
              <w:widowControl/>
              <w:spacing w:line="360" w:lineRule="auto"/>
              <w:ind w:firstLine="420" w:firstLineChars="200"/>
              <w:rPr>
                <w:lang w:bidi="ar"/>
              </w:rPr>
            </w:pPr>
            <w:r>
              <w:rPr>
                <w:rFonts w:hint="eastAsia"/>
                <w:lang w:bidi="ar"/>
              </w:rPr>
              <w:t>施工期废气主要来源于设备安装过程中产生的少量扬尘。项目在设备安装过程中钻孔、地面建筑垃圾清理将产生少量扬尘，建筑材料及设备的运输等过程车辆行驶将产生少量扬尘。</w:t>
            </w:r>
          </w:p>
          <w:p w14:paraId="6CDA86F7">
            <w:pPr>
              <w:widowControl/>
              <w:spacing w:line="360" w:lineRule="auto"/>
              <w:ind w:firstLine="420" w:firstLineChars="200"/>
              <w:rPr>
                <w:lang w:bidi="ar"/>
              </w:rPr>
            </w:pPr>
            <w:r>
              <w:rPr>
                <w:rFonts w:hint="eastAsia"/>
                <w:lang w:bidi="ar"/>
              </w:rPr>
              <w:t>项目施工期设备安装，地面清扫均位于室内，扬尘产生量少量，通过采取及时清除建渣、垃圾等措施处理。</w:t>
            </w:r>
          </w:p>
          <w:p w14:paraId="1678B5FB">
            <w:pPr>
              <w:widowControl/>
              <w:spacing w:line="360" w:lineRule="auto"/>
              <w:ind w:firstLine="420" w:firstLineChars="200"/>
              <w:rPr>
                <w:lang w:bidi="ar"/>
              </w:rPr>
            </w:pPr>
            <w:r>
              <w:rPr>
                <w:rFonts w:hint="eastAsia"/>
                <w:lang w:bidi="ar"/>
              </w:rPr>
              <w:t>采取以上措施后，可有限减缓施工扬尘对周围环境的影响。</w:t>
            </w:r>
          </w:p>
          <w:p w14:paraId="2FEA2897">
            <w:pPr>
              <w:widowControl/>
              <w:spacing w:line="360" w:lineRule="auto"/>
              <w:ind w:firstLine="422" w:firstLineChars="200"/>
              <w:rPr>
                <w:b/>
                <w:bCs/>
                <w:lang w:bidi="ar"/>
              </w:rPr>
            </w:pPr>
            <w:r>
              <w:rPr>
                <w:rFonts w:hint="eastAsia"/>
                <w:b/>
                <w:bCs/>
                <w:lang w:bidi="ar"/>
              </w:rPr>
              <w:t>（二）装修工程废气</w:t>
            </w:r>
          </w:p>
          <w:p w14:paraId="4523EA7E">
            <w:pPr>
              <w:widowControl/>
              <w:spacing w:line="360" w:lineRule="auto"/>
              <w:ind w:firstLine="420" w:firstLineChars="200"/>
              <w:rPr>
                <w:lang w:bidi="ar"/>
              </w:rPr>
            </w:pPr>
            <w:r>
              <w:rPr>
                <w:rFonts w:hint="eastAsia"/>
                <w:lang w:bidi="ar"/>
              </w:rPr>
              <w:t>为防止涂料对周边环境的影响，施工单位须使用环保型涂料，尽可能避免其对人体及环境产生不利影响。</w:t>
            </w:r>
          </w:p>
          <w:p w14:paraId="0DE7C21D">
            <w:pPr>
              <w:widowControl/>
              <w:spacing w:line="360" w:lineRule="auto"/>
              <w:ind w:firstLine="422" w:firstLineChars="200"/>
              <w:rPr>
                <w:b/>
                <w:bCs/>
                <w:lang w:bidi="ar"/>
              </w:rPr>
            </w:pPr>
            <w:r>
              <w:rPr>
                <w:rFonts w:hint="eastAsia"/>
                <w:b/>
                <w:bCs/>
                <w:lang w:bidi="ar"/>
              </w:rPr>
              <w:t>（三）燃油废气</w:t>
            </w:r>
          </w:p>
          <w:p w14:paraId="0F0E79F3">
            <w:pPr>
              <w:widowControl/>
              <w:spacing w:line="360" w:lineRule="auto"/>
              <w:ind w:firstLine="420" w:firstLineChars="200"/>
              <w:rPr>
                <w:lang w:bidi="ar"/>
              </w:rPr>
            </w:pPr>
            <w:r>
              <w:rPr>
                <w:rFonts w:hint="eastAsia"/>
                <w:lang w:bidi="ar"/>
              </w:rPr>
              <w:t>项目施工期废气主要来源于施工机械和运输车辆产生的燃油废气，其产生量较小，属间断性、分散性排放，由于这一特点，加之施工场地扩散条件良好，对此，本环评要求在施工期内多注意施工设备的维护，使其能够正常的运行，提高设备原料的利用率，不使用劣质燃料。</w:t>
            </w:r>
          </w:p>
          <w:p w14:paraId="39692795">
            <w:pPr>
              <w:widowControl/>
              <w:spacing w:line="360" w:lineRule="auto"/>
              <w:ind w:firstLine="422" w:firstLineChars="200"/>
              <w:rPr>
                <w:b/>
                <w:bCs/>
                <w:lang w:bidi="ar"/>
              </w:rPr>
            </w:pPr>
            <w:r>
              <w:rPr>
                <w:rFonts w:hint="eastAsia"/>
                <w:b/>
                <w:bCs/>
                <w:lang w:bidi="ar"/>
              </w:rPr>
              <w:t>二、施工期废水污染物</w:t>
            </w:r>
          </w:p>
          <w:p w14:paraId="122063D6">
            <w:pPr>
              <w:widowControl/>
              <w:spacing w:line="360" w:lineRule="auto"/>
              <w:ind w:firstLine="422" w:firstLineChars="200"/>
              <w:rPr>
                <w:b/>
                <w:bCs/>
                <w:lang w:bidi="ar"/>
              </w:rPr>
            </w:pPr>
            <w:r>
              <w:rPr>
                <w:rFonts w:hint="eastAsia"/>
                <w:b/>
                <w:bCs/>
                <w:lang w:bidi="ar"/>
              </w:rPr>
              <w:t>（一）生活污水</w:t>
            </w:r>
          </w:p>
          <w:p w14:paraId="7FA2C103">
            <w:pPr>
              <w:widowControl/>
              <w:spacing w:line="360" w:lineRule="auto"/>
              <w:ind w:firstLine="420" w:firstLineChars="200"/>
              <w:rPr>
                <w:lang w:bidi="ar"/>
              </w:rPr>
            </w:pPr>
            <w:r>
              <w:rPr>
                <w:rFonts w:hint="eastAsia"/>
                <w:lang w:bidi="ar"/>
              </w:rPr>
              <w:t>本项目的废水主要是施工人员的洗手用水和厕所用水。</w:t>
            </w:r>
          </w:p>
          <w:p w14:paraId="21D379BE">
            <w:pPr>
              <w:widowControl/>
              <w:spacing w:line="360" w:lineRule="auto"/>
              <w:ind w:firstLine="420" w:firstLineChars="200"/>
              <w:rPr>
                <w:lang w:bidi="ar"/>
              </w:rPr>
            </w:pPr>
            <w:r>
              <w:rPr>
                <w:rFonts w:hint="eastAsia"/>
                <w:lang w:bidi="ar"/>
              </w:rPr>
              <w:t>施工期间，工人多为当地人，高峰时施工人数合计约5 人。工人生活主要依托当地生活设施，工地内不设食堂，工人生活用水主要为洗手等杂用水等，水量按30L/人·d 计，则工地民工最大生活用水量为0.15m</w:t>
            </w:r>
            <w:r>
              <w:rPr>
                <w:rFonts w:hint="eastAsia"/>
                <w:vertAlign w:val="superscript"/>
                <w:lang w:bidi="ar"/>
              </w:rPr>
              <w:t>3</w:t>
            </w:r>
            <w:r>
              <w:rPr>
                <w:rFonts w:hint="eastAsia"/>
                <w:lang w:bidi="ar"/>
              </w:rPr>
              <w:t>/d，以排放系数0.85计，最大排放量为0.13m</w:t>
            </w:r>
            <w:r>
              <w:rPr>
                <w:rFonts w:hint="eastAsia"/>
                <w:vertAlign w:val="superscript"/>
                <w:lang w:bidi="ar"/>
              </w:rPr>
              <w:t>3</w:t>
            </w:r>
            <w:r>
              <w:rPr>
                <w:rFonts w:hint="eastAsia"/>
                <w:lang w:bidi="ar"/>
              </w:rPr>
              <w:t>/d。施工人员日常生活产生的生活污水经预处理池收集处理后，由市政管网进入魏兴场镇污水处理厂进行处理，严禁将产生的生活废水随意外排。</w:t>
            </w:r>
          </w:p>
          <w:p w14:paraId="48F225FF">
            <w:pPr>
              <w:widowControl/>
              <w:spacing w:line="360" w:lineRule="auto"/>
              <w:ind w:firstLine="422" w:firstLineChars="200"/>
              <w:rPr>
                <w:b/>
                <w:bCs/>
                <w:lang w:bidi="ar"/>
              </w:rPr>
            </w:pPr>
            <w:r>
              <w:rPr>
                <w:rFonts w:hint="eastAsia"/>
                <w:b/>
                <w:bCs/>
                <w:lang w:bidi="ar"/>
              </w:rPr>
              <w:t>三、施工噪声</w:t>
            </w:r>
          </w:p>
          <w:p w14:paraId="0CA8756A">
            <w:pPr>
              <w:widowControl/>
              <w:spacing w:line="360" w:lineRule="auto"/>
              <w:ind w:firstLine="420" w:firstLineChars="200"/>
              <w:rPr>
                <w:lang w:bidi="ar"/>
              </w:rPr>
            </w:pPr>
            <w:r>
              <w:rPr>
                <w:rFonts w:hint="eastAsia"/>
                <w:lang w:bidi="ar"/>
              </w:rPr>
              <w:t>项目施工噪声主要来源于机械施工设备，该类设备交互间歇性作用，因此产生的设备噪声也是间歇性和短暂性的。经类比分析，各施工阶段的主要产噪机械设备及其声级值。</w:t>
            </w:r>
          </w:p>
          <w:p w14:paraId="35AD2BD1">
            <w:pPr>
              <w:autoSpaceDE w:val="0"/>
              <w:autoSpaceDN w:val="0"/>
              <w:adjustRightInd w:val="0"/>
              <w:snapToGrid w:val="0"/>
              <w:jc w:val="center"/>
              <w:rPr>
                <w:b/>
              </w:rPr>
            </w:pPr>
            <w:r>
              <w:rPr>
                <w:rFonts w:hint="eastAsia"/>
                <w:b/>
              </w:rPr>
              <w:t>表4-</w:t>
            </w:r>
            <w:r>
              <w:rPr>
                <w:b/>
              </w:rPr>
              <w:t>1</w:t>
            </w:r>
            <w:r>
              <w:rPr>
                <w:rFonts w:hint="eastAsia"/>
                <w:b/>
              </w:rPr>
              <w:t xml:space="preserve">  施工阶段主要噪声源状况</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1927"/>
              <w:gridCol w:w="1484"/>
              <w:gridCol w:w="1705"/>
              <w:gridCol w:w="1706"/>
            </w:tblGrid>
            <w:tr w14:paraId="75DE9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1000" w:type="pct"/>
                  <w:shd w:val="clear" w:color="auto" w:fill="auto"/>
                  <w:vAlign w:val="center"/>
                </w:tcPr>
                <w:p w14:paraId="4F76AF44">
                  <w:pPr>
                    <w:jc w:val="center"/>
                    <w:rPr>
                      <w:b/>
                      <w:bCs/>
                    </w:rPr>
                  </w:pPr>
                  <w:r>
                    <w:rPr>
                      <w:rFonts w:hint="eastAsia"/>
                      <w:b/>
                      <w:bCs/>
                    </w:rPr>
                    <w:t>施工阶段</w:t>
                  </w:r>
                </w:p>
              </w:tc>
              <w:tc>
                <w:tcPr>
                  <w:tcW w:w="1130" w:type="pct"/>
                  <w:vAlign w:val="center"/>
                </w:tcPr>
                <w:p w14:paraId="172EA257">
                  <w:pPr>
                    <w:jc w:val="center"/>
                    <w:rPr>
                      <w:b/>
                      <w:bCs/>
                    </w:rPr>
                  </w:pPr>
                  <w:r>
                    <w:rPr>
                      <w:rFonts w:hint="eastAsia"/>
                      <w:b/>
                      <w:bCs/>
                    </w:rPr>
                    <w:t>声源</w:t>
                  </w:r>
                </w:p>
              </w:tc>
              <w:tc>
                <w:tcPr>
                  <w:tcW w:w="870" w:type="pct"/>
                  <w:shd w:val="clear" w:color="auto" w:fill="auto"/>
                  <w:vAlign w:val="center"/>
                </w:tcPr>
                <w:p w14:paraId="7316A6E3">
                  <w:pPr>
                    <w:jc w:val="center"/>
                    <w:rPr>
                      <w:b/>
                      <w:bCs/>
                    </w:rPr>
                  </w:pPr>
                  <w:r>
                    <w:rPr>
                      <w:rFonts w:hint="eastAsia"/>
                      <w:b/>
                      <w:bCs/>
                    </w:rPr>
                    <w:t>声源强度</w:t>
                  </w:r>
                </w:p>
              </w:tc>
              <w:tc>
                <w:tcPr>
                  <w:tcW w:w="1000" w:type="pct"/>
                  <w:shd w:val="clear" w:color="auto" w:fill="auto"/>
                  <w:vAlign w:val="center"/>
                </w:tcPr>
                <w:p w14:paraId="470D5703">
                  <w:pPr>
                    <w:jc w:val="center"/>
                    <w:rPr>
                      <w:b/>
                      <w:bCs/>
                    </w:rPr>
                  </w:pPr>
                  <w:r>
                    <w:rPr>
                      <w:rFonts w:hint="eastAsia"/>
                      <w:b/>
                      <w:bCs/>
                    </w:rPr>
                    <w:t>声源</w:t>
                  </w:r>
                </w:p>
              </w:tc>
              <w:tc>
                <w:tcPr>
                  <w:tcW w:w="1000" w:type="pct"/>
                  <w:vAlign w:val="center"/>
                </w:tcPr>
                <w:p w14:paraId="65CFF45D">
                  <w:pPr>
                    <w:jc w:val="center"/>
                    <w:rPr>
                      <w:b/>
                      <w:bCs/>
                    </w:rPr>
                  </w:pPr>
                  <w:r>
                    <w:rPr>
                      <w:rFonts w:hint="eastAsia"/>
                      <w:b/>
                      <w:bCs/>
                    </w:rPr>
                    <w:t>声源强度</w:t>
                  </w:r>
                </w:p>
              </w:tc>
            </w:tr>
            <w:tr w14:paraId="27ADA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1000" w:type="pct"/>
                  <w:vMerge w:val="restart"/>
                  <w:shd w:val="clear" w:color="auto" w:fill="auto"/>
                  <w:vAlign w:val="center"/>
                </w:tcPr>
                <w:p w14:paraId="76870697">
                  <w:pPr>
                    <w:jc w:val="center"/>
                  </w:pPr>
                  <w:r>
                    <w:rPr>
                      <w:rFonts w:hint="eastAsia"/>
                    </w:rPr>
                    <w:t>设备安装</w:t>
                  </w:r>
                </w:p>
              </w:tc>
              <w:tc>
                <w:tcPr>
                  <w:tcW w:w="1130" w:type="pct"/>
                  <w:vAlign w:val="center"/>
                </w:tcPr>
                <w:p w14:paraId="3514B4FC">
                  <w:pPr>
                    <w:jc w:val="center"/>
                  </w:pPr>
                  <w:r>
                    <w:rPr>
                      <w:rFonts w:hint="eastAsia"/>
                    </w:rPr>
                    <w:t>电钻、手工钻等</w:t>
                  </w:r>
                </w:p>
              </w:tc>
              <w:tc>
                <w:tcPr>
                  <w:tcW w:w="870" w:type="pct"/>
                  <w:shd w:val="clear" w:color="auto" w:fill="auto"/>
                  <w:vAlign w:val="center"/>
                </w:tcPr>
                <w:p w14:paraId="766FF133">
                  <w:pPr>
                    <w:jc w:val="center"/>
                  </w:pPr>
                  <w:r>
                    <w:t>95~105</w:t>
                  </w:r>
                </w:p>
              </w:tc>
              <w:tc>
                <w:tcPr>
                  <w:tcW w:w="1000" w:type="pct"/>
                  <w:shd w:val="clear" w:color="auto" w:fill="auto"/>
                  <w:vAlign w:val="center"/>
                </w:tcPr>
                <w:p w14:paraId="3F852092">
                  <w:pPr>
                    <w:jc w:val="center"/>
                  </w:pPr>
                  <w:r>
                    <w:rPr>
                      <w:rFonts w:hint="eastAsia"/>
                    </w:rPr>
                    <w:t>电锯</w:t>
                  </w:r>
                </w:p>
              </w:tc>
              <w:tc>
                <w:tcPr>
                  <w:tcW w:w="1000" w:type="pct"/>
                  <w:vAlign w:val="center"/>
                </w:tcPr>
                <w:p w14:paraId="713F625E">
                  <w:pPr>
                    <w:jc w:val="center"/>
                  </w:pPr>
                  <w:r>
                    <w:t>80~90</w:t>
                  </w:r>
                </w:p>
              </w:tc>
            </w:tr>
            <w:tr w14:paraId="0D9A2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1000" w:type="pct"/>
                  <w:vMerge w:val="continue"/>
                  <w:shd w:val="clear" w:color="auto" w:fill="auto"/>
                  <w:vAlign w:val="center"/>
                </w:tcPr>
                <w:p w14:paraId="4D0B61C0">
                  <w:pPr>
                    <w:jc w:val="center"/>
                  </w:pPr>
                </w:p>
              </w:tc>
              <w:tc>
                <w:tcPr>
                  <w:tcW w:w="1130" w:type="pct"/>
                  <w:vAlign w:val="center"/>
                </w:tcPr>
                <w:p w14:paraId="48B1DE03">
                  <w:pPr>
                    <w:widowControl/>
                    <w:jc w:val="center"/>
                  </w:pPr>
                  <w:r>
                    <w:rPr>
                      <w:rFonts w:hint="eastAsia"/>
                    </w:rPr>
                    <w:t>电锤</w:t>
                  </w:r>
                </w:p>
              </w:tc>
              <w:tc>
                <w:tcPr>
                  <w:tcW w:w="870" w:type="pct"/>
                  <w:shd w:val="clear" w:color="auto" w:fill="auto"/>
                  <w:vAlign w:val="center"/>
                </w:tcPr>
                <w:p w14:paraId="6A9EFC11">
                  <w:pPr>
                    <w:widowControl/>
                    <w:jc w:val="center"/>
                  </w:pPr>
                  <w:r>
                    <w:t>95~105</w:t>
                  </w:r>
                </w:p>
              </w:tc>
              <w:tc>
                <w:tcPr>
                  <w:tcW w:w="1000" w:type="pct"/>
                  <w:shd w:val="clear" w:color="auto" w:fill="auto"/>
                  <w:vAlign w:val="center"/>
                </w:tcPr>
                <w:p w14:paraId="7039165A">
                  <w:pPr>
                    <w:widowControl/>
                    <w:jc w:val="center"/>
                  </w:pPr>
                  <w:r>
                    <w:rPr>
                      <w:rFonts w:hint="eastAsia"/>
                    </w:rPr>
                    <w:t>电焊机</w:t>
                  </w:r>
                </w:p>
              </w:tc>
              <w:tc>
                <w:tcPr>
                  <w:tcW w:w="1000" w:type="pct"/>
                  <w:vAlign w:val="center"/>
                </w:tcPr>
                <w:p w14:paraId="591B7667">
                  <w:pPr>
                    <w:widowControl/>
                    <w:jc w:val="center"/>
                  </w:pPr>
                  <w:r>
                    <w:t>80~85</w:t>
                  </w:r>
                </w:p>
              </w:tc>
            </w:tr>
            <w:tr w14:paraId="53D2C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1000" w:type="pct"/>
                  <w:vMerge w:val="continue"/>
                  <w:shd w:val="clear" w:color="auto" w:fill="auto"/>
                  <w:vAlign w:val="center"/>
                </w:tcPr>
                <w:p w14:paraId="6D3FE7E3">
                  <w:pPr>
                    <w:jc w:val="center"/>
                  </w:pPr>
                </w:p>
              </w:tc>
              <w:tc>
                <w:tcPr>
                  <w:tcW w:w="1130" w:type="pct"/>
                  <w:vAlign w:val="center"/>
                </w:tcPr>
                <w:p w14:paraId="47AFEFD1">
                  <w:pPr>
                    <w:widowControl/>
                    <w:jc w:val="center"/>
                  </w:pPr>
                  <w:r>
                    <w:rPr>
                      <w:rFonts w:hint="eastAsia"/>
                    </w:rPr>
                    <w:t>无齿锯</w:t>
                  </w:r>
                </w:p>
              </w:tc>
              <w:tc>
                <w:tcPr>
                  <w:tcW w:w="870" w:type="pct"/>
                  <w:shd w:val="clear" w:color="auto" w:fill="auto"/>
                  <w:vAlign w:val="center"/>
                </w:tcPr>
                <w:p w14:paraId="4390049C">
                  <w:pPr>
                    <w:widowControl/>
                    <w:jc w:val="center"/>
                  </w:pPr>
                  <w:r>
                    <w:t>95~105</w:t>
                  </w:r>
                </w:p>
              </w:tc>
              <w:tc>
                <w:tcPr>
                  <w:tcW w:w="1000" w:type="pct"/>
                  <w:shd w:val="clear" w:color="auto" w:fill="auto"/>
                  <w:vAlign w:val="center"/>
                </w:tcPr>
                <w:p w14:paraId="070DACCB">
                  <w:pPr>
                    <w:widowControl/>
                    <w:jc w:val="center"/>
                  </w:pPr>
                  <w:r>
                    <w:rPr>
                      <w:rFonts w:hint="eastAsia"/>
                    </w:rPr>
                    <w:t>切割机</w:t>
                  </w:r>
                </w:p>
              </w:tc>
              <w:tc>
                <w:tcPr>
                  <w:tcW w:w="1000" w:type="pct"/>
                  <w:vAlign w:val="center"/>
                </w:tcPr>
                <w:p w14:paraId="32AA8C3D">
                  <w:pPr>
                    <w:widowControl/>
                    <w:jc w:val="center"/>
                  </w:pPr>
                  <w:r>
                    <w:t>80~85</w:t>
                  </w:r>
                </w:p>
              </w:tc>
            </w:tr>
          </w:tbl>
          <w:p w14:paraId="57E5C77E">
            <w:pPr>
              <w:widowControl/>
              <w:spacing w:line="360" w:lineRule="auto"/>
              <w:ind w:firstLine="420" w:firstLineChars="200"/>
              <w:rPr>
                <w:lang w:bidi="ar"/>
              </w:rPr>
            </w:pPr>
            <w:r>
              <w:rPr>
                <w:rFonts w:hint="eastAsia"/>
                <w:lang w:bidi="ar"/>
              </w:rPr>
              <w:t>通过将高噪声的作业安排至白天，在装卸设备时应该注意轻拿轻放等措施，可有效降低噪声对周边环境的影响。项目施工期噪声影响是暂时性的，在采取相应的管理措施后可降至最低，并将随着施工期的结束而消失。</w:t>
            </w:r>
          </w:p>
          <w:p w14:paraId="25232329">
            <w:pPr>
              <w:widowControl/>
              <w:spacing w:line="360" w:lineRule="auto"/>
              <w:ind w:firstLine="422" w:firstLineChars="200"/>
              <w:rPr>
                <w:b/>
                <w:bCs/>
                <w:lang w:bidi="ar"/>
              </w:rPr>
            </w:pPr>
            <w:r>
              <w:rPr>
                <w:rFonts w:hint="eastAsia"/>
                <w:b/>
                <w:bCs/>
                <w:lang w:bidi="ar"/>
              </w:rPr>
              <w:t>四、施工固废</w:t>
            </w:r>
          </w:p>
          <w:p w14:paraId="5008B56F">
            <w:pPr>
              <w:widowControl/>
              <w:spacing w:line="360" w:lineRule="auto"/>
              <w:ind w:firstLine="420" w:firstLineChars="200"/>
              <w:rPr>
                <w:lang w:bidi="ar"/>
              </w:rPr>
            </w:pPr>
            <w:r>
              <w:rPr>
                <w:rFonts w:hint="eastAsia"/>
                <w:lang w:bidi="ar"/>
              </w:rPr>
              <w:t>项目施工期固废主要为工业固废、建筑垃圾、施工人员生活垃圾以及设备调试阶段产生的含油废物。</w:t>
            </w:r>
          </w:p>
          <w:p w14:paraId="79253F7C">
            <w:pPr>
              <w:widowControl/>
              <w:spacing w:line="360" w:lineRule="auto"/>
              <w:ind w:firstLine="420" w:firstLineChars="200"/>
              <w:rPr>
                <w:lang w:bidi="ar"/>
              </w:rPr>
            </w:pPr>
            <w:r>
              <w:rPr>
                <w:rFonts w:hint="eastAsia"/>
                <w:lang w:bidi="ar"/>
              </w:rPr>
              <w:t>工业固废：主要为废弃的设备包装材料，该部分废物外售给废品站。</w:t>
            </w:r>
          </w:p>
          <w:p w14:paraId="250161EC">
            <w:pPr>
              <w:widowControl/>
              <w:spacing w:line="360" w:lineRule="auto"/>
              <w:ind w:firstLine="420" w:firstLineChars="200"/>
              <w:rPr>
                <w:lang w:bidi="ar"/>
              </w:rPr>
            </w:pPr>
            <w:r>
              <w:rPr>
                <w:rFonts w:hint="eastAsia"/>
                <w:lang w:bidi="ar"/>
              </w:rPr>
              <w:t>建筑垃圾：主要为设备安装过程产生的钻渣以及办公区域搭建过程产生的废弃的建材。钻渣集中收集后，由环卫部门统一清运处置；废弃建材外售给废品站。</w:t>
            </w:r>
          </w:p>
          <w:p w14:paraId="41166789">
            <w:pPr>
              <w:widowControl/>
              <w:spacing w:line="360" w:lineRule="auto"/>
              <w:ind w:firstLine="420" w:firstLineChars="200"/>
              <w:rPr>
                <w:lang w:bidi="ar"/>
              </w:rPr>
            </w:pPr>
            <w:r>
              <w:rPr>
                <w:rFonts w:hint="eastAsia"/>
                <w:lang w:bidi="ar"/>
              </w:rPr>
              <w:t>施工人员生活垃圾：</w:t>
            </w:r>
          </w:p>
          <w:p w14:paraId="138ED394">
            <w:pPr>
              <w:widowControl/>
              <w:spacing w:line="360" w:lineRule="auto"/>
              <w:ind w:firstLine="420" w:firstLineChars="200"/>
              <w:rPr>
                <w:lang w:bidi="ar"/>
              </w:rPr>
            </w:pPr>
            <w:r>
              <w:rPr>
                <w:rFonts w:hint="eastAsia"/>
                <w:lang w:bidi="ar"/>
              </w:rPr>
              <w:t>高峰时施工人员及工地管理人员约5 人，工地生活垃圾按0.5kg/人.d，产生量为2.5kg/d。生活垃圾由环卫部门统一收集送到生活垃圾处置场处置。经集中收集后，由环卫部门统一清运处置。</w:t>
            </w:r>
          </w:p>
          <w:p w14:paraId="6957A250">
            <w:pPr>
              <w:widowControl/>
              <w:spacing w:line="360" w:lineRule="auto"/>
              <w:ind w:firstLine="420" w:firstLineChars="200"/>
              <w:rPr>
                <w:lang w:bidi="ar"/>
              </w:rPr>
            </w:pPr>
            <w:r>
              <w:rPr>
                <w:rFonts w:hint="eastAsia"/>
                <w:lang w:bidi="ar"/>
              </w:rPr>
              <w:t>项目施工期各项污染物均得到有效的处置，没有对区域环境产量明显不利影响。</w:t>
            </w:r>
          </w:p>
          <w:p w14:paraId="61FAD730">
            <w:pPr>
              <w:widowControl/>
              <w:spacing w:line="360" w:lineRule="auto"/>
              <w:ind w:firstLine="420" w:firstLineChars="200"/>
              <w:rPr>
                <w:lang w:bidi="ar"/>
              </w:rPr>
            </w:pPr>
            <w:r>
              <w:rPr>
                <w:rFonts w:hint="eastAsia"/>
                <w:lang w:bidi="ar"/>
              </w:rPr>
              <w:t>综上所述，本工程施工期的影响是暂时的，在施工结束后，影响区域的各环境影响随之消失。</w:t>
            </w:r>
          </w:p>
          <w:p w14:paraId="6F1E3D80">
            <w:pPr>
              <w:widowControl/>
              <w:spacing w:line="360" w:lineRule="auto"/>
              <w:ind w:firstLine="420" w:firstLineChars="200"/>
              <w:rPr>
                <w:lang w:bidi="ar"/>
              </w:rPr>
            </w:pPr>
          </w:p>
          <w:p w14:paraId="762A5B5F">
            <w:pPr>
              <w:pStyle w:val="2"/>
              <w:ind w:firstLine="420"/>
              <w:rPr>
                <w:lang w:bidi="ar"/>
              </w:rPr>
            </w:pPr>
          </w:p>
        </w:tc>
      </w:tr>
      <w:tr w14:paraId="3A028C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118" w:type="pct"/>
            <w:tcMar>
              <w:left w:w="28" w:type="dxa"/>
              <w:right w:w="28" w:type="dxa"/>
            </w:tcMar>
            <w:vAlign w:val="center"/>
          </w:tcPr>
          <w:p w14:paraId="6E9991EB">
            <w:pPr>
              <w:adjustRightInd w:val="0"/>
              <w:snapToGrid w:val="0"/>
              <w:jc w:val="center"/>
            </w:pPr>
            <w:r>
              <w:rPr>
                <w:rFonts w:hint="eastAsia"/>
              </w:rPr>
              <w:t>运营</w:t>
            </w:r>
          </w:p>
          <w:p w14:paraId="147FCBED">
            <w:pPr>
              <w:adjustRightInd w:val="0"/>
              <w:snapToGrid w:val="0"/>
              <w:jc w:val="center"/>
            </w:pPr>
            <w:r>
              <w:rPr>
                <w:rFonts w:hint="eastAsia"/>
              </w:rPr>
              <w:t>期环</w:t>
            </w:r>
          </w:p>
          <w:p w14:paraId="05BEF7C7">
            <w:pPr>
              <w:adjustRightInd w:val="0"/>
              <w:snapToGrid w:val="0"/>
              <w:jc w:val="center"/>
            </w:pPr>
            <w:r>
              <w:rPr>
                <w:rFonts w:hint="eastAsia"/>
              </w:rPr>
              <w:t>境影</w:t>
            </w:r>
          </w:p>
          <w:p w14:paraId="0A343502">
            <w:pPr>
              <w:adjustRightInd w:val="0"/>
              <w:snapToGrid w:val="0"/>
              <w:jc w:val="center"/>
            </w:pPr>
            <w:r>
              <w:rPr>
                <w:rFonts w:hint="eastAsia"/>
              </w:rPr>
              <w:t>响和</w:t>
            </w:r>
          </w:p>
          <w:p w14:paraId="0FE24B8C">
            <w:pPr>
              <w:adjustRightInd w:val="0"/>
              <w:snapToGrid w:val="0"/>
              <w:jc w:val="center"/>
            </w:pPr>
            <w:r>
              <w:rPr>
                <w:rFonts w:hint="eastAsia"/>
              </w:rPr>
              <w:t>保护</w:t>
            </w:r>
          </w:p>
          <w:p w14:paraId="7778E7B6">
            <w:pPr>
              <w:adjustRightInd w:val="0"/>
              <w:snapToGrid w:val="0"/>
              <w:jc w:val="center"/>
              <w:rPr>
                <w:rFonts w:hint="eastAsia" w:ascii="宋体" w:hAnsi="宋体"/>
              </w:rPr>
            </w:pPr>
            <w:r>
              <w:rPr>
                <w:rFonts w:hint="eastAsia"/>
              </w:rPr>
              <w:t>措施</w:t>
            </w:r>
          </w:p>
        </w:tc>
        <w:tc>
          <w:tcPr>
            <w:tcW w:w="4882" w:type="pct"/>
            <w:vAlign w:val="center"/>
          </w:tcPr>
          <w:p w14:paraId="745E379C">
            <w:pPr>
              <w:widowControl/>
              <w:spacing w:line="360" w:lineRule="auto"/>
              <w:ind w:firstLine="422" w:firstLineChars="200"/>
              <w:rPr>
                <w:rFonts w:hint="eastAsia" w:ascii="宋体" w:hAnsi="宋体"/>
                <w:b/>
                <w:bCs/>
                <w:lang w:bidi="ar"/>
              </w:rPr>
            </w:pPr>
            <w:r>
              <w:rPr>
                <w:rFonts w:hint="eastAsia" w:ascii="宋体" w:hAnsi="宋体"/>
                <w:b/>
                <w:bCs/>
                <w:lang w:bidi="ar"/>
              </w:rPr>
              <w:t>一、大气环境影响分析</w:t>
            </w:r>
          </w:p>
          <w:p w14:paraId="5D885DAC">
            <w:pPr>
              <w:widowControl/>
              <w:spacing w:line="360" w:lineRule="auto"/>
              <w:ind w:firstLine="420" w:firstLineChars="200"/>
              <w:rPr>
                <w:rFonts w:hint="eastAsia" w:ascii="宋体" w:hAnsi="宋体"/>
                <w:lang w:bidi="ar"/>
              </w:rPr>
            </w:pPr>
            <w:r>
              <w:rPr>
                <w:rFonts w:hint="eastAsia" w:ascii="宋体" w:hAnsi="宋体"/>
                <w:lang w:bidi="ar"/>
              </w:rPr>
              <w:t>本项目不涉及《建设项目环境影响报告表编制技术指南》（污染影响类）（试行）“表1 专项评价设置原则表”及《有毒有害大气污染物名录》中的污染物，因此本项目不设置大气专项。</w:t>
            </w:r>
          </w:p>
          <w:p w14:paraId="537E6F04">
            <w:pPr>
              <w:widowControl/>
              <w:spacing w:line="360" w:lineRule="auto"/>
              <w:ind w:firstLine="422" w:firstLineChars="200"/>
              <w:rPr>
                <w:b/>
                <w:bCs/>
              </w:rPr>
            </w:pPr>
            <w:r>
              <w:rPr>
                <w:rFonts w:hint="eastAsia" w:ascii="宋体" w:hAnsi="宋体"/>
                <w:b/>
                <w:bCs/>
                <w:lang w:bidi="ar"/>
              </w:rPr>
              <w:t>（一）产排污环境及污染物种类</w:t>
            </w:r>
          </w:p>
          <w:p w14:paraId="3475DCFF">
            <w:pPr>
              <w:widowControl/>
              <w:spacing w:line="360" w:lineRule="auto"/>
              <w:ind w:firstLine="420" w:firstLineChars="200"/>
              <w:rPr>
                <w:lang w:bidi="ar"/>
              </w:rPr>
            </w:pPr>
            <w:r>
              <w:rPr>
                <w:rFonts w:hint="eastAsia"/>
                <w:lang w:bidi="ar"/>
              </w:rPr>
              <w:t>根据工程分析可知，项目在生产过程中产生的废气主要为中药煎煮时产生的中药材异味、中药材粉碎时产生的粉尘废气、包装过程产生的少量有机废气、污水处理站产生的恶臭。</w:t>
            </w:r>
          </w:p>
          <w:p w14:paraId="28ABF5BC">
            <w:pPr>
              <w:widowControl/>
              <w:spacing w:line="360" w:lineRule="auto"/>
              <w:ind w:firstLine="420" w:firstLineChars="200"/>
              <w:rPr>
                <w:lang w:bidi="ar"/>
              </w:rPr>
            </w:pPr>
            <w:r>
              <w:rPr>
                <w:rFonts w:hint="eastAsia"/>
                <w:lang w:bidi="ar"/>
              </w:rPr>
              <w:t>本项目主要产排污环节及污染物种类详见下表：</w:t>
            </w:r>
          </w:p>
          <w:p w14:paraId="67FEF1A1">
            <w:pPr>
              <w:autoSpaceDE w:val="0"/>
              <w:autoSpaceDN w:val="0"/>
              <w:adjustRightInd w:val="0"/>
              <w:snapToGrid w:val="0"/>
              <w:jc w:val="center"/>
              <w:rPr>
                <w:b/>
              </w:rPr>
            </w:pPr>
            <w:r>
              <w:rPr>
                <w:rFonts w:hint="eastAsia"/>
                <w:b/>
              </w:rPr>
              <w:t>表4-2  本项目废气产排污环节及污染物种类一览表</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033"/>
              <w:gridCol w:w="990"/>
              <w:gridCol w:w="2065"/>
              <w:gridCol w:w="2213"/>
              <w:gridCol w:w="1118"/>
            </w:tblGrid>
            <w:tr w14:paraId="2672B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48" w:type="pct"/>
                  <w:vMerge w:val="restart"/>
                  <w:vAlign w:val="center"/>
                </w:tcPr>
                <w:p w14:paraId="268247BC">
                  <w:pPr>
                    <w:jc w:val="center"/>
                    <w:rPr>
                      <w:b/>
                      <w:bCs/>
                    </w:rPr>
                  </w:pPr>
                  <w:r>
                    <w:rPr>
                      <w:rFonts w:hint="eastAsia"/>
                      <w:b/>
                      <w:bCs/>
                    </w:rPr>
                    <w:t>产污环节</w:t>
                  </w:r>
                </w:p>
              </w:tc>
              <w:tc>
                <w:tcPr>
                  <w:tcW w:w="606" w:type="pct"/>
                  <w:vMerge w:val="restart"/>
                  <w:shd w:val="clear" w:color="auto" w:fill="auto"/>
                  <w:vAlign w:val="center"/>
                </w:tcPr>
                <w:p w14:paraId="6F06CD16">
                  <w:pPr>
                    <w:jc w:val="center"/>
                    <w:rPr>
                      <w:b/>
                      <w:bCs/>
                    </w:rPr>
                  </w:pPr>
                  <w:r>
                    <w:rPr>
                      <w:rFonts w:hint="eastAsia"/>
                      <w:b/>
                      <w:bCs/>
                    </w:rPr>
                    <w:t>污染物</w:t>
                  </w:r>
                </w:p>
              </w:tc>
              <w:tc>
                <w:tcPr>
                  <w:tcW w:w="581" w:type="pct"/>
                  <w:vMerge w:val="restart"/>
                  <w:vAlign w:val="center"/>
                </w:tcPr>
                <w:p w14:paraId="7692D857">
                  <w:pPr>
                    <w:jc w:val="center"/>
                    <w:rPr>
                      <w:b/>
                      <w:bCs/>
                    </w:rPr>
                  </w:pPr>
                  <w:r>
                    <w:rPr>
                      <w:rFonts w:hint="eastAsia"/>
                      <w:b/>
                      <w:bCs/>
                    </w:rPr>
                    <w:t>排放形式</w:t>
                  </w:r>
                </w:p>
              </w:tc>
              <w:tc>
                <w:tcPr>
                  <w:tcW w:w="3165" w:type="pct"/>
                  <w:gridSpan w:val="3"/>
                  <w:vAlign w:val="center"/>
                </w:tcPr>
                <w:p w14:paraId="7BAFF380">
                  <w:pPr>
                    <w:jc w:val="center"/>
                    <w:rPr>
                      <w:b/>
                      <w:bCs/>
                    </w:rPr>
                  </w:pPr>
                  <w:r>
                    <w:rPr>
                      <w:rFonts w:hint="eastAsia"/>
                      <w:b/>
                      <w:bCs/>
                    </w:rPr>
                    <w:t>污染治理措施</w:t>
                  </w:r>
                </w:p>
              </w:tc>
            </w:tr>
            <w:tr w14:paraId="35722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48" w:type="pct"/>
                  <w:vMerge w:val="continue"/>
                  <w:vAlign w:val="center"/>
                </w:tcPr>
                <w:p w14:paraId="0966CE1D">
                  <w:pPr>
                    <w:jc w:val="center"/>
                    <w:rPr>
                      <w:b/>
                      <w:bCs/>
                    </w:rPr>
                  </w:pPr>
                </w:p>
              </w:tc>
              <w:tc>
                <w:tcPr>
                  <w:tcW w:w="606" w:type="pct"/>
                  <w:vMerge w:val="continue"/>
                  <w:shd w:val="clear" w:color="auto" w:fill="auto"/>
                  <w:vAlign w:val="center"/>
                </w:tcPr>
                <w:p w14:paraId="47FDD785">
                  <w:pPr>
                    <w:jc w:val="center"/>
                    <w:rPr>
                      <w:b/>
                      <w:bCs/>
                    </w:rPr>
                  </w:pPr>
                </w:p>
              </w:tc>
              <w:tc>
                <w:tcPr>
                  <w:tcW w:w="581" w:type="pct"/>
                  <w:vMerge w:val="continue"/>
                  <w:vAlign w:val="center"/>
                </w:tcPr>
                <w:p w14:paraId="7041F0DD">
                  <w:pPr>
                    <w:jc w:val="center"/>
                    <w:rPr>
                      <w:b/>
                      <w:bCs/>
                    </w:rPr>
                  </w:pPr>
                </w:p>
              </w:tc>
              <w:tc>
                <w:tcPr>
                  <w:tcW w:w="1211" w:type="pct"/>
                  <w:vAlign w:val="center"/>
                </w:tcPr>
                <w:p w14:paraId="0A54EFF4">
                  <w:pPr>
                    <w:jc w:val="center"/>
                    <w:rPr>
                      <w:b/>
                      <w:bCs/>
                    </w:rPr>
                  </w:pPr>
                  <w:r>
                    <w:rPr>
                      <w:rFonts w:hint="eastAsia"/>
                      <w:b/>
                      <w:bCs/>
                    </w:rPr>
                    <w:t>污染治理工艺</w:t>
                  </w:r>
                </w:p>
              </w:tc>
              <w:tc>
                <w:tcPr>
                  <w:tcW w:w="1298" w:type="pct"/>
                  <w:vAlign w:val="center"/>
                </w:tcPr>
                <w:p w14:paraId="77860E46">
                  <w:pPr>
                    <w:jc w:val="center"/>
                    <w:rPr>
                      <w:b/>
                      <w:bCs/>
                    </w:rPr>
                  </w:pPr>
                  <w:r>
                    <w:rPr>
                      <w:rFonts w:hint="eastAsia"/>
                      <w:b/>
                      <w:bCs/>
                    </w:rPr>
                    <w:t>处理能力、收集效率、治理工艺去除率</w:t>
                  </w:r>
                </w:p>
              </w:tc>
              <w:tc>
                <w:tcPr>
                  <w:tcW w:w="656" w:type="pct"/>
                  <w:vAlign w:val="center"/>
                </w:tcPr>
                <w:p w14:paraId="2CC24F8A">
                  <w:pPr>
                    <w:jc w:val="center"/>
                    <w:rPr>
                      <w:b/>
                      <w:bCs/>
                    </w:rPr>
                  </w:pPr>
                  <w:r>
                    <w:rPr>
                      <w:rFonts w:hint="eastAsia"/>
                      <w:b/>
                      <w:bCs/>
                    </w:rPr>
                    <w:t>是否为可行技术</w:t>
                  </w:r>
                </w:p>
              </w:tc>
            </w:tr>
            <w:tr w14:paraId="457E1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48" w:type="pct"/>
                  <w:shd w:val="clear" w:color="auto" w:fill="auto"/>
                  <w:vAlign w:val="center"/>
                </w:tcPr>
                <w:p w14:paraId="59C27338">
                  <w:pPr>
                    <w:jc w:val="center"/>
                  </w:pPr>
                  <w:r>
                    <w:rPr>
                      <w:rFonts w:hint="eastAsia"/>
                    </w:rPr>
                    <w:t>煎煮</w:t>
                  </w:r>
                </w:p>
              </w:tc>
              <w:tc>
                <w:tcPr>
                  <w:tcW w:w="606" w:type="pct"/>
                  <w:shd w:val="clear" w:color="auto" w:fill="auto"/>
                  <w:vAlign w:val="center"/>
                </w:tcPr>
                <w:p w14:paraId="13CB166B">
                  <w:pPr>
                    <w:jc w:val="center"/>
                  </w:pPr>
                  <w:r>
                    <w:rPr>
                      <w:rFonts w:hint="eastAsia"/>
                    </w:rPr>
                    <w:t>臭气</w:t>
                  </w:r>
                </w:p>
              </w:tc>
              <w:tc>
                <w:tcPr>
                  <w:tcW w:w="581" w:type="pct"/>
                  <w:vAlign w:val="center"/>
                </w:tcPr>
                <w:p w14:paraId="7922B1BE">
                  <w:pPr>
                    <w:jc w:val="center"/>
                  </w:pPr>
                  <w:r>
                    <w:rPr>
                      <w:rFonts w:hint="eastAsia"/>
                    </w:rPr>
                    <w:t>有组织</w:t>
                  </w:r>
                </w:p>
              </w:tc>
              <w:tc>
                <w:tcPr>
                  <w:tcW w:w="1211" w:type="pct"/>
                  <w:vAlign w:val="center"/>
                </w:tcPr>
                <w:p w14:paraId="39DED40D">
                  <w:pPr>
                    <w:jc w:val="center"/>
                  </w:pPr>
                  <w:r>
                    <w:rPr>
                      <w:rFonts w:hint="eastAsia"/>
                    </w:rPr>
                    <w:t>水喷淋</w:t>
                  </w:r>
                  <w:r>
                    <w:rPr>
                      <w:rFonts w:hint="eastAsia"/>
                      <w:lang w:bidi="ar"/>
                    </w:rPr>
                    <w:t>塔</w:t>
                  </w:r>
                </w:p>
              </w:tc>
              <w:tc>
                <w:tcPr>
                  <w:tcW w:w="1298" w:type="pct"/>
                  <w:shd w:val="clear" w:color="auto" w:fill="auto"/>
                  <w:vAlign w:val="center"/>
                </w:tcPr>
                <w:p w14:paraId="7127D000">
                  <w:pPr>
                    <w:pStyle w:val="2"/>
                    <w:rPr>
                      <w:rFonts w:hint="eastAsia"/>
                    </w:rPr>
                  </w:pPr>
                  <w:r>
                    <w:rPr>
                      <w:rFonts w:hint="eastAsia"/>
                    </w:rPr>
                    <w:t>/</w:t>
                  </w:r>
                </w:p>
              </w:tc>
              <w:tc>
                <w:tcPr>
                  <w:tcW w:w="656" w:type="pct"/>
                  <w:vAlign w:val="center"/>
                </w:tcPr>
                <w:p w14:paraId="0C7B94AD">
                  <w:pPr>
                    <w:jc w:val="center"/>
                  </w:pPr>
                  <w:r>
                    <w:rPr>
                      <w:rFonts w:hint="eastAsia"/>
                    </w:rPr>
                    <w:t>是</w:t>
                  </w:r>
                </w:p>
              </w:tc>
            </w:tr>
            <w:tr w14:paraId="29273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48" w:type="pct"/>
                  <w:shd w:val="clear" w:color="auto" w:fill="auto"/>
                  <w:vAlign w:val="center"/>
                </w:tcPr>
                <w:p w14:paraId="3736CBE4">
                  <w:pPr>
                    <w:jc w:val="center"/>
                  </w:pPr>
                  <w:r>
                    <w:rPr>
                      <w:rFonts w:hint="eastAsia"/>
                    </w:rPr>
                    <w:t>粉碎</w:t>
                  </w:r>
                </w:p>
              </w:tc>
              <w:tc>
                <w:tcPr>
                  <w:tcW w:w="606" w:type="pct"/>
                  <w:shd w:val="clear" w:color="auto" w:fill="auto"/>
                  <w:vAlign w:val="center"/>
                </w:tcPr>
                <w:p w14:paraId="4C38AD90">
                  <w:pPr>
                    <w:jc w:val="center"/>
                  </w:pPr>
                  <w:r>
                    <w:rPr>
                      <w:rFonts w:hint="eastAsia"/>
                    </w:rPr>
                    <w:t>颗粒物</w:t>
                  </w:r>
                </w:p>
              </w:tc>
              <w:tc>
                <w:tcPr>
                  <w:tcW w:w="581" w:type="pct"/>
                  <w:vAlign w:val="center"/>
                </w:tcPr>
                <w:p w14:paraId="67E6FDBF">
                  <w:pPr>
                    <w:jc w:val="center"/>
                  </w:pPr>
                  <w:r>
                    <w:rPr>
                      <w:rFonts w:hint="eastAsia"/>
                    </w:rPr>
                    <w:t>有组织</w:t>
                  </w:r>
                </w:p>
              </w:tc>
              <w:tc>
                <w:tcPr>
                  <w:tcW w:w="1211" w:type="pct"/>
                  <w:vAlign w:val="center"/>
                </w:tcPr>
                <w:p w14:paraId="4111ECAC">
                  <w:pPr>
                    <w:jc w:val="center"/>
                  </w:pPr>
                  <w:r>
                    <w:rPr>
                      <w:rFonts w:hint="eastAsia"/>
                    </w:rPr>
                    <w:t>布袋除尘器</w:t>
                  </w:r>
                </w:p>
              </w:tc>
              <w:tc>
                <w:tcPr>
                  <w:tcW w:w="1298" w:type="pct"/>
                  <w:shd w:val="clear" w:color="auto" w:fill="auto"/>
                  <w:vAlign w:val="center"/>
                </w:tcPr>
                <w:p w14:paraId="35674EF2">
                  <w:pPr>
                    <w:jc w:val="center"/>
                  </w:pPr>
                  <w:r>
                    <w:rPr>
                      <w:rFonts w:hint="eastAsia"/>
                    </w:rPr>
                    <w:t>收集效率90%，去除率98%</w:t>
                  </w:r>
                </w:p>
              </w:tc>
              <w:tc>
                <w:tcPr>
                  <w:tcW w:w="656" w:type="pct"/>
                  <w:vAlign w:val="center"/>
                </w:tcPr>
                <w:p w14:paraId="2AAAE4A0">
                  <w:pPr>
                    <w:jc w:val="center"/>
                  </w:pPr>
                  <w:r>
                    <w:rPr>
                      <w:rFonts w:hint="eastAsia"/>
                    </w:rPr>
                    <w:t>是</w:t>
                  </w:r>
                </w:p>
              </w:tc>
            </w:tr>
            <w:tr w14:paraId="0353C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48" w:type="pct"/>
                  <w:shd w:val="clear" w:color="auto" w:fill="auto"/>
                  <w:vAlign w:val="center"/>
                </w:tcPr>
                <w:p w14:paraId="18FD94EA">
                  <w:pPr>
                    <w:jc w:val="center"/>
                  </w:pPr>
                  <w:r>
                    <w:rPr>
                      <w:rFonts w:hint="eastAsia"/>
                    </w:rPr>
                    <w:t>包装</w:t>
                  </w:r>
                </w:p>
              </w:tc>
              <w:tc>
                <w:tcPr>
                  <w:tcW w:w="606" w:type="pct"/>
                  <w:shd w:val="clear" w:color="auto" w:fill="auto"/>
                  <w:vAlign w:val="center"/>
                </w:tcPr>
                <w:p w14:paraId="5346A661">
                  <w:pPr>
                    <w:jc w:val="center"/>
                  </w:pPr>
                  <w:r>
                    <w:rPr>
                      <w:rFonts w:hint="eastAsia"/>
                    </w:rPr>
                    <w:t>NMHC</w:t>
                  </w:r>
                </w:p>
              </w:tc>
              <w:tc>
                <w:tcPr>
                  <w:tcW w:w="581" w:type="pct"/>
                  <w:vAlign w:val="center"/>
                </w:tcPr>
                <w:p w14:paraId="0680805A">
                  <w:pPr>
                    <w:jc w:val="center"/>
                  </w:pPr>
                  <w:r>
                    <w:rPr>
                      <w:rFonts w:hint="eastAsia"/>
                    </w:rPr>
                    <w:t>无组织</w:t>
                  </w:r>
                </w:p>
              </w:tc>
              <w:tc>
                <w:tcPr>
                  <w:tcW w:w="1211" w:type="pct"/>
                  <w:vAlign w:val="center"/>
                </w:tcPr>
                <w:p w14:paraId="1BA55D04">
                  <w:pPr>
                    <w:jc w:val="center"/>
                  </w:pPr>
                  <w:r>
                    <w:rPr>
                      <w:rFonts w:hint="eastAsia"/>
                    </w:rPr>
                    <w:t xml:space="preserve">加强车间通风换气 </w:t>
                  </w:r>
                </w:p>
              </w:tc>
              <w:tc>
                <w:tcPr>
                  <w:tcW w:w="1298" w:type="pct"/>
                  <w:shd w:val="clear" w:color="auto" w:fill="auto"/>
                  <w:vAlign w:val="center"/>
                </w:tcPr>
                <w:p w14:paraId="5869BB1E">
                  <w:pPr>
                    <w:jc w:val="center"/>
                  </w:pPr>
                  <w:r>
                    <w:rPr>
                      <w:rFonts w:hint="eastAsia"/>
                    </w:rPr>
                    <w:t>/</w:t>
                  </w:r>
                </w:p>
              </w:tc>
              <w:tc>
                <w:tcPr>
                  <w:tcW w:w="656" w:type="pct"/>
                  <w:vAlign w:val="center"/>
                </w:tcPr>
                <w:p w14:paraId="33B09410">
                  <w:pPr>
                    <w:jc w:val="center"/>
                  </w:pPr>
                  <w:r>
                    <w:rPr>
                      <w:rFonts w:hint="eastAsia"/>
                    </w:rPr>
                    <w:t>/</w:t>
                  </w:r>
                </w:p>
              </w:tc>
            </w:tr>
            <w:tr w14:paraId="2F6AB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48" w:type="pct"/>
                  <w:shd w:val="clear" w:color="auto" w:fill="auto"/>
                  <w:vAlign w:val="center"/>
                </w:tcPr>
                <w:p w14:paraId="59908758">
                  <w:pPr>
                    <w:jc w:val="center"/>
                  </w:pPr>
                  <w:r>
                    <w:rPr>
                      <w:rFonts w:hint="eastAsia"/>
                    </w:rPr>
                    <w:t>废水处理</w:t>
                  </w:r>
                </w:p>
              </w:tc>
              <w:tc>
                <w:tcPr>
                  <w:tcW w:w="606" w:type="pct"/>
                  <w:shd w:val="clear" w:color="auto" w:fill="auto"/>
                  <w:vAlign w:val="center"/>
                </w:tcPr>
                <w:p w14:paraId="18A51AE1">
                  <w:pPr>
                    <w:jc w:val="center"/>
                  </w:pPr>
                  <w:r>
                    <w:rPr>
                      <w:rFonts w:hint="eastAsia"/>
                    </w:rPr>
                    <w:t>臭气</w:t>
                  </w:r>
                </w:p>
              </w:tc>
              <w:tc>
                <w:tcPr>
                  <w:tcW w:w="581" w:type="pct"/>
                  <w:vAlign w:val="center"/>
                </w:tcPr>
                <w:p w14:paraId="4F15C56D">
                  <w:pPr>
                    <w:jc w:val="center"/>
                  </w:pPr>
                  <w:r>
                    <w:rPr>
                      <w:rFonts w:hint="eastAsia"/>
                    </w:rPr>
                    <w:t>无组织</w:t>
                  </w:r>
                </w:p>
              </w:tc>
              <w:tc>
                <w:tcPr>
                  <w:tcW w:w="1211" w:type="pct"/>
                  <w:vAlign w:val="center"/>
                </w:tcPr>
                <w:p w14:paraId="15EE9B95">
                  <w:pPr>
                    <w:jc w:val="center"/>
                  </w:pPr>
                  <w:r>
                    <w:rPr>
                      <w:rFonts w:hint="eastAsia"/>
                    </w:rPr>
                    <w:t>加强通风换气</w:t>
                  </w:r>
                </w:p>
              </w:tc>
              <w:tc>
                <w:tcPr>
                  <w:tcW w:w="1298" w:type="pct"/>
                  <w:shd w:val="clear" w:color="auto" w:fill="auto"/>
                  <w:vAlign w:val="center"/>
                </w:tcPr>
                <w:p w14:paraId="1104F066">
                  <w:pPr>
                    <w:jc w:val="center"/>
                  </w:pPr>
                  <w:r>
                    <w:rPr>
                      <w:rFonts w:hint="eastAsia"/>
                    </w:rPr>
                    <w:t>/</w:t>
                  </w:r>
                </w:p>
              </w:tc>
              <w:tc>
                <w:tcPr>
                  <w:tcW w:w="656" w:type="pct"/>
                  <w:vAlign w:val="center"/>
                </w:tcPr>
                <w:p w14:paraId="0E099C59">
                  <w:pPr>
                    <w:jc w:val="center"/>
                  </w:pPr>
                  <w:r>
                    <w:rPr>
                      <w:rFonts w:hint="eastAsia"/>
                    </w:rPr>
                    <w:t>/</w:t>
                  </w:r>
                </w:p>
              </w:tc>
            </w:tr>
          </w:tbl>
          <w:p w14:paraId="64FA9510">
            <w:pPr>
              <w:widowControl/>
              <w:spacing w:line="360" w:lineRule="auto"/>
              <w:ind w:firstLine="422" w:firstLineChars="200"/>
              <w:rPr>
                <w:rFonts w:hint="eastAsia" w:ascii="宋体" w:hAnsi="宋体"/>
                <w:b/>
                <w:bCs/>
                <w:lang w:bidi="ar"/>
              </w:rPr>
            </w:pPr>
            <w:r>
              <w:rPr>
                <w:rFonts w:hint="eastAsia" w:ascii="宋体" w:hAnsi="宋体"/>
                <w:b/>
                <w:bCs/>
                <w:lang w:bidi="ar"/>
              </w:rPr>
              <w:t>（二）污染物来源、源强核算及治理措施</w:t>
            </w:r>
          </w:p>
          <w:p w14:paraId="0D084E5F">
            <w:pPr>
              <w:widowControl/>
              <w:spacing w:line="360" w:lineRule="auto"/>
              <w:ind w:firstLine="422" w:firstLineChars="200"/>
              <w:rPr>
                <w:b/>
                <w:bCs/>
                <w:lang w:bidi="ar"/>
              </w:rPr>
            </w:pPr>
            <w:r>
              <w:rPr>
                <w:rFonts w:hint="eastAsia"/>
                <w:b/>
                <w:bCs/>
                <w:lang w:bidi="ar"/>
              </w:rPr>
              <w:t>1、中药材异味</w:t>
            </w:r>
          </w:p>
          <w:p w14:paraId="12B358CC">
            <w:pPr>
              <w:widowControl/>
              <w:spacing w:line="360" w:lineRule="auto"/>
              <w:ind w:firstLine="420" w:firstLineChars="200"/>
              <w:rPr>
                <w:lang w:bidi="ar"/>
              </w:rPr>
            </w:pPr>
            <w:r>
              <w:rPr>
                <w:rFonts w:hint="eastAsia"/>
                <w:lang w:bidi="ar"/>
              </w:rPr>
              <w:t>本项目中药材异味产生工序主要为中药的煎煮工序</w:t>
            </w:r>
            <w:r>
              <w:rPr>
                <w:rFonts w:hint="eastAsia"/>
                <w:bCs/>
              </w:rPr>
              <w:t>。</w:t>
            </w:r>
          </w:p>
          <w:p w14:paraId="05624C20">
            <w:pPr>
              <w:widowControl/>
              <w:spacing w:line="360" w:lineRule="auto"/>
              <w:ind w:firstLine="422" w:firstLineChars="200"/>
              <w:rPr>
                <w:b/>
                <w:bCs/>
                <w:lang w:bidi="ar"/>
              </w:rPr>
            </w:pPr>
            <w:r>
              <w:rPr>
                <w:rFonts w:hint="eastAsia"/>
                <w:b/>
                <w:bCs/>
                <w:lang w:bidi="ar"/>
              </w:rPr>
              <w:t>（1）中药材异味产生量及源强核算依据：</w:t>
            </w:r>
          </w:p>
          <w:p w14:paraId="20DA1C5D">
            <w:pPr>
              <w:widowControl/>
              <w:spacing w:line="360" w:lineRule="auto"/>
              <w:ind w:firstLine="420" w:firstLineChars="200"/>
              <w:rPr>
                <w:lang w:bidi="ar"/>
              </w:rPr>
            </w:pPr>
            <w:r>
              <w:rPr>
                <w:rFonts w:hint="eastAsia"/>
                <w:lang w:bidi="ar"/>
              </w:rPr>
              <w:t>中药饮片在煎煮过程中会产生一定的中药异味，药渣在暂存点临时存放时也会产生中药饮片在煎煮过程中会产生一定的中药异味，由于异味主要为药材在温度变化的情况下散发的味道，成分较为复杂，难以量化，本次评价仅定性分析。</w:t>
            </w:r>
          </w:p>
          <w:p w14:paraId="324E7AF3">
            <w:pPr>
              <w:widowControl/>
              <w:spacing w:line="360" w:lineRule="auto"/>
              <w:ind w:firstLine="420" w:firstLineChars="200"/>
              <w:rPr>
                <w:lang w:bidi="ar"/>
              </w:rPr>
            </w:pPr>
            <w:r>
              <w:rPr>
                <w:rFonts w:hint="eastAsia"/>
                <w:lang w:bidi="ar"/>
              </w:rPr>
              <w:t>中药饮片在煎煮过程中产生的中药异味基本不含有《恶臭污染物排放标准》（GB14554- 93）规定的氨、三甲胺、硫化氢、甲硫醇、甲硫醚、二甲二硫、二硫化碳、苯乙烯等8 种恶臭物质，煎煮恶臭一般为复合恶臭形式，其强度与恶臭物质的种类和浓变有关。有无气味及气味的大小与恶臭物质在空气中的浓度有关。恶臭的标准可以以人的嗅觉器官对气味的反应将臭味强度分为若干级的臭味强度等级法。该标准由日本制定，在国际上也比较通用。标准中从嗅觉强度上将恶臭分为0、1 、2 、3、4、5六个等级，关于六个等级臭气。</w:t>
            </w:r>
          </w:p>
          <w:p w14:paraId="3E4F3625">
            <w:pPr>
              <w:autoSpaceDE w:val="0"/>
              <w:autoSpaceDN w:val="0"/>
              <w:adjustRightInd w:val="0"/>
              <w:snapToGrid w:val="0"/>
              <w:jc w:val="center"/>
              <w:rPr>
                <w:b/>
              </w:rPr>
            </w:pPr>
            <w:r>
              <w:rPr>
                <w:rFonts w:hint="eastAsia"/>
                <w:b/>
              </w:rPr>
              <w:t>表4-2  恶臭强度分类一览表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6400"/>
            </w:tblGrid>
            <w:tr w14:paraId="5A378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247" w:type="pct"/>
                  <w:shd w:val="clear" w:color="auto" w:fill="auto"/>
                  <w:vAlign w:val="center"/>
                </w:tcPr>
                <w:p w14:paraId="3DDCED9C">
                  <w:pPr>
                    <w:jc w:val="center"/>
                  </w:pPr>
                  <w:r>
                    <w:rPr>
                      <w:rFonts w:hint="eastAsia"/>
                      <w:b/>
                      <w:bCs/>
                    </w:rPr>
                    <w:t>强度分级</w:t>
                  </w:r>
                </w:p>
              </w:tc>
              <w:tc>
                <w:tcPr>
                  <w:tcW w:w="3753" w:type="pct"/>
                  <w:shd w:val="clear" w:color="auto" w:fill="auto"/>
                  <w:vAlign w:val="center"/>
                </w:tcPr>
                <w:p w14:paraId="5F946019">
                  <w:pPr>
                    <w:jc w:val="center"/>
                  </w:pPr>
                  <w:r>
                    <w:rPr>
                      <w:rFonts w:hint="eastAsia"/>
                      <w:b/>
                      <w:bCs/>
                    </w:rPr>
                    <w:t>臭气感觉强度</w:t>
                  </w:r>
                </w:p>
              </w:tc>
            </w:tr>
            <w:tr w14:paraId="53B80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247" w:type="pct"/>
                  <w:shd w:val="clear" w:color="auto" w:fill="auto"/>
                  <w:vAlign w:val="center"/>
                </w:tcPr>
                <w:p w14:paraId="51821A9D">
                  <w:pPr>
                    <w:jc w:val="center"/>
                  </w:pPr>
                  <w:r>
                    <w:rPr>
                      <w:rFonts w:hint="eastAsia"/>
                    </w:rPr>
                    <w:t>0</w:t>
                  </w:r>
                </w:p>
              </w:tc>
              <w:tc>
                <w:tcPr>
                  <w:tcW w:w="3753" w:type="pct"/>
                  <w:shd w:val="clear" w:color="auto" w:fill="auto"/>
                  <w:vAlign w:val="center"/>
                </w:tcPr>
                <w:p w14:paraId="0743EBC1">
                  <w:pPr>
                    <w:jc w:val="center"/>
                  </w:pPr>
                  <w:r>
                    <w:rPr>
                      <w:rFonts w:hint="eastAsia"/>
                    </w:rPr>
                    <w:t>无气味</w:t>
                  </w:r>
                </w:p>
              </w:tc>
            </w:tr>
            <w:tr w14:paraId="29CCE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247" w:type="pct"/>
                  <w:shd w:val="clear" w:color="auto" w:fill="auto"/>
                  <w:vAlign w:val="center"/>
                </w:tcPr>
                <w:p w14:paraId="469E7AEE">
                  <w:pPr>
                    <w:jc w:val="center"/>
                  </w:pPr>
                  <w:r>
                    <w:rPr>
                      <w:rFonts w:hint="eastAsia"/>
                    </w:rPr>
                    <w:t>1</w:t>
                  </w:r>
                </w:p>
              </w:tc>
              <w:tc>
                <w:tcPr>
                  <w:tcW w:w="3753" w:type="pct"/>
                  <w:shd w:val="clear" w:color="auto" w:fill="auto"/>
                  <w:vAlign w:val="center"/>
                </w:tcPr>
                <w:p w14:paraId="48DEE390">
                  <w:pPr>
                    <w:jc w:val="center"/>
                  </w:pPr>
                  <w:r>
                    <w:rPr>
                      <w:rFonts w:hint="eastAsia"/>
                    </w:rPr>
                    <w:t>勉强感觉到气味（检知阈值浓度）</w:t>
                  </w:r>
                </w:p>
              </w:tc>
            </w:tr>
            <w:tr w14:paraId="230E6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247" w:type="pct"/>
                  <w:shd w:val="clear" w:color="auto" w:fill="auto"/>
                  <w:vAlign w:val="center"/>
                </w:tcPr>
                <w:p w14:paraId="03CF26E1">
                  <w:pPr>
                    <w:jc w:val="center"/>
                  </w:pPr>
                  <w:r>
                    <w:rPr>
                      <w:rFonts w:hint="eastAsia"/>
                    </w:rPr>
                    <w:t>2</w:t>
                  </w:r>
                </w:p>
              </w:tc>
              <w:tc>
                <w:tcPr>
                  <w:tcW w:w="3753" w:type="pct"/>
                  <w:shd w:val="clear" w:color="auto" w:fill="auto"/>
                  <w:vAlign w:val="center"/>
                </w:tcPr>
                <w:p w14:paraId="3D1328BB">
                  <w:pPr>
                    <w:jc w:val="center"/>
                  </w:pPr>
                  <w:r>
                    <w:rPr>
                      <w:rFonts w:hint="eastAsia"/>
                    </w:rPr>
                    <w:t>能够确定气味性质的较弱气体（确认阈值浓度）</w:t>
                  </w:r>
                </w:p>
              </w:tc>
            </w:tr>
            <w:tr w14:paraId="08F10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247" w:type="pct"/>
                  <w:shd w:val="clear" w:color="auto" w:fill="auto"/>
                  <w:vAlign w:val="center"/>
                </w:tcPr>
                <w:p w14:paraId="7132106B">
                  <w:pPr>
                    <w:jc w:val="center"/>
                  </w:pPr>
                  <w:r>
                    <w:rPr>
                      <w:rFonts w:hint="eastAsia"/>
                    </w:rPr>
                    <w:t>3</w:t>
                  </w:r>
                </w:p>
              </w:tc>
              <w:tc>
                <w:tcPr>
                  <w:tcW w:w="3753" w:type="pct"/>
                  <w:shd w:val="clear" w:color="auto" w:fill="auto"/>
                  <w:vAlign w:val="center"/>
                </w:tcPr>
                <w:p w14:paraId="28ACD195">
                  <w:pPr>
                    <w:jc w:val="center"/>
                  </w:pPr>
                  <w:r>
                    <w:rPr>
                      <w:rFonts w:hint="eastAsia"/>
                    </w:rPr>
                    <w:t>容易闻到有明显气味</w:t>
                  </w:r>
                </w:p>
              </w:tc>
            </w:tr>
            <w:tr w14:paraId="343DDE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247" w:type="pct"/>
                  <w:shd w:val="clear" w:color="auto" w:fill="auto"/>
                  <w:vAlign w:val="center"/>
                </w:tcPr>
                <w:p w14:paraId="41205B83">
                  <w:pPr>
                    <w:jc w:val="center"/>
                  </w:pPr>
                  <w:r>
                    <w:rPr>
                      <w:rFonts w:hint="eastAsia"/>
                    </w:rPr>
                    <w:t>4</w:t>
                  </w:r>
                </w:p>
              </w:tc>
              <w:tc>
                <w:tcPr>
                  <w:tcW w:w="3753" w:type="pct"/>
                  <w:shd w:val="clear" w:color="auto" w:fill="auto"/>
                  <w:vAlign w:val="center"/>
                </w:tcPr>
                <w:p w14:paraId="11639453">
                  <w:pPr>
                    <w:jc w:val="center"/>
                  </w:pPr>
                  <w:r>
                    <w:rPr>
                      <w:rFonts w:hint="eastAsia"/>
                    </w:rPr>
                    <w:t>很容易闻到有明显气味</w:t>
                  </w:r>
                </w:p>
              </w:tc>
            </w:tr>
            <w:tr w14:paraId="48DE0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247" w:type="pct"/>
                  <w:shd w:val="clear" w:color="auto" w:fill="auto"/>
                  <w:vAlign w:val="center"/>
                </w:tcPr>
                <w:p w14:paraId="1EF9A136">
                  <w:pPr>
                    <w:jc w:val="center"/>
                  </w:pPr>
                  <w:r>
                    <w:rPr>
                      <w:rFonts w:hint="eastAsia"/>
                    </w:rPr>
                    <w:t>5</w:t>
                  </w:r>
                </w:p>
              </w:tc>
              <w:tc>
                <w:tcPr>
                  <w:tcW w:w="3753" w:type="pct"/>
                  <w:shd w:val="clear" w:color="auto" w:fill="auto"/>
                  <w:vAlign w:val="center"/>
                </w:tcPr>
                <w:p w14:paraId="69AA647D">
                  <w:pPr>
                    <w:jc w:val="center"/>
                  </w:pPr>
                  <w:r>
                    <w:rPr>
                      <w:rFonts w:hint="eastAsia"/>
                    </w:rPr>
                    <w:t>极强的气味</w:t>
                  </w:r>
                </w:p>
              </w:tc>
            </w:tr>
          </w:tbl>
          <w:p w14:paraId="050FF201">
            <w:pPr>
              <w:widowControl/>
              <w:spacing w:line="360" w:lineRule="auto"/>
              <w:ind w:firstLine="420" w:firstLineChars="200"/>
              <w:rPr>
                <w:lang w:bidi="ar"/>
              </w:rPr>
            </w:pPr>
            <w:r>
              <w:rPr>
                <w:rFonts w:hint="eastAsia"/>
                <w:lang w:bidi="ar"/>
              </w:rPr>
              <w:t>类比同类型企业，生产车间内恶臭等级为4级，50m外基本闻不到臭味，恶臭等级为0级。为进一步降低恶臭对周边环境影响，本项目要求煎煮、过滤废气产生的水蒸气收集后经水喷淋处理后引至不低于20m高排气筒高空排放。</w:t>
            </w:r>
          </w:p>
          <w:p w14:paraId="4DFBD4CC">
            <w:pPr>
              <w:widowControl/>
              <w:spacing w:line="360" w:lineRule="auto"/>
              <w:ind w:firstLine="422" w:firstLineChars="200"/>
              <w:rPr>
                <w:b/>
                <w:bCs/>
                <w:lang w:bidi="ar"/>
              </w:rPr>
            </w:pPr>
            <w:r>
              <w:rPr>
                <w:rFonts w:hint="eastAsia"/>
                <w:b/>
                <w:bCs/>
                <w:lang w:bidi="ar"/>
              </w:rPr>
              <w:t>（2）中药材异味收集措施：</w:t>
            </w:r>
          </w:p>
          <w:p w14:paraId="1E14E2F6">
            <w:pPr>
              <w:widowControl/>
              <w:spacing w:line="360" w:lineRule="auto"/>
              <w:ind w:firstLine="420" w:firstLineChars="200"/>
              <w:rPr>
                <w:lang w:bidi="ar"/>
              </w:rPr>
            </w:pPr>
            <w:r>
              <w:rPr>
                <w:rFonts w:hint="eastAsia"/>
                <w:lang w:bidi="ar"/>
              </w:rPr>
              <w:t>为降低恶臭对周边环境影响，本项目要求煎煮、过滤产生的异味气体经“水喷淋塔”处理后经20m高排气筒高空排放。此外，企业应加强废气收集与车间密闭，可有效减少恶臭影响，因此，项目恶臭的产生对周边敏感点影响小。</w:t>
            </w:r>
          </w:p>
          <w:p w14:paraId="48E8E3F6">
            <w:pPr>
              <w:widowControl/>
              <w:spacing w:line="360" w:lineRule="auto"/>
              <w:ind w:firstLine="420" w:firstLineChars="200"/>
              <w:rPr>
                <w:lang w:bidi="ar"/>
              </w:rPr>
            </w:pPr>
            <w:r>
              <w:rPr>
                <w:rFonts w:hint="eastAsia"/>
                <w:lang w:bidi="ar"/>
              </w:rPr>
              <w:t>本项目生产线位于3 楼裙楼部分，以上环保设施和排气筒均位于3 楼裙楼厂房楼顶，厂房高度为20m，排气筒高度不低于20m。</w:t>
            </w:r>
          </w:p>
          <w:p w14:paraId="6A9403D8">
            <w:pPr>
              <w:widowControl/>
              <w:spacing w:line="360" w:lineRule="auto"/>
              <w:ind w:firstLine="420" w:firstLineChars="200"/>
              <w:rPr>
                <w:lang w:bidi="ar"/>
              </w:rPr>
            </w:pPr>
            <w:r>
              <w:rPr>
                <w:rFonts w:hint="eastAsia"/>
                <w:lang w:bidi="ar"/>
              </w:rPr>
              <w:t>综上，本项目废气处理措施一览表如下表所示：</w:t>
            </w:r>
          </w:p>
          <w:p w14:paraId="3B652AA2">
            <w:pPr>
              <w:autoSpaceDE w:val="0"/>
              <w:autoSpaceDN w:val="0"/>
              <w:adjustRightInd w:val="0"/>
              <w:snapToGrid w:val="0"/>
              <w:jc w:val="center"/>
              <w:rPr>
                <w:b/>
              </w:rPr>
            </w:pPr>
            <w:r>
              <w:rPr>
                <w:rFonts w:hint="eastAsia"/>
                <w:b/>
              </w:rPr>
              <w:t>表4-3  本项目废气处理措施一览表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863"/>
              <w:gridCol w:w="1149"/>
              <w:gridCol w:w="5536"/>
            </w:tblGrid>
            <w:tr w14:paraId="01406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4" w:hRule="atLeast"/>
                <w:jc w:val="center"/>
              </w:trPr>
              <w:tc>
                <w:tcPr>
                  <w:tcW w:w="574" w:type="pct"/>
                  <w:vAlign w:val="center"/>
                </w:tcPr>
                <w:p w14:paraId="1F207451">
                  <w:pPr>
                    <w:jc w:val="center"/>
                    <w:rPr>
                      <w:b/>
                      <w:bCs/>
                    </w:rPr>
                  </w:pPr>
                  <w:r>
                    <w:rPr>
                      <w:rFonts w:hint="eastAsia"/>
                      <w:b/>
                      <w:bCs/>
                    </w:rPr>
                    <w:t>产污点</w:t>
                  </w:r>
                </w:p>
              </w:tc>
              <w:tc>
                <w:tcPr>
                  <w:tcW w:w="506" w:type="pct"/>
                  <w:vAlign w:val="center"/>
                </w:tcPr>
                <w:p w14:paraId="655DE3DE">
                  <w:pPr>
                    <w:jc w:val="center"/>
                    <w:rPr>
                      <w:b/>
                      <w:bCs/>
                    </w:rPr>
                  </w:pPr>
                  <w:r>
                    <w:rPr>
                      <w:rFonts w:hint="eastAsia"/>
                      <w:b/>
                      <w:bCs/>
                    </w:rPr>
                    <w:t>污染物</w:t>
                  </w:r>
                </w:p>
              </w:tc>
              <w:tc>
                <w:tcPr>
                  <w:tcW w:w="674" w:type="pct"/>
                  <w:shd w:val="clear" w:color="auto" w:fill="auto"/>
                  <w:vAlign w:val="center"/>
                </w:tcPr>
                <w:p w14:paraId="3321519C">
                  <w:pPr>
                    <w:jc w:val="center"/>
                  </w:pPr>
                  <w:r>
                    <w:rPr>
                      <w:rFonts w:hint="eastAsia"/>
                      <w:b/>
                      <w:bCs/>
                    </w:rPr>
                    <w:t>污染因子</w:t>
                  </w:r>
                </w:p>
              </w:tc>
              <w:tc>
                <w:tcPr>
                  <w:tcW w:w="3246" w:type="pct"/>
                  <w:vAlign w:val="center"/>
                </w:tcPr>
                <w:p w14:paraId="68F7A6A3">
                  <w:pPr>
                    <w:jc w:val="center"/>
                    <w:rPr>
                      <w:b/>
                      <w:bCs/>
                    </w:rPr>
                  </w:pPr>
                  <w:r>
                    <w:rPr>
                      <w:rFonts w:hint="eastAsia"/>
                      <w:b/>
                      <w:bCs/>
                    </w:rPr>
                    <w:t>收集方式、收集效率、处理措施、处理能力、处理效率</w:t>
                  </w:r>
                </w:p>
              </w:tc>
            </w:tr>
            <w:tr w14:paraId="41F8C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74" w:type="pct"/>
                  <w:vAlign w:val="center"/>
                </w:tcPr>
                <w:p w14:paraId="185CBBF5">
                  <w:pPr>
                    <w:jc w:val="center"/>
                  </w:pPr>
                  <w:r>
                    <w:rPr>
                      <w:rFonts w:hint="eastAsia"/>
                    </w:rPr>
                    <w:t>煎药区</w:t>
                  </w:r>
                </w:p>
              </w:tc>
              <w:tc>
                <w:tcPr>
                  <w:tcW w:w="506" w:type="pct"/>
                  <w:vAlign w:val="center"/>
                </w:tcPr>
                <w:p w14:paraId="1A89BC9E">
                  <w:pPr>
                    <w:jc w:val="center"/>
                  </w:pPr>
                  <w:r>
                    <w:rPr>
                      <w:rFonts w:hint="eastAsia"/>
                    </w:rPr>
                    <w:t>煎药异味</w:t>
                  </w:r>
                </w:p>
              </w:tc>
              <w:tc>
                <w:tcPr>
                  <w:tcW w:w="674" w:type="pct"/>
                  <w:shd w:val="clear" w:color="auto" w:fill="auto"/>
                  <w:vAlign w:val="center"/>
                </w:tcPr>
                <w:p w14:paraId="1EDA02D4">
                  <w:pPr>
                    <w:jc w:val="center"/>
                  </w:pPr>
                  <w:r>
                    <w:rPr>
                      <w:rFonts w:hint="eastAsia"/>
                    </w:rPr>
                    <w:t>异味</w:t>
                  </w:r>
                </w:p>
              </w:tc>
              <w:tc>
                <w:tcPr>
                  <w:tcW w:w="3246" w:type="pct"/>
                  <w:vAlign w:val="center"/>
                </w:tcPr>
                <w:p w14:paraId="1EAC5783">
                  <w:pPr>
                    <w:jc w:val="center"/>
                  </w:pPr>
                  <w:r>
                    <w:rPr>
                      <w:rFonts w:hint="eastAsia"/>
                    </w:rPr>
                    <w:t>煎药异味经煎药上方设置的集气罩收集后进入</w:t>
                  </w:r>
                  <w:r>
                    <w:rPr>
                      <w:rFonts w:hint="eastAsia"/>
                      <w:lang w:bidi="ar"/>
                    </w:rPr>
                    <w:t>“水喷淋塔”</w:t>
                  </w:r>
                  <w:r>
                    <w:rPr>
                      <w:rFonts w:hint="eastAsia"/>
                    </w:rPr>
                    <w:t>处理达标后经排气筒（DA001，20m）排放。</w:t>
                  </w:r>
                </w:p>
              </w:tc>
            </w:tr>
          </w:tbl>
          <w:p w14:paraId="355DFADF">
            <w:pPr>
              <w:widowControl/>
              <w:spacing w:line="360" w:lineRule="auto"/>
              <w:ind w:firstLine="422" w:firstLineChars="200"/>
              <w:rPr>
                <w:b/>
                <w:bCs/>
                <w:lang w:bidi="ar"/>
              </w:rPr>
            </w:pPr>
            <w:r>
              <w:rPr>
                <w:rFonts w:hint="eastAsia"/>
                <w:b/>
                <w:bCs/>
                <w:lang w:bidi="ar"/>
              </w:rPr>
              <w:t>煎药异味治理措施可行性分析：</w:t>
            </w:r>
          </w:p>
          <w:p w14:paraId="66E83DBA">
            <w:pPr>
              <w:widowControl/>
              <w:spacing w:line="360" w:lineRule="auto"/>
              <w:ind w:firstLine="420" w:firstLineChars="200"/>
              <w:rPr>
                <w:lang w:bidi="ar"/>
              </w:rPr>
            </w:pPr>
            <w:r>
              <w:rPr>
                <w:rFonts w:hint="eastAsia"/>
                <w:lang w:bidi="ar"/>
              </w:rPr>
              <w:t>项目废气主要污染物为臭气浓度（异味），煎药异味采用水喷淋吸收。参照《排污许可证申请与核发技术规范制药工业—中成药生产》（HJ 1064—2019），对于臭气浓度推荐采用水喷淋、吸收、活性炭吸附、其他等措施，本项目采用“水喷淋塔”吸收异味，属于推荐工艺，可行。</w:t>
            </w:r>
          </w:p>
          <w:p w14:paraId="1BF1DD33">
            <w:pPr>
              <w:widowControl/>
              <w:spacing w:line="360" w:lineRule="auto"/>
              <w:ind w:firstLine="420" w:firstLineChars="200"/>
              <w:rPr>
                <w:lang w:bidi="ar"/>
              </w:rPr>
            </w:pPr>
            <w:r>
              <w:rPr>
                <w:rFonts w:hint="eastAsia"/>
                <w:lang w:bidi="ar"/>
              </w:rPr>
              <w:t>项目选用的煎药机的煎药罐为封闭设计，煎煮完成后药渣倒入指定容器并封闭，装有药渣的药渣暂存桶在药渣暂存机清洗间（24.50m</w:t>
            </w:r>
            <w:r>
              <w:rPr>
                <w:rFonts w:hint="eastAsia"/>
                <w:vertAlign w:val="superscript"/>
                <w:lang w:bidi="ar"/>
              </w:rPr>
              <w:t>2</w:t>
            </w:r>
            <w:r>
              <w:rPr>
                <w:rFonts w:hint="eastAsia"/>
                <w:lang w:bidi="ar"/>
              </w:rPr>
              <w:t>）临时贮存，并及时清运处置。故中药异味外排极少，可忽略不计，项目臭气浓度主要由蒸发的水蒸气携带，蒸发的水蒸气经水喷淋塔收集排放后，对周边环境影响小，故可认为项目煎煮恶臭采用水喷淋塔进行处理是可行的。</w:t>
            </w:r>
          </w:p>
          <w:p w14:paraId="5AFAD040">
            <w:pPr>
              <w:widowControl/>
              <w:spacing w:line="360" w:lineRule="auto"/>
              <w:ind w:firstLine="422" w:firstLineChars="200"/>
              <w:rPr>
                <w:lang w:bidi="ar"/>
              </w:rPr>
            </w:pPr>
            <w:r>
              <w:rPr>
                <w:rFonts w:hint="eastAsia"/>
                <w:b/>
                <w:bCs/>
                <w:lang w:bidi="ar"/>
              </w:rPr>
              <w:t>水喷淋原理：</w:t>
            </w:r>
            <w:r>
              <w:rPr>
                <w:rFonts w:hint="eastAsia"/>
                <w:lang w:bidi="ar"/>
              </w:rPr>
              <w:t>喷水除臭系统是一种常用于消除异味的设备，其工作原理是通过喷洒水雾来中和空气中的异味分子，从而达到去除异味的效果。该系统主要由水源、喷头、管道和控制装置等组成。</w:t>
            </w:r>
          </w:p>
          <w:p w14:paraId="24789D03">
            <w:pPr>
              <w:widowControl/>
              <w:spacing w:line="360" w:lineRule="auto"/>
              <w:ind w:firstLine="420" w:firstLineChars="200"/>
              <w:rPr>
                <w:lang w:bidi="ar"/>
              </w:rPr>
            </w:pPr>
            <w:r>
              <w:rPr>
                <w:rFonts w:hint="eastAsia"/>
                <w:lang w:bidi="ar"/>
              </w:rPr>
              <w:t>综上，本项目拟采取的废气治理措施可行。</w:t>
            </w:r>
          </w:p>
          <w:p w14:paraId="785ED5ED">
            <w:pPr>
              <w:widowControl/>
              <w:spacing w:line="360" w:lineRule="auto"/>
              <w:ind w:firstLine="422" w:firstLineChars="200"/>
              <w:rPr>
                <w:b/>
                <w:bCs/>
                <w:lang w:bidi="ar"/>
              </w:rPr>
            </w:pPr>
            <w:r>
              <w:rPr>
                <w:rFonts w:hint="eastAsia"/>
                <w:b/>
                <w:bCs/>
                <w:lang w:bidi="ar"/>
              </w:rPr>
              <w:t>（3）中药材异味排放情况：</w:t>
            </w:r>
          </w:p>
          <w:p w14:paraId="0074BB9A">
            <w:pPr>
              <w:widowControl/>
              <w:spacing w:line="360" w:lineRule="auto"/>
              <w:ind w:firstLine="420" w:firstLineChars="200"/>
              <w:rPr>
                <w:b/>
                <w:bCs/>
                <w:lang w:bidi="ar"/>
              </w:rPr>
            </w:pPr>
            <w:r>
              <w:rPr>
                <w:rFonts w:hint="eastAsia"/>
                <w:lang w:bidi="ar"/>
              </w:rPr>
              <w:t>由于中药异味不刺鼻，本身对周围环境的影响不大，因此采用水喷淋塔除异味是合理可行的。经上述分析项目臭气浓度外排较小，经收集处理后对周边环境影响不大，故可认为项目排放的有组织及无组织臭气浓度均可满足相关要求。</w:t>
            </w:r>
          </w:p>
          <w:p w14:paraId="2822A8D3">
            <w:pPr>
              <w:widowControl/>
              <w:spacing w:line="360" w:lineRule="auto"/>
              <w:ind w:firstLine="422" w:firstLineChars="200"/>
              <w:rPr>
                <w:b/>
                <w:bCs/>
                <w:lang w:bidi="ar"/>
              </w:rPr>
            </w:pPr>
            <w:r>
              <w:rPr>
                <w:rFonts w:hint="eastAsia"/>
                <w:b/>
                <w:bCs/>
                <w:lang w:bidi="ar"/>
              </w:rPr>
              <w:t>2、中药破碎粉尘</w:t>
            </w:r>
          </w:p>
          <w:p w14:paraId="54B35E06">
            <w:pPr>
              <w:widowControl/>
              <w:spacing w:line="360" w:lineRule="auto"/>
              <w:ind w:firstLine="420" w:firstLineChars="200"/>
              <w:rPr>
                <w:lang w:bidi="ar"/>
              </w:rPr>
            </w:pPr>
            <w:r>
              <w:rPr>
                <w:rFonts w:hint="eastAsia"/>
                <w:lang w:bidi="ar"/>
              </w:rPr>
              <w:t>本项目粉尘产生工序主要为丸剂制作过程中药材粉碎工序产生的粉尘</w:t>
            </w:r>
            <w:r>
              <w:rPr>
                <w:rFonts w:hint="eastAsia"/>
                <w:bCs/>
              </w:rPr>
              <w:t>。</w:t>
            </w:r>
          </w:p>
          <w:p w14:paraId="002AEEF0">
            <w:pPr>
              <w:widowControl/>
              <w:spacing w:line="360" w:lineRule="auto"/>
              <w:ind w:firstLine="422" w:firstLineChars="200"/>
              <w:rPr>
                <w:b/>
                <w:bCs/>
                <w:lang w:bidi="ar"/>
              </w:rPr>
            </w:pPr>
            <w:r>
              <w:rPr>
                <w:rFonts w:hint="eastAsia"/>
                <w:b/>
                <w:bCs/>
                <w:lang w:bidi="ar"/>
              </w:rPr>
              <w:t>（1）中药破碎粉尘产生量及源强核算依据：</w:t>
            </w:r>
          </w:p>
          <w:p w14:paraId="0A1D301A">
            <w:pPr>
              <w:widowControl/>
              <w:spacing w:line="360" w:lineRule="auto"/>
              <w:ind w:firstLine="420" w:firstLineChars="200"/>
              <w:rPr>
                <w:lang w:bidi="ar"/>
              </w:rPr>
            </w:pPr>
            <w:r>
              <w:rPr>
                <w:rFonts w:hint="eastAsia"/>
                <w:lang w:bidi="ar"/>
              </w:rPr>
              <w:t>项目在粉碎过程中会产生少量粉尘，粉尘产生量参照《排放源统计调查产排污核算方法和系数手册》“2740  中成药生产行业系数手册 ”进行计算，颗粒物（＜200吨-中成药/年）产污系数为 4千克/吨- 中成药，袋式除尘器除尘效率 98%。</w:t>
            </w:r>
          </w:p>
          <w:p w14:paraId="079D642F">
            <w:pPr>
              <w:widowControl/>
              <w:spacing w:line="360" w:lineRule="auto"/>
              <w:ind w:firstLine="420" w:firstLineChars="200"/>
              <w:rPr>
                <w:lang w:bidi="ar"/>
              </w:rPr>
            </w:pPr>
            <w:r>
              <w:rPr>
                <w:rFonts w:hint="eastAsia"/>
                <w:lang w:bidi="ar"/>
              </w:rPr>
              <w:t>项目中药丸剂产量约1800剂 ，平均每剂药丸约有18 瓶成品，每瓶药丸的中药饮片用量为 55g，则中药丸剂产量约为1.782t/a。则颗粒物产生量为7.128kg。项目平均每天破碎时间约3h，则项目破碎年工作约900h。</w:t>
            </w:r>
          </w:p>
          <w:p w14:paraId="70F4A741">
            <w:pPr>
              <w:widowControl/>
              <w:spacing w:line="360" w:lineRule="auto"/>
              <w:ind w:firstLine="422" w:firstLineChars="200"/>
              <w:rPr>
                <w:b/>
                <w:bCs/>
                <w:lang w:bidi="ar"/>
              </w:rPr>
            </w:pPr>
            <w:r>
              <w:rPr>
                <w:rFonts w:hint="eastAsia"/>
                <w:b/>
                <w:bCs/>
                <w:lang w:bidi="ar"/>
              </w:rPr>
              <w:t>（2）粉尘收集措施：</w:t>
            </w:r>
          </w:p>
          <w:p w14:paraId="631E9EE5">
            <w:pPr>
              <w:widowControl/>
              <w:spacing w:line="360" w:lineRule="auto"/>
              <w:ind w:firstLine="420" w:firstLineChars="200"/>
              <w:rPr>
                <w:lang w:bidi="ar"/>
              </w:rPr>
            </w:pPr>
            <w:r>
              <w:rPr>
                <w:rFonts w:hint="eastAsia"/>
                <w:lang w:bidi="ar"/>
              </w:rPr>
              <w:t>项目粉碎机位于车间内粉碎间内，粉碎间为相对密闭的车间（仅在进出时开门，其余时间密闭），项目使用的粉碎机为小型密闭的设备，使用时为密闭状态，仅在粉碎后打开设备时产生少量粉尘。</w:t>
            </w:r>
          </w:p>
          <w:p w14:paraId="02565D56">
            <w:pPr>
              <w:widowControl/>
              <w:spacing w:line="360" w:lineRule="auto"/>
              <w:ind w:firstLine="420" w:firstLineChars="200"/>
              <w:rPr>
                <w:lang w:bidi="ar"/>
              </w:rPr>
            </w:pPr>
            <w:r>
              <w:rPr>
                <w:rFonts w:hint="eastAsia"/>
                <w:lang w:bidi="ar"/>
              </w:rPr>
              <w:t xml:space="preserve">中药粉碎产生的粉尘通过在粉碎机上方设置集气罩收集后通过布袋除尘器处理，由 20 米高 (DA002) 排气筒排放。 </w:t>
            </w:r>
          </w:p>
          <w:p w14:paraId="5B2DBA67">
            <w:pPr>
              <w:widowControl/>
              <w:spacing w:line="360" w:lineRule="auto"/>
              <w:ind w:firstLine="420" w:firstLineChars="200"/>
              <w:rPr>
                <w:lang w:bidi="ar"/>
              </w:rPr>
            </w:pPr>
            <w:r>
              <w:rPr>
                <w:rFonts w:hint="eastAsia"/>
                <w:lang w:bidi="ar"/>
              </w:rPr>
              <w:t>本项目中药粉碎废气处理措施一览表如下表所示：</w:t>
            </w:r>
          </w:p>
          <w:p w14:paraId="0454E587">
            <w:pPr>
              <w:autoSpaceDE w:val="0"/>
              <w:autoSpaceDN w:val="0"/>
              <w:adjustRightInd w:val="0"/>
              <w:snapToGrid w:val="0"/>
              <w:jc w:val="center"/>
              <w:rPr>
                <w:b/>
              </w:rPr>
            </w:pPr>
            <w:r>
              <w:rPr>
                <w:rFonts w:hint="eastAsia"/>
                <w:b/>
              </w:rPr>
              <w:t>表4-3  本项目粉尘废气处理措施一览表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738"/>
              <w:gridCol w:w="1032"/>
              <w:gridCol w:w="5981"/>
            </w:tblGrid>
            <w:tr w14:paraId="38853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55" w:type="pct"/>
                  <w:vAlign w:val="center"/>
                </w:tcPr>
                <w:p w14:paraId="47F612EE">
                  <w:pPr>
                    <w:jc w:val="center"/>
                    <w:rPr>
                      <w:b/>
                      <w:bCs/>
                    </w:rPr>
                  </w:pPr>
                  <w:r>
                    <w:rPr>
                      <w:rFonts w:hint="eastAsia"/>
                      <w:b/>
                      <w:bCs/>
                    </w:rPr>
                    <w:t>产污点</w:t>
                  </w:r>
                </w:p>
              </w:tc>
              <w:tc>
                <w:tcPr>
                  <w:tcW w:w="433" w:type="pct"/>
                  <w:vAlign w:val="center"/>
                </w:tcPr>
                <w:p w14:paraId="464118B7">
                  <w:pPr>
                    <w:jc w:val="center"/>
                    <w:rPr>
                      <w:b/>
                      <w:bCs/>
                    </w:rPr>
                  </w:pPr>
                  <w:r>
                    <w:rPr>
                      <w:rFonts w:hint="eastAsia"/>
                      <w:b/>
                      <w:bCs/>
                    </w:rPr>
                    <w:t>污染物</w:t>
                  </w:r>
                </w:p>
              </w:tc>
              <w:tc>
                <w:tcPr>
                  <w:tcW w:w="605" w:type="pct"/>
                  <w:shd w:val="clear" w:color="auto" w:fill="auto"/>
                  <w:vAlign w:val="center"/>
                </w:tcPr>
                <w:p w14:paraId="4A5DFFAB">
                  <w:pPr>
                    <w:jc w:val="center"/>
                  </w:pPr>
                  <w:r>
                    <w:rPr>
                      <w:rFonts w:hint="eastAsia"/>
                      <w:b/>
                      <w:bCs/>
                    </w:rPr>
                    <w:t>污染因子</w:t>
                  </w:r>
                </w:p>
              </w:tc>
              <w:tc>
                <w:tcPr>
                  <w:tcW w:w="3507" w:type="pct"/>
                  <w:vAlign w:val="center"/>
                </w:tcPr>
                <w:p w14:paraId="13261F23">
                  <w:pPr>
                    <w:jc w:val="center"/>
                    <w:rPr>
                      <w:b/>
                      <w:bCs/>
                    </w:rPr>
                  </w:pPr>
                  <w:r>
                    <w:rPr>
                      <w:rFonts w:hint="eastAsia"/>
                      <w:b/>
                      <w:bCs/>
                    </w:rPr>
                    <w:t>收集方式、收集效率、处理措施、处理能力、处理效率</w:t>
                  </w:r>
                </w:p>
              </w:tc>
            </w:tr>
            <w:tr w14:paraId="073B8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55" w:type="pct"/>
                  <w:vAlign w:val="center"/>
                </w:tcPr>
                <w:p w14:paraId="69A6E6D9">
                  <w:pPr>
                    <w:jc w:val="center"/>
                  </w:pPr>
                  <w:r>
                    <w:rPr>
                      <w:rFonts w:hint="eastAsia"/>
                    </w:rPr>
                    <w:t>粉碎间</w:t>
                  </w:r>
                </w:p>
              </w:tc>
              <w:tc>
                <w:tcPr>
                  <w:tcW w:w="433" w:type="pct"/>
                  <w:vAlign w:val="center"/>
                </w:tcPr>
                <w:p w14:paraId="42F31249">
                  <w:pPr>
                    <w:jc w:val="center"/>
                  </w:pPr>
                  <w:r>
                    <w:rPr>
                      <w:rFonts w:hint="eastAsia"/>
                    </w:rPr>
                    <w:t>中药粉尘</w:t>
                  </w:r>
                </w:p>
              </w:tc>
              <w:tc>
                <w:tcPr>
                  <w:tcW w:w="605" w:type="pct"/>
                  <w:shd w:val="clear" w:color="auto" w:fill="auto"/>
                  <w:vAlign w:val="center"/>
                </w:tcPr>
                <w:p w14:paraId="0211533D">
                  <w:pPr>
                    <w:jc w:val="center"/>
                  </w:pPr>
                  <w:r>
                    <w:rPr>
                      <w:rFonts w:hint="eastAsia"/>
                    </w:rPr>
                    <w:t>颗粒物</w:t>
                  </w:r>
                </w:p>
              </w:tc>
              <w:tc>
                <w:tcPr>
                  <w:tcW w:w="3507" w:type="pct"/>
                  <w:vAlign w:val="center"/>
                </w:tcPr>
                <w:p w14:paraId="6DB30108">
                  <w:pPr>
                    <w:jc w:val="center"/>
                  </w:pPr>
                  <w:r>
                    <w:rPr>
                      <w:rFonts w:hint="eastAsia"/>
                    </w:rPr>
                    <w:t>中药粉碎颗粒物经粉碎机上方设置的集气罩收集后进入</w:t>
                  </w:r>
                  <w:r>
                    <w:rPr>
                      <w:rFonts w:hint="eastAsia"/>
                      <w:lang w:bidi="ar"/>
                    </w:rPr>
                    <w:t>“布袋除尘器”</w:t>
                  </w:r>
                  <w:r>
                    <w:rPr>
                      <w:rFonts w:hint="eastAsia"/>
                    </w:rPr>
                    <w:t>处理达标后经排气筒（DA002，20m）排放。</w:t>
                  </w:r>
                </w:p>
              </w:tc>
            </w:tr>
          </w:tbl>
          <w:p w14:paraId="25023C66">
            <w:pPr>
              <w:widowControl/>
              <w:spacing w:line="360" w:lineRule="auto"/>
              <w:ind w:firstLine="422" w:firstLineChars="200"/>
              <w:rPr>
                <w:b/>
                <w:bCs/>
                <w:lang w:bidi="ar"/>
              </w:rPr>
            </w:pPr>
            <w:r>
              <w:rPr>
                <w:rFonts w:hint="eastAsia"/>
                <w:b/>
                <w:bCs/>
                <w:lang w:bidi="ar"/>
              </w:rPr>
              <w:t>粉碎废气治理措施可行性分析：</w:t>
            </w:r>
          </w:p>
          <w:p w14:paraId="02D5915F">
            <w:pPr>
              <w:widowControl/>
              <w:spacing w:line="360" w:lineRule="auto"/>
              <w:ind w:firstLine="420" w:firstLineChars="200"/>
              <w:rPr>
                <w:lang w:bidi="ar"/>
              </w:rPr>
            </w:pPr>
            <w:r>
              <w:rPr>
                <w:rFonts w:hint="eastAsia"/>
                <w:lang w:bidi="ar"/>
              </w:rPr>
              <w:t>本项目中药粉碎废气采用布袋除尘器处置，参照《排污许可证申请与核发技术规范制药工业—中成药生产》（HJ 1064—2019），对于颗粒物推荐采用袋式除尘、静电除尘、袋式除尘与湿式除尘的组合工艺等措施，本项目采用“布袋除尘器”处理破碎工序颗粒物，属于推荐工艺，可行。</w:t>
            </w:r>
          </w:p>
          <w:p w14:paraId="694D3824">
            <w:pPr>
              <w:widowControl/>
              <w:spacing w:line="360" w:lineRule="auto"/>
              <w:ind w:firstLine="422" w:firstLineChars="200"/>
              <w:rPr>
                <w:lang w:bidi="ar"/>
              </w:rPr>
            </w:pPr>
            <w:r>
              <w:rPr>
                <w:rFonts w:hint="eastAsia"/>
                <w:b/>
                <w:bCs/>
                <w:lang w:bidi="ar"/>
              </w:rPr>
              <w:t>布袋除尘器工作原理：</w:t>
            </w:r>
            <w:r>
              <w:rPr>
                <w:rFonts w:hint="eastAsia"/>
                <w:lang w:bidi="ar"/>
              </w:rPr>
              <w:t>布袋除尘器为常见的除尘设备，含尘气体由进风口进入灰料，由于气体体积的急速膨胀，颗粒在重力的作用下落入灰仓里，其它较轻细的粉尘随气流向上吸附在滤袋的外表面上，经过布袋过滤后的气体通过排气筒排放。随着过滤工况的持续，积聚在滤袋外表面上的粉尘会越来越多，相应的会增加系统的运行阻力，降低系统的除尘效率，因此系统配置自动脉冲清灰装置，此套装置由脉冲控制仪、脉冲阀、速联、汽包及喷气管等组成。根据颗粒的特性，可在脉冲控制仪上设定脉冲幅度和脉冲频率。脉冲幅度和频率设定完成后，在工作过程中，系统会自动完成过滤布袋的清灰，从而大大增加形同的过滤效率并延长过滤布袋的使用寿命。</w:t>
            </w:r>
          </w:p>
          <w:p w14:paraId="526FA3CE">
            <w:pPr>
              <w:widowControl/>
              <w:spacing w:line="360" w:lineRule="auto"/>
              <w:ind w:firstLine="420" w:firstLineChars="200"/>
              <w:rPr>
                <w:lang w:bidi="ar"/>
              </w:rPr>
            </w:pPr>
            <w:r>
              <w:rPr>
                <w:rFonts w:hint="eastAsia"/>
                <w:lang w:bidi="ar"/>
              </w:rPr>
              <w:t>根据《当前国家鼓励发展的环保产业设备（产品）目录》（第一批），脉冲布袋除尘器的除尘效率通常可达到99%以上，而且排放的粉尘为常温排放，不会对设备的运行造成影响。</w:t>
            </w:r>
          </w:p>
          <w:p w14:paraId="1FEBF0CD">
            <w:pPr>
              <w:widowControl/>
              <w:spacing w:line="360" w:lineRule="auto"/>
              <w:jc w:val="center"/>
              <w:rPr>
                <w:lang w:bidi="ar"/>
              </w:rPr>
            </w:pPr>
            <w:r>
              <w:rPr>
                <w:lang w:bidi="ar"/>
              </w:rPr>
              <w:drawing>
                <wp:inline distT="0" distB="0" distL="0" distR="0">
                  <wp:extent cx="3123565" cy="2337435"/>
                  <wp:effectExtent l="0" t="0" r="635" b="5715"/>
                  <wp:docPr id="1032926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26661"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135042" cy="2346019"/>
                          </a:xfrm>
                          <a:prstGeom prst="rect">
                            <a:avLst/>
                          </a:prstGeom>
                          <a:noFill/>
                          <a:ln>
                            <a:noFill/>
                          </a:ln>
                        </pic:spPr>
                      </pic:pic>
                    </a:graphicData>
                  </a:graphic>
                </wp:inline>
              </w:drawing>
            </w:r>
          </w:p>
          <w:p w14:paraId="29E1C84E">
            <w:pPr>
              <w:widowControl/>
              <w:spacing w:line="360" w:lineRule="auto"/>
              <w:ind w:firstLine="422" w:firstLineChars="200"/>
              <w:jc w:val="center"/>
              <w:rPr>
                <w:lang w:bidi="ar"/>
              </w:rPr>
            </w:pPr>
            <w:r>
              <w:rPr>
                <w:rFonts w:hint="eastAsia"/>
                <w:b/>
              </w:rPr>
              <w:t>图4-1  布袋除尘器原理图</w:t>
            </w:r>
          </w:p>
          <w:p w14:paraId="4BB82BFD">
            <w:pPr>
              <w:widowControl/>
              <w:spacing w:line="360" w:lineRule="auto"/>
              <w:ind w:firstLine="422" w:firstLineChars="200"/>
              <w:rPr>
                <w:b/>
                <w:bCs/>
                <w:lang w:bidi="ar"/>
              </w:rPr>
            </w:pPr>
            <w:r>
              <w:rPr>
                <w:rFonts w:hint="eastAsia"/>
                <w:b/>
                <w:bCs/>
                <w:lang w:bidi="ar"/>
              </w:rPr>
              <w:t>（3）粉尘治理措施及排放情况：</w:t>
            </w:r>
          </w:p>
          <w:p w14:paraId="737C53D6">
            <w:pPr>
              <w:widowControl/>
              <w:spacing w:line="360" w:lineRule="auto"/>
              <w:ind w:firstLine="420" w:firstLineChars="200"/>
              <w:rPr>
                <w:lang w:bidi="ar"/>
              </w:rPr>
            </w:pPr>
            <w:r>
              <w:rPr>
                <w:rFonts w:hint="eastAsia"/>
                <w:lang w:bidi="ar"/>
              </w:rPr>
              <w:t>根据建设单位提供资料，根据GMP要求，保证室内空气洁净度，项目收集粉尘设计最大排风量为4000m</w:t>
            </w:r>
            <w:r>
              <w:rPr>
                <w:rFonts w:hint="eastAsia"/>
                <w:vertAlign w:val="superscript"/>
                <w:lang w:bidi="ar"/>
              </w:rPr>
              <w:t>3</w:t>
            </w:r>
            <w:r>
              <w:rPr>
                <w:rFonts w:hint="eastAsia"/>
                <w:lang w:bidi="ar"/>
              </w:rPr>
              <w:t>/h，破碎工序粉尘经收集后，进入1台“布袋除尘器”进行处置，收集效率≥9</w:t>
            </w:r>
            <w:r>
              <w:rPr>
                <w:lang w:bidi="ar"/>
              </w:rPr>
              <w:t>0</w:t>
            </w:r>
            <w:r>
              <w:rPr>
                <w:rFonts w:hint="eastAsia"/>
                <w:lang w:bidi="ar"/>
              </w:rPr>
              <w:t>%，处理效率≥98%，处理达标后经</w:t>
            </w:r>
            <w:r>
              <w:rPr>
                <w:lang w:bidi="ar"/>
              </w:rPr>
              <w:t>1</w:t>
            </w:r>
            <w:r>
              <w:rPr>
                <w:rFonts w:hint="eastAsia"/>
                <w:lang w:bidi="ar"/>
              </w:rPr>
              <w:t>根20m高排气筒（D</w:t>
            </w:r>
            <w:r>
              <w:rPr>
                <w:lang w:bidi="ar"/>
              </w:rPr>
              <w:t>A00</w:t>
            </w:r>
            <w:r>
              <w:rPr>
                <w:rFonts w:hint="eastAsia"/>
                <w:lang w:bidi="ar"/>
              </w:rPr>
              <w:t>2）排放。</w:t>
            </w:r>
          </w:p>
          <w:p w14:paraId="3AF61B05">
            <w:pPr>
              <w:widowControl/>
              <w:spacing w:line="360" w:lineRule="auto"/>
              <w:ind w:firstLine="420" w:firstLineChars="200"/>
              <w:rPr>
                <w:lang w:bidi="ar"/>
              </w:rPr>
            </w:pPr>
            <w:r>
              <w:rPr>
                <w:rFonts w:hint="eastAsia"/>
                <w:lang w:bidi="ar"/>
              </w:rPr>
              <w:t>综上，项目粉尘有组织排放量为0.0001t/a，排放速率0.0001kg/h，排放浓度0.0356mg/m</w:t>
            </w:r>
            <w:r>
              <w:rPr>
                <w:rFonts w:hint="eastAsia"/>
                <w:vertAlign w:val="superscript"/>
                <w:lang w:bidi="ar"/>
              </w:rPr>
              <w:t>3</w:t>
            </w:r>
            <w:r>
              <w:rPr>
                <w:rFonts w:hint="eastAsia"/>
                <w:lang w:bidi="ar"/>
              </w:rPr>
              <w:t>。无组织排放粉尘为未收集的粉尘，则无组织排放量为0.0007t/a，排放速率0.0008kg/h。</w:t>
            </w:r>
          </w:p>
          <w:p w14:paraId="262B03D3">
            <w:pPr>
              <w:widowControl/>
              <w:spacing w:line="360" w:lineRule="auto"/>
              <w:ind w:firstLine="422" w:firstLineChars="200"/>
              <w:rPr>
                <w:b/>
                <w:bCs/>
                <w:lang w:bidi="ar"/>
              </w:rPr>
            </w:pPr>
            <w:r>
              <w:rPr>
                <w:rFonts w:hint="eastAsia"/>
                <w:b/>
                <w:bCs/>
                <w:lang w:bidi="ar"/>
              </w:rPr>
              <w:t>3、包装有机废气</w:t>
            </w:r>
          </w:p>
          <w:p w14:paraId="0CB4DE0A">
            <w:pPr>
              <w:widowControl/>
              <w:spacing w:line="360" w:lineRule="auto"/>
              <w:ind w:firstLine="420" w:firstLineChars="200"/>
              <w:rPr>
                <w:lang w:bidi="ar"/>
              </w:rPr>
            </w:pPr>
            <w:r>
              <w:rPr>
                <w:rFonts w:hint="eastAsia"/>
                <w:lang w:bidi="ar"/>
              </w:rPr>
              <w:t>项目通过热压的方式对中药包装袋进行封口，包装袋材质为PE（聚乙烯）。项目使用的包装机工作温度约为160℃，低于聚乙烯的热分解温度（300℃），因此，包装过程中包装袋不会发生热分解，但会因塑料膜的软化而挥发出少量的有机废气，主要污染因子为非甲烷总烃。由于热压时间短，每次热压仅约0.5秒，且热压面积小，仅需热压包装袋边缘达到封口效果，因此项目产生的包装有机废气很少，本报告不进行定量分析。</w:t>
            </w:r>
          </w:p>
          <w:p w14:paraId="3F0A5D4B">
            <w:pPr>
              <w:widowControl/>
              <w:spacing w:line="360" w:lineRule="auto"/>
              <w:ind w:firstLine="422" w:firstLineChars="200"/>
              <w:rPr>
                <w:b/>
                <w:bCs/>
                <w:lang w:bidi="ar"/>
              </w:rPr>
            </w:pPr>
            <w:r>
              <w:rPr>
                <w:rFonts w:hint="eastAsia"/>
                <w:b/>
                <w:bCs/>
                <w:lang w:bidi="ar"/>
              </w:rPr>
              <w:t>4、废水处理废气</w:t>
            </w:r>
          </w:p>
          <w:p w14:paraId="2BEE8834">
            <w:pPr>
              <w:widowControl/>
              <w:spacing w:line="360" w:lineRule="auto"/>
              <w:ind w:firstLine="420" w:firstLineChars="200"/>
              <w:rPr>
                <w:lang w:bidi="ar"/>
              </w:rPr>
            </w:pPr>
            <w:r>
              <w:rPr>
                <w:rFonts w:hint="eastAsia"/>
                <w:lang w:bidi="ar"/>
              </w:rPr>
              <w:t>项目拟建设一座规模1.5t/h的污水处理设施一座，处理项目产生的生产废水，采用“气浮+A/O+MBR+沉淀”处理工艺。污水处理站运行过程中将会产生恶臭，其主要恶臭物质有氨气（NH</w:t>
            </w:r>
            <w:r>
              <w:rPr>
                <w:rFonts w:hint="eastAsia"/>
                <w:vertAlign w:val="subscript"/>
                <w:lang w:bidi="ar"/>
              </w:rPr>
              <w:t>3</w:t>
            </w:r>
            <w:r>
              <w:rPr>
                <w:rFonts w:hint="eastAsia"/>
                <w:lang w:bidi="ar"/>
              </w:rPr>
              <w:t>）、硫化氢（H</w:t>
            </w:r>
            <w:r>
              <w:rPr>
                <w:rFonts w:hint="eastAsia"/>
                <w:vertAlign w:val="subscript"/>
                <w:lang w:bidi="ar"/>
              </w:rPr>
              <w:t>2</w:t>
            </w:r>
            <w:r>
              <w:rPr>
                <w:rFonts w:hint="eastAsia"/>
                <w:lang w:bidi="ar"/>
              </w:rPr>
              <w:t>S）和臭气浓度，处理量较小，恶臭物质产生量小。</w:t>
            </w:r>
          </w:p>
          <w:p w14:paraId="11BFBE79">
            <w:pPr>
              <w:widowControl/>
              <w:spacing w:line="360" w:lineRule="auto"/>
              <w:ind w:firstLine="422" w:firstLineChars="200"/>
              <w:rPr>
                <w:lang w:bidi="ar"/>
              </w:rPr>
            </w:pPr>
            <w:r>
              <w:rPr>
                <w:rFonts w:hint="eastAsia"/>
                <w:b/>
                <w:bCs/>
                <w:lang w:bidi="ar"/>
              </w:rPr>
              <w:t>治理措施：</w:t>
            </w:r>
            <w:r>
              <w:rPr>
                <w:rFonts w:hint="eastAsia"/>
                <w:lang w:bidi="ar"/>
              </w:rPr>
              <w:t>污水站产生恶臭池体盖板封闭，盖板上预留进、出气口，对污水处理设施恶臭进行收集，经生物滤池除臭后通过管道至3楼楼顶向厂界外排放，经过一定距离大气扩散稀释后，到达厂界处的浓度较低，对周围环境几乎无影响。污水处理站恶臭防治措施合理。</w:t>
            </w:r>
          </w:p>
          <w:p w14:paraId="5AE6F7CC">
            <w:pPr>
              <w:widowControl/>
              <w:spacing w:line="360" w:lineRule="auto"/>
              <w:ind w:firstLine="420" w:firstLineChars="200"/>
              <w:rPr>
                <w:lang w:bidi="ar"/>
              </w:rPr>
            </w:pPr>
            <w:r>
              <w:rPr>
                <w:rFonts w:hint="eastAsia"/>
                <w:lang w:bidi="ar"/>
              </w:rPr>
              <w:t>综上，本项目废气污染物源强结果如下表所示：</w:t>
            </w:r>
          </w:p>
          <w:p w14:paraId="69BD284B">
            <w:pPr>
              <w:autoSpaceDE w:val="0"/>
              <w:autoSpaceDN w:val="0"/>
              <w:adjustRightInd w:val="0"/>
              <w:snapToGrid w:val="0"/>
              <w:jc w:val="center"/>
              <w:rPr>
                <w:b/>
              </w:rPr>
            </w:pPr>
            <w:r>
              <w:rPr>
                <w:rFonts w:hint="eastAsia"/>
                <w:b/>
              </w:rPr>
              <w:t>表 4-3</w:t>
            </w:r>
            <w:r>
              <w:rPr>
                <w:b/>
              </w:rPr>
              <w:t xml:space="preserve">  </w:t>
            </w:r>
            <w:r>
              <w:rPr>
                <w:rFonts w:hint="eastAsia"/>
                <w:b/>
              </w:rPr>
              <w:t>本项目废气污染物源强一览表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1329"/>
              <w:gridCol w:w="1327"/>
              <w:gridCol w:w="820"/>
              <w:gridCol w:w="1120"/>
              <w:gridCol w:w="1120"/>
              <w:gridCol w:w="1297"/>
            </w:tblGrid>
            <w:tr w14:paraId="36A5C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8" w:type="pct"/>
                  <w:vMerge w:val="restart"/>
                  <w:shd w:val="clear" w:color="auto" w:fill="auto"/>
                  <w:vAlign w:val="center"/>
                </w:tcPr>
                <w:p w14:paraId="18BFC7A0">
                  <w:pPr>
                    <w:jc w:val="center"/>
                    <w:rPr>
                      <w:b/>
                      <w:bCs/>
                      <w:sz w:val="18"/>
                      <w:szCs w:val="18"/>
                    </w:rPr>
                  </w:pPr>
                  <w:r>
                    <w:rPr>
                      <w:rFonts w:hint="eastAsia"/>
                      <w:b/>
                      <w:bCs/>
                      <w:sz w:val="18"/>
                      <w:szCs w:val="18"/>
                    </w:rPr>
                    <w:t>产污位置</w:t>
                  </w:r>
                </w:p>
              </w:tc>
              <w:tc>
                <w:tcPr>
                  <w:tcW w:w="779" w:type="pct"/>
                  <w:vMerge w:val="restart"/>
                  <w:shd w:val="clear" w:color="auto" w:fill="auto"/>
                  <w:vAlign w:val="center"/>
                </w:tcPr>
                <w:p w14:paraId="1059FAB4">
                  <w:pPr>
                    <w:jc w:val="center"/>
                    <w:rPr>
                      <w:b/>
                      <w:bCs/>
                      <w:sz w:val="18"/>
                      <w:szCs w:val="18"/>
                    </w:rPr>
                  </w:pPr>
                  <w:r>
                    <w:rPr>
                      <w:rFonts w:hint="eastAsia"/>
                      <w:b/>
                      <w:bCs/>
                      <w:sz w:val="18"/>
                      <w:szCs w:val="18"/>
                    </w:rPr>
                    <w:t>废气种类</w:t>
                  </w:r>
                </w:p>
              </w:tc>
              <w:tc>
                <w:tcPr>
                  <w:tcW w:w="778" w:type="pct"/>
                  <w:vMerge w:val="restart"/>
                  <w:shd w:val="clear" w:color="auto" w:fill="auto"/>
                  <w:vAlign w:val="center"/>
                </w:tcPr>
                <w:p w14:paraId="66F379FE">
                  <w:pPr>
                    <w:jc w:val="center"/>
                    <w:rPr>
                      <w:b/>
                      <w:bCs/>
                      <w:sz w:val="18"/>
                      <w:szCs w:val="18"/>
                    </w:rPr>
                  </w:pPr>
                  <w:r>
                    <w:rPr>
                      <w:rFonts w:hint="eastAsia"/>
                      <w:b/>
                      <w:bCs/>
                      <w:sz w:val="18"/>
                      <w:szCs w:val="18"/>
                    </w:rPr>
                    <w:t>源强核算方法</w:t>
                  </w:r>
                </w:p>
              </w:tc>
              <w:tc>
                <w:tcPr>
                  <w:tcW w:w="481" w:type="pct"/>
                  <w:vMerge w:val="restart"/>
                  <w:vAlign w:val="center"/>
                </w:tcPr>
                <w:p w14:paraId="259C04BA">
                  <w:pPr>
                    <w:jc w:val="center"/>
                    <w:rPr>
                      <w:b/>
                      <w:bCs/>
                      <w:sz w:val="18"/>
                      <w:szCs w:val="18"/>
                    </w:rPr>
                  </w:pPr>
                  <w:r>
                    <w:rPr>
                      <w:rFonts w:hint="eastAsia"/>
                      <w:b/>
                      <w:bCs/>
                      <w:sz w:val="18"/>
                      <w:szCs w:val="18"/>
                    </w:rPr>
                    <w:t>风量m</w:t>
                  </w:r>
                  <w:r>
                    <w:rPr>
                      <w:rFonts w:hint="eastAsia"/>
                      <w:b/>
                      <w:bCs/>
                      <w:sz w:val="18"/>
                      <w:szCs w:val="18"/>
                      <w:vertAlign w:val="superscript"/>
                    </w:rPr>
                    <w:t>3</w:t>
                  </w:r>
                  <w:r>
                    <w:rPr>
                      <w:rFonts w:hint="eastAsia"/>
                      <w:b/>
                      <w:bCs/>
                      <w:sz w:val="18"/>
                      <w:szCs w:val="18"/>
                    </w:rPr>
                    <w:t>/h</w:t>
                  </w:r>
                </w:p>
              </w:tc>
              <w:tc>
                <w:tcPr>
                  <w:tcW w:w="2074" w:type="pct"/>
                  <w:gridSpan w:val="3"/>
                  <w:vAlign w:val="center"/>
                </w:tcPr>
                <w:p w14:paraId="6D6E2C48">
                  <w:pPr>
                    <w:jc w:val="center"/>
                    <w:rPr>
                      <w:b/>
                      <w:bCs/>
                      <w:sz w:val="18"/>
                      <w:szCs w:val="18"/>
                    </w:rPr>
                  </w:pPr>
                  <w:r>
                    <w:rPr>
                      <w:rFonts w:hint="eastAsia"/>
                      <w:b/>
                      <w:bCs/>
                      <w:sz w:val="18"/>
                      <w:szCs w:val="18"/>
                    </w:rPr>
                    <w:t>污染物产生情况</w:t>
                  </w:r>
                </w:p>
              </w:tc>
            </w:tr>
            <w:tr w14:paraId="1C584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8" w:type="pct"/>
                  <w:vMerge w:val="continue"/>
                  <w:shd w:val="clear" w:color="auto" w:fill="auto"/>
                  <w:vAlign w:val="center"/>
                </w:tcPr>
                <w:p w14:paraId="11138509">
                  <w:pPr>
                    <w:jc w:val="center"/>
                    <w:rPr>
                      <w:b/>
                      <w:bCs/>
                      <w:sz w:val="18"/>
                      <w:szCs w:val="18"/>
                    </w:rPr>
                  </w:pPr>
                </w:p>
              </w:tc>
              <w:tc>
                <w:tcPr>
                  <w:tcW w:w="779" w:type="pct"/>
                  <w:vMerge w:val="continue"/>
                  <w:shd w:val="clear" w:color="auto" w:fill="auto"/>
                  <w:vAlign w:val="center"/>
                </w:tcPr>
                <w:p w14:paraId="34E3537B">
                  <w:pPr>
                    <w:jc w:val="center"/>
                    <w:rPr>
                      <w:b/>
                      <w:bCs/>
                      <w:sz w:val="18"/>
                      <w:szCs w:val="18"/>
                    </w:rPr>
                  </w:pPr>
                </w:p>
              </w:tc>
              <w:tc>
                <w:tcPr>
                  <w:tcW w:w="778" w:type="pct"/>
                  <w:vMerge w:val="continue"/>
                  <w:shd w:val="clear" w:color="auto" w:fill="auto"/>
                  <w:vAlign w:val="center"/>
                </w:tcPr>
                <w:p w14:paraId="10066BC8">
                  <w:pPr>
                    <w:jc w:val="center"/>
                    <w:rPr>
                      <w:b/>
                      <w:bCs/>
                      <w:sz w:val="18"/>
                      <w:szCs w:val="18"/>
                    </w:rPr>
                  </w:pPr>
                </w:p>
              </w:tc>
              <w:tc>
                <w:tcPr>
                  <w:tcW w:w="481" w:type="pct"/>
                  <w:vMerge w:val="continue"/>
                  <w:vAlign w:val="center"/>
                </w:tcPr>
                <w:p w14:paraId="61617FD1">
                  <w:pPr>
                    <w:jc w:val="center"/>
                    <w:rPr>
                      <w:b/>
                      <w:bCs/>
                      <w:sz w:val="18"/>
                      <w:szCs w:val="18"/>
                    </w:rPr>
                  </w:pPr>
                </w:p>
              </w:tc>
              <w:tc>
                <w:tcPr>
                  <w:tcW w:w="657" w:type="pct"/>
                  <w:vAlign w:val="center"/>
                </w:tcPr>
                <w:p w14:paraId="74715C8C">
                  <w:pPr>
                    <w:jc w:val="center"/>
                    <w:rPr>
                      <w:b/>
                      <w:bCs/>
                      <w:sz w:val="18"/>
                      <w:szCs w:val="18"/>
                    </w:rPr>
                  </w:pPr>
                  <w:r>
                    <w:rPr>
                      <w:rFonts w:hint="eastAsia"/>
                      <w:b/>
                      <w:bCs/>
                      <w:sz w:val="18"/>
                      <w:szCs w:val="18"/>
                    </w:rPr>
                    <w:t>产生量t</w:t>
                  </w:r>
                  <w:r>
                    <w:rPr>
                      <w:b/>
                      <w:bCs/>
                      <w:sz w:val="18"/>
                      <w:szCs w:val="18"/>
                    </w:rPr>
                    <w:t>/a</w:t>
                  </w:r>
                </w:p>
              </w:tc>
              <w:tc>
                <w:tcPr>
                  <w:tcW w:w="657" w:type="pct"/>
                  <w:shd w:val="clear" w:color="auto" w:fill="auto"/>
                  <w:vAlign w:val="center"/>
                </w:tcPr>
                <w:p w14:paraId="3BF86F14">
                  <w:pPr>
                    <w:jc w:val="center"/>
                    <w:rPr>
                      <w:b/>
                      <w:bCs/>
                      <w:sz w:val="18"/>
                      <w:szCs w:val="18"/>
                    </w:rPr>
                  </w:pPr>
                  <w:r>
                    <w:rPr>
                      <w:rFonts w:hint="eastAsia"/>
                      <w:b/>
                      <w:bCs/>
                      <w:sz w:val="18"/>
                      <w:szCs w:val="18"/>
                    </w:rPr>
                    <w:t>产生速率kg</w:t>
                  </w:r>
                  <w:r>
                    <w:rPr>
                      <w:b/>
                      <w:bCs/>
                      <w:sz w:val="18"/>
                      <w:szCs w:val="18"/>
                    </w:rPr>
                    <w:t>/</w:t>
                  </w:r>
                  <w:r>
                    <w:rPr>
                      <w:rFonts w:hint="eastAsia"/>
                      <w:b/>
                      <w:bCs/>
                      <w:sz w:val="18"/>
                      <w:szCs w:val="18"/>
                    </w:rPr>
                    <w:t>h</w:t>
                  </w:r>
                </w:p>
              </w:tc>
              <w:tc>
                <w:tcPr>
                  <w:tcW w:w="760" w:type="pct"/>
                  <w:vAlign w:val="center"/>
                </w:tcPr>
                <w:p w14:paraId="44CA34CC">
                  <w:pPr>
                    <w:jc w:val="center"/>
                    <w:rPr>
                      <w:b/>
                      <w:bCs/>
                      <w:sz w:val="18"/>
                      <w:szCs w:val="18"/>
                    </w:rPr>
                  </w:pPr>
                  <w:r>
                    <w:rPr>
                      <w:rFonts w:hint="eastAsia"/>
                      <w:b/>
                      <w:bCs/>
                      <w:sz w:val="18"/>
                      <w:szCs w:val="18"/>
                    </w:rPr>
                    <w:t>产生浓度</w:t>
                  </w:r>
                  <w:r>
                    <w:rPr>
                      <w:b/>
                      <w:bCs/>
                      <w:sz w:val="18"/>
                      <w:szCs w:val="18"/>
                    </w:rPr>
                    <w:t>mg/m</w:t>
                  </w:r>
                  <w:r>
                    <w:rPr>
                      <w:b/>
                      <w:bCs/>
                      <w:sz w:val="18"/>
                      <w:szCs w:val="18"/>
                      <w:vertAlign w:val="superscript"/>
                    </w:rPr>
                    <w:t>3</w:t>
                  </w:r>
                </w:p>
              </w:tc>
            </w:tr>
            <w:tr w14:paraId="7DE9D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8" w:type="pct"/>
                  <w:shd w:val="clear" w:color="auto" w:fill="auto"/>
                  <w:vAlign w:val="center"/>
                </w:tcPr>
                <w:p w14:paraId="022E1865">
                  <w:pPr>
                    <w:jc w:val="center"/>
                    <w:rPr>
                      <w:sz w:val="18"/>
                      <w:szCs w:val="18"/>
                    </w:rPr>
                  </w:pPr>
                  <w:r>
                    <w:rPr>
                      <w:rFonts w:hint="eastAsia"/>
                      <w:sz w:val="18"/>
                      <w:szCs w:val="18"/>
                    </w:rPr>
                    <w:t>煎药区</w:t>
                  </w:r>
                </w:p>
              </w:tc>
              <w:tc>
                <w:tcPr>
                  <w:tcW w:w="779" w:type="pct"/>
                  <w:shd w:val="clear" w:color="auto" w:fill="auto"/>
                  <w:vAlign w:val="center"/>
                </w:tcPr>
                <w:p w14:paraId="3D6A87A6">
                  <w:pPr>
                    <w:jc w:val="center"/>
                    <w:rPr>
                      <w:sz w:val="18"/>
                      <w:szCs w:val="18"/>
                    </w:rPr>
                  </w:pPr>
                  <w:r>
                    <w:rPr>
                      <w:rFonts w:hint="eastAsia"/>
                      <w:sz w:val="18"/>
                      <w:szCs w:val="18"/>
                    </w:rPr>
                    <w:t>煎药异味</w:t>
                  </w:r>
                </w:p>
              </w:tc>
              <w:tc>
                <w:tcPr>
                  <w:tcW w:w="778" w:type="pct"/>
                  <w:shd w:val="clear" w:color="auto" w:fill="auto"/>
                  <w:vAlign w:val="center"/>
                </w:tcPr>
                <w:p w14:paraId="3AE2C48C">
                  <w:pPr>
                    <w:jc w:val="center"/>
                    <w:rPr>
                      <w:sz w:val="18"/>
                      <w:szCs w:val="18"/>
                    </w:rPr>
                  </w:pPr>
                  <w:r>
                    <w:rPr>
                      <w:rFonts w:hint="eastAsia"/>
                      <w:sz w:val="18"/>
                      <w:szCs w:val="18"/>
                    </w:rPr>
                    <w:t>/</w:t>
                  </w:r>
                </w:p>
              </w:tc>
              <w:tc>
                <w:tcPr>
                  <w:tcW w:w="481" w:type="pct"/>
                  <w:vAlign w:val="center"/>
                </w:tcPr>
                <w:p w14:paraId="289B0627">
                  <w:pPr>
                    <w:jc w:val="center"/>
                    <w:rPr>
                      <w:sz w:val="18"/>
                      <w:szCs w:val="18"/>
                    </w:rPr>
                  </w:pPr>
                  <w:r>
                    <w:rPr>
                      <w:rFonts w:hint="eastAsia"/>
                      <w:sz w:val="18"/>
                      <w:szCs w:val="18"/>
                    </w:rPr>
                    <w:t>/</w:t>
                  </w:r>
                </w:p>
              </w:tc>
              <w:tc>
                <w:tcPr>
                  <w:tcW w:w="657" w:type="pct"/>
                  <w:vAlign w:val="center"/>
                </w:tcPr>
                <w:p w14:paraId="5E47D118">
                  <w:pPr>
                    <w:jc w:val="center"/>
                    <w:rPr>
                      <w:rFonts w:hint="eastAsia"/>
                      <w:sz w:val="18"/>
                      <w:szCs w:val="18"/>
                    </w:rPr>
                  </w:pPr>
                  <w:r>
                    <w:rPr>
                      <w:rFonts w:hint="eastAsia"/>
                      <w:sz w:val="18"/>
                      <w:szCs w:val="18"/>
                    </w:rPr>
                    <w:t>少量</w:t>
                  </w:r>
                </w:p>
              </w:tc>
              <w:tc>
                <w:tcPr>
                  <w:tcW w:w="657" w:type="pct"/>
                  <w:shd w:val="clear" w:color="auto" w:fill="auto"/>
                  <w:vAlign w:val="center"/>
                </w:tcPr>
                <w:p w14:paraId="042D7823">
                  <w:pPr>
                    <w:jc w:val="center"/>
                    <w:rPr>
                      <w:sz w:val="18"/>
                      <w:szCs w:val="18"/>
                    </w:rPr>
                  </w:pPr>
                  <w:r>
                    <w:rPr>
                      <w:rFonts w:hint="eastAsia"/>
                      <w:sz w:val="18"/>
                      <w:szCs w:val="18"/>
                    </w:rPr>
                    <w:t>少量</w:t>
                  </w:r>
                </w:p>
              </w:tc>
              <w:tc>
                <w:tcPr>
                  <w:tcW w:w="760" w:type="pct"/>
                  <w:vAlign w:val="center"/>
                </w:tcPr>
                <w:p w14:paraId="5F669833">
                  <w:pPr>
                    <w:jc w:val="center"/>
                    <w:rPr>
                      <w:sz w:val="18"/>
                      <w:szCs w:val="18"/>
                    </w:rPr>
                  </w:pPr>
                  <w:r>
                    <w:rPr>
                      <w:rFonts w:hint="eastAsia"/>
                      <w:sz w:val="18"/>
                      <w:szCs w:val="18"/>
                    </w:rPr>
                    <w:t>少量</w:t>
                  </w:r>
                </w:p>
              </w:tc>
            </w:tr>
            <w:tr w14:paraId="596D8B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8" w:type="pct"/>
                  <w:shd w:val="clear" w:color="auto" w:fill="auto"/>
                  <w:vAlign w:val="center"/>
                </w:tcPr>
                <w:p w14:paraId="1CCB840D">
                  <w:pPr>
                    <w:jc w:val="center"/>
                    <w:rPr>
                      <w:rFonts w:hint="eastAsia"/>
                      <w:sz w:val="18"/>
                      <w:szCs w:val="18"/>
                    </w:rPr>
                  </w:pPr>
                  <w:r>
                    <w:rPr>
                      <w:rFonts w:hint="eastAsia"/>
                      <w:sz w:val="18"/>
                      <w:szCs w:val="18"/>
                    </w:rPr>
                    <w:t>粉碎间</w:t>
                  </w:r>
                </w:p>
              </w:tc>
              <w:tc>
                <w:tcPr>
                  <w:tcW w:w="779" w:type="pct"/>
                  <w:shd w:val="clear" w:color="auto" w:fill="auto"/>
                  <w:vAlign w:val="center"/>
                </w:tcPr>
                <w:p w14:paraId="46959C39">
                  <w:pPr>
                    <w:jc w:val="center"/>
                    <w:rPr>
                      <w:sz w:val="18"/>
                      <w:szCs w:val="18"/>
                    </w:rPr>
                  </w:pPr>
                  <w:r>
                    <w:rPr>
                      <w:rFonts w:hint="eastAsia"/>
                      <w:sz w:val="18"/>
                      <w:szCs w:val="18"/>
                    </w:rPr>
                    <w:t>颗粒物</w:t>
                  </w:r>
                </w:p>
              </w:tc>
              <w:tc>
                <w:tcPr>
                  <w:tcW w:w="778" w:type="pct"/>
                  <w:shd w:val="clear" w:color="auto" w:fill="auto"/>
                  <w:vAlign w:val="center"/>
                </w:tcPr>
                <w:p w14:paraId="749704B4">
                  <w:pPr>
                    <w:jc w:val="center"/>
                    <w:rPr>
                      <w:sz w:val="18"/>
                      <w:szCs w:val="18"/>
                    </w:rPr>
                  </w:pPr>
                  <w:r>
                    <w:rPr>
                      <w:rFonts w:hint="eastAsia"/>
                      <w:sz w:val="18"/>
                      <w:szCs w:val="18"/>
                    </w:rPr>
                    <w:t>产污系数法</w:t>
                  </w:r>
                </w:p>
              </w:tc>
              <w:tc>
                <w:tcPr>
                  <w:tcW w:w="481" w:type="pct"/>
                  <w:vAlign w:val="center"/>
                </w:tcPr>
                <w:p w14:paraId="609C70F7">
                  <w:pPr>
                    <w:jc w:val="center"/>
                    <w:rPr>
                      <w:sz w:val="18"/>
                      <w:szCs w:val="18"/>
                    </w:rPr>
                  </w:pPr>
                  <w:r>
                    <w:rPr>
                      <w:rFonts w:hint="eastAsia"/>
                      <w:sz w:val="18"/>
                      <w:szCs w:val="18"/>
                    </w:rPr>
                    <w:t>4</w:t>
                  </w:r>
                  <w:r>
                    <w:rPr>
                      <w:sz w:val="18"/>
                      <w:szCs w:val="18"/>
                    </w:rPr>
                    <w:t>000</w:t>
                  </w:r>
                </w:p>
              </w:tc>
              <w:tc>
                <w:tcPr>
                  <w:tcW w:w="657" w:type="pct"/>
                  <w:vAlign w:val="center"/>
                </w:tcPr>
                <w:p w14:paraId="6CA68C12">
                  <w:pPr>
                    <w:jc w:val="center"/>
                    <w:rPr>
                      <w:rFonts w:hint="eastAsia"/>
                      <w:sz w:val="18"/>
                      <w:szCs w:val="18"/>
                    </w:rPr>
                  </w:pPr>
                  <w:r>
                    <w:rPr>
                      <w:rFonts w:hint="eastAsia"/>
                      <w:sz w:val="18"/>
                      <w:szCs w:val="18"/>
                    </w:rPr>
                    <w:t>0.0001</w:t>
                  </w:r>
                </w:p>
              </w:tc>
              <w:tc>
                <w:tcPr>
                  <w:tcW w:w="657" w:type="pct"/>
                  <w:shd w:val="clear" w:color="auto" w:fill="auto"/>
                  <w:vAlign w:val="center"/>
                </w:tcPr>
                <w:p w14:paraId="4C586E4C">
                  <w:pPr>
                    <w:jc w:val="center"/>
                    <w:rPr>
                      <w:rFonts w:hint="eastAsia"/>
                      <w:sz w:val="18"/>
                      <w:szCs w:val="18"/>
                    </w:rPr>
                  </w:pPr>
                  <w:r>
                    <w:rPr>
                      <w:rFonts w:hint="eastAsia"/>
                      <w:sz w:val="18"/>
                      <w:szCs w:val="18"/>
                    </w:rPr>
                    <w:t>0.0001</w:t>
                  </w:r>
                </w:p>
              </w:tc>
              <w:tc>
                <w:tcPr>
                  <w:tcW w:w="760" w:type="pct"/>
                  <w:vAlign w:val="center"/>
                </w:tcPr>
                <w:p w14:paraId="778C38D7">
                  <w:pPr>
                    <w:jc w:val="center"/>
                    <w:rPr>
                      <w:rFonts w:hint="eastAsia"/>
                      <w:sz w:val="18"/>
                      <w:szCs w:val="18"/>
                    </w:rPr>
                  </w:pPr>
                  <w:r>
                    <w:rPr>
                      <w:rFonts w:hint="eastAsia"/>
                      <w:sz w:val="18"/>
                      <w:szCs w:val="18"/>
                    </w:rPr>
                    <w:t>0.0356</w:t>
                  </w:r>
                </w:p>
              </w:tc>
            </w:tr>
            <w:tr w14:paraId="33EE8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8" w:type="pct"/>
                  <w:shd w:val="clear" w:color="auto" w:fill="auto"/>
                  <w:vAlign w:val="center"/>
                </w:tcPr>
                <w:p w14:paraId="65E26F45">
                  <w:pPr>
                    <w:jc w:val="center"/>
                    <w:rPr>
                      <w:rFonts w:hint="eastAsia"/>
                      <w:sz w:val="18"/>
                      <w:szCs w:val="18"/>
                    </w:rPr>
                  </w:pPr>
                  <w:r>
                    <w:rPr>
                      <w:rFonts w:hint="eastAsia"/>
                      <w:sz w:val="18"/>
                      <w:szCs w:val="18"/>
                    </w:rPr>
                    <w:t>包装机</w:t>
                  </w:r>
                </w:p>
              </w:tc>
              <w:tc>
                <w:tcPr>
                  <w:tcW w:w="779" w:type="pct"/>
                  <w:shd w:val="clear" w:color="auto" w:fill="auto"/>
                  <w:vAlign w:val="center"/>
                </w:tcPr>
                <w:p w14:paraId="3AD3A4F3">
                  <w:pPr>
                    <w:jc w:val="center"/>
                    <w:rPr>
                      <w:sz w:val="18"/>
                      <w:szCs w:val="18"/>
                    </w:rPr>
                  </w:pPr>
                  <w:r>
                    <w:rPr>
                      <w:rFonts w:hint="eastAsia"/>
                      <w:sz w:val="18"/>
                      <w:szCs w:val="18"/>
                    </w:rPr>
                    <w:t>有机废气</w:t>
                  </w:r>
                </w:p>
              </w:tc>
              <w:tc>
                <w:tcPr>
                  <w:tcW w:w="778" w:type="pct"/>
                  <w:shd w:val="clear" w:color="auto" w:fill="auto"/>
                  <w:vAlign w:val="center"/>
                </w:tcPr>
                <w:p w14:paraId="646BD3EB">
                  <w:pPr>
                    <w:jc w:val="center"/>
                    <w:rPr>
                      <w:sz w:val="18"/>
                      <w:szCs w:val="18"/>
                    </w:rPr>
                  </w:pPr>
                  <w:r>
                    <w:rPr>
                      <w:rFonts w:hint="eastAsia"/>
                      <w:sz w:val="18"/>
                      <w:szCs w:val="18"/>
                    </w:rPr>
                    <w:t>/</w:t>
                  </w:r>
                </w:p>
              </w:tc>
              <w:tc>
                <w:tcPr>
                  <w:tcW w:w="481" w:type="pct"/>
                  <w:vAlign w:val="center"/>
                </w:tcPr>
                <w:p w14:paraId="17ADCFD1">
                  <w:pPr>
                    <w:jc w:val="center"/>
                    <w:rPr>
                      <w:sz w:val="18"/>
                      <w:szCs w:val="18"/>
                    </w:rPr>
                  </w:pPr>
                  <w:r>
                    <w:rPr>
                      <w:rFonts w:hint="eastAsia"/>
                      <w:sz w:val="18"/>
                      <w:szCs w:val="18"/>
                    </w:rPr>
                    <w:t>/</w:t>
                  </w:r>
                </w:p>
              </w:tc>
              <w:tc>
                <w:tcPr>
                  <w:tcW w:w="657" w:type="pct"/>
                  <w:vAlign w:val="center"/>
                </w:tcPr>
                <w:p w14:paraId="020A388E">
                  <w:pPr>
                    <w:jc w:val="center"/>
                    <w:rPr>
                      <w:sz w:val="18"/>
                      <w:szCs w:val="18"/>
                    </w:rPr>
                  </w:pPr>
                  <w:r>
                    <w:rPr>
                      <w:rFonts w:hint="eastAsia"/>
                      <w:sz w:val="18"/>
                      <w:szCs w:val="18"/>
                    </w:rPr>
                    <w:t>少量</w:t>
                  </w:r>
                </w:p>
              </w:tc>
              <w:tc>
                <w:tcPr>
                  <w:tcW w:w="657" w:type="pct"/>
                  <w:shd w:val="clear" w:color="auto" w:fill="auto"/>
                  <w:vAlign w:val="center"/>
                </w:tcPr>
                <w:p w14:paraId="5D2858D4">
                  <w:pPr>
                    <w:jc w:val="center"/>
                    <w:rPr>
                      <w:sz w:val="18"/>
                      <w:szCs w:val="18"/>
                    </w:rPr>
                  </w:pPr>
                  <w:r>
                    <w:rPr>
                      <w:rFonts w:hint="eastAsia"/>
                      <w:sz w:val="18"/>
                      <w:szCs w:val="18"/>
                    </w:rPr>
                    <w:t>少量</w:t>
                  </w:r>
                </w:p>
              </w:tc>
              <w:tc>
                <w:tcPr>
                  <w:tcW w:w="760" w:type="pct"/>
                  <w:vAlign w:val="center"/>
                </w:tcPr>
                <w:p w14:paraId="6FE4B487">
                  <w:pPr>
                    <w:jc w:val="center"/>
                    <w:rPr>
                      <w:sz w:val="18"/>
                      <w:szCs w:val="18"/>
                    </w:rPr>
                  </w:pPr>
                  <w:r>
                    <w:rPr>
                      <w:rFonts w:hint="eastAsia"/>
                      <w:sz w:val="18"/>
                      <w:szCs w:val="18"/>
                    </w:rPr>
                    <w:t>少量</w:t>
                  </w:r>
                </w:p>
              </w:tc>
            </w:tr>
            <w:tr w14:paraId="0648C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8" w:type="pct"/>
                  <w:shd w:val="clear" w:color="auto" w:fill="auto"/>
                  <w:vAlign w:val="center"/>
                </w:tcPr>
                <w:p w14:paraId="55B7DC7D">
                  <w:pPr>
                    <w:jc w:val="center"/>
                    <w:rPr>
                      <w:rFonts w:hint="eastAsia"/>
                      <w:sz w:val="18"/>
                      <w:szCs w:val="18"/>
                    </w:rPr>
                  </w:pPr>
                  <w:r>
                    <w:rPr>
                      <w:rFonts w:hint="eastAsia"/>
                      <w:sz w:val="18"/>
                      <w:szCs w:val="18"/>
                    </w:rPr>
                    <w:t>污水处理站</w:t>
                  </w:r>
                </w:p>
              </w:tc>
              <w:tc>
                <w:tcPr>
                  <w:tcW w:w="779" w:type="pct"/>
                  <w:shd w:val="clear" w:color="auto" w:fill="auto"/>
                  <w:vAlign w:val="center"/>
                </w:tcPr>
                <w:p w14:paraId="09928FF0">
                  <w:pPr>
                    <w:jc w:val="center"/>
                    <w:rPr>
                      <w:rFonts w:hint="eastAsia"/>
                      <w:sz w:val="18"/>
                      <w:szCs w:val="18"/>
                    </w:rPr>
                  </w:pPr>
                  <w:r>
                    <w:rPr>
                      <w:rFonts w:hint="eastAsia"/>
                      <w:sz w:val="18"/>
                      <w:szCs w:val="18"/>
                    </w:rPr>
                    <w:t>恶臭</w:t>
                  </w:r>
                </w:p>
              </w:tc>
              <w:tc>
                <w:tcPr>
                  <w:tcW w:w="778" w:type="pct"/>
                  <w:shd w:val="clear" w:color="auto" w:fill="auto"/>
                  <w:vAlign w:val="center"/>
                </w:tcPr>
                <w:p w14:paraId="56A8AC93">
                  <w:pPr>
                    <w:jc w:val="center"/>
                    <w:rPr>
                      <w:sz w:val="18"/>
                      <w:szCs w:val="18"/>
                    </w:rPr>
                  </w:pPr>
                  <w:r>
                    <w:rPr>
                      <w:rFonts w:hint="eastAsia"/>
                      <w:sz w:val="18"/>
                      <w:szCs w:val="18"/>
                    </w:rPr>
                    <w:t>/</w:t>
                  </w:r>
                </w:p>
              </w:tc>
              <w:tc>
                <w:tcPr>
                  <w:tcW w:w="481" w:type="pct"/>
                  <w:vAlign w:val="center"/>
                </w:tcPr>
                <w:p w14:paraId="1FF15AB2">
                  <w:pPr>
                    <w:jc w:val="center"/>
                    <w:rPr>
                      <w:sz w:val="18"/>
                      <w:szCs w:val="18"/>
                    </w:rPr>
                  </w:pPr>
                  <w:r>
                    <w:rPr>
                      <w:rFonts w:hint="eastAsia"/>
                      <w:sz w:val="18"/>
                      <w:szCs w:val="18"/>
                    </w:rPr>
                    <w:t>/</w:t>
                  </w:r>
                </w:p>
              </w:tc>
              <w:tc>
                <w:tcPr>
                  <w:tcW w:w="657" w:type="pct"/>
                  <w:vAlign w:val="center"/>
                </w:tcPr>
                <w:p w14:paraId="09312999">
                  <w:pPr>
                    <w:jc w:val="center"/>
                    <w:rPr>
                      <w:sz w:val="18"/>
                      <w:szCs w:val="18"/>
                    </w:rPr>
                  </w:pPr>
                  <w:r>
                    <w:rPr>
                      <w:rFonts w:hint="eastAsia"/>
                      <w:sz w:val="18"/>
                      <w:szCs w:val="18"/>
                    </w:rPr>
                    <w:t>少量</w:t>
                  </w:r>
                </w:p>
              </w:tc>
              <w:tc>
                <w:tcPr>
                  <w:tcW w:w="657" w:type="pct"/>
                  <w:shd w:val="clear" w:color="auto" w:fill="auto"/>
                  <w:vAlign w:val="center"/>
                </w:tcPr>
                <w:p w14:paraId="3E157845">
                  <w:pPr>
                    <w:jc w:val="center"/>
                    <w:rPr>
                      <w:sz w:val="18"/>
                      <w:szCs w:val="18"/>
                    </w:rPr>
                  </w:pPr>
                  <w:r>
                    <w:rPr>
                      <w:rFonts w:hint="eastAsia"/>
                      <w:sz w:val="18"/>
                      <w:szCs w:val="18"/>
                    </w:rPr>
                    <w:t>少量</w:t>
                  </w:r>
                </w:p>
              </w:tc>
              <w:tc>
                <w:tcPr>
                  <w:tcW w:w="760" w:type="pct"/>
                  <w:vAlign w:val="center"/>
                </w:tcPr>
                <w:p w14:paraId="58B3D6EA">
                  <w:pPr>
                    <w:jc w:val="center"/>
                    <w:rPr>
                      <w:sz w:val="18"/>
                      <w:szCs w:val="18"/>
                    </w:rPr>
                  </w:pPr>
                  <w:r>
                    <w:rPr>
                      <w:rFonts w:hint="eastAsia"/>
                      <w:sz w:val="18"/>
                      <w:szCs w:val="18"/>
                    </w:rPr>
                    <w:t>少量</w:t>
                  </w:r>
                </w:p>
              </w:tc>
            </w:tr>
          </w:tbl>
          <w:p w14:paraId="09788016">
            <w:pPr>
              <w:widowControl/>
              <w:spacing w:line="360" w:lineRule="auto"/>
              <w:ind w:firstLine="420" w:firstLineChars="200"/>
              <w:rPr>
                <w:lang w:bidi="ar"/>
              </w:rPr>
            </w:pPr>
            <w:r>
              <w:rPr>
                <w:rFonts w:hint="eastAsia"/>
                <w:lang w:bidi="ar"/>
              </w:rPr>
              <w:t>本项目废气收集、治理情况详见下表：</w:t>
            </w:r>
          </w:p>
          <w:p w14:paraId="6ED685C2">
            <w:pPr>
              <w:autoSpaceDE w:val="0"/>
              <w:autoSpaceDN w:val="0"/>
              <w:adjustRightInd w:val="0"/>
              <w:snapToGrid w:val="0"/>
              <w:jc w:val="center"/>
              <w:rPr>
                <w:b/>
              </w:rPr>
            </w:pPr>
            <w:r>
              <w:rPr>
                <w:rFonts w:hint="eastAsia"/>
                <w:b/>
              </w:rPr>
              <w:t>表 4-4  本项目废气治理设施设置情况一览表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721"/>
              <w:gridCol w:w="738"/>
              <w:gridCol w:w="592"/>
              <w:gridCol w:w="1917"/>
              <w:gridCol w:w="1033"/>
              <w:gridCol w:w="442"/>
              <w:gridCol w:w="887"/>
              <w:gridCol w:w="442"/>
              <w:gridCol w:w="1110"/>
            </w:tblGrid>
            <w:tr w14:paraId="4CB58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78" w:type="pct"/>
                  <w:shd w:val="clear" w:color="auto" w:fill="auto"/>
                  <w:vAlign w:val="center"/>
                </w:tcPr>
                <w:p w14:paraId="36D66567">
                  <w:pPr>
                    <w:ind w:left="-105" w:leftChars="-50" w:right="-105" w:rightChars="-50"/>
                    <w:jc w:val="center"/>
                    <w:rPr>
                      <w:b/>
                      <w:bCs/>
                      <w:sz w:val="18"/>
                      <w:szCs w:val="18"/>
                    </w:rPr>
                  </w:pPr>
                  <w:r>
                    <w:rPr>
                      <w:rFonts w:hint="eastAsia"/>
                      <w:b/>
                      <w:bCs/>
                      <w:sz w:val="18"/>
                      <w:szCs w:val="18"/>
                    </w:rPr>
                    <w:t>产污位置</w:t>
                  </w:r>
                </w:p>
              </w:tc>
              <w:tc>
                <w:tcPr>
                  <w:tcW w:w="423" w:type="pct"/>
                  <w:shd w:val="clear" w:color="auto" w:fill="auto"/>
                  <w:vAlign w:val="center"/>
                </w:tcPr>
                <w:p w14:paraId="59FCF90F">
                  <w:pPr>
                    <w:ind w:left="-105" w:leftChars="-50" w:right="-105" w:rightChars="-50"/>
                    <w:jc w:val="center"/>
                    <w:rPr>
                      <w:b/>
                      <w:bCs/>
                      <w:sz w:val="18"/>
                      <w:szCs w:val="18"/>
                    </w:rPr>
                  </w:pPr>
                  <w:r>
                    <w:rPr>
                      <w:rFonts w:hint="eastAsia"/>
                      <w:b/>
                      <w:bCs/>
                      <w:sz w:val="18"/>
                      <w:szCs w:val="18"/>
                    </w:rPr>
                    <w:t>废气种类</w:t>
                  </w:r>
                </w:p>
              </w:tc>
              <w:tc>
                <w:tcPr>
                  <w:tcW w:w="433" w:type="pct"/>
                  <w:shd w:val="clear" w:color="auto" w:fill="auto"/>
                  <w:vAlign w:val="center"/>
                </w:tcPr>
                <w:p w14:paraId="58EB89B7">
                  <w:pPr>
                    <w:ind w:left="-105" w:leftChars="-50" w:right="-105" w:rightChars="-50"/>
                    <w:jc w:val="center"/>
                    <w:rPr>
                      <w:b/>
                      <w:bCs/>
                      <w:sz w:val="18"/>
                      <w:szCs w:val="18"/>
                    </w:rPr>
                  </w:pPr>
                  <w:r>
                    <w:rPr>
                      <w:rFonts w:hint="eastAsia"/>
                      <w:b/>
                      <w:bCs/>
                      <w:sz w:val="18"/>
                      <w:szCs w:val="18"/>
                    </w:rPr>
                    <w:t>收集方式</w:t>
                  </w:r>
                </w:p>
              </w:tc>
              <w:tc>
                <w:tcPr>
                  <w:tcW w:w="347" w:type="pct"/>
                  <w:shd w:val="clear" w:color="auto" w:fill="auto"/>
                  <w:vAlign w:val="center"/>
                </w:tcPr>
                <w:p w14:paraId="5F0F2671">
                  <w:pPr>
                    <w:ind w:left="-105" w:leftChars="-50" w:right="-105" w:rightChars="-50"/>
                    <w:jc w:val="center"/>
                    <w:rPr>
                      <w:b/>
                      <w:bCs/>
                      <w:sz w:val="18"/>
                      <w:szCs w:val="18"/>
                    </w:rPr>
                  </w:pPr>
                  <w:r>
                    <w:rPr>
                      <w:rFonts w:hint="eastAsia"/>
                      <w:b/>
                      <w:bCs/>
                      <w:sz w:val="18"/>
                      <w:szCs w:val="18"/>
                    </w:rPr>
                    <w:t>收集</w:t>
                  </w:r>
                </w:p>
                <w:p w14:paraId="6342ABA5">
                  <w:pPr>
                    <w:ind w:left="-105" w:leftChars="-50" w:right="-105" w:rightChars="-50"/>
                    <w:jc w:val="center"/>
                    <w:rPr>
                      <w:b/>
                      <w:bCs/>
                      <w:sz w:val="18"/>
                      <w:szCs w:val="18"/>
                    </w:rPr>
                  </w:pPr>
                  <w:r>
                    <w:rPr>
                      <w:rFonts w:hint="eastAsia"/>
                      <w:b/>
                      <w:bCs/>
                      <w:sz w:val="18"/>
                      <w:szCs w:val="18"/>
                    </w:rPr>
                    <w:t>效率</w:t>
                  </w:r>
                </w:p>
              </w:tc>
              <w:tc>
                <w:tcPr>
                  <w:tcW w:w="1124" w:type="pct"/>
                  <w:vAlign w:val="center"/>
                </w:tcPr>
                <w:p w14:paraId="0FBFB6AE">
                  <w:pPr>
                    <w:ind w:left="-105" w:leftChars="-50" w:right="-105" w:rightChars="-50"/>
                    <w:jc w:val="center"/>
                    <w:rPr>
                      <w:b/>
                      <w:bCs/>
                      <w:sz w:val="18"/>
                      <w:szCs w:val="18"/>
                    </w:rPr>
                  </w:pPr>
                  <w:r>
                    <w:rPr>
                      <w:rFonts w:hint="eastAsia"/>
                      <w:b/>
                      <w:bCs/>
                      <w:sz w:val="18"/>
                      <w:szCs w:val="18"/>
                    </w:rPr>
                    <w:t>排污许可要求可行技术</w:t>
                  </w:r>
                </w:p>
              </w:tc>
              <w:tc>
                <w:tcPr>
                  <w:tcW w:w="606" w:type="pct"/>
                  <w:vAlign w:val="center"/>
                </w:tcPr>
                <w:p w14:paraId="48CFED9A">
                  <w:pPr>
                    <w:ind w:left="-105" w:leftChars="-50" w:right="-105" w:rightChars="-50"/>
                    <w:jc w:val="center"/>
                    <w:rPr>
                      <w:b/>
                      <w:bCs/>
                      <w:sz w:val="18"/>
                      <w:szCs w:val="18"/>
                    </w:rPr>
                  </w:pPr>
                  <w:r>
                    <w:rPr>
                      <w:rFonts w:hint="eastAsia"/>
                      <w:b/>
                      <w:bCs/>
                      <w:sz w:val="18"/>
                      <w:szCs w:val="18"/>
                    </w:rPr>
                    <w:t>本项目处理工艺</w:t>
                  </w:r>
                </w:p>
              </w:tc>
              <w:tc>
                <w:tcPr>
                  <w:tcW w:w="259" w:type="pct"/>
                  <w:vAlign w:val="center"/>
                </w:tcPr>
                <w:p w14:paraId="6BDB1638">
                  <w:pPr>
                    <w:ind w:left="-105" w:leftChars="-50" w:right="-105" w:rightChars="-50"/>
                    <w:jc w:val="center"/>
                    <w:rPr>
                      <w:b/>
                      <w:bCs/>
                      <w:sz w:val="18"/>
                      <w:szCs w:val="18"/>
                    </w:rPr>
                  </w:pPr>
                  <w:r>
                    <w:rPr>
                      <w:rFonts w:hint="eastAsia"/>
                      <w:b/>
                      <w:bCs/>
                      <w:sz w:val="18"/>
                      <w:szCs w:val="18"/>
                    </w:rPr>
                    <w:t>处理</w:t>
                  </w:r>
                </w:p>
                <w:p w14:paraId="4EF0440D">
                  <w:pPr>
                    <w:ind w:left="-105" w:leftChars="-50" w:right="-105" w:rightChars="-50"/>
                    <w:jc w:val="center"/>
                    <w:rPr>
                      <w:b/>
                      <w:bCs/>
                      <w:sz w:val="18"/>
                      <w:szCs w:val="18"/>
                    </w:rPr>
                  </w:pPr>
                  <w:r>
                    <w:rPr>
                      <w:rFonts w:hint="eastAsia"/>
                      <w:b/>
                      <w:bCs/>
                      <w:sz w:val="18"/>
                      <w:szCs w:val="18"/>
                    </w:rPr>
                    <w:t>效率</w:t>
                  </w:r>
                </w:p>
              </w:tc>
              <w:tc>
                <w:tcPr>
                  <w:tcW w:w="520" w:type="pct"/>
                  <w:vAlign w:val="center"/>
                </w:tcPr>
                <w:p w14:paraId="726F7B2A">
                  <w:pPr>
                    <w:ind w:left="-105" w:leftChars="-50" w:right="-105" w:rightChars="-50"/>
                    <w:jc w:val="center"/>
                    <w:rPr>
                      <w:b/>
                      <w:bCs/>
                      <w:sz w:val="18"/>
                      <w:szCs w:val="18"/>
                    </w:rPr>
                  </w:pPr>
                  <w:r>
                    <w:rPr>
                      <w:rFonts w:hint="eastAsia"/>
                      <w:b/>
                      <w:bCs/>
                      <w:sz w:val="18"/>
                      <w:szCs w:val="18"/>
                    </w:rPr>
                    <w:t>是否为可行技术</w:t>
                  </w:r>
                </w:p>
              </w:tc>
              <w:tc>
                <w:tcPr>
                  <w:tcW w:w="259" w:type="pct"/>
                  <w:vAlign w:val="center"/>
                </w:tcPr>
                <w:p w14:paraId="39D4EF4C">
                  <w:pPr>
                    <w:ind w:left="-105" w:leftChars="-50" w:right="-105" w:rightChars="-50"/>
                    <w:jc w:val="center"/>
                    <w:rPr>
                      <w:b/>
                      <w:bCs/>
                      <w:sz w:val="18"/>
                      <w:szCs w:val="18"/>
                    </w:rPr>
                  </w:pPr>
                  <w:r>
                    <w:rPr>
                      <w:rFonts w:hint="eastAsia"/>
                      <w:b/>
                      <w:bCs/>
                      <w:sz w:val="18"/>
                      <w:szCs w:val="18"/>
                    </w:rPr>
                    <w:t>排放</w:t>
                  </w:r>
                </w:p>
                <w:p w14:paraId="38ED05F6">
                  <w:pPr>
                    <w:ind w:left="-105" w:leftChars="-50" w:right="-105" w:rightChars="-50"/>
                    <w:jc w:val="center"/>
                    <w:rPr>
                      <w:b/>
                      <w:bCs/>
                      <w:sz w:val="18"/>
                      <w:szCs w:val="18"/>
                    </w:rPr>
                  </w:pPr>
                  <w:r>
                    <w:rPr>
                      <w:rFonts w:hint="eastAsia"/>
                      <w:b/>
                      <w:bCs/>
                      <w:sz w:val="18"/>
                      <w:szCs w:val="18"/>
                    </w:rPr>
                    <w:t>形式</w:t>
                  </w:r>
                </w:p>
              </w:tc>
              <w:tc>
                <w:tcPr>
                  <w:tcW w:w="651" w:type="pct"/>
                  <w:vAlign w:val="center"/>
                </w:tcPr>
                <w:p w14:paraId="780A6F8D">
                  <w:pPr>
                    <w:ind w:left="-105" w:leftChars="-50" w:right="-105" w:rightChars="-50"/>
                    <w:jc w:val="center"/>
                    <w:rPr>
                      <w:b/>
                      <w:bCs/>
                      <w:sz w:val="18"/>
                      <w:szCs w:val="18"/>
                    </w:rPr>
                  </w:pPr>
                  <w:r>
                    <w:rPr>
                      <w:rFonts w:hint="eastAsia"/>
                      <w:b/>
                      <w:bCs/>
                      <w:sz w:val="18"/>
                      <w:szCs w:val="18"/>
                    </w:rPr>
                    <w:t>排气筒</w:t>
                  </w:r>
                </w:p>
                <w:p w14:paraId="43667579">
                  <w:pPr>
                    <w:ind w:left="-105" w:leftChars="-50" w:right="-105" w:rightChars="-50"/>
                    <w:jc w:val="center"/>
                    <w:rPr>
                      <w:b/>
                      <w:bCs/>
                      <w:sz w:val="18"/>
                      <w:szCs w:val="18"/>
                    </w:rPr>
                  </w:pPr>
                  <w:r>
                    <w:rPr>
                      <w:rFonts w:hint="eastAsia"/>
                      <w:b/>
                      <w:bCs/>
                      <w:sz w:val="18"/>
                      <w:szCs w:val="18"/>
                    </w:rPr>
                    <w:t>设置</w:t>
                  </w:r>
                </w:p>
              </w:tc>
            </w:tr>
            <w:tr w14:paraId="6099F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shd w:val="clear" w:color="auto" w:fill="auto"/>
                  <w:vAlign w:val="center"/>
                </w:tcPr>
                <w:p w14:paraId="6B6A19CB">
                  <w:pPr>
                    <w:jc w:val="center"/>
                    <w:rPr>
                      <w:sz w:val="18"/>
                      <w:szCs w:val="18"/>
                    </w:rPr>
                  </w:pPr>
                  <w:r>
                    <w:rPr>
                      <w:rFonts w:hint="eastAsia"/>
                      <w:sz w:val="18"/>
                      <w:szCs w:val="18"/>
                    </w:rPr>
                    <w:t>煎药区</w:t>
                  </w:r>
                </w:p>
              </w:tc>
              <w:tc>
                <w:tcPr>
                  <w:tcW w:w="423" w:type="pct"/>
                  <w:shd w:val="clear" w:color="auto" w:fill="auto"/>
                  <w:vAlign w:val="center"/>
                </w:tcPr>
                <w:p w14:paraId="606C7675">
                  <w:pPr>
                    <w:jc w:val="center"/>
                    <w:rPr>
                      <w:sz w:val="18"/>
                      <w:szCs w:val="18"/>
                    </w:rPr>
                  </w:pPr>
                  <w:r>
                    <w:rPr>
                      <w:rFonts w:hint="eastAsia"/>
                      <w:sz w:val="18"/>
                      <w:szCs w:val="18"/>
                    </w:rPr>
                    <w:t>煎药异味</w:t>
                  </w:r>
                </w:p>
              </w:tc>
              <w:tc>
                <w:tcPr>
                  <w:tcW w:w="433" w:type="pct"/>
                  <w:shd w:val="clear" w:color="auto" w:fill="auto"/>
                  <w:vAlign w:val="center"/>
                </w:tcPr>
                <w:p w14:paraId="4C0729D8">
                  <w:pPr>
                    <w:jc w:val="center"/>
                    <w:rPr>
                      <w:sz w:val="18"/>
                      <w:szCs w:val="18"/>
                    </w:rPr>
                  </w:pPr>
                  <w:r>
                    <w:rPr>
                      <w:rFonts w:hint="eastAsia"/>
                      <w:sz w:val="18"/>
                      <w:szCs w:val="18"/>
                    </w:rPr>
                    <w:t>局部集气</w:t>
                  </w:r>
                </w:p>
              </w:tc>
              <w:tc>
                <w:tcPr>
                  <w:tcW w:w="347" w:type="pct"/>
                  <w:shd w:val="clear" w:color="auto" w:fill="auto"/>
                  <w:vAlign w:val="center"/>
                </w:tcPr>
                <w:p w14:paraId="49DD25D9">
                  <w:pPr>
                    <w:jc w:val="center"/>
                    <w:rPr>
                      <w:sz w:val="18"/>
                      <w:szCs w:val="18"/>
                    </w:rPr>
                  </w:pPr>
                  <w:r>
                    <w:rPr>
                      <w:rFonts w:hint="eastAsia"/>
                      <w:sz w:val="18"/>
                      <w:szCs w:val="18"/>
                    </w:rPr>
                    <w:t>9</w:t>
                  </w:r>
                  <w:r>
                    <w:rPr>
                      <w:sz w:val="18"/>
                      <w:szCs w:val="18"/>
                    </w:rPr>
                    <w:t>0%</w:t>
                  </w:r>
                </w:p>
              </w:tc>
              <w:tc>
                <w:tcPr>
                  <w:tcW w:w="1124" w:type="pct"/>
                  <w:vAlign w:val="center"/>
                </w:tcPr>
                <w:p w14:paraId="4401E2A1">
                  <w:pPr>
                    <w:ind w:left="-105" w:leftChars="-50" w:right="-105" w:rightChars="-50"/>
                    <w:jc w:val="center"/>
                    <w:rPr>
                      <w:sz w:val="18"/>
                      <w:szCs w:val="18"/>
                    </w:rPr>
                  </w:pPr>
                  <w:r>
                    <w:rPr>
                      <w:rFonts w:hint="eastAsia"/>
                      <w:sz w:val="18"/>
                      <w:szCs w:val="18"/>
                      <w:lang w:bidi="ar"/>
                    </w:rPr>
                    <w:t>水喷淋、吸收、活性炭吸附、其他等</w:t>
                  </w:r>
                </w:p>
              </w:tc>
              <w:tc>
                <w:tcPr>
                  <w:tcW w:w="606" w:type="pct"/>
                  <w:vAlign w:val="center"/>
                </w:tcPr>
                <w:p w14:paraId="17600A71">
                  <w:pPr>
                    <w:ind w:left="-105" w:leftChars="-50" w:right="-105" w:rightChars="-50"/>
                    <w:jc w:val="center"/>
                    <w:rPr>
                      <w:sz w:val="18"/>
                      <w:szCs w:val="18"/>
                    </w:rPr>
                  </w:pPr>
                  <w:r>
                    <w:rPr>
                      <w:rFonts w:hint="eastAsia"/>
                      <w:sz w:val="18"/>
                      <w:szCs w:val="18"/>
                      <w:lang w:bidi="ar"/>
                    </w:rPr>
                    <w:t>水喷淋塔</w:t>
                  </w:r>
                </w:p>
              </w:tc>
              <w:tc>
                <w:tcPr>
                  <w:tcW w:w="259" w:type="pct"/>
                  <w:shd w:val="clear" w:color="auto" w:fill="auto"/>
                  <w:vAlign w:val="center"/>
                </w:tcPr>
                <w:p w14:paraId="5A7D3D42">
                  <w:pPr>
                    <w:ind w:left="-105" w:leftChars="-50" w:right="-105" w:rightChars="-50"/>
                    <w:jc w:val="center"/>
                    <w:rPr>
                      <w:sz w:val="18"/>
                      <w:szCs w:val="18"/>
                    </w:rPr>
                  </w:pPr>
                  <w:r>
                    <w:rPr>
                      <w:rFonts w:hint="eastAsia"/>
                      <w:sz w:val="18"/>
                      <w:szCs w:val="18"/>
                    </w:rPr>
                    <w:t>/</w:t>
                  </w:r>
                </w:p>
              </w:tc>
              <w:tc>
                <w:tcPr>
                  <w:tcW w:w="520" w:type="pct"/>
                  <w:vAlign w:val="center"/>
                </w:tcPr>
                <w:p w14:paraId="11A3ED43">
                  <w:pPr>
                    <w:ind w:left="-105" w:leftChars="-50" w:right="-105" w:rightChars="-50"/>
                    <w:jc w:val="center"/>
                    <w:rPr>
                      <w:rFonts w:hint="eastAsia"/>
                      <w:sz w:val="18"/>
                      <w:szCs w:val="18"/>
                    </w:rPr>
                  </w:pPr>
                  <w:r>
                    <w:rPr>
                      <w:rFonts w:hint="eastAsia"/>
                      <w:sz w:val="18"/>
                      <w:szCs w:val="18"/>
                    </w:rPr>
                    <w:t>是</w:t>
                  </w:r>
                </w:p>
              </w:tc>
              <w:tc>
                <w:tcPr>
                  <w:tcW w:w="259" w:type="pct"/>
                  <w:vAlign w:val="center"/>
                </w:tcPr>
                <w:p w14:paraId="58D1E679">
                  <w:pPr>
                    <w:ind w:left="-105" w:leftChars="-50" w:right="-105" w:rightChars="-50"/>
                    <w:jc w:val="center"/>
                    <w:rPr>
                      <w:sz w:val="18"/>
                      <w:szCs w:val="18"/>
                    </w:rPr>
                  </w:pPr>
                  <w:r>
                    <w:rPr>
                      <w:rFonts w:hint="eastAsia"/>
                      <w:sz w:val="18"/>
                      <w:szCs w:val="18"/>
                    </w:rPr>
                    <w:t>有组织</w:t>
                  </w:r>
                </w:p>
              </w:tc>
              <w:tc>
                <w:tcPr>
                  <w:tcW w:w="651" w:type="pct"/>
                  <w:vAlign w:val="center"/>
                </w:tcPr>
                <w:p w14:paraId="0783A693">
                  <w:pPr>
                    <w:ind w:left="-105" w:leftChars="-50" w:right="-105" w:rightChars="-50"/>
                    <w:jc w:val="center"/>
                    <w:rPr>
                      <w:sz w:val="18"/>
                      <w:szCs w:val="18"/>
                    </w:rPr>
                  </w:pPr>
                  <w:r>
                    <w:rPr>
                      <w:sz w:val="18"/>
                      <w:szCs w:val="18"/>
                    </w:rPr>
                    <w:t>1</w:t>
                  </w:r>
                  <w:r>
                    <w:rPr>
                      <w:rFonts w:hint="eastAsia"/>
                      <w:sz w:val="18"/>
                      <w:szCs w:val="18"/>
                    </w:rPr>
                    <w:t>根20m高排气筒（D</w:t>
                  </w:r>
                  <w:r>
                    <w:rPr>
                      <w:sz w:val="18"/>
                      <w:szCs w:val="18"/>
                    </w:rPr>
                    <w:t>A00</w:t>
                  </w:r>
                  <w:r>
                    <w:rPr>
                      <w:rFonts w:hint="eastAsia"/>
                      <w:sz w:val="18"/>
                      <w:szCs w:val="18"/>
                    </w:rPr>
                    <w:t>1）排放</w:t>
                  </w:r>
                </w:p>
              </w:tc>
            </w:tr>
            <w:tr w14:paraId="697DC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shd w:val="clear" w:color="auto" w:fill="auto"/>
                  <w:vAlign w:val="center"/>
                </w:tcPr>
                <w:p w14:paraId="1FBFD755">
                  <w:pPr>
                    <w:jc w:val="center"/>
                    <w:rPr>
                      <w:rFonts w:hint="eastAsia"/>
                      <w:sz w:val="18"/>
                      <w:szCs w:val="18"/>
                    </w:rPr>
                  </w:pPr>
                  <w:r>
                    <w:rPr>
                      <w:rFonts w:hint="eastAsia"/>
                      <w:sz w:val="18"/>
                      <w:szCs w:val="18"/>
                    </w:rPr>
                    <w:t>粉碎间</w:t>
                  </w:r>
                </w:p>
              </w:tc>
              <w:tc>
                <w:tcPr>
                  <w:tcW w:w="423" w:type="pct"/>
                  <w:shd w:val="clear" w:color="auto" w:fill="auto"/>
                  <w:vAlign w:val="center"/>
                </w:tcPr>
                <w:p w14:paraId="1DB4A309">
                  <w:pPr>
                    <w:jc w:val="center"/>
                    <w:rPr>
                      <w:rFonts w:hint="eastAsia"/>
                      <w:sz w:val="18"/>
                      <w:szCs w:val="18"/>
                    </w:rPr>
                  </w:pPr>
                  <w:r>
                    <w:rPr>
                      <w:rFonts w:hint="eastAsia"/>
                      <w:sz w:val="18"/>
                      <w:szCs w:val="18"/>
                    </w:rPr>
                    <w:t>颗粒物</w:t>
                  </w:r>
                </w:p>
              </w:tc>
              <w:tc>
                <w:tcPr>
                  <w:tcW w:w="433" w:type="pct"/>
                  <w:shd w:val="clear" w:color="auto" w:fill="auto"/>
                  <w:vAlign w:val="center"/>
                </w:tcPr>
                <w:p w14:paraId="35DF4ADD">
                  <w:pPr>
                    <w:jc w:val="center"/>
                    <w:rPr>
                      <w:rFonts w:hint="eastAsia"/>
                      <w:sz w:val="18"/>
                      <w:szCs w:val="18"/>
                    </w:rPr>
                  </w:pPr>
                  <w:r>
                    <w:rPr>
                      <w:rFonts w:hint="eastAsia"/>
                      <w:sz w:val="18"/>
                      <w:szCs w:val="18"/>
                    </w:rPr>
                    <w:t>局部集气</w:t>
                  </w:r>
                </w:p>
              </w:tc>
              <w:tc>
                <w:tcPr>
                  <w:tcW w:w="347" w:type="pct"/>
                  <w:shd w:val="clear" w:color="auto" w:fill="auto"/>
                  <w:vAlign w:val="center"/>
                </w:tcPr>
                <w:p w14:paraId="5247DBC6">
                  <w:pPr>
                    <w:jc w:val="center"/>
                    <w:rPr>
                      <w:rFonts w:hint="eastAsia"/>
                      <w:sz w:val="18"/>
                      <w:szCs w:val="18"/>
                    </w:rPr>
                  </w:pPr>
                  <w:r>
                    <w:rPr>
                      <w:rFonts w:hint="eastAsia"/>
                      <w:sz w:val="18"/>
                      <w:szCs w:val="18"/>
                    </w:rPr>
                    <w:t>9</w:t>
                  </w:r>
                  <w:r>
                    <w:rPr>
                      <w:sz w:val="18"/>
                      <w:szCs w:val="18"/>
                    </w:rPr>
                    <w:t>0%</w:t>
                  </w:r>
                </w:p>
              </w:tc>
              <w:tc>
                <w:tcPr>
                  <w:tcW w:w="1124" w:type="pct"/>
                  <w:vAlign w:val="center"/>
                </w:tcPr>
                <w:p w14:paraId="29C70C74">
                  <w:pPr>
                    <w:ind w:left="-105" w:leftChars="-50" w:right="-105" w:rightChars="-50"/>
                    <w:jc w:val="center"/>
                    <w:rPr>
                      <w:rFonts w:hint="eastAsia"/>
                      <w:sz w:val="18"/>
                      <w:szCs w:val="18"/>
                    </w:rPr>
                  </w:pPr>
                  <w:r>
                    <w:rPr>
                      <w:rFonts w:hint="eastAsia"/>
                      <w:sz w:val="18"/>
                      <w:szCs w:val="18"/>
                      <w:lang w:bidi="ar"/>
                    </w:rPr>
                    <w:t>袋式除尘、静电除尘、袋式除尘与湿式除尘的组合工艺等</w:t>
                  </w:r>
                </w:p>
              </w:tc>
              <w:tc>
                <w:tcPr>
                  <w:tcW w:w="606" w:type="pct"/>
                  <w:vAlign w:val="center"/>
                </w:tcPr>
                <w:p w14:paraId="54358998">
                  <w:pPr>
                    <w:ind w:left="-105" w:leftChars="-50" w:right="-105" w:rightChars="-50"/>
                    <w:jc w:val="center"/>
                    <w:rPr>
                      <w:rFonts w:hint="eastAsia"/>
                      <w:sz w:val="18"/>
                      <w:szCs w:val="18"/>
                    </w:rPr>
                  </w:pPr>
                  <w:r>
                    <w:rPr>
                      <w:rFonts w:hint="eastAsia"/>
                      <w:sz w:val="18"/>
                      <w:szCs w:val="18"/>
                    </w:rPr>
                    <w:t>布袋除尘器</w:t>
                  </w:r>
                </w:p>
              </w:tc>
              <w:tc>
                <w:tcPr>
                  <w:tcW w:w="259" w:type="pct"/>
                  <w:shd w:val="clear" w:color="auto" w:fill="auto"/>
                  <w:vAlign w:val="center"/>
                </w:tcPr>
                <w:p w14:paraId="24EC62B0">
                  <w:pPr>
                    <w:ind w:left="-105" w:leftChars="-50" w:right="-105" w:rightChars="-50"/>
                    <w:jc w:val="center"/>
                    <w:rPr>
                      <w:rFonts w:hint="eastAsia"/>
                      <w:sz w:val="18"/>
                      <w:szCs w:val="18"/>
                    </w:rPr>
                  </w:pPr>
                  <w:r>
                    <w:rPr>
                      <w:rFonts w:hint="eastAsia"/>
                      <w:sz w:val="18"/>
                      <w:szCs w:val="18"/>
                    </w:rPr>
                    <w:t>98</w:t>
                  </w:r>
                  <w:r>
                    <w:rPr>
                      <w:sz w:val="18"/>
                      <w:szCs w:val="18"/>
                    </w:rPr>
                    <w:t>%</w:t>
                  </w:r>
                </w:p>
              </w:tc>
              <w:tc>
                <w:tcPr>
                  <w:tcW w:w="520" w:type="pct"/>
                  <w:vAlign w:val="center"/>
                </w:tcPr>
                <w:p w14:paraId="1B92C4F1">
                  <w:pPr>
                    <w:ind w:left="-105" w:leftChars="-50" w:right="-105" w:rightChars="-50"/>
                    <w:jc w:val="center"/>
                    <w:rPr>
                      <w:rFonts w:hint="eastAsia"/>
                      <w:sz w:val="18"/>
                      <w:szCs w:val="18"/>
                    </w:rPr>
                  </w:pPr>
                  <w:r>
                    <w:rPr>
                      <w:rFonts w:hint="eastAsia"/>
                      <w:sz w:val="18"/>
                      <w:szCs w:val="18"/>
                    </w:rPr>
                    <w:t>是</w:t>
                  </w:r>
                </w:p>
              </w:tc>
              <w:tc>
                <w:tcPr>
                  <w:tcW w:w="259" w:type="pct"/>
                  <w:vAlign w:val="center"/>
                </w:tcPr>
                <w:p w14:paraId="689A2492">
                  <w:pPr>
                    <w:ind w:left="-105" w:leftChars="-50" w:right="-105" w:rightChars="-50"/>
                    <w:jc w:val="center"/>
                    <w:rPr>
                      <w:rFonts w:hint="eastAsia"/>
                      <w:sz w:val="18"/>
                      <w:szCs w:val="18"/>
                    </w:rPr>
                  </w:pPr>
                  <w:r>
                    <w:rPr>
                      <w:rFonts w:hint="eastAsia"/>
                      <w:sz w:val="18"/>
                      <w:szCs w:val="18"/>
                    </w:rPr>
                    <w:t>有组织</w:t>
                  </w:r>
                </w:p>
              </w:tc>
              <w:tc>
                <w:tcPr>
                  <w:tcW w:w="651" w:type="pct"/>
                  <w:vAlign w:val="center"/>
                </w:tcPr>
                <w:p w14:paraId="7C79D8C4">
                  <w:pPr>
                    <w:ind w:left="-105" w:leftChars="-50" w:right="-105" w:rightChars="-50"/>
                    <w:jc w:val="center"/>
                    <w:rPr>
                      <w:sz w:val="18"/>
                      <w:szCs w:val="18"/>
                    </w:rPr>
                  </w:pPr>
                  <w:r>
                    <w:rPr>
                      <w:sz w:val="18"/>
                      <w:szCs w:val="18"/>
                    </w:rPr>
                    <w:t>1</w:t>
                  </w:r>
                  <w:r>
                    <w:rPr>
                      <w:rFonts w:hint="eastAsia"/>
                      <w:sz w:val="18"/>
                      <w:szCs w:val="18"/>
                    </w:rPr>
                    <w:t>根20m高排气筒（D</w:t>
                  </w:r>
                  <w:r>
                    <w:rPr>
                      <w:sz w:val="18"/>
                      <w:szCs w:val="18"/>
                    </w:rPr>
                    <w:t>A00</w:t>
                  </w:r>
                  <w:r>
                    <w:rPr>
                      <w:rFonts w:hint="eastAsia"/>
                      <w:sz w:val="18"/>
                      <w:szCs w:val="18"/>
                    </w:rPr>
                    <w:t>2）排放</w:t>
                  </w:r>
                </w:p>
              </w:tc>
            </w:tr>
            <w:tr w14:paraId="3DC66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shd w:val="clear" w:color="auto" w:fill="auto"/>
                  <w:vAlign w:val="center"/>
                </w:tcPr>
                <w:p w14:paraId="582E3B81">
                  <w:pPr>
                    <w:jc w:val="center"/>
                    <w:rPr>
                      <w:rFonts w:hint="eastAsia"/>
                      <w:sz w:val="18"/>
                      <w:szCs w:val="18"/>
                    </w:rPr>
                  </w:pPr>
                  <w:r>
                    <w:rPr>
                      <w:rFonts w:hint="eastAsia"/>
                      <w:sz w:val="18"/>
                      <w:szCs w:val="18"/>
                    </w:rPr>
                    <w:t>包装机</w:t>
                  </w:r>
                </w:p>
              </w:tc>
              <w:tc>
                <w:tcPr>
                  <w:tcW w:w="423" w:type="pct"/>
                  <w:shd w:val="clear" w:color="auto" w:fill="auto"/>
                  <w:vAlign w:val="center"/>
                </w:tcPr>
                <w:p w14:paraId="00ADB486">
                  <w:pPr>
                    <w:jc w:val="center"/>
                    <w:rPr>
                      <w:rFonts w:hint="eastAsia"/>
                      <w:sz w:val="18"/>
                      <w:szCs w:val="18"/>
                    </w:rPr>
                  </w:pPr>
                  <w:r>
                    <w:rPr>
                      <w:rFonts w:hint="eastAsia"/>
                      <w:sz w:val="18"/>
                      <w:szCs w:val="18"/>
                    </w:rPr>
                    <w:t>有机废气</w:t>
                  </w:r>
                </w:p>
              </w:tc>
              <w:tc>
                <w:tcPr>
                  <w:tcW w:w="433" w:type="pct"/>
                  <w:shd w:val="clear" w:color="auto" w:fill="auto"/>
                  <w:vAlign w:val="center"/>
                </w:tcPr>
                <w:p w14:paraId="22F31CA6">
                  <w:pPr>
                    <w:jc w:val="center"/>
                    <w:rPr>
                      <w:rFonts w:hint="eastAsia"/>
                      <w:sz w:val="18"/>
                      <w:szCs w:val="18"/>
                    </w:rPr>
                  </w:pPr>
                  <w:r>
                    <w:rPr>
                      <w:rFonts w:hint="eastAsia"/>
                      <w:sz w:val="18"/>
                      <w:szCs w:val="18"/>
                    </w:rPr>
                    <w:t>/</w:t>
                  </w:r>
                </w:p>
              </w:tc>
              <w:tc>
                <w:tcPr>
                  <w:tcW w:w="347" w:type="pct"/>
                  <w:shd w:val="clear" w:color="auto" w:fill="auto"/>
                  <w:vAlign w:val="center"/>
                </w:tcPr>
                <w:p w14:paraId="639EC6F9">
                  <w:pPr>
                    <w:jc w:val="center"/>
                    <w:rPr>
                      <w:rFonts w:hint="eastAsia"/>
                      <w:sz w:val="18"/>
                      <w:szCs w:val="18"/>
                    </w:rPr>
                  </w:pPr>
                  <w:r>
                    <w:rPr>
                      <w:rFonts w:hint="eastAsia"/>
                      <w:sz w:val="18"/>
                      <w:szCs w:val="18"/>
                    </w:rPr>
                    <w:t>/</w:t>
                  </w:r>
                </w:p>
              </w:tc>
              <w:tc>
                <w:tcPr>
                  <w:tcW w:w="1124" w:type="pct"/>
                  <w:vAlign w:val="center"/>
                </w:tcPr>
                <w:p w14:paraId="5D442C6A">
                  <w:pPr>
                    <w:ind w:left="-105" w:leftChars="-50" w:right="-105" w:rightChars="-50"/>
                    <w:jc w:val="center"/>
                    <w:rPr>
                      <w:rFonts w:hint="eastAsia"/>
                      <w:sz w:val="18"/>
                      <w:szCs w:val="18"/>
                    </w:rPr>
                  </w:pPr>
                  <w:r>
                    <w:rPr>
                      <w:rFonts w:hint="eastAsia"/>
                      <w:sz w:val="18"/>
                      <w:szCs w:val="18"/>
                    </w:rPr>
                    <w:t>/</w:t>
                  </w:r>
                </w:p>
              </w:tc>
              <w:tc>
                <w:tcPr>
                  <w:tcW w:w="606" w:type="pct"/>
                  <w:vAlign w:val="center"/>
                </w:tcPr>
                <w:p w14:paraId="1B68BA86">
                  <w:pPr>
                    <w:ind w:left="-105" w:leftChars="-50" w:right="-105" w:rightChars="-50"/>
                    <w:jc w:val="center"/>
                    <w:rPr>
                      <w:rFonts w:hint="eastAsia"/>
                      <w:sz w:val="18"/>
                      <w:szCs w:val="18"/>
                    </w:rPr>
                  </w:pPr>
                  <w:r>
                    <w:rPr>
                      <w:rFonts w:hint="eastAsia"/>
                      <w:sz w:val="18"/>
                      <w:szCs w:val="18"/>
                    </w:rPr>
                    <w:t>加强车间内通风换气</w:t>
                  </w:r>
                </w:p>
              </w:tc>
              <w:tc>
                <w:tcPr>
                  <w:tcW w:w="259" w:type="pct"/>
                  <w:shd w:val="clear" w:color="auto" w:fill="auto"/>
                  <w:vAlign w:val="center"/>
                </w:tcPr>
                <w:p w14:paraId="1BC85C42">
                  <w:pPr>
                    <w:ind w:left="-105" w:leftChars="-50" w:right="-105" w:rightChars="-50"/>
                    <w:jc w:val="center"/>
                    <w:rPr>
                      <w:rFonts w:hint="eastAsia"/>
                      <w:sz w:val="18"/>
                      <w:szCs w:val="18"/>
                    </w:rPr>
                  </w:pPr>
                  <w:r>
                    <w:rPr>
                      <w:rFonts w:hint="eastAsia"/>
                      <w:sz w:val="18"/>
                      <w:szCs w:val="18"/>
                    </w:rPr>
                    <w:t>/</w:t>
                  </w:r>
                </w:p>
              </w:tc>
              <w:tc>
                <w:tcPr>
                  <w:tcW w:w="520" w:type="pct"/>
                  <w:vAlign w:val="center"/>
                </w:tcPr>
                <w:p w14:paraId="7087FE94">
                  <w:pPr>
                    <w:ind w:left="-105" w:leftChars="-50" w:right="-105" w:rightChars="-50"/>
                    <w:jc w:val="center"/>
                    <w:rPr>
                      <w:rFonts w:hint="eastAsia"/>
                      <w:sz w:val="18"/>
                      <w:szCs w:val="18"/>
                    </w:rPr>
                  </w:pPr>
                  <w:r>
                    <w:rPr>
                      <w:rFonts w:hint="eastAsia"/>
                      <w:sz w:val="18"/>
                      <w:szCs w:val="18"/>
                    </w:rPr>
                    <w:t>/</w:t>
                  </w:r>
                </w:p>
              </w:tc>
              <w:tc>
                <w:tcPr>
                  <w:tcW w:w="259" w:type="pct"/>
                  <w:vAlign w:val="center"/>
                </w:tcPr>
                <w:p w14:paraId="2C3E7338">
                  <w:pPr>
                    <w:ind w:left="-105" w:leftChars="-50" w:right="-105" w:rightChars="-50"/>
                    <w:jc w:val="center"/>
                    <w:rPr>
                      <w:rFonts w:hint="eastAsia"/>
                      <w:sz w:val="18"/>
                      <w:szCs w:val="18"/>
                    </w:rPr>
                  </w:pPr>
                  <w:r>
                    <w:rPr>
                      <w:rFonts w:hint="eastAsia"/>
                      <w:sz w:val="18"/>
                      <w:szCs w:val="18"/>
                    </w:rPr>
                    <w:t>无组织</w:t>
                  </w:r>
                </w:p>
              </w:tc>
              <w:tc>
                <w:tcPr>
                  <w:tcW w:w="651" w:type="pct"/>
                  <w:vAlign w:val="center"/>
                </w:tcPr>
                <w:p w14:paraId="72D70422">
                  <w:pPr>
                    <w:ind w:left="-105" w:leftChars="-50" w:right="-105" w:rightChars="-50"/>
                    <w:jc w:val="center"/>
                    <w:rPr>
                      <w:sz w:val="18"/>
                      <w:szCs w:val="18"/>
                    </w:rPr>
                  </w:pPr>
                  <w:r>
                    <w:rPr>
                      <w:rFonts w:hint="eastAsia"/>
                      <w:sz w:val="18"/>
                      <w:szCs w:val="18"/>
                    </w:rPr>
                    <w:t>/</w:t>
                  </w:r>
                </w:p>
              </w:tc>
            </w:tr>
            <w:tr w14:paraId="12446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8" w:type="pct"/>
                  <w:shd w:val="clear" w:color="auto" w:fill="auto"/>
                  <w:vAlign w:val="center"/>
                </w:tcPr>
                <w:p w14:paraId="03BD95B7">
                  <w:pPr>
                    <w:jc w:val="center"/>
                    <w:rPr>
                      <w:rFonts w:hint="eastAsia"/>
                      <w:sz w:val="18"/>
                      <w:szCs w:val="18"/>
                    </w:rPr>
                  </w:pPr>
                  <w:r>
                    <w:rPr>
                      <w:rFonts w:hint="eastAsia"/>
                      <w:sz w:val="18"/>
                      <w:szCs w:val="18"/>
                    </w:rPr>
                    <w:t>污水处理站</w:t>
                  </w:r>
                </w:p>
              </w:tc>
              <w:tc>
                <w:tcPr>
                  <w:tcW w:w="423" w:type="pct"/>
                  <w:shd w:val="clear" w:color="auto" w:fill="auto"/>
                  <w:vAlign w:val="center"/>
                </w:tcPr>
                <w:p w14:paraId="1B25484D">
                  <w:pPr>
                    <w:jc w:val="center"/>
                    <w:rPr>
                      <w:rFonts w:hint="eastAsia"/>
                      <w:sz w:val="18"/>
                      <w:szCs w:val="18"/>
                    </w:rPr>
                  </w:pPr>
                  <w:r>
                    <w:rPr>
                      <w:rFonts w:hint="eastAsia"/>
                      <w:sz w:val="18"/>
                      <w:szCs w:val="18"/>
                    </w:rPr>
                    <w:t>恶臭</w:t>
                  </w:r>
                </w:p>
              </w:tc>
              <w:tc>
                <w:tcPr>
                  <w:tcW w:w="433" w:type="pct"/>
                  <w:shd w:val="clear" w:color="auto" w:fill="auto"/>
                  <w:vAlign w:val="center"/>
                </w:tcPr>
                <w:p w14:paraId="00537C02">
                  <w:pPr>
                    <w:jc w:val="center"/>
                    <w:rPr>
                      <w:rFonts w:hint="eastAsia"/>
                      <w:sz w:val="18"/>
                      <w:szCs w:val="18"/>
                    </w:rPr>
                  </w:pPr>
                  <w:r>
                    <w:rPr>
                      <w:rFonts w:hint="eastAsia"/>
                      <w:sz w:val="18"/>
                      <w:szCs w:val="18"/>
                    </w:rPr>
                    <w:t>/</w:t>
                  </w:r>
                </w:p>
              </w:tc>
              <w:tc>
                <w:tcPr>
                  <w:tcW w:w="347" w:type="pct"/>
                  <w:shd w:val="clear" w:color="auto" w:fill="auto"/>
                  <w:vAlign w:val="center"/>
                </w:tcPr>
                <w:p w14:paraId="1DC8F786">
                  <w:pPr>
                    <w:jc w:val="center"/>
                    <w:rPr>
                      <w:rFonts w:hint="eastAsia"/>
                      <w:sz w:val="18"/>
                      <w:szCs w:val="18"/>
                    </w:rPr>
                  </w:pPr>
                  <w:r>
                    <w:rPr>
                      <w:rFonts w:hint="eastAsia"/>
                      <w:sz w:val="18"/>
                      <w:szCs w:val="18"/>
                    </w:rPr>
                    <w:t>/</w:t>
                  </w:r>
                </w:p>
              </w:tc>
              <w:tc>
                <w:tcPr>
                  <w:tcW w:w="1124" w:type="pct"/>
                  <w:vAlign w:val="center"/>
                </w:tcPr>
                <w:p w14:paraId="41CC9C42">
                  <w:pPr>
                    <w:ind w:left="-105" w:leftChars="-50" w:right="-105" w:rightChars="-50"/>
                    <w:jc w:val="center"/>
                    <w:rPr>
                      <w:rFonts w:hint="eastAsia"/>
                      <w:sz w:val="18"/>
                      <w:szCs w:val="18"/>
                    </w:rPr>
                  </w:pPr>
                  <w:r>
                    <w:rPr>
                      <w:rFonts w:hint="eastAsia"/>
                      <w:sz w:val="18"/>
                      <w:szCs w:val="18"/>
                    </w:rPr>
                    <w:t>/</w:t>
                  </w:r>
                </w:p>
              </w:tc>
              <w:tc>
                <w:tcPr>
                  <w:tcW w:w="606" w:type="pct"/>
                  <w:vAlign w:val="center"/>
                </w:tcPr>
                <w:p w14:paraId="61936A43">
                  <w:pPr>
                    <w:ind w:left="-105" w:leftChars="-50" w:right="-105" w:rightChars="-50"/>
                    <w:jc w:val="center"/>
                    <w:rPr>
                      <w:rFonts w:hint="eastAsia"/>
                      <w:sz w:val="18"/>
                      <w:szCs w:val="18"/>
                    </w:rPr>
                  </w:pPr>
                  <w:r>
                    <w:rPr>
                      <w:rFonts w:hint="eastAsia"/>
                      <w:sz w:val="18"/>
                      <w:szCs w:val="18"/>
                    </w:rPr>
                    <w:t>加强通风换气</w:t>
                  </w:r>
                </w:p>
              </w:tc>
              <w:tc>
                <w:tcPr>
                  <w:tcW w:w="259" w:type="pct"/>
                  <w:shd w:val="clear" w:color="auto" w:fill="auto"/>
                  <w:vAlign w:val="center"/>
                </w:tcPr>
                <w:p w14:paraId="6F6087D2">
                  <w:pPr>
                    <w:ind w:left="-105" w:leftChars="-50" w:right="-105" w:rightChars="-50"/>
                    <w:jc w:val="center"/>
                    <w:rPr>
                      <w:rFonts w:hint="eastAsia"/>
                      <w:sz w:val="18"/>
                      <w:szCs w:val="18"/>
                    </w:rPr>
                  </w:pPr>
                  <w:r>
                    <w:rPr>
                      <w:rFonts w:hint="eastAsia"/>
                      <w:sz w:val="18"/>
                      <w:szCs w:val="18"/>
                    </w:rPr>
                    <w:t>/</w:t>
                  </w:r>
                </w:p>
              </w:tc>
              <w:tc>
                <w:tcPr>
                  <w:tcW w:w="520" w:type="pct"/>
                  <w:vAlign w:val="center"/>
                </w:tcPr>
                <w:p w14:paraId="65476A50">
                  <w:pPr>
                    <w:ind w:left="-105" w:leftChars="-50" w:right="-105" w:rightChars="-50"/>
                    <w:jc w:val="center"/>
                    <w:rPr>
                      <w:rFonts w:hint="eastAsia"/>
                      <w:sz w:val="18"/>
                      <w:szCs w:val="18"/>
                    </w:rPr>
                  </w:pPr>
                  <w:r>
                    <w:rPr>
                      <w:rFonts w:hint="eastAsia"/>
                      <w:sz w:val="18"/>
                      <w:szCs w:val="18"/>
                    </w:rPr>
                    <w:t>/</w:t>
                  </w:r>
                </w:p>
              </w:tc>
              <w:tc>
                <w:tcPr>
                  <w:tcW w:w="259" w:type="pct"/>
                  <w:vAlign w:val="center"/>
                </w:tcPr>
                <w:p w14:paraId="7FC675F8">
                  <w:pPr>
                    <w:ind w:left="-105" w:leftChars="-50" w:right="-105" w:rightChars="-50"/>
                    <w:jc w:val="center"/>
                    <w:rPr>
                      <w:rFonts w:hint="eastAsia"/>
                      <w:sz w:val="18"/>
                      <w:szCs w:val="18"/>
                    </w:rPr>
                  </w:pPr>
                  <w:r>
                    <w:rPr>
                      <w:rFonts w:hint="eastAsia"/>
                      <w:sz w:val="18"/>
                      <w:szCs w:val="18"/>
                    </w:rPr>
                    <w:t>无组织</w:t>
                  </w:r>
                </w:p>
              </w:tc>
              <w:tc>
                <w:tcPr>
                  <w:tcW w:w="651" w:type="pct"/>
                  <w:vAlign w:val="center"/>
                </w:tcPr>
                <w:p w14:paraId="7BA8B568">
                  <w:pPr>
                    <w:ind w:left="-105" w:leftChars="-50" w:right="-105" w:rightChars="-50"/>
                    <w:jc w:val="center"/>
                    <w:rPr>
                      <w:sz w:val="18"/>
                      <w:szCs w:val="18"/>
                    </w:rPr>
                  </w:pPr>
                  <w:r>
                    <w:rPr>
                      <w:rFonts w:hint="eastAsia"/>
                      <w:sz w:val="18"/>
                      <w:szCs w:val="18"/>
                    </w:rPr>
                    <w:t>/</w:t>
                  </w:r>
                </w:p>
              </w:tc>
            </w:tr>
          </w:tbl>
          <w:p w14:paraId="18F236C0">
            <w:pPr>
              <w:widowControl/>
              <w:spacing w:line="360" w:lineRule="auto"/>
              <w:ind w:firstLine="422" w:firstLineChars="200"/>
              <w:rPr>
                <w:rFonts w:hint="eastAsia" w:ascii="宋体" w:hAnsi="宋体"/>
                <w:b/>
                <w:bCs/>
                <w:lang w:bidi="ar"/>
              </w:rPr>
            </w:pPr>
            <w:r>
              <w:rPr>
                <w:rFonts w:hint="eastAsia" w:ascii="宋体" w:hAnsi="宋体"/>
                <w:b/>
                <w:bCs/>
                <w:lang w:bidi="ar"/>
              </w:rPr>
              <w:t>（三）废气达标排放、排放口基本情况</w:t>
            </w:r>
          </w:p>
          <w:p w14:paraId="1F2B33A0">
            <w:pPr>
              <w:widowControl/>
              <w:spacing w:line="360" w:lineRule="auto"/>
              <w:ind w:firstLine="420" w:firstLineChars="200"/>
              <w:rPr>
                <w:lang w:bidi="ar"/>
              </w:rPr>
            </w:pPr>
            <w:r>
              <w:rPr>
                <w:rFonts w:hint="eastAsia"/>
                <w:lang w:bidi="ar"/>
              </w:rPr>
              <w:t>本项目污染物的产生、排放达标情况如下表所示：</w:t>
            </w:r>
          </w:p>
          <w:p w14:paraId="57684CBA">
            <w:pPr>
              <w:autoSpaceDE w:val="0"/>
              <w:autoSpaceDN w:val="0"/>
              <w:adjustRightInd w:val="0"/>
              <w:snapToGrid w:val="0"/>
              <w:jc w:val="center"/>
              <w:rPr>
                <w:b/>
              </w:rPr>
            </w:pPr>
            <w:r>
              <w:rPr>
                <w:rFonts w:hint="eastAsia"/>
                <w:b/>
              </w:rPr>
              <w:t>表 4-5</w:t>
            </w:r>
            <w:r>
              <w:rPr>
                <w:b/>
              </w:rPr>
              <w:t xml:space="preserve">  </w:t>
            </w:r>
            <w:r>
              <w:rPr>
                <w:rFonts w:hint="eastAsia"/>
                <w:b/>
              </w:rPr>
              <w:t>本项目废气污染物产生、处置及有组织排放情况一览表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910"/>
              <w:gridCol w:w="634"/>
              <w:gridCol w:w="364"/>
              <w:gridCol w:w="918"/>
              <w:gridCol w:w="789"/>
              <w:gridCol w:w="918"/>
              <w:gridCol w:w="789"/>
              <w:gridCol w:w="485"/>
              <w:gridCol w:w="918"/>
              <w:gridCol w:w="789"/>
              <w:gridCol w:w="364"/>
            </w:tblGrid>
            <w:tr w14:paraId="55D0A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restart"/>
                  <w:shd w:val="clear" w:color="auto" w:fill="auto"/>
                  <w:vAlign w:val="center"/>
                </w:tcPr>
                <w:p w14:paraId="57545FF9">
                  <w:pPr>
                    <w:jc w:val="center"/>
                    <w:rPr>
                      <w:b/>
                      <w:bCs/>
                      <w:sz w:val="18"/>
                      <w:szCs w:val="18"/>
                    </w:rPr>
                  </w:pPr>
                  <w:r>
                    <w:rPr>
                      <w:rFonts w:hint="eastAsia"/>
                      <w:b/>
                      <w:bCs/>
                      <w:sz w:val="18"/>
                      <w:szCs w:val="18"/>
                    </w:rPr>
                    <w:t>排气筒编号</w:t>
                  </w:r>
                </w:p>
              </w:tc>
              <w:tc>
                <w:tcPr>
                  <w:tcW w:w="905" w:type="pct"/>
                  <w:gridSpan w:val="2"/>
                  <w:vAlign w:val="center"/>
                </w:tcPr>
                <w:p w14:paraId="5AF2BC95">
                  <w:pPr>
                    <w:jc w:val="center"/>
                    <w:rPr>
                      <w:b/>
                      <w:bCs/>
                      <w:sz w:val="18"/>
                      <w:szCs w:val="18"/>
                    </w:rPr>
                  </w:pPr>
                  <w:r>
                    <w:rPr>
                      <w:rFonts w:hint="eastAsia"/>
                      <w:b/>
                      <w:bCs/>
                      <w:sz w:val="18"/>
                      <w:szCs w:val="18"/>
                    </w:rPr>
                    <w:t>排放参数</w:t>
                  </w:r>
                </w:p>
              </w:tc>
              <w:tc>
                <w:tcPr>
                  <w:tcW w:w="215" w:type="pct"/>
                  <w:vMerge w:val="restart"/>
                  <w:vAlign w:val="center"/>
                </w:tcPr>
                <w:p w14:paraId="2D3973E6">
                  <w:pPr>
                    <w:jc w:val="center"/>
                    <w:rPr>
                      <w:b/>
                      <w:bCs/>
                      <w:sz w:val="18"/>
                      <w:szCs w:val="18"/>
                    </w:rPr>
                  </w:pPr>
                  <w:r>
                    <w:rPr>
                      <w:rFonts w:hint="eastAsia"/>
                      <w:b/>
                      <w:bCs/>
                      <w:sz w:val="18"/>
                      <w:szCs w:val="18"/>
                    </w:rPr>
                    <w:t>污染物名称</w:t>
                  </w:r>
                </w:p>
              </w:tc>
              <w:tc>
                <w:tcPr>
                  <w:tcW w:w="1000" w:type="pct"/>
                  <w:gridSpan w:val="2"/>
                  <w:vAlign w:val="center"/>
                </w:tcPr>
                <w:p w14:paraId="10201B3F">
                  <w:pPr>
                    <w:jc w:val="center"/>
                    <w:rPr>
                      <w:b/>
                      <w:bCs/>
                      <w:sz w:val="18"/>
                      <w:szCs w:val="18"/>
                    </w:rPr>
                  </w:pPr>
                  <w:r>
                    <w:rPr>
                      <w:rFonts w:hint="eastAsia"/>
                      <w:b/>
                      <w:bCs/>
                      <w:sz w:val="18"/>
                      <w:szCs w:val="18"/>
                    </w:rPr>
                    <w:t>处理前</w:t>
                  </w:r>
                </w:p>
              </w:tc>
              <w:tc>
                <w:tcPr>
                  <w:tcW w:w="1000" w:type="pct"/>
                  <w:gridSpan w:val="2"/>
                  <w:vAlign w:val="center"/>
                </w:tcPr>
                <w:p w14:paraId="3AC1E773">
                  <w:pPr>
                    <w:jc w:val="center"/>
                    <w:rPr>
                      <w:b/>
                      <w:bCs/>
                      <w:sz w:val="18"/>
                      <w:szCs w:val="18"/>
                    </w:rPr>
                  </w:pPr>
                  <w:r>
                    <w:rPr>
                      <w:rFonts w:hint="eastAsia"/>
                      <w:b/>
                      <w:bCs/>
                      <w:sz w:val="18"/>
                      <w:szCs w:val="18"/>
                    </w:rPr>
                    <w:t>处理后</w:t>
                  </w:r>
                </w:p>
              </w:tc>
              <w:tc>
                <w:tcPr>
                  <w:tcW w:w="285" w:type="pct"/>
                  <w:vMerge w:val="restart"/>
                  <w:shd w:val="clear" w:color="auto" w:fill="auto"/>
                  <w:vAlign w:val="center"/>
                </w:tcPr>
                <w:p w14:paraId="3BD8FD05">
                  <w:pPr>
                    <w:jc w:val="center"/>
                    <w:rPr>
                      <w:b/>
                      <w:bCs/>
                      <w:sz w:val="18"/>
                      <w:szCs w:val="18"/>
                    </w:rPr>
                  </w:pPr>
                  <w:r>
                    <w:rPr>
                      <w:rFonts w:hint="eastAsia"/>
                      <w:b/>
                      <w:bCs/>
                      <w:sz w:val="18"/>
                      <w:szCs w:val="18"/>
                    </w:rPr>
                    <w:t>处理效率</w:t>
                  </w:r>
                </w:p>
              </w:tc>
              <w:tc>
                <w:tcPr>
                  <w:tcW w:w="1000" w:type="pct"/>
                  <w:gridSpan w:val="2"/>
                  <w:shd w:val="clear" w:color="auto" w:fill="auto"/>
                  <w:vAlign w:val="center"/>
                </w:tcPr>
                <w:p w14:paraId="0E6F8548">
                  <w:pPr>
                    <w:jc w:val="center"/>
                    <w:rPr>
                      <w:b/>
                      <w:bCs/>
                      <w:sz w:val="18"/>
                      <w:szCs w:val="18"/>
                    </w:rPr>
                  </w:pPr>
                  <w:r>
                    <w:rPr>
                      <w:rFonts w:hint="eastAsia"/>
                      <w:b/>
                      <w:bCs/>
                      <w:sz w:val="18"/>
                      <w:szCs w:val="18"/>
                    </w:rPr>
                    <w:t>排放标准</w:t>
                  </w:r>
                </w:p>
              </w:tc>
              <w:tc>
                <w:tcPr>
                  <w:tcW w:w="215" w:type="pct"/>
                  <w:vMerge w:val="restart"/>
                  <w:vAlign w:val="center"/>
                </w:tcPr>
                <w:p w14:paraId="6758D42D">
                  <w:pPr>
                    <w:jc w:val="center"/>
                    <w:rPr>
                      <w:b/>
                      <w:bCs/>
                      <w:sz w:val="18"/>
                      <w:szCs w:val="18"/>
                    </w:rPr>
                  </w:pPr>
                  <w:r>
                    <w:rPr>
                      <w:rFonts w:hint="eastAsia"/>
                      <w:b/>
                      <w:bCs/>
                      <w:sz w:val="18"/>
                      <w:szCs w:val="18"/>
                    </w:rPr>
                    <w:t>达标情况</w:t>
                  </w:r>
                </w:p>
              </w:tc>
            </w:tr>
            <w:tr w14:paraId="71559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shd w:val="clear" w:color="auto" w:fill="auto"/>
                  <w:vAlign w:val="center"/>
                </w:tcPr>
                <w:p w14:paraId="4054FFFB">
                  <w:pPr>
                    <w:jc w:val="center"/>
                    <w:rPr>
                      <w:sz w:val="18"/>
                      <w:szCs w:val="18"/>
                    </w:rPr>
                  </w:pPr>
                </w:p>
              </w:tc>
              <w:tc>
                <w:tcPr>
                  <w:tcW w:w="534" w:type="pct"/>
                  <w:vAlign w:val="center"/>
                </w:tcPr>
                <w:p w14:paraId="17ED03C6">
                  <w:pPr>
                    <w:jc w:val="center"/>
                    <w:rPr>
                      <w:b/>
                      <w:bCs/>
                      <w:sz w:val="18"/>
                      <w:szCs w:val="18"/>
                    </w:rPr>
                  </w:pPr>
                  <w:r>
                    <w:rPr>
                      <w:rFonts w:hint="eastAsia"/>
                      <w:b/>
                      <w:bCs/>
                      <w:sz w:val="18"/>
                      <w:szCs w:val="18"/>
                    </w:rPr>
                    <w:t>排气量</w:t>
                  </w:r>
                  <w:r>
                    <w:rPr>
                      <w:b/>
                      <w:bCs/>
                      <w:sz w:val="18"/>
                      <w:szCs w:val="18"/>
                    </w:rPr>
                    <w:t>（Nm</w:t>
                  </w:r>
                  <w:r>
                    <w:rPr>
                      <w:b/>
                      <w:bCs/>
                      <w:sz w:val="18"/>
                      <w:szCs w:val="18"/>
                      <w:vertAlign w:val="superscript"/>
                    </w:rPr>
                    <w:t>3</w:t>
                  </w:r>
                  <w:r>
                    <w:rPr>
                      <w:b/>
                      <w:bCs/>
                      <w:sz w:val="18"/>
                      <w:szCs w:val="18"/>
                    </w:rPr>
                    <w:t>/h）</w:t>
                  </w:r>
                </w:p>
              </w:tc>
              <w:tc>
                <w:tcPr>
                  <w:tcW w:w="371" w:type="pct"/>
                  <w:vAlign w:val="center"/>
                </w:tcPr>
                <w:p w14:paraId="7AB67042">
                  <w:pPr>
                    <w:jc w:val="center"/>
                    <w:rPr>
                      <w:b/>
                      <w:bCs/>
                      <w:sz w:val="18"/>
                      <w:szCs w:val="18"/>
                    </w:rPr>
                  </w:pPr>
                  <w:r>
                    <w:rPr>
                      <w:rFonts w:hint="eastAsia"/>
                      <w:b/>
                      <w:bCs/>
                      <w:sz w:val="18"/>
                      <w:szCs w:val="18"/>
                    </w:rPr>
                    <w:t>排放高度（m）</w:t>
                  </w:r>
                </w:p>
              </w:tc>
              <w:tc>
                <w:tcPr>
                  <w:tcW w:w="215" w:type="pct"/>
                  <w:vMerge w:val="continue"/>
                  <w:vAlign w:val="center"/>
                </w:tcPr>
                <w:p w14:paraId="43FD900F">
                  <w:pPr>
                    <w:jc w:val="center"/>
                    <w:rPr>
                      <w:b/>
                      <w:bCs/>
                      <w:sz w:val="18"/>
                      <w:szCs w:val="18"/>
                    </w:rPr>
                  </w:pPr>
                </w:p>
              </w:tc>
              <w:tc>
                <w:tcPr>
                  <w:tcW w:w="538" w:type="pct"/>
                  <w:vAlign w:val="center"/>
                </w:tcPr>
                <w:p w14:paraId="718C617E">
                  <w:pPr>
                    <w:jc w:val="center"/>
                    <w:rPr>
                      <w:b/>
                      <w:bCs/>
                      <w:sz w:val="18"/>
                      <w:szCs w:val="18"/>
                    </w:rPr>
                  </w:pPr>
                  <w:r>
                    <w:rPr>
                      <w:rFonts w:hint="eastAsia"/>
                      <w:b/>
                      <w:bCs/>
                      <w:sz w:val="18"/>
                      <w:szCs w:val="18"/>
                    </w:rPr>
                    <w:t>产生浓度</w:t>
                  </w:r>
                  <w:r>
                    <w:rPr>
                      <w:b/>
                      <w:bCs/>
                      <w:sz w:val="18"/>
                      <w:szCs w:val="18"/>
                    </w:rPr>
                    <w:t>（mg/m</w:t>
                  </w:r>
                  <w:r>
                    <w:rPr>
                      <w:b/>
                      <w:bCs/>
                      <w:sz w:val="18"/>
                      <w:szCs w:val="18"/>
                      <w:vertAlign w:val="superscript"/>
                    </w:rPr>
                    <w:t>3</w:t>
                  </w:r>
                  <w:r>
                    <w:rPr>
                      <w:b/>
                      <w:bCs/>
                      <w:sz w:val="18"/>
                      <w:szCs w:val="18"/>
                    </w:rPr>
                    <w:t>）</w:t>
                  </w:r>
                </w:p>
              </w:tc>
              <w:tc>
                <w:tcPr>
                  <w:tcW w:w="462" w:type="pct"/>
                  <w:vAlign w:val="center"/>
                </w:tcPr>
                <w:p w14:paraId="31851B01">
                  <w:pPr>
                    <w:jc w:val="center"/>
                    <w:rPr>
                      <w:b/>
                      <w:bCs/>
                      <w:sz w:val="18"/>
                      <w:szCs w:val="18"/>
                    </w:rPr>
                  </w:pPr>
                  <w:r>
                    <w:rPr>
                      <w:rFonts w:hint="eastAsia"/>
                      <w:b/>
                      <w:bCs/>
                      <w:sz w:val="18"/>
                      <w:szCs w:val="18"/>
                    </w:rPr>
                    <w:t>产生速率</w:t>
                  </w:r>
                  <w:r>
                    <w:rPr>
                      <w:b/>
                      <w:bCs/>
                      <w:sz w:val="18"/>
                      <w:szCs w:val="18"/>
                    </w:rPr>
                    <w:t>（kg/h）</w:t>
                  </w:r>
                </w:p>
              </w:tc>
              <w:tc>
                <w:tcPr>
                  <w:tcW w:w="538" w:type="pct"/>
                  <w:vAlign w:val="center"/>
                </w:tcPr>
                <w:p w14:paraId="5A69D57F">
                  <w:pPr>
                    <w:jc w:val="center"/>
                    <w:rPr>
                      <w:b/>
                      <w:bCs/>
                      <w:sz w:val="18"/>
                      <w:szCs w:val="18"/>
                    </w:rPr>
                  </w:pPr>
                  <w:r>
                    <w:rPr>
                      <w:rFonts w:hint="eastAsia"/>
                      <w:b/>
                      <w:bCs/>
                      <w:sz w:val="18"/>
                      <w:szCs w:val="18"/>
                    </w:rPr>
                    <w:t>排放浓度</w:t>
                  </w:r>
                  <w:r>
                    <w:rPr>
                      <w:b/>
                      <w:bCs/>
                      <w:sz w:val="18"/>
                      <w:szCs w:val="18"/>
                    </w:rPr>
                    <w:t>（mg/m</w:t>
                  </w:r>
                  <w:r>
                    <w:rPr>
                      <w:b/>
                      <w:bCs/>
                      <w:sz w:val="18"/>
                      <w:szCs w:val="18"/>
                      <w:vertAlign w:val="superscript"/>
                    </w:rPr>
                    <w:t>3</w:t>
                  </w:r>
                  <w:r>
                    <w:rPr>
                      <w:b/>
                      <w:bCs/>
                      <w:sz w:val="18"/>
                      <w:szCs w:val="18"/>
                    </w:rPr>
                    <w:t>）</w:t>
                  </w:r>
                </w:p>
              </w:tc>
              <w:tc>
                <w:tcPr>
                  <w:tcW w:w="462" w:type="pct"/>
                  <w:shd w:val="clear" w:color="auto" w:fill="auto"/>
                  <w:vAlign w:val="center"/>
                </w:tcPr>
                <w:p w14:paraId="293044B3">
                  <w:pPr>
                    <w:jc w:val="center"/>
                    <w:rPr>
                      <w:b/>
                      <w:bCs/>
                      <w:sz w:val="18"/>
                      <w:szCs w:val="18"/>
                    </w:rPr>
                  </w:pPr>
                  <w:r>
                    <w:rPr>
                      <w:rFonts w:hint="eastAsia"/>
                      <w:b/>
                      <w:bCs/>
                      <w:sz w:val="18"/>
                      <w:szCs w:val="18"/>
                    </w:rPr>
                    <w:t>排放速率</w:t>
                  </w:r>
                  <w:r>
                    <w:rPr>
                      <w:b/>
                      <w:bCs/>
                      <w:sz w:val="18"/>
                      <w:szCs w:val="18"/>
                    </w:rPr>
                    <w:t>（kg/h）</w:t>
                  </w:r>
                </w:p>
              </w:tc>
              <w:tc>
                <w:tcPr>
                  <w:tcW w:w="285" w:type="pct"/>
                  <w:vMerge w:val="continue"/>
                  <w:shd w:val="clear" w:color="auto" w:fill="auto"/>
                  <w:vAlign w:val="center"/>
                </w:tcPr>
                <w:p w14:paraId="3BC85F85">
                  <w:pPr>
                    <w:jc w:val="center"/>
                    <w:rPr>
                      <w:b/>
                      <w:bCs/>
                      <w:sz w:val="18"/>
                      <w:szCs w:val="18"/>
                    </w:rPr>
                  </w:pPr>
                </w:p>
              </w:tc>
              <w:tc>
                <w:tcPr>
                  <w:tcW w:w="495" w:type="pct"/>
                  <w:shd w:val="clear" w:color="auto" w:fill="auto"/>
                  <w:vAlign w:val="center"/>
                </w:tcPr>
                <w:p w14:paraId="110538A7">
                  <w:pPr>
                    <w:jc w:val="center"/>
                    <w:rPr>
                      <w:b/>
                      <w:bCs/>
                      <w:sz w:val="18"/>
                      <w:szCs w:val="18"/>
                    </w:rPr>
                  </w:pPr>
                  <w:r>
                    <w:rPr>
                      <w:rFonts w:hint="eastAsia"/>
                      <w:b/>
                      <w:bCs/>
                      <w:sz w:val="18"/>
                      <w:szCs w:val="18"/>
                    </w:rPr>
                    <w:t>排放浓度</w:t>
                  </w:r>
                  <w:r>
                    <w:rPr>
                      <w:b/>
                      <w:bCs/>
                      <w:sz w:val="18"/>
                      <w:szCs w:val="18"/>
                    </w:rPr>
                    <w:t>（mg/m</w:t>
                  </w:r>
                  <w:r>
                    <w:rPr>
                      <w:b/>
                      <w:bCs/>
                      <w:sz w:val="18"/>
                      <w:szCs w:val="18"/>
                      <w:vertAlign w:val="superscript"/>
                    </w:rPr>
                    <w:t>3</w:t>
                  </w:r>
                  <w:r>
                    <w:rPr>
                      <w:b/>
                      <w:bCs/>
                      <w:sz w:val="18"/>
                      <w:szCs w:val="18"/>
                    </w:rPr>
                    <w:t>）</w:t>
                  </w:r>
                </w:p>
              </w:tc>
              <w:tc>
                <w:tcPr>
                  <w:tcW w:w="505" w:type="pct"/>
                  <w:vAlign w:val="center"/>
                </w:tcPr>
                <w:p w14:paraId="105B0F26">
                  <w:pPr>
                    <w:jc w:val="center"/>
                    <w:rPr>
                      <w:b/>
                      <w:bCs/>
                      <w:sz w:val="18"/>
                      <w:szCs w:val="18"/>
                    </w:rPr>
                  </w:pPr>
                  <w:r>
                    <w:rPr>
                      <w:rFonts w:hint="eastAsia"/>
                      <w:b/>
                      <w:bCs/>
                      <w:sz w:val="18"/>
                      <w:szCs w:val="18"/>
                    </w:rPr>
                    <w:t>排放速率</w:t>
                  </w:r>
                  <w:r>
                    <w:rPr>
                      <w:b/>
                      <w:bCs/>
                      <w:sz w:val="18"/>
                      <w:szCs w:val="18"/>
                    </w:rPr>
                    <w:t>（kg/h）</w:t>
                  </w:r>
                </w:p>
              </w:tc>
              <w:tc>
                <w:tcPr>
                  <w:tcW w:w="215" w:type="pct"/>
                  <w:vMerge w:val="continue"/>
                  <w:vAlign w:val="center"/>
                </w:tcPr>
                <w:p w14:paraId="1060EC4A">
                  <w:pPr>
                    <w:jc w:val="center"/>
                    <w:rPr>
                      <w:sz w:val="18"/>
                      <w:szCs w:val="18"/>
                    </w:rPr>
                  </w:pPr>
                </w:p>
              </w:tc>
            </w:tr>
            <w:tr w14:paraId="65280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380" w:type="pct"/>
                  <w:shd w:val="clear" w:color="auto" w:fill="auto"/>
                  <w:vAlign w:val="center"/>
                </w:tcPr>
                <w:p w14:paraId="7AB3F635">
                  <w:pPr>
                    <w:jc w:val="center"/>
                    <w:rPr>
                      <w:sz w:val="18"/>
                      <w:szCs w:val="18"/>
                    </w:rPr>
                  </w:pPr>
                  <w:r>
                    <w:rPr>
                      <w:sz w:val="18"/>
                      <w:szCs w:val="18"/>
                    </w:rPr>
                    <w:t>DA001</w:t>
                  </w:r>
                </w:p>
              </w:tc>
              <w:tc>
                <w:tcPr>
                  <w:tcW w:w="534" w:type="pct"/>
                  <w:vAlign w:val="center"/>
                </w:tcPr>
                <w:p w14:paraId="64F95B25">
                  <w:pPr>
                    <w:jc w:val="center"/>
                    <w:rPr>
                      <w:sz w:val="18"/>
                      <w:szCs w:val="18"/>
                    </w:rPr>
                  </w:pPr>
                  <w:r>
                    <w:rPr>
                      <w:rFonts w:hint="eastAsia"/>
                      <w:sz w:val="18"/>
                      <w:szCs w:val="18"/>
                    </w:rPr>
                    <w:t>/</w:t>
                  </w:r>
                </w:p>
              </w:tc>
              <w:tc>
                <w:tcPr>
                  <w:tcW w:w="371" w:type="pct"/>
                  <w:vAlign w:val="center"/>
                </w:tcPr>
                <w:p w14:paraId="4D2A7913">
                  <w:pPr>
                    <w:jc w:val="center"/>
                    <w:rPr>
                      <w:sz w:val="18"/>
                      <w:szCs w:val="18"/>
                    </w:rPr>
                  </w:pPr>
                  <w:r>
                    <w:rPr>
                      <w:rFonts w:hint="eastAsia"/>
                      <w:sz w:val="18"/>
                      <w:szCs w:val="18"/>
                    </w:rPr>
                    <w:t>20</w:t>
                  </w:r>
                </w:p>
              </w:tc>
              <w:tc>
                <w:tcPr>
                  <w:tcW w:w="215" w:type="pct"/>
                  <w:vAlign w:val="center"/>
                </w:tcPr>
                <w:p w14:paraId="7173B78C">
                  <w:pPr>
                    <w:jc w:val="center"/>
                    <w:rPr>
                      <w:rFonts w:hint="eastAsia"/>
                      <w:sz w:val="18"/>
                      <w:szCs w:val="18"/>
                    </w:rPr>
                  </w:pPr>
                  <w:r>
                    <w:rPr>
                      <w:rFonts w:hint="eastAsia"/>
                      <w:sz w:val="18"/>
                      <w:szCs w:val="18"/>
                    </w:rPr>
                    <w:t>臭气浓度</w:t>
                  </w:r>
                </w:p>
              </w:tc>
              <w:tc>
                <w:tcPr>
                  <w:tcW w:w="538" w:type="pct"/>
                  <w:vAlign w:val="center"/>
                </w:tcPr>
                <w:p w14:paraId="7F557A67">
                  <w:pPr>
                    <w:jc w:val="center"/>
                    <w:rPr>
                      <w:sz w:val="18"/>
                      <w:szCs w:val="18"/>
                    </w:rPr>
                  </w:pPr>
                  <w:r>
                    <w:rPr>
                      <w:rFonts w:hint="eastAsia"/>
                      <w:sz w:val="18"/>
                      <w:szCs w:val="18"/>
                    </w:rPr>
                    <w:t>少量</w:t>
                  </w:r>
                </w:p>
              </w:tc>
              <w:tc>
                <w:tcPr>
                  <w:tcW w:w="462" w:type="pct"/>
                  <w:vAlign w:val="center"/>
                </w:tcPr>
                <w:p w14:paraId="0D45CE10">
                  <w:pPr>
                    <w:jc w:val="center"/>
                    <w:rPr>
                      <w:sz w:val="18"/>
                      <w:szCs w:val="18"/>
                    </w:rPr>
                  </w:pPr>
                  <w:r>
                    <w:rPr>
                      <w:rFonts w:hint="eastAsia"/>
                      <w:sz w:val="18"/>
                      <w:szCs w:val="18"/>
                    </w:rPr>
                    <w:t>少量</w:t>
                  </w:r>
                </w:p>
              </w:tc>
              <w:tc>
                <w:tcPr>
                  <w:tcW w:w="538" w:type="pct"/>
                  <w:vAlign w:val="center"/>
                </w:tcPr>
                <w:p w14:paraId="49FEED0A">
                  <w:pPr>
                    <w:jc w:val="center"/>
                    <w:rPr>
                      <w:sz w:val="18"/>
                      <w:szCs w:val="18"/>
                    </w:rPr>
                  </w:pPr>
                  <w:r>
                    <w:rPr>
                      <w:rFonts w:hint="eastAsia"/>
                      <w:sz w:val="18"/>
                      <w:szCs w:val="18"/>
                    </w:rPr>
                    <w:t>少量</w:t>
                  </w:r>
                </w:p>
              </w:tc>
              <w:tc>
                <w:tcPr>
                  <w:tcW w:w="462" w:type="pct"/>
                  <w:shd w:val="clear" w:color="auto" w:fill="auto"/>
                  <w:vAlign w:val="center"/>
                </w:tcPr>
                <w:p w14:paraId="53D87F6F">
                  <w:pPr>
                    <w:jc w:val="center"/>
                    <w:rPr>
                      <w:sz w:val="18"/>
                      <w:szCs w:val="18"/>
                    </w:rPr>
                  </w:pPr>
                  <w:r>
                    <w:rPr>
                      <w:rFonts w:hint="eastAsia"/>
                      <w:sz w:val="18"/>
                      <w:szCs w:val="18"/>
                    </w:rPr>
                    <w:t>少量</w:t>
                  </w:r>
                </w:p>
              </w:tc>
              <w:tc>
                <w:tcPr>
                  <w:tcW w:w="285" w:type="pct"/>
                  <w:shd w:val="clear" w:color="auto" w:fill="auto"/>
                  <w:vAlign w:val="center"/>
                </w:tcPr>
                <w:p w14:paraId="339DA742">
                  <w:pPr>
                    <w:jc w:val="center"/>
                    <w:rPr>
                      <w:sz w:val="18"/>
                      <w:szCs w:val="18"/>
                    </w:rPr>
                  </w:pPr>
                  <w:r>
                    <w:rPr>
                      <w:rFonts w:hint="eastAsia"/>
                      <w:sz w:val="18"/>
                      <w:szCs w:val="18"/>
                    </w:rPr>
                    <w:t>/</w:t>
                  </w:r>
                </w:p>
              </w:tc>
              <w:tc>
                <w:tcPr>
                  <w:tcW w:w="495" w:type="pct"/>
                  <w:shd w:val="clear" w:color="auto" w:fill="auto"/>
                  <w:vAlign w:val="center"/>
                </w:tcPr>
                <w:p w14:paraId="422651F6">
                  <w:pPr>
                    <w:jc w:val="center"/>
                    <w:rPr>
                      <w:sz w:val="18"/>
                      <w:szCs w:val="18"/>
                    </w:rPr>
                  </w:pPr>
                  <w:r>
                    <w:rPr>
                      <w:rFonts w:hint="eastAsia"/>
                      <w:sz w:val="18"/>
                      <w:szCs w:val="18"/>
                    </w:rPr>
                    <w:t>/</w:t>
                  </w:r>
                </w:p>
              </w:tc>
              <w:tc>
                <w:tcPr>
                  <w:tcW w:w="505" w:type="pct"/>
                  <w:vAlign w:val="center"/>
                </w:tcPr>
                <w:p w14:paraId="5323330B">
                  <w:pPr>
                    <w:jc w:val="center"/>
                    <w:rPr>
                      <w:rFonts w:hint="eastAsia"/>
                      <w:sz w:val="18"/>
                      <w:szCs w:val="18"/>
                    </w:rPr>
                  </w:pPr>
                  <w:r>
                    <w:rPr>
                      <w:rFonts w:hint="eastAsia"/>
                      <w:sz w:val="18"/>
                      <w:szCs w:val="18"/>
                    </w:rPr>
                    <w:t>4000（无量纲）</w:t>
                  </w:r>
                </w:p>
              </w:tc>
              <w:tc>
                <w:tcPr>
                  <w:tcW w:w="215" w:type="pct"/>
                  <w:vAlign w:val="center"/>
                </w:tcPr>
                <w:p w14:paraId="0869FD53">
                  <w:pPr>
                    <w:jc w:val="center"/>
                    <w:rPr>
                      <w:sz w:val="18"/>
                      <w:szCs w:val="18"/>
                    </w:rPr>
                  </w:pPr>
                  <w:r>
                    <w:rPr>
                      <w:rFonts w:hint="eastAsia"/>
                      <w:sz w:val="18"/>
                      <w:szCs w:val="18"/>
                    </w:rPr>
                    <w:t>达标</w:t>
                  </w:r>
                </w:p>
              </w:tc>
            </w:tr>
            <w:tr w14:paraId="638CF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shd w:val="clear" w:color="auto" w:fill="auto"/>
                  <w:vAlign w:val="center"/>
                </w:tcPr>
                <w:p w14:paraId="4ADB60C8">
                  <w:pPr>
                    <w:jc w:val="center"/>
                    <w:rPr>
                      <w:sz w:val="18"/>
                      <w:szCs w:val="18"/>
                    </w:rPr>
                  </w:pPr>
                  <w:r>
                    <w:rPr>
                      <w:sz w:val="18"/>
                      <w:szCs w:val="18"/>
                    </w:rPr>
                    <w:t>DA002</w:t>
                  </w:r>
                </w:p>
              </w:tc>
              <w:tc>
                <w:tcPr>
                  <w:tcW w:w="534" w:type="pct"/>
                  <w:vAlign w:val="center"/>
                </w:tcPr>
                <w:p w14:paraId="5D1CC407">
                  <w:pPr>
                    <w:jc w:val="center"/>
                    <w:rPr>
                      <w:sz w:val="18"/>
                      <w:szCs w:val="18"/>
                    </w:rPr>
                  </w:pPr>
                  <w:r>
                    <w:rPr>
                      <w:rFonts w:hint="eastAsia"/>
                      <w:sz w:val="18"/>
                      <w:szCs w:val="18"/>
                    </w:rPr>
                    <w:t>4</w:t>
                  </w:r>
                  <w:r>
                    <w:rPr>
                      <w:sz w:val="18"/>
                      <w:szCs w:val="18"/>
                    </w:rPr>
                    <w:t>000</w:t>
                  </w:r>
                </w:p>
              </w:tc>
              <w:tc>
                <w:tcPr>
                  <w:tcW w:w="371" w:type="pct"/>
                  <w:vAlign w:val="center"/>
                </w:tcPr>
                <w:p w14:paraId="3399258C">
                  <w:pPr>
                    <w:jc w:val="center"/>
                    <w:rPr>
                      <w:sz w:val="18"/>
                      <w:szCs w:val="18"/>
                    </w:rPr>
                  </w:pPr>
                  <w:r>
                    <w:rPr>
                      <w:rFonts w:hint="eastAsia"/>
                      <w:sz w:val="18"/>
                      <w:szCs w:val="18"/>
                    </w:rPr>
                    <w:t>20</w:t>
                  </w:r>
                </w:p>
              </w:tc>
              <w:tc>
                <w:tcPr>
                  <w:tcW w:w="215" w:type="pct"/>
                  <w:vAlign w:val="center"/>
                </w:tcPr>
                <w:p w14:paraId="15424002">
                  <w:pPr>
                    <w:jc w:val="center"/>
                    <w:rPr>
                      <w:sz w:val="18"/>
                      <w:szCs w:val="18"/>
                    </w:rPr>
                  </w:pPr>
                  <w:r>
                    <w:rPr>
                      <w:rFonts w:hint="eastAsia"/>
                      <w:sz w:val="18"/>
                      <w:szCs w:val="18"/>
                    </w:rPr>
                    <w:t>颗粒物</w:t>
                  </w:r>
                </w:p>
              </w:tc>
              <w:tc>
                <w:tcPr>
                  <w:tcW w:w="538" w:type="pct"/>
                  <w:vAlign w:val="center"/>
                </w:tcPr>
                <w:p w14:paraId="299E3F88">
                  <w:pPr>
                    <w:jc w:val="center"/>
                    <w:rPr>
                      <w:rFonts w:hint="eastAsia"/>
                      <w:sz w:val="18"/>
                      <w:szCs w:val="18"/>
                    </w:rPr>
                  </w:pPr>
                  <w:r>
                    <w:rPr>
                      <w:rFonts w:hint="eastAsia"/>
                      <w:sz w:val="18"/>
                      <w:szCs w:val="18"/>
                    </w:rPr>
                    <w:t>1.98</w:t>
                  </w:r>
                </w:p>
              </w:tc>
              <w:tc>
                <w:tcPr>
                  <w:tcW w:w="462" w:type="pct"/>
                  <w:vAlign w:val="center"/>
                </w:tcPr>
                <w:p w14:paraId="36F7FDBA">
                  <w:pPr>
                    <w:jc w:val="center"/>
                    <w:rPr>
                      <w:rFonts w:hint="eastAsia"/>
                      <w:sz w:val="18"/>
                      <w:szCs w:val="18"/>
                    </w:rPr>
                  </w:pPr>
                  <w:r>
                    <w:rPr>
                      <w:rFonts w:hint="eastAsia"/>
                      <w:sz w:val="18"/>
                      <w:szCs w:val="18"/>
                    </w:rPr>
                    <w:t>0.0079</w:t>
                  </w:r>
                </w:p>
              </w:tc>
              <w:tc>
                <w:tcPr>
                  <w:tcW w:w="538" w:type="pct"/>
                  <w:vAlign w:val="center"/>
                </w:tcPr>
                <w:p w14:paraId="62CDA0AF">
                  <w:pPr>
                    <w:jc w:val="center"/>
                    <w:rPr>
                      <w:rFonts w:hint="eastAsia"/>
                      <w:sz w:val="18"/>
                      <w:szCs w:val="18"/>
                    </w:rPr>
                  </w:pPr>
                  <w:r>
                    <w:rPr>
                      <w:rFonts w:hint="eastAsia"/>
                      <w:sz w:val="18"/>
                      <w:szCs w:val="18"/>
                    </w:rPr>
                    <w:t>0.0356</w:t>
                  </w:r>
                </w:p>
              </w:tc>
              <w:tc>
                <w:tcPr>
                  <w:tcW w:w="462" w:type="pct"/>
                  <w:shd w:val="clear" w:color="auto" w:fill="auto"/>
                  <w:vAlign w:val="center"/>
                </w:tcPr>
                <w:p w14:paraId="059A4ACB">
                  <w:pPr>
                    <w:jc w:val="center"/>
                    <w:rPr>
                      <w:rFonts w:hint="eastAsia"/>
                      <w:sz w:val="18"/>
                      <w:szCs w:val="18"/>
                    </w:rPr>
                  </w:pPr>
                  <w:r>
                    <w:rPr>
                      <w:rFonts w:hint="eastAsia"/>
                      <w:sz w:val="18"/>
                      <w:szCs w:val="18"/>
                    </w:rPr>
                    <w:t>0.0001</w:t>
                  </w:r>
                </w:p>
              </w:tc>
              <w:tc>
                <w:tcPr>
                  <w:tcW w:w="285" w:type="pct"/>
                  <w:shd w:val="clear" w:color="auto" w:fill="auto"/>
                  <w:vAlign w:val="center"/>
                </w:tcPr>
                <w:p w14:paraId="0B3412D5">
                  <w:pPr>
                    <w:jc w:val="center"/>
                    <w:rPr>
                      <w:sz w:val="18"/>
                      <w:szCs w:val="18"/>
                    </w:rPr>
                  </w:pPr>
                  <w:r>
                    <w:rPr>
                      <w:rFonts w:hint="eastAsia"/>
                      <w:sz w:val="18"/>
                      <w:szCs w:val="18"/>
                    </w:rPr>
                    <w:t>98</w:t>
                  </w:r>
                  <w:r>
                    <w:rPr>
                      <w:sz w:val="18"/>
                      <w:szCs w:val="18"/>
                    </w:rPr>
                    <w:t>%</w:t>
                  </w:r>
                </w:p>
              </w:tc>
              <w:tc>
                <w:tcPr>
                  <w:tcW w:w="495" w:type="pct"/>
                  <w:shd w:val="clear" w:color="auto" w:fill="auto"/>
                  <w:vAlign w:val="center"/>
                </w:tcPr>
                <w:p w14:paraId="67C33AFC">
                  <w:pPr>
                    <w:jc w:val="center"/>
                    <w:rPr>
                      <w:rFonts w:hint="eastAsia"/>
                      <w:sz w:val="18"/>
                      <w:szCs w:val="18"/>
                    </w:rPr>
                  </w:pPr>
                  <w:r>
                    <w:rPr>
                      <w:rFonts w:hint="eastAsia"/>
                      <w:sz w:val="18"/>
                      <w:szCs w:val="18"/>
                    </w:rPr>
                    <w:t>120</w:t>
                  </w:r>
                </w:p>
              </w:tc>
              <w:tc>
                <w:tcPr>
                  <w:tcW w:w="505" w:type="pct"/>
                  <w:vAlign w:val="center"/>
                </w:tcPr>
                <w:p w14:paraId="47BACBEF">
                  <w:pPr>
                    <w:jc w:val="center"/>
                    <w:rPr>
                      <w:rFonts w:hint="eastAsia"/>
                      <w:sz w:val="18"/>
                      <w:szCs w:val="18"/>
                    </w:rPr>
                  </w:pPr>
                  <w:r>
                    <w:rPr>
                      <w:rFonts w:hint="eastAsia"/>
                      <w:sz w:val="18"/>
                      <w:szCs w:val="18"/>
                    </w:rPr>
                    <w:t>5.9</w:t>
                  </w:r>
                </w:p>
              </w:tc>
              <w:tc>
                <w:tcPr>
                  <w:tcW w:w="215" w:type="pct"/>
                  <w:vAlign w:val="center"/>
                </w:tcPr>
                <w:p w14:paraId="642E695D">
                  <w:pPr>
                    <w:jc w:val="center"/>
                    <w:rPr>
                      <w:sz w:val="18"/>
                      <w:szCs w:val="18"/>
                    </w:rPr>
                  </w:pPr>
                  <w:r>
                    <w:rPr>
                      <w:rFonts w:hint="eastAsia"/>
                      <w:sz w:val="18"/>
                      <w:szCs w:val="18"/>
                    </w:rPr>
                    <w:t>达标</w:t>
                  </w:r>
                </w:p>
              </w:tc>
            </w:tr>
          </w:tbl>
          <w:p w14:paraId="31045DCA">
            <w:pPr>
              <w:widowControl/>
              <w:spacing w:line="360" w:lineRule="auto"/>
              <w:ind w:firstLine="420" w:firstLineChars="200"/>
              <w:rPr>
                <w:lang w:bidi="ar"/>
              </w:rPr>
            </w:pPr>
            <w:r>
              <w:rPr>
                <w:rFonts w:hint="eastAsia" w:ascii="宋体" w:hAnsi="宋体"/>
                <w:lang w:bidi="ar"/>
              </w:rPr>
              <w:t>由上表可知，经过相应废气治理措施后，本项目运行期间颗粒物能满足</w:t>
            </w:r>
            <w:r>
              <w:rPr>
                <w:rFonts w:hint="eastAsia"/>
                <w:lang w:bidi="ar"/>
              </w:rPr>
              <w:t>《大气污染物综合排放标准》（GB16297-1996）表2中的排放限值，煎药异味能满足恶臭污染物排放标准》  (GB14554-93) 中二 级标准排放标准限值要求。</w:t>
            </w:r>
          </w:p>
          <w:p w14:paraId="0F8EDB1D">
            <w:pPr>
              <w:widowControl/>
              <w:spacing w:line="360" w:lineRule="auto"/>
              <w:ind w:firstLine="420" w:firstLineChars="200"/>
              <w:rPr>
                <w:rFonts w:hint="eastAsia" w:ascii="宋体" w:hAnsi="宋体"/>
                <w:lang w:bidi="ar"/>
              </w:rPr>
            </w:pPr>
            <w:r>
              <w:rPr>
                <w:rFonts w:hint="eastAsia" w:ascii="宋体" w:hAnsi="宋体"/>
                <w:lang w:bidi="ar"/>
              </w:rPr>
              <w:t>项目废气排放口基本参数见下表。</w:t>
            </w:r>
          </w:p>
          <w:p w14:paraId="76789B02">
            <w:pPr>
              <w:autoSpaceDE w:val="0"/>
              <w:autoSpaceDN w:val="0"/>
              <w:adjustRightInd w:val="0"/>
              <w:snapToGrid w:val="0"/>
              <w:jc w:val="center"/>
              <w:rPr>
                <w:b/>
              </w:rPr>
            </w:pPr>
            <w:r>
              <w:rPr>
                <w:rFonts w:hint="eastAsia"/>
                <w:b/>
              </w:rPr>
              <w:t>表4-6  项目废气处理系统排放口统计一览表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740"/>
              <w:gridCol w:w="883"/>
              <w:gridCol w:w="885"/>
              <w:gridCol w:w="883"/>
              <w:gridCol w:w="1178"/>
              <w:gridCol w:w="1475"/>
              <w:gridCol w:w="1555"/>
            </w:tblGrid>
            <w:tr w14:paraId="4F8C2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544" w:type="pct"/>
                  <w:shd w:val="clear" w:color="auto" w:fill="auto"/>
                  <w:vAlign w:val="center"/>
                </w:tcPr>
                <w:p w14:paraId="0BDF93C4">
                  <w:pPr>
                    <w:jc w:val="center"/>
                    <w:rPr>
                      <w:b/>
                      <w:bCs/>
                      <w:sz w:val="18"/>
                      <w:szCs w:val="18"/>
                    </w:rPr>
                  </w:pPr>
                  <w:r>
                    <w:rPr>
                      <w:rFonts w:hint="eastAsia"/>
                      <w:b/>
                      <w:bCs/>
                      <w:sz w:val="18"/>
                      <w:szCs w:val="18"/>
                    </w:rPr>
                    <w:t>排气筒编号</w:t>
                  </w:r>
                </w:p>
              </w:tc>
              <w:tc>
                <w:tcPr>
                  <w:tcW w:w="434" w:type="pct"/>
                  <w:vAlign w:val="center"/>
                </w:tcPr>
                <w:p w14:paraId="1B347962">
                  <w:pPr>
                    <w:jc w:val="center"/>
                    <w:rPr>
                      <w:b/>
                      <w:bCs/>
                      <w:sz w:val="18"/>
                      <w:szCs w:val="18"/>
                    </w:rPr>
                  </w:pPr>
                  <w:r>
                    <w:rPr>
                      <w:rFonts w:hint="eastAsia"/>
                      <w:b/>
                      <w:bCs/>
                      <w:sz w:val="18"/>
                      <w:szCs w:val="18"/>
                    </w:rPr>
                    <w:t>风量m</w:t>
                  </w:r>
                  <w:r>
                    <w:rPr>
                      <w:b/>
                      <w:bCs/>
                      <w:sz w:val="18"/>
                      <w:szCs w:val="18"/>
                      <w:vertAlign w:val="superscript"/>
                    </w:rPr>
                    <w:t>3</w:t>
                  </w:r>
                  <w:r>
                    <w:rPr>
                      <w:b/>
                      <w:bCs/>
                      <w:sz w:val="18"/>
                      <w:szCs w:val="18"/>
                    </w:rPr>
                    <w:t>/h</w:t>
                  </w:r>
                </w:p>
              </w:tc>
              <w:tc>
                <w:tcPr>
                  <w:tcW w:w="518" w:type="pct"/>
                  <w:shd w:val="clear" w:color="auto" w:fill="auto"/>
                  <w:vAlign w:val="center"/>
                </w:tcPr>
                <w:p w14:paraId="47215A66">
                  <w:pPr>
                    <w:jc w:val="center"/>
                    <w:rPr>
                      <w:b/>
                      <w:bCs/>
                      <w:sz w:val="18"/>
                      <w:szCs w:val="18"/>
                    </w:rPr>
                  </w:pPr>
                  <w:r>
                    <w:rPr>
                      <w:rFonts w:hint="eastAsia"/>
                      <w:b/>
                      <w:bCs/>
                      <w:sz w:val="18"/>
                      <w:szCs w:val="18"/>
                    </w:rPr>
                    <w:t>排气筒高度/</w:t>
                  </w:r>
                  <w:r>
                    <w:rPr>
                      <w:b/>
                      <w:bCs/>
                      <w:sz w:val="18"/>
                      <w:szCs w:val="18"/>
                    </w:rPr>
                    <w:t>m</w:t>
                  </w:r>
                </w:p>
              </w:tc>
              <w:tc>
                <w:tcPr>
                  <w:tcW w:w="519" w:type="pct"/>
                  <w:shd w:val="clear" w:color="auto" w:fill="auto"/>
                  <w:vAlign w:val="center"/>
                </w:tcPr>
                <w:p w14:paraId="6595E4ED">
                  <w:pPr>
                    <w:jc w:val="center"/>
                    <w:rPr>
                      <w:b/>
                      <w:bCs/>
                      <w:sz w:val="18"/>
                      <w:szCs w:val="18"/>
                    </w:rPr>
                  </w:pPr>
                  <w:r>
                    <w:rPr>
                      <w:rFonts w:hint="eastAsia"/>
                      <w:b/>
                      <w:bCs/>
                      <w:sz w:val="18"/>
                      <w:szCs w:val="18"/>
                    </w:rPr>
                    <w:t>排气筒内径/</w:t>
                  </w:r>
                  <w:r>
                    <w:rPr>
                      <w:b/>
                      <w:bCs/>
                      <w:sz w:val="18"/>
                      <w:szCs w:val="18"/>
                    </w:rPr>
                    <w:t>m</w:t>
                  </w:r>
                </w:p>
              </w:tc>
              <w:tc>
                <w:tcPr>
                  <w:tcW w:w="518" w:type="pct"/>
                  <w:vAlign w:val="center"/>
                </w:tcPr>
                <w:p w14:paraId="427C4B30">
                  <w:pPr>
                    <w:jc w:val="center"/>
                    <w:rPr>
                      <w:b/>
                      <w:bCs/>
                      <w:sz w:val="18"/>
                      <w:szCs w:val="18"/>
                    </w:rPr>
                  </w:pPr>
                  <w:r>
                    <w:rPr>
                      <w:rFonts w:hint="eastAsia"/>
                      <w:b/>
                      <w:bCs/>
                      <w:sz w:val="18"/>
                      <w:szCs w:val="18"/>
                    </w:rPr>
                    <w:t>温度℃</w:t>
                  </w:r>
                </w:p>
              </w:tc>
              <w:tc>
                <w:tcPr>
                  <w:tcW w:w="691" w:type="pct"/>
                  <w:vAlign w:val="center"/>
                </w:tcPr>
                <w:p w14:paraId="355D4A47">
                  <w:pPr>
                    <w:jc w:val="center"/>
                    <w:rPr>
                      <w:b/>
                      <w:bCs/>
                      <w:sz w:val="18"/>
                      <w:szCs w:val="18"/>
                    </w:rPr>
                  </w:pPr>
                  <w:r>
                    <w:rPr>
                      <w:rFonts w:hint="eastAsia"/>
                      <w:b/>
                      <w:bCs/>
                      <w:sz w:val="18"/>
                      <w:szCs w:val="18"/>
                    </w:rPr>
                    <w:t>类型</w:t>
                  </w:r>
                </w:p>
              </w:tc>
              <w:tc>
                <w:tcPr>
                  <w:tcW w:w="865" w:type="pct"/>
                  <w:vAlign w:val="center"/>
                </w:tcPr>
                <w:p w14:paraId="56F75777">
                  <w:pPr>
                    <w:jc w:val="center"/>
                    <w:rPr>
                      <w:b/>
                      <w:bCs/>
                      <w:sz w:val="18"/>
                      <w:szCs w:val="18"/>
                    </w:rPr>
                  </w:pPr>
                  <w:r>
                    <w:rPr>
                      <w:rFonts w:hint="eastAsia"/>
                      <w:b/>
                      <w:bCs/>
                      <w:sz w:val="18"/>
                      <w:szCs w:val="18"/>
                    </w:rPr>
                    <w:t>经度</w:t>
                  </w:r>
                </w:p>
              </w:tc>
              <w:tc>
                <w:tcPr>
                  <w:tcW w:w="911" w:type="pct"/>
                  <w:shd w:val="clear" w:color="auto" w:fill="auto"/>
                  <w:vAlign w:val="center"/>
                </w:tcPr>
                <w:p w14:paraId="69E3499E">
                  <w:pPr>
                    <w:jc w:val="center"/>
                    <w:rPr>
                      <w:b/>
                      <w:bCs/>
                      <w:sz w:val="18"/>
                      <w:szCs w:val="18"/>
                    </w:rPr>
                  </w:pPr>
                  <w:r>
                    <w:rPr>
                      <w:rFonts w:hint="eastAsia"/>
                      <w:b/>
                      <w:bCs/>
                      <w:sz w:val="18"/>
                      <w:szCs w:val="18"/>
                    </w:rPr>
                    <w:t>纬度</w:t>
                  </w:r>
                </w:p>
              </w:tc>
            </w:tr>
            <w:tr w14:paraId="77A7A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44" w:type="pct"/>
                  <w:shd w:val="clear" w:color="auto" w:fill="auto"/>
                  <w:vAlign w:val="center"/>
                </w:tcPr>
                <w:p w14:paraId="4EC083A9">
                  <w:pPr>
                    <w:jc w:val="center"/>
                    <w:rPr>
                      <w:sz w:val="18"/>
                      <w:szCs w:val="18"/>
                    </w:rPr>
                  </w:pPr>
                  <w:r>
                    <w:rPr>
                      <w:sz w:val="18"/>
                      <w:szCs w:val="18"/>
                    </w:rPr>
                    <w:t>DA001</w:t>
                  </w:r>
                </w:p>
              </w:tc>
              <w:tc>
                <w:tcPr>
                  <w:tcW w:w="434" w:type="pct"/>
                  <w:vAlign w:val="center"/>
                </w:tcPr>
                <w:p w14:paraId="4A87DCBC">
                  <w:pPr>
                    <w:jc w:val="center"/>
                    <w:rPr>
                      <w:sz w:val="18"/>
                      <w:szCs w:val="18"/>
                    </w:rPr>
                  </w:pPr>
                  <w:r>
                    <w:rPr>
                      <w:rFonts w:hint="eastAsia"/>
                      <w:sz w:val="18"/>
                      <w:szCs w:val="18"/>
                    </w:rPr>
                    <w:t>/</w:t>
                  </w:r>
                </w:p>
              </w:tc>
              <w:tc>
                <w:tcPr>
                  <w:tcW w:w="518" w:type="pct"/>
                  <w:shd w:val="clear" w:color="auto" w:fill="auto"/>
                  <w:vAlign w:val="center"/>
                </w:tcPr>
                <w:p w14:paraId="592BF92E">
                  <w:pPr>
                    <w:jc w:val="center"/>
                    <w:rPr>
                      <w:sz w:val="18"/>
                      <w:szCs w:val="18"/>
                    </w:rPr>
                  </w:pPr>
                  <w:r>
                    <w:rPr>
                      <w:rFonts w:hint="eastAsia"/>
                      <w:sz w:val="18"/>
                      <w:szCs w:val="18"/>
                    </w:rPr>
                    <w:t>20</w:t>
                  </w:r>
                </w:p>
              </w:tc>
              <w:tc>
                <w:tcPr>
                  <w:tcW w:w="519" w:type="pct"/>
                  <w:shd w:val="clear" w:color="auto" w:fill="auto"/>
                  <w:vAlign w:val="center"/>
                </w:tcPr>
                <w:p w14:paraId="07032E3C">
                  <w:pPr>
                    <w:jc w:val="center"/>
                    <w:rPr>
                      <w:rFonts w:hint="eastAsia"/>
                      <w:sz w:val="18"/>
                      <w:szCs w:val="18"/>
                    </w:rPr>
                  </w:pPr>
                  <w:r>
                    <w:rPr>
                      <w:rFonts w:hint="eastAsia"/>
                      <w:sz w:val="18"/>
                      <w:szCs w:val="18"/>
                    </w:rPr>
                    <w:t>0.4</w:t>
                  </w:r>
                </w:p>
              </w:tc>
              <w:tc>
                <w:tcPr>
                  <w:tcW w:w="518" w:type="pct"/>
                  <w:vAlign w:val="center"/>
                </w:tcPr>
                <w:p w14:paraId="20116314">
                  <w:pPr>
                    <w:jc w:val="center"/>
                    <w:rPr>
                      <w:sz w:val="18"/>
                      <w:szCs w:val="18"/>
                    </w:rPr>
                  </w:pPr>
                  <w:r>
                    <w:rPr>
                      <w:rFonts w:hint="eastAsia"/>
                      <w:sz w:val="18"/>
                      <w:szCs w:val="18"/>
                    </w:rPr>
                    <w:t>常温</w:t>
                  </w:r>
                </w:p>
              </w:tc>
              <w:tc>
                <w:tcPr>
                  <w:tcW w:w="691" w:type="pct"/>
                  <w:vAlign w:val="center"/>
                </w:tcPr>
                <w:p w14:paraId="5612C158">
                  <w:pPr>
                    <w:jc w:val="center"/>
                    <w:rPr>
                      <w:sz w:val="18"/>
                      <w:szCs w:val="18"/>
                    </w:rPr>
                  </w:pPr>
                  <w:r>
                    <w:rPr>
                      <w:rFonts w:hint="eastAsia"/>
                      <w:sz w:val="18"/>
                      <w:szCs w:val="18"/>
                    </w:rPr>
                    <w:t>一般排放口</w:t>
                  </w:r>
                </w:p>
              </w:tc>
              <w:tc>
                <w:tcPr>
                  <w:tcW w:w="865" w:type="pct"/>
                  <w:vAlign w:val="center"/>
                </w:tcPr>
                <w:p w14:paraId="289026F6">
                  <w:pPr>
                    <w:jc w:val="center"/>
                    <w:rPr>
                      <w:sz w:val="18"/>
                      <w:szCs w:val="18"/>
                    </w:rPr>
                  </w:pPr>
                  <w:r>
                    <w:rPr>
                      <w:sz w:val="18"/>
                      <w:szCs w:val="18"/>
                    </w:rPr>
                    <w:t>107.51409531</w:t>
                  </w:r>
                </w:p>
              </w:tc>
              <w:tc>
                <w:tcPr>
                  <w:tcW w:w="911" w:type="pct"/>
                  <w:shd w:val="clear" w:color="auto" w:fill="auto"/>
                  <w:vAlign w:val="center"/>
                </w:tcPr>
                <w:p w14:paraId="3D33649D">
                  <w:pPr>
                    <w:jc w:val="center"/>
                    <w:rPr>
                      <w:sz w:val="18"/>
                      <w:szCs w:val="18"/>
                    </w:rPr>
                  </w:pPr>
                  <w:r>
                    <w:rPr>
                      <w:sz w:val="18"/>
                      <w:szCs w:val="18"/>
                    </w:rPr>
                    <w:t>31.34650854</w:t>
                  </w:r>
                </w:p>
              </w:tc>
            </w:tr>
            <w:tr w14:paraId="16085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44" w:type="pct"/>
                  <w:shd w:val="clear" w:color="auto" w:fill="auto"/>
                  <w:vAlign w:val="center"/>
                </w:tcPr>
                <w:p w14:paraId="7685560C">
                  <w:pPr>
                    <w:jc w:val="center"/>
                    <w:rPr>
                      <w:sz w:val="18"/>
                      <w:szCs w:val="18"/>
                    </w:rPr>
                  </w:pPr>
                  <w:r>
                    <w:rPr>
                      <w:sz w:val="18"/>
                      <w:szCs w:val="18"/>
                    </w:rPr>
                    <w:t>DA002</w:t>
                  </w:r>
                </w:p>
              </w:tc>
              <w:tc>
                <w:tcPr>
                  <w:tcW w:w="434" w:type="pct"/>
                  <w:vAlign w:val="center"/>
                </w:tcPr>
                <w:p w14:paraId="7442F594">
                  <w:pPr>
                    <w:jc w:val="center"/>
                    <w:rPr>
                      <w:sz w:val="18"/>
                      <w:szCs w:val="18"/>
                    </w:rPr>
                  </w:pPr>
                  <w:r>
                    <w:rPr>
                      <w:rFonts w:hint="eastAsia"/>
                      <w:sz w:val="18"/>
                      <w:szCs w:val="18"/>
                    </w:rPr>
                    <w:t>4</w:t>
                  </w:r>
                  <w:r>
                    <w:rPr>
                      <w:sz w:val="18"/>
                      <w:szCs w:val="18"/>
                    </w:rPr>
                    <w:t>000</w:t>
                  </w:r>
                </w:p>
              </w:tc>
              <w:tc>
                <w:tcPr>
                  <w:tcW w:w="518" w:type="pct"/>
                  <w:shd w:val="clear" w:color="auto" w:fill="auto"/>
                  <w:vAlign w:val="center"/>
                </w:tcPr>
                <w:p w14:paraId="47D42C45">
                  <w:pPr>
                    <w:jc w:val="center"/>
                    <w:rPr>
                      <w:sz w:val="18"/>
                      <w:szCs w:val="18"/>
                    </w:rPr>
                  </w:pPr>
                  <w:r>
                    <w:rPr>
                      <w:rFonts w:hint="eastAsia"/>
                      <w:sz w:val="18"/>
                      <w:szCs w:val="18"/>
                    </w:rPr>
                    <w:t>20</w:t>
                  </w:r>
                </w:p>
              </w:tc>
              <w:tc>
                <w:tcPr>
                  <w:tcW w:w="519" w:type="pct"/>
                  <w:shd w:val="clear" w:color="auto" w:fill="auto"/>
                  <w:vAlign w:val="center"/>
                </w:tcPr>
                <w:p w14:paraId="31B3367F">
                  <w:pPr>
                    <w:jc w:val="center"/>
                    <w:rPr>
                      <w:sz w:val="18"/>
                      <w:szCs w:val="18"/>
                    </w:rPr>
                  </w:pPr>
                  <w:r>
                    <w:rPr>
                      <w:rFonts w:hint="eastAsia"/>
                      <w:sz w:val="18"/>
                      <w:szCs w:val="18"/>
                    </w:rPr>
                    <w:t>0</w:t>
                  </w:r>
                  <w:r>
                    <w:rPr>
                      <w:sz w:val="18"/>
                      <w:szCs w:val="18"/>
                    </w:rPr>
                    <w:t>.</w:t>
                  </w:r>
                  <w:r>
                    <w:rPr>
                      <w:rFonts w:hint="eastAsia"/>
                      <w:sz w:val="18"/>
                      <w:szCs w:val="18"/>
                    </w:rPr>
                    <w:t>5</w:t>
                  </w:r>
                </w:p>
              </w:tc>
              <w:tc>
                <w:tcPr>
                  <w:tcW w:w="518" w:type="pct"/>
                  <w:vAlign w:val="center"/>
                </w:tcPr>
                <w:p w14:paraId="433E8166">
                  <w:pPr>
                    <w:jc w:val="center"/>
                    <w:rPr>
                      <w:sz w:val="18"/>
                      <w:szCs w:val="18"/>
                    </w:rPr>
                  </w:pPr>
                  <w:r>
                    <w:rPr>
                      <w:rFonts w:hint="eastAsia"/>
                      <w:sz w:val="18"/>
                      <w:szCs w:val="18"/>
                    </w:rPr>
                    <w:t>常温</w:t>
                  </w:r>
                </w:p>
              </w:tc>
              <w:tc>
                <w:tcPr>
                  <w:tcW w:w="691" w:type="pct"/>
                  <w:vAlign w:val="center"/>
                </w:tcPr>
                <w:p w14:paraId="4FF70909">
                  <w:pPr>
                    <w:jc w:val="center"/>
                    <w:rPr>
                      <w:sz w:val="18"/>
                      <w:szCs w:val="18"/>
                    </w:rPr>
                  </w:pPr>
                  <w:r>
                    <w:rPr>
                      <w:rFonts w:hint="eastAsia"/>
                      <w:sz w:val="18"/>
                      <w:szCs w:val="18"/>
                    </w:rPr>
                    <w:t>一般排放口</w:t>
                  </w:r>
                </w:p>
              </w:tc>
              <w:tc>
                <w:tcPr>
                  <w:tcW w:w="865" w:type="pct"/>
                  <w:vAlign w:val="center"/>
                </w:tcPr>
                <w:p w14:paraId="53227616">
                  <w:pPr>
                    <w:jc w:val="center"/>
                    <w:rPr>
                      <w:sz w:val="18"/>
                      <w:szCs w:val="18"/>
                    </w:rPr>
                  </w:pPr>
                  <w:r>
                    <w:rPr>
                      <w:sz w:val="18"/>
                      <w:szCs w:val="18"/>
                    </w:rPr>
                    <w:t>107.51437344</w:t>
                  </w:r>
                </w:p>
              </w:tc>
              <w:tc>
                <w:tcPr>
                  <w:tcW w:w="911" w:type="pct"/>
                  <w:shd w:val="clear" w:color="auto" w:fill="auto"/>
                  <w:vAlign w:val="center"/>
                </w:tcPr>
                <w:p w14:paraId="6C18FF55">
                  <w:pPr>
                    <w:jc w:val="center"/>
                    <w:rPr>
                      <w:sz w:val="18"/>
                      <w:szCs w:val="18"/>
                    </w:rPr>
                  </w:pPr>
                  <w:r>
                    <w:rPr>
                      <w:sz w:val="18"/>
                      <w:szCs w:val="18"/>
                    </w:rPr>
                    <w:t>31.34651436</w:t>
                  </w:r>
                </w:p>
              </w:tc>
            </w:tr>
          </w:tbl>
          <w:p w14:paraId="59B6FED2">
            <w:pPr>
              <w:widowControl/>
              <w:spacing w:line="360" w:lineRule="auto"/>
              <w:ind w:firstLine="422" w:firstLineChars="200"/>
              <w:rPr>
                <w:rFonts w:hint="eastAsia" w:ascii="宋体" w:hAnsi="宋体"/>
                <w:b/>
                <w:bCs/>
                <w:lang w:bidi="ar"/>
              </w:rPr>
            </w:pPr>
            <w:r>
              <w:rPr>
                <w:rFonts w:hint="eastAsia" w:ascii="宋体" w:hAnsi="宋体"/>
                <w:b/>
                <w:bCs/>
                <w:lang w:bidi="ar"/>
              </w:rPr>
              <w:t>（四）无组织废气排放情况</w:t>
            </w:r>
          </w:p>
          <w:p w14:paraId="5C5AAA56">
            <w:pPr>
              <w:widowControl/>
              <w:spacing w:line="360" w:lineRule="auto"/>
              <w:ind w:firstLine="420" w:firstLineChars="200"/>
              <w:rPr>
                <w:lang w:bidi="ar"/>
              </w:rPr>
            </w:pPr>
            <w:r>
              <w:rPr>
                <w:rFonts w:hint="eastAsia"/>
                <w:lang w:bidi="ar"/>
              </w:rPr>
              <w:t>无组织排放是指排气筒高度小于15m或不通过排气筒的废气排放。本项目运营期间无组织废气主要考虑未经排气筒排放的废气及未被收集的废气。</w:t>
            </w:r>
          </w:p>
          <w:p w14:paraId="1D457C3D">
            <w:pPr>
              <w:widowControl/>
              <w:spacing w:line="360" w:lineRule="auto"/>
              <w:ind w:firstLine="420" w:firstLineChars="200"/>
              <w:rPr>
                <w:lang w:bidi="ar"/>
              </w:rPr>
            </w:pPr>
            <w:r>
              <w:rPr>
                <w:rFonts w:hint="eastAsia"/>
                <w:lang w:bidi="ar"/>
              </w:rPr>
              <w:t>根据工程分析可知，本项目生产过程中设备/房间均存在进出口，在采取局部集气罩抽风对废气进行收集时，存在一定的不完全收集，未被收集的部分排放至车间厂房，无组织排放情况具体如下：</w:t>
            </w:r>
          </w:p>
          <w:p w14:paraId="0DBBDF38">
            <w:pPr>
              <w:autoSpaceDE w:val="0"/>
              <w:autoSpaceDN w:val="0"/>
              <w:adjustRightInd w:val="0"/>
              <w:snapToGrid w:val="0"/>
              <w:jc w:val="center"/>
              <w:rPr>
                <w:b/>
              </w:rPr>
            </w:pPr>
            <w:r>
              <w:rPr>
                <w:rFonts w:hint="eastAsia"/>
                <w:b/>
              </w:rPr>
              <w:t>表4-7  本项目废气无组织排放情况统计表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180"/>
              <w:gridCol w:w="1827"/>
              <w:gridCol w:w="1223"/>
              <w:gridCol w:w="1223"/>
              <w:gridCol w:w="1223"/>
              <w:gridCol w:w="1223"/>
            </w:tblGrid>
            <w:tr w14:paraId="5082B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68" w:type="pct"/>
                  <w:shd w:val="clear" w:color="auto" w:fill="auto"/>
                  <w:vAlign w:val="center"/>
                </w:tcPr>
                <w:p w14:paraId="7B6F1D83">
                  <w:pPr>
                    <w:jc w:val="center"/>
                    <w:rPr>
                      <w:b/>
                      <w:bCs/>
                      <w:sz w:val="18"/>
                      <w:szCs w:val="18"/>
                    </w:rPr>
                  </w:pPr>
                  <w:r>
                    <w:rPr>
                      <w:rFonts w:hint="eastAsia"/>
                      <w:b/>
                      <w:bCs/>
                      <w:sz w:val="18"/>
                      <w:szCs w:val="18"/>
                    </w:rPr>
                    <w:t>序号</w:t>
                  </w:r>
                </w:p>
              </w:tc>
              <w:tc>
                <w:tcPr>
                  <w:tcW w:w="692" w:type="pct"/>
                  <w:vAlign w:val="center"/>
                </w:tcPr>
                <w:p w14:paraId="70CC374D">
                  <w:pPr>
                    <w:jc w:val="center"/>
                    <w:rPr>
                      <w:b/>
                      <w:bCs/>
                      <w:sz w:val="18"/>
                      <w:szCs w:val="18"/>
                    </w:rPr>
                  </w:pPr>
                  <w:r>
                    <w:rPr>
                      <w:rFonts w:hint="eastAsia"/>
                      <w:b/>
                      <w:bCs/>
                      <w:sz w:val="18"/>
                      <w:szCs w:val="18"/>
                    </w:rPr>
                    <w:t>污染源位置</w:t>
                  </w:r>
                </w:p>
              </w:tc>
              <w:tc>
                <w:tcPr>
                  <w:tcW w:w="1071" w:type="pct"/>
                  <w:vAlign w:val="center"/>
                </w:tcPr>
                <w:p w14:paraId="657289F8">
                  <w:pPr>
                    <w:jc w:val="center"/>
                    <w:rPr>
                      <w:b/>
                      <w:bCs/>
                      <w:sz w:val="18"/>
                      <w:szCs w:val="18"/>
                    </w:rPr>
                  </w:pPr>
                  <w:r>
                    <w:rPr>
                      <w:rFonts w:hint="eastAsia"/>
                      <w:b/>
                      <w:bCs/>
                      <w:sz w:val="18"/>
                      <w:szCs w:val="18"/>
                    </w:rPr>
                    <w:t>污染物名称</w:t>
                  </w:r>
                </w:p>
              </w:tc>
              <w:tc>
                <w:tcPr>
                  <w:tcW w:w="717" w:type="pct"/>
                  <w:vAlign w:val="center"/>
                </w:tcPr>
                <w:p w14:paraId="7623D8D1">
                  <w:pPr>
                    <w:jc w:val="center"/>
                    <w:rPr>
                      <w:b/>
                      <w:bCs/>
                      <w:sz w:val="18"/>
                      <w:szCs w:val="18"/>
                    </w:rPr>
                  </w:pPr>
                  <w:r>
                    <w:rPr>
                      <w:rFonts w:hint="eastAsia"/>
                      <w:b/>
                      <w:bCs/>
                      <w:sz w:val="18"/>
                      <w:szCs w:val="18"/>
                    </w:rPr>
                    <w:t>排放速率（kg</w:t>
                  </w:r>
                  <w:r>
                    <w:rPr>
                      <w:b/>
                      <w:bCs/>
                      <w:sz w:val="18"/>
                      <w:szCs w:val="18"/>
                    </w:rPr>
                    <w:t>/h</w:t>
                  </w:r>
                  <w:r>
                    <w:rPr>
                      <w:rFonts w:hint="eastAsia"/>
                      <w:b/>
                      <w:bCs/>
                      <w:sz w:val="18"/>
                      <w:szCs w:val="18"/>
                    </w:rPr>
                    <w:t>）</w:t>
                  </w:r>
                </w:p>
              </w:tc>
              <w:tc>
                <w:tcPr>
                  <w:tcW w:w="717" w:type="pct"/>
                  <w:vAlign w:val="center"/>
                </w:tcPr>
                <w:p w14:paraId="5841AF14">
                  <w:pPr>
                    <w:jc w:val="center"/>
                    <w:rPr>
                      <w:b/>
                      <w:bCs/>
                      <w:sz w:val="18"/>
                      <w:szCs w:val="18"/>
                    </w:rPr>
                  </w:pPr>
                  <w:r>
                    <w:rPr>
                      <w:rFonts w:hint="eastAsia"/>
                      <w:b/>
                      <w:bCs/>
                      <w:sz w:val="18"/>
                      <w:szCs w:val="18"/>
                    </w:rPr>
                    <w:t>排放量（t</w:t>
                  </w:r>
                  <w:r>
                    <w:rPr>
                      <w:b/>
                      <w:bCs/>
                      <w:sz w:val="18"/>
                      <w:szCs w:val="18"/>
                    </w:rPr>
                    <w:t>/a</w:t>
                  </w:r>
                  <w:r>
                    <w:rPr>
                      <w:rFonts w:hint="eastAsia"/>
                      <w:b/>
                      <w:bCs/>
                      <w:sz w:val="18"/>
                      <w:szCs w:val="18"/>
                    </w:rPr>
                    <w:t>）</w:t>
                  </w:r>
                </w:p>
              </w:tc>
              <w:tc>
                <w:tcPr>
                  <w:tcW w:w="717" w:type="pct"/>
                  <w:vAlign w:val="center"/>
                </w:tcPr>
                <w:p w14:paraId="6AE6747F">
                  <w:pPr>
                    <w:jc w:val="center"/>
                    <w:rPr>
                      <w:b/>
                      <w:bCs/>
                      <w:sz w:val="18"/>
                      <w:szCs w:val="18"/>
                    </w:rPr>
                  </w:pPr>
                  <w:r>
                    <w:rPr>
                      <w:rFonts w:hint="eastAsia"/>
                      <w:b/>
                      <w:bCs/>
                      <w:sz w:val="18"/>
                      <w:szCs w:val="18"/>
                    </w:rPr>
                    <w:t>面源面积（m</w:t>
                  </w:r>
                  <w:r>
                    <w:rPr>
                      <w:b/>
                      <w:bCs/>
                      <w:sz w:val="18"/>
                      <w:szCs w:val="18"/>
                      <w:vertAlign w:val="superscript"/>
                    </w:rPr>
                    <w:t>2</w:t>
                  </w:r>
                  <w:r>
                    <w:rPr>
                      <w:rFonts w:hint="eastAsia"/>
                      <w:b/>
                      <w:bCs/>
                      <w:sz w:val="18"/>
                      <w:szCs w:val="18"/>
                    </w:rPr>
                    <w:t>）</w:t>
                  </w:r>
                </w:p>
              </w:tc>
              <w:tc>
                <w:tcPr>
                  <w:tcW w:w="717" w:type="pct"/>
                  <w:shd w:val="clear" w:color="auto" w:fill="auto"/>
                  <w:vAlign w:val="center"/>
                </w:tcPr>
                <w:p w14:paraId="26100AFF">
                  <w:pPr>
                    <w:jc w:val="center"/>
                    <w:rPr>
                      <w:b/>
                      <w:bCs/>
                      <w:sz w:val="18"/>
                      <w:szCs w:val="18"/>
                    </w:rPr>
                  </w:pPr>
                  <w:r>
                    <w:rPr>
                      <w:rFonts w:hint="eastAsia"/>
                      <w:b/>
                      <w:bCs/>
                      <w:sz w:val="18"/>
                      <w:szCs w:val="18"/>
                    </w:rPr>
                    <w:t>面源高度（m）</w:t>
                  </w:r>
                </w:p>
              </w:tc>
            </w:tr>
            <w:tr w14:paraId="41FC1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68" w:type="pct"/>
                  <w:shd w:val="clear" w:color="auto" w:fill="auto"/>
                  <w:vAlign w:val="center"/>
                </w:tcPr>
                <w:p w14:paraId="40CC4694">
                  <w:pPr>
                    <w:jc w:val="center"/>
                    <w:rPr>
                      <w:sz w:val="18"/>
                      <w:szCs w:val="18"/>
                    </w:rPr>
                  </w:pPr>
                  <w:r>
                    <w:rPr>
                      <w:rFonts w:hint="eastAsia"/>
                      <w:sz w:val="18"/>
                      <w:szCs w:val="18"/>
                    </w:rPr>
                    <w:t>1</w:t>
                  </w:r>
                </w:p>
              </w:tc>
              <w:tc>
                <w:tcPr>
                  <w:tcW w:w="692" w:type="pct"/>
                  <w:vAlign w:val="center"/>
                </w:tcPr>
                <w:p w14:paraId="77BC7AD9">
                  <w:pPr>
                    <w:jc w:val="center"/>
                    <w:rPr>
                      <w:sz w:val="18"/>
                      <w:szCs w:val="18"/>
                    </w:rPr>
                  </w:pPr>
                  <w:r>
                    <w:rPr>
                      <w:rFonts w:hint="eastAsia"/>
                      <w:sz w:val="18"/>
                      <w:szCs w:val="18"/>
                    </w:rPr>
                    <w:t>煎药区</w:t>
                  </w:r>
                </w:p>
              </w:tc>
              <w:tc>
                <w:tcPr>
                  <w:tcW w:w="1071" w:type="pct"/>
                  <w:vAlign w:val="center"/>
                </w:tcPr>
                <w:p w14:paraId="14C1C3EE">
                  <w:pPr>
                    <w:jc w:val="center"/>
                    <w:rPr>
                      <w:rFonts w:hint="eastAsia"/>
                      <w:sz w:val="18"/>
                      <w:szCs w:val="18"/>
                    </w:rPr>
                  </w:pPr>
                  <w:r>
                    <w:rPr>
                      <w:rFonts w:hint="eastAsia"/>
                      <w:sz w:val="18"/>
                      <w:szCs w:val="18"/>
                    </w:rPr>
                    <w:t>煎药异味</w:t>
                  </w:r>
                </w:p>
              </w:tc>
              <w:tc>
                <w:tcPr>
                  <w:tcW w:w="717" w:type="pct"/>
                  <w:vAlign w:val="center"/>
                </w:tcPr>
                <w:p w14:paraId="688646EB">
                  <w:pPr>
                    <w:jc w:val="center"/>
                    <w:rPr>
                      <w:sz w:val="18"/>
                      <w:szCs w:val="18"/>
                    </w:rPr>
                  </w:pPr>
                  <w:r>
                    <w:rPr>
                      <w:rFonts w:hint="eastAsia"/>
                      <w:sz w:val="18"/>
                      <w:szCs w:val="18"/>
                    </w:rPr>
                    <w:t>少量</w:t>
                  </w:r>
                </w:p>
              </w:tc>
              <w:tc>
                <w:tcPr>
                  <w:tcW w:w="717" w:type="pct"/>
                  <w:vAlign w:val="center"/>
                </w:tcPr>
                <w:p w14:paraId="025B8DD3">
                  <w:pPr>
                    <w:jc w:val="center"/>
                    <w:rPr>
                      <w:rFonts w:hint="eastAsia"/>
                      <w:sz w:val="18"/>
                      <w:szCs w:val="18"/>
                    </w:rPr>
                  </w:pPr>
                  <w:r>
                    <w:rPr>
                      <w:rFonts w:hint="eastAsia"/>
                      <w:sz w:val="18"/>
                      <w:szCs w:val="18"/>
                    </w:rPr>
                    <w:t>少量</w:t>
                  </w:r>
                </w:p>
              </w:tc>
              <w:tc>
                <w:tcPr>
                  <w:tcW w:w="717" w:type="pct"/>
                  <w:vMerge w:val="restart"/>
                  <w:vAlign w:val="center"/>
                </w:tcPr>
                <w:p w14:paraId="0D5C9313">
                  <w:pPr>
                    <w:jc w:val="center"/>
                    <w:rPr>
                      <w:rFonts w:hint="eastAsia"/>
                      <w:sz w:val="18"/>
                      <w:szCs w:val="18"/>
                    </w:rPr>
                  </w:pPr>
                  <w:r>
                    <w:rPr>
                      <w:rFonts w:hint="eastAsia"/>
                      <w:sz w:val="18"/>
                      <w:szCs w:val="18"/>
                    </w:rPr>
                    <w:t>2260</w:t>
                  </w:r>
                </w:p>
              </w:tc>
              <w:tc>
                <w:tcPr>
                  <w:tcW w:w="717" w:type="pct"/>
                  <w:vMerge w:val="restart"/>
                  <w:shd w:val="clear" w:color="auto" w:fill="auto"/>
                  <w:vAlign w:val="center"/>
                </w:tcPr>
                <w:p w14:paraId="3382F4F4">
                  <w:pPr>
                    <w:jc w:val="center"/>
                    <w:rPr>
                      <w:sz w:val="18"/>
                      <w:szCs w:val="18"/>
                    </w:rPr>
                  </w:pPr>
                  <w:r>
                    <w:rPr>
                      <w:rFonts w:hint="eastAsia"/>
                      <w:sz w:val="18"/>
                      <w:szCs w:val="18"/>
                    </w:rPr>
                    <w:t>20</w:t>
                  </w:r>
                </w:p>
              </w:tc>
            </w:tr>
            <w:tr w14:paraId="54EB1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68" w:type="pct"/>
                  <w:shd w:val="clear" w:color="auto" w:fill="auto"/>
                  <w:vAlign w:val="center"/>
                </w:tcPr>
                <w:p w14:paraId="7EEC6908">
                  <w:pPr>
                    <w:jc w:val="center"/>
                    <w:rPr>
                      <w:sz w:val="18"/>
                      <w:szCs w:val="18"/>
                    </w:rPr>
                  </w:pPr>
                  <w:r>
                    <w:rPr>
                      <w:rFonts w:hint="eastAsia"/>
                      <w:sz w:val="18"/>
                      <w:szCs w:val="18"/>
                    </w:rPr>
                    <w:t>2</w:t>
                  </w:r>
                </w:p>
              </w:tc>
              <w:tc>
                <w:tcPr>
                  <w:tcW w:w="692" w:type="pct"/>
                  <w:vAlign w:val="center"/>
                </w:tcPr>
                <w:p w14:paraId="4E865530">
                  <w:pPr>
                    <w:jc w:val="center"/>
                    <w:rPr>
                      <w:rFonts w:hint="eastAsia"/>
                      <w:sz w:val="18"/>
                      <w:szCs w:val="18"/>
                    </w:rPr>
                  </w:pPr>
                  <w:r>
                    <w:rPr>
                      <w:rFonts w:hint="eastAsia"/>
                      <w:sz w:val="18"/>
                      <w:szCs w:val="18"/>
                    </w:rPr>
                    <w:t>粉碎间</w:t>
                  </w:r>
                </w:p>
              </w:tc>
              <w:tc>
                <w:tcPr>
                  <w:tcW w:w="1071" w:type="pct"/>
                  <w:vAlign w:val="center"/>
                </w:tcPr>
                <w:p w14:paraId="127EE0E4">
                  <w:pPr>
                    <w:jc w:val="center"/>
                    <w:rPr>
                      <w:sz w:val="18"/>
                      <w:szCs w:val="18"/>
                    </w:rPr>
                  </w:pPr>
                  <w:r>
                    <w:rPr>
                      <w:rFonts w:hint="eastAsia"/>
                      <w:sz w:val="18"/>
                      <w:szCs w:val="18"/>
                    </w:rPr>
                    <w:t>颗粒物</w:t>
                  </w:r>
                </w:p>
              </w:tc>
              <w:tc>
                <w:tcPr>
                  <w:tcW w:w="717" w:type="pct"/>
                  <w:vAlign w:val="center"/>
                </w:tcPr>
                <w:p w14:paraId="28864520">
                  <w:pPr>
                    <w:jc w:val="center"/>
                    <w:rPr>
                      <w:rFonts w:hint="eastAsia"/>
                      <w:sz w:val="18"/>
                      <w:szCs w:val="18"/>
                    </w:rPr>
                  </w:pPr>
                  <w:r>
                    <w:rPr>
                      <w:rFonts w:hint="eastAsia"/>
                      <w:sz w:val="18"/>
                      <w:szCs w:val="18"/>
                    </w:rPr>
                    <w:t>0.0008</w:t>
                  </w:r>
                </w:p>
              </w:tc>
              <w:tc>
                <w:tcPr>
                  <w:tcW w:w="717" w:type="pct"/>
                  <w:vAlign w:val="center"/>
                </w:tcPr>
                <w:p w14:paraId="42169C3D">
                  <w:pPr>
                    <w:jc w:val="center"/>
                    <w:rPr>
                      <w:rFonts w:hint="eastAsia"/>
                      <w:sz w:val="18"/>
                      <w:szCs w:val="18"/>
                    </w:rPr>
                  </w:pPr>
                  <w:r>
                    <w:rPr>
                      <w:rFonts w:hint="eastAsia"/>
                      <w:sz w:val="18"/>
                      <w:szCs w:val="18"/>
                    </w:rPr>
                    <w:t>0.0007</w:t>
                  </w:r>
                </w:p>
              </w:tc>
              <w:tc>
                <w:tcPr>
                  <w:tcW w:w="717" w:type="pct"/>
                  <w:vMerge w:val="continue"/>
                  <w:vAlign w:val="center"/>
                </w:tcPr>
                <w:p w14:paraId="7874B22A">
                  <w:pPr>
                    <w:jc w:val="center"/>
                    <w:rPr>
                      <w:sz w:val="18"/>
                      <w:szCs w:val="18"/>
                    </w:rPr>
                  </w:pPr>
                </w:p>
              </w:tc>
              <w:tc>
                <w:tcPr>
                  <w:tcW w:w="717" w:type="pct"/>
                  <w:vMerge w:val="continue"/>
                  <w:shd w:val="clear" w:color="auto" w:fill="auto"/>
                  <w:vAlign w:val="center"/>
                </w:tcPr>
                <w:p w14:paraId="2FE3E594">
                  <w:pPr>
                    <w:jc w:val="center"/>
                    <w:rPr>
                      <w:sz w:val="18"/>
                      <w:szCs w:val="18"/>
                    </w:rPr>
                  </w:pPr>
                </w:p>
              </w:tc>
            </w:tr>
            <w:tr w14:paraId="12BC7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68" w:type="pct"/>
                  <w:shd w:val="clear" w:color="auto" w:fill="auto"/>
                  <w:vAlign w:val="center"/>
                </w:tcPr>
                <w:p w14:paraId="27E1D0EB">
                  <w:pPr>
                    <w:jc w:val="center"/>
                    <w:rPr>
                      <w:rFonts w:hint="eastAsia"/>
                      <w:sz w:val="18"/>
                      <w:szCs w:val="18"/>
                    </w:rPr>
                  </w:pPr>
                  <w:r>
                    <w:rPr>
                      <w:rFonts w:hint="eastAsia"/>
                      <w:sz w:val="18"/>
                      <w:szCs w:val="18"/>
                    </w:rPr>
                    <w:t>3</w:t>
                  </w:r>
                </w:p>
              </w:tc>
              <w:tc>
                <w:tcPr>
                  <w:tcW w:w="692" w:type="pct"/>
                  <w:vAlign w:val="center"/>
                </w:tcPr>
                <w:p w14:paraId="1D1886D6">
                  <w:pPr>
                    <w:jc w:val="center"/>
                    <w:rPr>
                      <w:sz w:val="18"/>
                      <w:szCs w:val="18"/>
                    </w:rPr>
                  </w:pPr>
                  <w:r>
                    <w:rPr>
                      <w:rFonts w:hint="eastAsia"/>
                      <w:sz w:val="18"/>
                      <w:szCs w:val="18"/>
                    </w:rPr>
                    <w:t>包装机</w:t>
                  </w:r>
                </w:p>
              </w:tc>
              <w:tc>
                <w:tcPr>
                  <w:tcW w:w="1071" w:type="pct"/>
                  <w:vAlign w:val="center"/>
                </w:tcPr>
                <w:p w14:paraId="50F993D0">
                  <w:pPr>
                    <w:jc w:val="center"/>
                    <w:rPr>
                      <w:rFonts w:hint="eastAsia"/>
                      <w:sz w:val="18"/>
                      <w:szCs w:val="18"/>
                    </w:rPr>
                  </w:pPr>
                  <w:r>
                    <w:rPr>
                      <w:rFonts w:hint="eastAsia"/>
                      <w:sz w:val="18"/>
                      <w:szCs w:val="18"/>
                    </w:rPr>
                    <w:t>有机废气</w:t>
                  </w:r>
                </w:p>
              </w:tc>
              <w:tc>
                <w:tcPr>
                  <w:tcW w:w="717" w:type="pct"/>
                  <w:vAlign w:val="center"/>
                </w:tcPr>
                <w:p w14:paraId="11A864C3">
                  <w:pPr>
                    <w:jc w:val="center"/>
                    <w:rPr>
                      <w:rFonts w:hint="eastAsia"/>
                      <w:sz w:val="18"/>
                      <w:szCs w:val="18"/>
                    </w:rPr>
                  </w:pPr>
                  <w:r>
                    <w:rPr>
                      <w:rFonts w:hint="eastAsia"/>
                      <w:sz w:val="18"/>
                      <w:szCs w:val="18"/>
                    </w:rPr>
                    <w:t>少量</w:t>
                  </w:r>
                </w:p>
              </w:tc>
              <w:tc>
                <w:tcPr>
                  <w:tcW w:w="717" w:type="pct"/>
                  <w:vAlign w:val="center"/>
                </w:tcPr>
                <w:p w14:paraId="042E4A49">
                  <w:pPr>
                    <w:jc w:val="center"/>
                    <w:rPr>
                      <w:rFonts w:hint="eastAsia"/>
                      <w:sz w:val="18"/>
                      <w:szCs w:val="18"/>
                    </w:rPr>
                  </w:pPr>
                  <w:r>
                    <w:rPr>
                      <w:rFonts w:hint="eastAsia"/>
                      <w:sz w:val="18"/>
                      <w:szCs w:val="18"/>
                    </w:rPr>
                    <w:t>少量</w:t>
                  </w:r>
                </w:p>
              </w:tc>
              <w:tc>
                <w:tcPr>
                  <w:tcW w:w="717" w:type="pct"/>
                  <w:vMerge w:val="continue"/>
                  <w:vAlign w:val="center"/>
                </w:tcPr>
                <w:p w14:paraId="7EE483E5">
                  <w:pPr>
                    <w:jc w:val="center"/>
                    <w:rPr>
                      <w:sz w:val="18"/>
                      <w:szCs w:val="18"/>
                    </w:rPr>
                  </w:pPr>
                </w:p>
              </w:tc>
              <w:tc>
                <w:tcPr>
                  <w:tcW w:w="717" w:type="pct"/>
                  <w:vMerge w:val="continue"/>
                  <w:shd w:val="clear" w:color="auto" w:fill="auto"/>
                  <w:vAlign w:val="center"/>
                </w:tcPr>
                <w:p w14:paraId="1FA4DCEF">
                  <w:pPr>
                    <w:jc w:val="center"/>
                    <w:rPr>
                      <w:sz w:val="18"/>
                      <w:szCs w:val="18"/>
                    </w:rPr>
                  </w:pPr>
                </w:p>
              </w:tc>
            </w:tr>
            <w:tr w14:paraId="0468E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68" w:type="pct"/>
                  <w:shd w:val="clear" w:color="auto" w:fill="auto"/>
                  <w:vAlign w:val="center"/>
                </w:tcPr>
                <w:p w14:paraId="13163CB9">
                  <w:pPr>
                    <w:jc w:val="center"/>
                    <w:rPr>
                      <w:rFonts w:hint="eastAsia"/>
                      <w:sz w:val="18"/>
                      <w:szCs w:val="18"/>
                    </w:rPr>
                  </w:pPr>
                  <w:r>
                    <w:rPr>
                      <w:rFonts w:hint="eastAsia"/>
                      <w:sz w:val="18"/>
                      <w:szCs w:val="18"/>
                    </w:rPr>
                    <w:t>4</w:t>
                  </w:r>
                </w:p>
              </w:tc>
              <w:tc>
                <w:tcPr>
                  <w:tcW w:w="692" w:type="pct"/>
                  <w:vAlign w:val="center"/>
                </w:tcPr>
                <w:p w14:paraId="57244C2A">
                  <w:pPr>
                    <w:jc w:val="center"/>
                    <w:rPr>
                      <w:sz w:val="18"/>
                      <w:szCs w:val="18"/>
                    </w:rPr>
                  </w:pPr>
                  <w:r>
                    <w:rPr>
                      <w:rFonts w:hint="eastAsia"/>
                      <w:sz w:val="18"/>
                      <w:szCs w:val="18"/>
                    </w:rPr>
                    <w:t>污水处理站</w:t>
                  </w:r>
                </w:p>
              </w:tc>
              <w:tc>
                <w:tcPr>
                  <w:tcW w:w="1071" w:type="pct"/>
                  <w:vAlign w:val="center"/>
                </w:tcPr>
                <w:p w14:paraId="268AC1A0">
                  <w:pPr>
                    <w:jc w:val="center"/>
                    <w:rPr>
                      <w:rFonts w:hint="eastAsia"/>
                      <w:sz w:val="18"/>
                      <w:szCs w:val="18"/>
                    </w:rPr>
                  </w:pPr>
                  <w:r>
                    <w:rPr>
                      <w:rFonts w:hint="eastAsia"/>
                      <w:sz w:val="18"/>
                      <w:szCs w:val="18"/>
                    </w:rPr>
                    <w:t>恶臭</w:t>
                  </w:r>
                </w:p>
              </w:tc>
              <w:tc>
                <w:tcPr>
                  <w:tcW w:w="717" w:type="pct"/>
                  <w:vAlign w:val="center"/>
                </w:tcPr>
                <w:p w14:paraId="3432CCDA">
                  <w:pPr>
                    <w:jc w:val="center"/>
                    <w:rPr>
                      <w:rFonts w:hint="eastAsia"/>
                      <w:sz w:val="18"/>
                      <w:szCs w:val="18"/>
                    </w:rPr>
                  </w:pPr>
                  <w:r>
                    <w:rPr>
                      <w:rFonts w:hint="eastAsia"/>
                      <w:sz w:val="18"/>
                      <w:szCs w:val="18"/>
                    </w:rPr>
                    <w:t>少量</w:t>
                  </w:r>
                </w:p>
              </w:tc>
              <w:tc>
                <w:tcPr>
                  <w:tcW w:w="717" w:type="pct"/>
                  <w:vAlign w:val="center"/>
                </w:tcPr>
                <w:p w14:paraId="1BE983BD">
                  <w:pPr>
                    <w:jc w:val="center"/>
                    <w:rPr>
                      <w:rFonts w:hint="eastAsia"/>
                      <w:sz w:val="18"/>
                      <w:szCs w:val="18"/>
                    </w:rPr>
                  </w:pPr>
                  <w:r>
                    <w:rPr>
                      <w:rFonts w:hint="eastAsia"/>
                      <w:sz w:val="18"/>
                      <w:szCs w:val="18"/>
                    </w:rPr>
                    <w:t>少量</w:t>
                  </w:r>
                </w:p>
              </w:tc>
              <w:tc>
                <w:tcPr>
                  <w:tcW w:w="717" w:type="pct"/>
                  <w:vMerge w:val="continue"/>
                  <w:vAlign w:val="center"/>
                </w:tcPr>
                <w:p w14:paraId="686FBA81">
                  <w:pPr>
                    <w:jc w:val="center"/>
                    <w:rPr>
                      <w:sz w:val="18"/>
                      <w:szCs w:val="18"/>
                    </w:rPr>
                  </w:pPr>
                </w:p>
              </w:tc>
              <w:tc>
                <w:tcPr>
                  <w:tcW w:w="717" w:type="pct"/>
                  <w:vMerge w:val="continue"/>
                  <w:shd w:val="clear" w:color="auto" w:fill="auto"/>
                  <w:vAlign w:val="center"/>
                </w:tcPr>
                <w:p w14:paraId="2152E6B1">
                  <w:pPr>
                    <w:jc w:val="center"/>
                    <w:rPr>
                      <w:sz w:val="18"/>
                      <w:szCs w:val="18"/>
                    </w:rPr>
                  </w:pPr>
                </w:p>
              </w:tc>
            </w:tr>
          </w:tbl>
          <w:p w14:paraId="2CAA6A45">
            <w:pPr>
              <w:widowControl/>
              <w:spacing w:line="360" w:lineRule="auto"/>
              <w:ind w:firstLine="422" w:firstLineChars="200"/>
              <w:rPr>
                <w:rFonts w:hint="eastAsia" w:ascii="宋体" w:hAnsi="宋体"/>
                <w:b/>
                <w:bCs/>
                <w:lang w:bidi="ar"/>
              </w:rPr>
            </w:pPr>
            <w:r>
              <w:rPr>
                <w:rFonts w:hint="eastAsia" w:ascii="宋体" w:hAnsi="宋体"/>
                <w:b/>
                <w:bCs/>
                <w:lang w:bidi="ar"/>
              </w:rPr>
              <w:t>（五）废气污染物排放量统计</w:t>
            </w:r>
          </w:p>
          <w:p w14:paraId="20BBA2DF">
            <w:pPr>
              <w:widowControl/>
              <w:spacing w:line="360" w:lineRule="auto"/>
              <w:ind w:firstLine="420" w:firstLineChars="200"/>
              <w:rPr>
                <w:rFonts w:hint="eastAsia" w:ascii="宋体" w:hAnsi="宋体"/>
                <w:lang w:bidi="ar"/>
              </w:rPr>
            </w:pPr>
            <w:r>
              <w:rPr>
                <w:rFonts w:hint="eastAsia" w:ascii="宋体" w:hAnsi="宋体"/>
                <w:lang w:bidi="ar"/>
              </w:rPr>
              <w:t>本项目建成后，各类废气污染物年排放量如下：</w:t>
            </w:r>
          </w:p>
          <w:p w14:paraId="59641BA1">
            <w:pPr>
              <w:autoSpaceDE w:val="0"/>
              <w:autoSpaceDN w:val="0"/>
              <w:adjustRightInd w:val="0"/>
              <w:snapToGrid w:val="0"/>
              <w:jc w:val="center"/>
              <w:rPr>
                <w:b/>
              </w:rPr>
            </w:pPr>
            <w:r>
              <w:rPr>
                <w:rFonts w:hint="eastAsia"/>
                <w:b/>
              </w:rPr>
              <w:t>表4-8  项目废气污染物年排放量</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20"/>
              <w:gridCol w:w="1738"/>
              <w:gridCol w:w="2318"/>
              <w:gridCol w:w="2251"/>
            </w:tblGrid>
            <w:tr w14:paraId="2B403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2" w:type="pct"/>
                  <w:shd w:val="clear" w:color="auto" w:fill="auto"/>
                  <w:vAlign w:val="center"/>
                </w:tcPr>
                <w:p w14:paraId="7084C86D">
                  <w:pPr>
                    <w:jc w:val="center"/>
                    <w:rPr>
                      <w:b/>
                      <w:bCs/>
                      <w:sz w:val="18"/>
                      <w:szCs w:val="18"/>
                    </w:rPr>
                  </w:pPr>
                  <w:r>
                    <w:rPr>
                      <w:rFonts w:hint="eastAsia"/>
                      <w:b/>
                      <w:bCs/>
                      <w:sz w:val="18"/>
                      <w:szCs w:val="18"/>
                    </w:rPr>
                    <w:t>排放类型</w:t>
                  </w:r>
                </w:p>
              </w:tc>
              <w:tc>
                <w:tcPr>
                  <w:tcW w:w="1019" w:type="pct"/>
                  <w:shd w:val="clear" w:color="auto" w:fill="auto"/>
                  <w:vAlign w:val="center"/>
                </w:tcPr>
                <w:p w14:paraId="3109EEBE">
                  <w:pPr>
                    <w:jc w:val="center"/>
                    <w:rPr>
                      <w:b/>
                      <w:bCs/>
                      <w:sz w:val="18"/>
                      <w:szCs w:val="18"/>
                    </w:rPr>
                  </w:pPr>
                  <w:r>
                    <w:rPr>
                      <w:rFonts w:hint="eastAsia"/>
                      <w:b/>
                      <w:bCs/>
                      <w:sz w:val="18"/>
                      <w:szCs w:val="18"/>
                    </w:rPr>
                    <w:t>污染物</w:t>
                  </w:r>
                </w:p>
              </w:tc>
              <w:tc>
                <w:tcPr>
                  <w:tcW w:w="1359" w:type="pct"/>
                  <w:shd w:val="clear" w:color="auto" w:fill="auto"/>
                  <w:vAlign w:val="center"/>
                </w:tcPr>
                <w:p w14:paraId="6518AD49">
                  <w:pPr>
                    <w:jc w:val="center"/>
                    <w:rPr>
                      <w:b/>
                      <w:bCs/>
                      <w:sz w:val="18"/>
                      <w:szCs w:val="18"/>
                    </w:rPr>
                  </w:pPr>
                  <w:r>
                    <w:rPr>
                      <w:rFonts w:hint="eastAsia"/>
                      <w:b/>
                      <w:bCs/>
                      <w:sz w:val="18"/>
                      <w:szCs w:val="18"/>
                    </w:rPr>
                    <w:t>产生量（t</w:t>
                  </w:r>
                  <w:r>
                    <w:rPr>
                      <w:b/>
                      <w:bCs/>
                      <w:sz w:val="18"/>
                      <w:szCs w:val="18"/>
                    </w:rPr>
                    <w:t>/a</w:t>
                  </w:r>
                  <w:r>
                    <w:rPr>
                      <w:rFonts w:hint="eastAsia"/>
                      <w:b/>
                      <w:bCs/>
                      <w:sz w:val="18"/>
                      <w:szCs w:val="18"/>
                    </w:rPr>
                    <w:t>）</w:t>
                  </w:r>
                </w:p>
              </w:tc>
              <w:tc>
                <w:tcPr>
                  <w:tcW w:w="1320" w:type="pct"/>
                  <w:shd w:val="clear" w:color="auto" w:fill="auto"/>
                  <w:vAlign w:val="center"/>
                </w:tcPr>
                <w:p w14:paraId="7EBCC78C">
                  <w:pPr>
                    <w:jc w:val="center"/>
                    <w:rPr>
                      <w:b/>
                      <w:bCs/>
                      <w:sz w:val="18"/>
                      <w:szCs w:val="18"/>
                    </w:rPr>
                  </w:pPr>
                  <w:r>
                    <w:rPr>
                      <w:rFonts w:hint="eastAsia"/>
                      <w:b/>
                      <w:bCs/>
                      <w:sz w:val="18"/>
                      <w:szCs w:val="18"/>
                    </w:rPr>
                    <w:t>排放量（t/</w:t>
                  </w:r>
                  <w:r>
                    <w:rPr>
                      <w:b/>
                      <w:bCs/>
                      <w:sz w:val="18"/>
                      <w:szCs w:val="18"/>
                    </w:rPr>
                    <w:t>a</w:t>
                  </w:r>
                  <w:r>
                    <w:rPr>
                      <w:rFonts w:hint="eastAsia"/>
                      <w:b/>
                      <w:bCs/>
                      <w:sz w:val="18"/>
                      <w:szCs w:val="18"/>
                    </w:rPr>
                    <w:t>）</w:t>
                  </w:r>
                </w:p>
              </w:tc>
            </w:tr>
            <w:tr w14:paraId="3E8D1E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2" w:type="pct"/>
                  <w:shd w:val="clear" w:color="auto" w:fill="auto"/>
                  <w:vAlign w:val="center"/>
                </w:tcPr>
                <w:p w14:paraId="5909855F">
                  <w:pPr>
                    <w:jc w:val="center"/>
                    <w:rPr>
                      <w:sz w:val="18"/>
                      <w:szCs w:val="18"/>
                    </w:rPr>
                  </w:pPr>
                  <w:r>
                    <w:rPr>
                      <w:rFonts w:hint="eastAsia"/>
                      <w:sz w:val="18"/>
                      <w:szCs w:val="18"/>
                    </w:rPr>
                    <w:t>有组织排放</w:t>
                  </w:r>
                </w:p>
              </w:tc>
              <w:tc>
                <w:tcPr>
                  <w:tcW w:w="1019" w:type="pct"/>
                  <w:shd w:val="clear" w:color="auto" w:fill="auto"/>
                  <w:vAlign w:val="center"/>
                </w:tcPr>
                <w:p w14:paraId="5D4E7E34">
                  <w:pPr>
                    <w:jc w:val="center"/>
                    <w:rPr>
                      <w:sz w:val="18"/>
                      <w:szCs w:val="18"/>
                    </w:rPr>
                  </w:pPr>
                  <w:r>
                    <w:rPr>
                      <w:rFonts w:hint="eastAsia"/>
                      <w:sz w:val="18"/>
                      <w:szCs w:val="18"/>
                    </w:rPr>
                    <w:t>颗粒物</w:t>
                  </w:r>
                </w:p>
              </w:tc>
              <w:tc>
                <w:tcPr>
                  <w:tcW w:w="1359" w:type="pct"/>
                  <w:shd w:val="clear" w:color="auto" w:fill="auto"/>
                  <w:vAlign w:val="center"/>
                </w:tcPr>
                <w:p w14:paraId="274C71ED">
                  <w:pPr>
                    <w:jc w:val="center"/>
                    <w:rPr>
                      <w:rFonts w:hint="eastAsia"/>
                      <w:sz w:val="18"/>
                      <w:szCs w:val="18"/>
                    </w:rPr>
                  </w:pPr>
                  <w:r>
                    <w:rPr>
                      <w:rFonts w:hint="eastAsia"/>
                      <w:sz w:val="18"/>
                      <w:szCs w:val="18"/>
                      <w:lang w:bidi="ar"/>
                    </w:rPr>
                    <w:t>0.0071</w:t>
                  </w:r>
                </w:p>
              </w:tc>
              <w:tc>
                <w:tcPr>
                  <w:tcW w:w="1320" w:type="pct"/>
                  <w:shd w:val="clear" w:color="auto" w:fill="auto"/>
                  <w:vAlign w:val="center"/>
                </w:tcPr>
                <w:p w14:paraId="3ABB4D31">
                  <w:pPr>
                    <w:jc w:val="center"/>
                    <w:rPr>
                      <w:sz w:val="18"/>
                      <w:szCs w:val="18"/>
                    </w:rPr>
                  </w:pPr>
                  <w:r>
                    <w:rPr>
                      <w:rFonts w:hint="eastAsia"/>
                      <w:sz w:val="18"/>
                      <w:szCs w:val="18"/>
                      <w:lang w:bidi="ar"/>
                    </w:rPr>
                    <w:t>0.0001</w:t>
                  </w:r>
                </w:p>
              </w:tc>
            </w:tr>
            <w:tr w14:paraId="298A3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2" w:type="pct"/>
                  <w:shd w:val="clear" w:color="auto" w:fill="auto"/>
                  <w:vAlign w:val="center"/>
                </w:tcPr>
                <w:p w14:paraId="0200D8A0">
                  <w:pPr>
                    <w:jc w:val="center"/>
                    <w:rPr>
                      <w:sz w:val="18"/>
                      <w:szCs w:val="18"/>
                    </w:rPr>
                  </w:pPr>
                  <w:r>
                    <w:rPr>
                      <w:rFonts w:hint="eastAsia"/>
                      <w:sz w:val="18"/>
                      <w:szCs w:val="18"/>
                    </w:rPr>
                    <w:t>无组织排放</w:t>
                  </w:r>
                </w:p>
              </w:tc>
              <w:tc>
                <w:tcPr>
                  <w:tcW w:w="1019" w:type="pct"/>
                  <w:shd w:val="clear" w:color="auto" w:fill="auto"/>
                  <w:vAlign w:val="center"/>
                </w:tcPr>
                <w:p w14:paraId="7583279F">
                  <w:pPr>
                    <w:jc w:val="center"/>
                    <w:rPr>
                      <w:sz w:val="18"/>
                      <w:szCs w:val="18"/>
                    </w:rPr>
                  </w:pPr>
                  <w:r>
                    <w:rPr>
                      <w:rFonts w:hint="eastAsia"/>
                      <w:sz w:val="18"/>
                      <w:szCs w:val="18"/>
                    </w:rPr>
                    <w:t>颗粒物</w:t>
                  </w:r>
                </w:p>
              </w:tc>
              <w:tc>
                <w:tcPr>
                  <w:tcW w:w="1359" w:type="pct"/>
                  <w:shd w:val="clear" w:color="auto" w:fill="auto"/>
                  <w:vAlign w:val="center"/>
                </w:tcPr>
                <w:p w14:paraId="4393F321">
                  <w:pPr>
                    <w:jc w:val="center"/>
                    <w:rPr>
                      <w:sz w:val="18"/>
                      <w:szCs w:val="18"/>
                    </w:rPr>
                  </w:pPr>
                  <w:r>
                    <w:rPr>
                      <w:rFonts w:hint="eastAsia"/>
                      <w:sz w:val="18"/>
                      <w:szCs w:val="18"/>
                      <w:lang w:bidi="ar"/>
                    </w:rPr>
                    <w:t>0.0071</w:t>
                  </w:r>
                </w:p>
              </w:tc>
              <w:tc>
                <w:tcPr>
                  <w:tcW w:w="1320" w:type="pct"/>
                  <w:shd w:val="clear" w:color="auto" w:fill="auto"/>
                  <w:vAlign w:val="center"/>
                </w:tcPr>
                <w:p w14:paraId="1DE306D7">
                  <w:pPr>
                    <w:jc w:val="center"/>
                    <w:rPr>
                      <w:rFonts w:hint="eastAsia"/>
                      <w:sz w:val="18"/>
                      <w:szCs w:val="18"/>
                    </w:rPr>
                  </w:pPr>
                  <w:r>
                    <w:rPr>
                      <w:rFonts w:hint="eastAsia"/>
                      <w:sz w:val="18"/>
                      <w:szCs w:val="18"/>
                    </w:rPr>
                    <w:t>0.0007</w:t>
                  </w:r>
                </w:p>
              </w:tc>
            </w:tr>
            <w:tr w14:paraId="7F7235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2" w:type="pct"/>
                  <w:shd w:val="clear" w:color="auto" w:fill="auto"/>
                  <w:vAlign w:val="center"/>
                </w:tcPr>
                <w:p w14:paraId="54941119">
                  <w:pPr>
                    <w:jc w:val="center"/>
                    <w:rPr>
                      <w:sz w:val="18"/>
                      <w:szCs w:val="18"/>
                    </w:rPr>
                  </w:pPr>
                  <w:r>
                    <w:rPr>
                      <w:rFonts w:hint="eastAsia"/>
                      <w:sz w:val="18"/>
                      <w:szCs w:val="18"/>
                    </w:rPr>
                    <w:t>合计（有组织+无组织）</w:t>
                  </w:r>
                </w:p>
              </w:tc>
              <w:tc>
                <w:tcPr>
                  <w:tcW w:w="1019" w:type="pct"/>
                  <w:shd w:val="clear" w:color="auto" w:fill="auto"/>
                  <w:vAlign w:val="center"/>
                </w:tcPr>
                <w:p w14:paraId="4F60DC19">
                  <w:pPr>
                    <w:jc w:val="center"/>
                    <w:rPr>
                      <w:sz w:val="18"/>
                      <w:szCs w:val="18"/>
                    </w:rPr>
                  </w:pPr>
                  <w:r>
                    <w:rPr>
                      <w:rFonts w:hint="eastAsia"/>
                      <w:sz w:val="18"/>
                      <w:szCs w:val="18"/>
                    </w:rPr>
                    <w:t>颗粒物</w:t>
                  </w:r>
                </w:p>
              </w:tc>
              <w:tc>
                <w:tcPr>
                  <w:tcW w:w="1359" w:type="pct"/>
                  <w:shd w:val="clear" w:color="auto" w:fill="auto"/>
                  <w:vAlign w:val="center"/>
                </w:tcPr>
                <w:p w14:paraId="51E89A20">
                  <w:pPr>
                    <w:jc w:val="center"/>
                    <w:rPr>
                      <w:sz w:val="18"/>
                      <w:szCs w:val="18"/>
                    </w:rPr>
                  </w:pPr>
                  <w:r>
                    <w:rPr>
                      <w:rFonts w:hint="eastAsia"/>
                      <w:sz w:val="18"/>
                      <w:szCs w:val="18"/>
                      <w:lang w:bidi="ar"/>
                    </w:rPr>
                    <w:t>0.0071</w:t>
                  </w:r>
                </w:p>
              </w:tc>
              <w:tc>
                <w:tcPr>
                  <w:tcW w:w="1320" w:type="pct"/>
                  <w:shd w:val="clear" w:color="auto" w:fill="auto"/>
                  <w:vAlign w:val="center"/>
                </w:tcPr>
                <w:p w14:paraId="636D9ECE">
                  <w:pPr>
                    <w:jc w:val="center"/>
                    <w:rPr>
                      <w:rFonts w:hint="eastAsia"/>
                      <w:sz w:val="18"/>
                      <w:szCs w:val="18"/>
                    </w:rPr>
                  </w:pPr>
                  <w:r>
                    <w:rPr>
                      <w:rFonts w:hint="eastAsia"/>
                      <w:sz w:val="18"/>
                      <w:szCs w:val="18"/>
                    </w:rPr>
                    <w:t>0.0008</w:t>
                  </w:r>
                </w:p>
              </w:tc>
            </w:tr>
          </w:tbl>
          <w:p w14:paraId="60CC5D00">
            <w:pPr>
              <w:widowControl/>
              <w:spacing w:line="360" w:lineRule="auto"/>
              <w:ind w:firstLine="422" w:firstLineChars="200"/>
              <w:rPr>
                <w:rFonts w:hint="eastAsia" w:ascii="宋体" w:hAnsi="宋体"/>
                <w:b/>
                <w:bCs/>
                <w:lang w:bidi="ar"/>
              </w:rPr>
            </w:pPr>
            <w:r>
              <w:rPr>
                <w:rFonts w:hint="eastAsia" w:ascii="宋体" w:hAnsi="宋体"/>
                <w:b/>
                <w:bCs/>
                <w:lang w:bidi="ar"/>
              </w:rPr>
              <w:t>（六）非正常排放情况</w:t>
            </w:r>
          </w:p>
          <w:p w14:paraId="1B18A95C">
            <w:pPr>
              <w:widowControl/>
              <w:spacing w:line="360" w:lineRule="auto"/>
              <w:ind w:firstLine="420" w:firstLineChars="200"/>
              <w:rPr>
                <w:rFonts w:hint="eastAsia" w:ascii="宋体" w:hAnsi="宋体"/>
                <w:lang w:bidi="ar"/>
              </w:rPr>
            </w:pPr>
            <w:r>
              <w:rPr>
                <w:rFonts w:hint="eastAsia" w:ascii="宋体" w:hAnsi="宋体"/>
                <w:lang w:bidi="ar"/>
              </w:rPr>
              <w:t>非正常排放主要是指生产过程中开、停车、检修、发生故障情况下污染物的排放，不包括事故。非正常排放大小及频率与生产装置的工艺水平、操作管理水平等因素有密切关系，若没有严格的处理措施，往往是造成污染的重要因素。</w:t>
            </w:r>
          </w:p>
          <w:p w14:paraId="1C25F887">
            <w:pPr>
              <w:widowControl/>
              <w:spacing w:line="360" w:lineRule="auto"/>
              <w:ind w:firstLine="420" w:firstLineChars="200"/>
              <w:rPr>
                <w:rFonts w:hint="eastAsia" w:ascii="宋体" w:hAnsi="宋体"/>
                <w:lang w:bidi="ar"/>
              </w:rPr>
            </w:pPr>
            <w:r>
              <w:rPr>
                <w:rFonts w:hint="eastAsia" w:ascii="宋体" w:hAnsi="宋体"/>
                <w:lang w:bidi="ar"/>
              </w:rPr>
              <w:t>项目非正常工况主要考虑粉碎间布袋除尘器废气处理设施未开启，员工未按要求对粉尘进行收集，布袋破损或未及时更换，处理效率降低到0。项目非正常排放情况详见下表：</w:t>
            </w:r>
          </w:p>
          <w:p w14:paraId="77BC1F2B">
            <w:pPr>
              <w:autoSpaceDE w:val="0"/>
              <w:autoSpaceDN w:val="0"/>
              <w:adjustRightInd w:val="0"/>
              <w:snapToGrid w:val="0"/>
              <w:jc w:val="center"/>
              <w:rPr>
                <w:b/>
              </w:rPr>
            </w:pPr>
            <w:r>
              <w:rPr>
                <w:rFonts w:hint="eastAsia"/>
                <w:b/>
              </w:rPr>
              <w:t>表4-9  项目废气污染物年排放量</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1467"/>
              <w:gridCol w:w="744"/>
              <w:gridCol w:w="1180"/>
              <w:gridCol w:w="1032"/>
              <w:gridCol w:w="885"/>
              <w:gridCol w:w="1035"/>
              <w:gridCol w:w="1257"/>
            </w:tblGrid>
            <w:tr w14:paraId="71CCF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shd w:val="clear" w:color="auto" w:fill="auto"/>
                  <w:vAlign w:val="center"/>
                </w:tcPr>
                <w:p w14:paraId="0704A372">
                  <w:pPr>
                    <w:jc w:val="center"/>
                    <w:rPr>
                      <w:b/>
                      <w:bCs/>
                      <w:sz w:val="18"/>
                      <w:szCs w:val="18"/>
                    </w:rPr>
                  </w:pPr>
                  <w:r>
                    <w:rPr>
                      <w:rFonts w:hint="eastAsia"/>
                      <w:b/>
                      <w:bCs/>
                      <w:sz w:val="18"/>
                      <w:szCs w:val="18"/>
                    </w:rPr>
                    <w:t>污染源</w:t>
                  </w:r>
                </w:p>
              </w:tc>
              <w:tc>
                <w:tcPr>
                  <w:tcW w:w="860" w:type="pct"/>
                  <w:shd w:val="clear" w:color="auto" w:fill="auto"/>
                  <w:vAlign w:val="center"/>
                </w:tcPr>
                <w:p w14:paraId="57FEF267">
                  <w:pPr>
                    <w:jc w:val="center"/>
                    <w:rPr>
                      <w:b/>
                      <w:bCs/>
                      <w:sz w:val="18"/>
                      <w:szCs w:val="18"/>
                    </w:rPr>
                  </w:pPr>
                  <w:r>
                    <w:rPr>
                      <w:rFonts w:hint="eastAsia"/>
                      <w:b/>
                      <w:bCs/>
                      <w:sz w:val="18"/>
                      <w:szCs w:val="18"/>
                    </w:rPr>
                    <w:t>非正常排放原因</w:t>
                  </w:r>
                </w:p>
              </w:tc>
              <w:tc>
                <w:tcPr>
                  <w:tcW w:w="436" w:type="pct"/>
                  <w:shd w:val="clear" w:color="auto" w:fill="auto"/>
                  <w:vAlign w:val="center"/>
                </w:tcPr>
                <w:p w14:paraId="6AA636C7">
                  <w:pPr>
                    <w:jc w:val="center"/>
                    <w:rPr>
                      <w:b/>
                      <w:bCs/>
                      <w:sz w:val="18"/>
                      <w:szCs w:val="18"/>
                    </w:rPr>
                  </w:pPr>
                  <w:r>
                    <w:rPr>
                      <w:rFonts w:hint="eastAsia"/>
                      <w:b/>
                      <w:bCs/>
                      <w:sz w:val="18"/>
                      <w:szCs w:val="18"/>
                    </w:rPr>
                    <w:t>污染物</w:t>
                  </w:r>
                </w:p>
              </w:tc>
              <w:tc>
                <w:tcPr>
                  <w:tcW w:w="692" w:type="pct"/>
                  <w:shd w:val="clear" w:color="auto" w:fill="auto"/>
                  <w:vAlign w:val="center"/>
                </w:tcPr>
                <w:p w14:paraId="05905693">
                  <w:pPr>
                    <w:jc w:val="center"/>
                    <w:rPr>
                      <w:b/>
                      <w:bCs/>
                      <w:sz w:val="18"/>
                      <w:szCs w:val="18"/>
                    </w:rPr>
                  </w:pPr>
                  <w:r>
                    <w:rPr>
                      <w:rFonts w:hint="eastAsia"/>
                      <w:b/>
                      <w:bCs/>
                      <w:sz w:val="18"/>
                      <w:szCs w:val="18"/>
                    </w:rPr>
                    <w:t>非正常排放浓度</w:t>
                  </w:r>
                  <w:r>
                    <w:rPr>
                      <w:b/>
                      <w:bCs/>
                      <w:sz w:val="18"/>
                      <w:szCs w:val="18"/>
                    </w:rPr>
                    <w:t>（mg</w:t>
                  </w:r>
                  <w:r>
                    <w:rPr>
                      <w:rFonts w:hint="eastAsia"/>
                      <w:b/>
                      <w:bCs/>
                      <w:sz w:val="18"/>
                      <w:szCs w:val="18"/>
                    </w:rPr>
                    <w:t>/</w:t>
                  </w:r>
                  <w:r>
                    <w:rPr>
                      <w:b/>
                      <w:bCs/>
                      <w:sz w:val="18"/>
                      <w:szCs w:val="18"/>
                    </w:rPr>
                    <w:t>m</w:t>
                  </w:r>
                  <w:r>
                    <w:rPr>
                      <w:rFonts w:hint="eastAsia"/>
                      <w:b/>
                      <w:bCs/>
                      <w:sz w:val="18"/>
                      <w:szCs w:val="18"/>
                      <w:vertAlign w:val="superscript"/>
                    </w:rPr>
                    <w:t>3</w:t>
                  </w:r>
                  <w:r>
                    <w:rPr>
                      <w:b/>
                      <w:bCs/>
                      <w:sz w:val="18"/>
                      <w:szCs w:val="18"/>
                    </w:rPr>
                    <w:t>）</w:t>
                  </w:r>
                </w:p>
              </w:tc>
              <w:tc>
                <w:tcPr>
                  <w:tcW w:w="605" w:type="pct"/>
                  <w:shd w:val="clear" w:color="auto" w:fill="auto"/>
                  <w:vAlign w:val="center"/>
                </w:tcPr>
                <w:p w14:paraId="0D55F68F">
                  <w:pPr>
                    <w:jc w:val="center"/>
                    <w:rPr>
                      <w:b/>
                      <w:bCs/>
                      <w:sz w:val="18"/>
                      <w:szCs w:val="18"/>
                    </w:rPr>
                  </w:pPr>
                  <w:r>
                    <w:rPr>
                      <w:rFonts w:hint="eastAsia"/>
                      <w:b/>
                      <w:bCs/>
                      <w:sz w:val="18"/>
                      <w:szCs w:val="18"/>
                    </w:rPr>
                    <w:t>非正常排放速率</w:t>
                  </w:r>
                  <w:r>
                    <w:rPr>
                      <w:b/>
                      <w:bCs/>
                      <w:sz w:val="18"/>
                      <w:szCs w:val="18"/>
                    </w:rPr>
                    <w:t>（</w:t>
                  </w:r>
                  <w:r>
                    <w:rPr>
                      <w:rFonts w:hint="eastAsia"/>
                      <w:b/>
                      <w:bCs/>
                      <w:sz w:val="18"/>
                      <w:szCs w:val="18"/>
                    </w:rPr>
                    <w:t>kg/h</w:t>
                  </w:r>
                  <w:r>
                    <w:rPr>
                      <w:b/>
                      <w:bCs/>
                      <w:sz w:val="18"/>
                      <w:szCs w:val="18"/>
                    </w:rPr>
                    <w:t>）</w:t>
                  </w:r>
                </w:p>
              </w:tc>
              <w:tc>
                <w:tcPr>
                  <w:tcW w:w="519" w:type="pct"/>
                  <w:shd w:val="clear" w:color="auto" w:fill="auto"/>
                  <w:vAlign w:val="center"/>
                </w:tcPr>
                <w:p w14:paraId="35E0856C">
                  <w:pPr>
                    <w:jc w:val="center"/>
                    <w:rPr>
                      <w:b/>
                      <w:bCs/>
                      <w:sz w:val="18"/>
                      <w:szCs w:val="18"/>
                    </w:rPr>
                  </w:pPr>
                  <w:r>
                    <w:rPr>
                      <w:rFonts w:hint="eastAsia"/>
                      <w:b/>
                      <w:bCs/>
                      <w:sz w:val="18"/>
                      <w:szCs w:val="18"/>
                    </w:rPr>
                    <w:t>单次持续时间（h）</w:t>
                  </w:r>
                </w:p>
              </w:tc>
              <w:tc>
                <w:tcPr>
                  <w:tcW w:w="607" w:type="pct"/>
                  <w:shd w:val="clear" w:color="auto" w:fill="auto"/>
                  <w:vAlign w:val="center"/>
                </w:tcPr>
                <w:p w14:paraId="016B3FED">
                  <w:pPr>
                    <w:jc w:val="center"/>
                    <w:rPr>
                      <w:b/>
                      <w:bCs/>
                      <w:sz w:val="18"/>
                      <w:szCs w:val="18"/>
                    </w:rPr>
                  </w:pPr>
                  <w:r>
                    <w:rPr>
                      <w:rFonts w:hint="eastAsia"/>
                      <w:b/>
                      <w:bCs/>
                      <w:sz w:val="18"/>
                      <w:szCs w:val="18"/>
                    </w:rPr>
                    <w:t>年发生频次</w:t>
                  </w:r>
                  <w:r>
                    <w:rPr>
                      <w:b/>
                      <w:bCs/>
                      <w:sz w:val="18"/>
                      <w:szCs w:val="18"/>
                    </w:rPr>
                    <w:t>（</w:t>
                  </w:r>
                  <w:r>
                    <w:rPr>
                      <w:rFonts w:hint="eastAsia"/>
                      <w:b/>
                      <w:bCs/>
                      <w:sz w:val="18"/>
                      <w:szCs w:val="18"/>
                    </w:rPr>
                    <w:t>次</w:t>
                  </w:r>
                  <w:r>
                    <w:rPr>
                      <w:b/>
                      <w:bCs/>
                      <w:sz w:val="18"/>
                      <w:szCs w:val="18"/>
                    </w:rPr>
                    <w:t>）</w:t>
                  </w:r>
                </w:p>
              </w:tc>
              <w:tc>
                <w:tcPr>
                  <w:tcW w:w="737" w:type="pct"/>
                  <w:shd w:val="clear" w:color="auto" w:fill="auto"/>
                  <w:vAlign w:val="center"/>
                </w:tcPr>
                <w:p w14:paraId="0A8029B6">
                  <w:pPr>
                    <w:jc w:val="center"/>
                    <w:rPr>
                      <w:b/>
                      <w:bCs/>
                      <w:sz w:val="18"/>
                      <w:szCs w:val="18"/>
                    </w:rPr>
                  </w:pPr>
                  <w:r>
                    <w:rPr>
                      <w:rFonts w:hint="eastAsia"/>
                      <w:b/>
                      <w:bCs/>
                      <w:sz w:val="18"/>
                      <w:szCs w:val="18"/>
                    </w:rPr>
                    <w:t>应对措施</w:t>
                  </w:r>
                </w:p>
              </w:tc>
            </w:tr>
            <w:tr w14:paraId="62201A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4" w:type="pct"/>
                  <w:shd w:val="clear" w:color="auto" w:fill="auto"/>
                  <w:vAlign w:val="center"/>
                </w:tcPr>
                <w:p w14:paraId="5E448AB5">
                  <w:pPr>
                    <w:jc w:val="center"/>
                    <w:rPr>
                      <w:rFonts w:hint="eastAsia"/>
                      <w:sz w:val="18"/>
                      <w:szCs w:val="18"/>
                    </w:rPr>
                  </w:pPr>
                  <w:r>
                    <w:rPr>
                      <w:sz w:val="18"/>
                      <w:szCs w:val="18"/>
                    </w:rPr>
                    <w:t>DA00</w:t>
                  </w:r>
                  <w:r>
                    <w:rPr>
                      <w:rFonts w:hint="eastAsia"/>
                      <w:sz w:val="18"/>
                      <w:szCs w:val="18"/>
                    </w:rPr>
                    <w:t>2</w:t>
                  </w:r>
                </w:p>
              </w:tc>
              <w:tc>
                <w:tcPr>
                  <w:tcW w:w="860" w:type="pct"/>
                  <w:shd w:val="clear" w:color="auto" w:fill="auto"/>
                  <w:vAlign w:val="center"/>
                </w:tcPr>
                <w:p w14:paraId="068A1DB2">
                  <w:pPr>
                    <w:jc w:val="center"/>
                    <w:rPr>
                      <w:sz w:val="18"/>
                      <w:szCs w:val="18"/>
                    </w:rPr>
                  </w:pPr>
                  <w:r>
                    <w:rPr>
                      <w:rFonts w:hint="eastAsia"/>
                      <w:sz w:val="18"/>
                      <w:szCs w:val="18"/>
                    </w:rPr>
                    <w:t>废气处理设施未开、布袋破损等</w:t>
                  </w:r>
                </w:p>
              </w:tc>
              <w:tc>
                <w:tcPr>
                  <w:tcW w:w="436" w:type="pct"/>
                  <w:shd w:val="clear" w:color="auto" w:fill="auto"/>
                  <w:vAlign w:val="center"/>
                </w:tcPr>
                <w:p w14:paraId="7BA1E444">
                  <w:pPr>
                    <w:jc w:val="center"/>
                    <w:rPr>
                      <w:sz w:val="18"/>
                      <w:szCs w:val="18"/>
                    </w:rPr>
                  </w:pPr>
                  <w:r>
                    <w:rPr>
                      <w:rFonts w:hint="eastAsia"/>
                      <w:sz w:val="18"/>
                      <w:szCs w:val="18"/>
                    </w:rPr>
                    <w:t>颗粒物</w:t>
                  </w:r>
                </w:p>
              </w:tc>
              <w:tc>
                <w:tcPr>
                  <w:tcW w:w="692" w:type="pct"/>
                  <w:shd w:val="clear" w:color="auto" w:fill="auto"/>
                  <w:vAlign w:val="center"/>
                </w:tcPr>
                <w:p w14:paraId="0CBF0429">
                  <w:pPr>
                    <w:jc w:val="center"/>
                    <w:rPr>
                      <w:rFonts w:hint="eastAsia"/>
                      <w:sz w:val="18"/>
                      <w:szCs w:val="18"/>
                    </w:rPr>
                  </w:pPr>
                  <w:r>
                    <w:rPr>
                      <w:rFonts w:hint="eastAsia"/>
                      <w:sz w:val="18"/>
                      <w:szCs w:val="18"/>
                    </w:rPr>
                    <w:t>1.98</w:t>
                  </w:r>
                </w:p>
              </w:tc>
              <w:tc>
                <w:tcPr>
                  <w:tcW w:w="605" w:type="pct"/>
                  <w:shd w:val="clear" w:color="auto" w:fill="auto"/>
                  <w:vAlign w:val="center"/>
                </w:tcPr>
                <w:p w14:paraId="170F4B53">
                  <w:pPr>
                    <w:jc w:val="center"/>
                    <w:rPr>
                      <w:rFonts w:hint="eastAsia"/>
                      <w:sz w:val="18"/>
                      <w:szCs w:val="18"/>
                    </w:rPr>
                  </w:pPr>
                  <w:r>
                    <w:rPr>
                      <w:rFonts w:hint="eastAsia"/>
                      <w:sz w:val="18"/>
                      <w:szCs w:val="18"/>
                    </w:rPr>
                    <w:t>0.0079</w:t>
                  </w:r>
                </w:p>
              </w:tc>
              <w:tc>
                <w:tcPr>
                  <w:tcW w:w="519" w:type="pct"/>
                  <w:shd w:val="clear" w:color="auto" w:fill="auto"/>
                  <w:vAlign w:val="center"/>
                </w:tcPr>
                <w:p w14:paraId="40C96BFF">
                  <w:pPr>
                    <w:jc w:val="center"/>
                    <w:rPr>
                      <w:sz w:val="18"/>
                      <w:szCs w:val="18"/>
                    </w:rPr>
                  </w:pPr>
                  <w:r>
                    <w:rPr>
                      <w:rFonts w:hint="eastAsia"/>
                      <w:sz w:val="18"/>
                      <w:szCs w:val="18"/>
                    </w:rPr>
                    <w:t>0</w:t>
                  </w:r>
                  <w:r>
                    <w:rPr>
                      <w:sz w:val="18"/>
                      <w:szCs w:val="18"/>
                    </w:rPr>
                    <w:t>.5</w:t>
                  </w:r>
                  <w:r>
                    <w:rPr>
                      <w:rFonts w:hint="eastAsia"/>
                      <w:sz w:val="18"/>
                      <w:szCs w:val="18"/>
                    </w:rPr>
                    <w:t>h</w:t>
                  </w:r>
                </w:p>
              </w:tc>
              <w:tc>
                <w:tcPr>
                  <w:tcW w:w="607" w:type="pct"/>
                  <w:shd w:val="clear" w:color="auto" w:fill="auto"/>
                  <w:vAlign w:val="center"/>
                </w:tcPr>
                <w:p w14:paraId="0A40DBFF">
                  <w:pPr>
                    <w:jc w:val="center"/>
                    <w:rPr>
                      <w:sz w:val="18"/>
                      <w:szCs w:val="18"/>
                    </w:rPr>
                  </w:pPr>
                  <w:r>
                    <w:rPr>
                      <w:rFonts w:hint="eastAsia"/>
                      <w:sz w:val="18"/>
                      <w:szCs w:val="18"/>
                    </w:rPr>
                    <w:t>1次</w:t>
                  </w:r>
                </w:p>
              </w:tc>
              <w:tc>
                <w:tcPr>
                  <w:tcW w:w="737" w:type="pct"/>
                  <w:shd w:val="clear" w:color="auto" w:fill="auto"/>
                  <w:vAlign w:val="center"/>
                </w:tcPr>
                <w:p w14:paraId="75448E9D">
                  <w:pPr>
                    <w:jc w:val="center"/>
                    <w:rPr>
                      <w:sz w:val="18"/>
                      <w:szCs w:val="18"/>
                    </w:rPr>
                  </w:pPr>
                  <w:r>
                    <w:rPr>
                      <w:rFonts w:hint="eastAsia"/>
                      <w:sz w:val="18"/>
                      <w:szCs w:val="18"/>
                    </w:rPr>
                    <w:t>加强废气处理系统的检查、维护</w:t>
                  </w:r>
                </w:p>
              </w:tc>
            </w:tr>
          </w:tbl>
          <w:p w14:paraId="6BE537FB">
            <w:pPr>
              <w:widowControl/>
              <w:spacing w:line="360" w:lineRule="auto"/>
              <w:ind w:firstLine="422" w:firstLineChars="200"/>
              <w:rPr>
                <w:rFonts w:hint="eastAsia" w:ascii="宋体" w:hAnsi="宋体"/>
                <w:b/>
                <w:bCs/>
                <w:lang w:bidi="ar"/>
              </w:rPr>
            </w:pPr>
            <w:r>
              <w:rPr>
                <w:rFonts w:hint="eastAsia" w:ascii="宋体" w:hAnsi="宋体"/>
                <w:b/>
                <w:bCs/>
                <w:lang w:bidi="ar"/>
              </w:rPr>
              <w:t>（七）大气环境影响分析</w:t>
            </w:r>
          </w:p>
          <w:p w14:paraId="53A17BC3">
            <w:pPr>
              <w:widowControl/>
              <w:spacing w:line="360" w:lineRule="auto"/>
              <w:ind w:firstLine="420" w:firstLineChars="200"/>
              <w:rPr>
                <w:rFonts w:hint="eastAsia" w:ascii="宋体" w:hAnsi="宋体"/>
                <w:lang w:bidi="ar"/>
              </w:rPr>
            </w:pPr>
            <w:r>
              <w:rPr>
                <w:rFonts w:hint="eastAsia" w:ascii="宋体" w:hAnsi="宋体"/>
                <w:lang w:bidi="ar"/>
              </w:rPr>
              <w:t>本项目针对各类废气拟采取合理可行的治理措施，项目运营期间颗粒物能够满足《</w:t>
            </w:r>
            <w:r>
              <w:rPr>
                <w:rFonts w:hint="eastAsia"/>
                <w:lang w:bidi="ar"/>
              </w:rPr>
              <w:t>大气污染物综合排放标准》（GB16297-1996）表2中相关标准限值</w:t>
            </w:r>
            <w:r>
              <w:rPr>
                <w:rFonts w:hint="eastAsia" w:ascii="宋体" w:hAnsi="宋体"/>
                <w:lang w:bidi="ar"/>
              </w:rPr>
              <w:t>要求。</w:t>
            </w:r>
          </w:p>
          <w:p w14:paraId="7515D11C">
            <w:pPr>
              <w:widowControl/>
              <w:spacing w:line="360" w:lineRule="auto"/>
              <w:ind w:firstLine="420" w:firstLineChars="200"/>
              <w:rPr>
                <w:rFonts w:hint="eastAsia" w:ascii="宋体" w:hAnsi="宋体"/>
                <w:lang w:bidi="ar"/>
              </w:rPr>
            </w:pPr>
            <w:r>
              <w:rPr>
                <w:rFonts w:hint="eastAsia" w:ascii="宋体" w:hAnsi="宋体"/>
                <w:lang w:bidi="ar"/>
              </w:rPr>
              <w:t>综上，本项目运营期各项大气污染物能够达标排放，大气环境影响可以接受</w:t>
            </w:r>
          </w:p>
          <w:p w14:paraId="6104273D">
            <w:pPr>
              <w:widowControl/>
              <w:spacing w:line="360" w:lineRule="auto"/>
              <w:ind w:firstLine="422" w:firstLineChars="200"/>
              <w:rPr>
                <w:rFonts w:hint="eastAsia" w:ascii="宋体" w:hAnsi="宋体"/>
                <w:b/>
                <w:bCs/>
                <w:lang w:bidi="ar"/>
              </w:rPr>
            </w:pPr>
            <w:r>
              <w:rPr>
                <w:rFonts w:hint="eastAsia" w:ascii="宋体" w:hAnsi="宋体"/>
                <w:b/>
                <w:bCs/>
                <w:lang w:bidi="ar"/>
              </w:rPr>
              <w:t>（八）自行监测</w:t>
            </w:r>
          </w:p>
          <w:p w14:paraId="776249F7">
            <w:pPr>
              <w:widowControl/>
              <w:spacing w:line="360" w:lineRule="auto"/>
              <w:ind w:firstLine="420" w:firstLineChars="200"/>
              <w:rPr>
                <w:rFonts w:hint="eastAsia" w:ascii="宋体" w:hAnsi="宋体"/>
                <w:lang w:bidi="ar"/>
              </w:rPr>
            </w:pPr>
            <w:r>
              <w:rPr>
                <w:rFonts w:hint="eastAsia"/>
                <w:lang w:bidi="ar"/>
              </w:rPr>
              <w:t>项目属于C2740 中成药生产，根据《排污单位自行监测技术指南总则》（HJ 819-2017）、《排污许可证申请与核发技术规范 制药工业-中成药生产》（HJ1064-2019）等技术规范</w:t>
            </w:r>
            <w:r>
              <w:rPr>
                <w:rFonts w:hint="eastAsia" w:ascii="宋体" w:hAnsi="宋体"/>
                <w:lang w:bidi="ar"/>
              </w:rPr>
              <w:t>，建设单位应执行下表的监测计划。</w:t>
            </w:r>
          </w:p>
          <w:p w14:paraId="10BC7DC6">
            <w:pPr>
              <w:autoSpaceDE w:val="0"/>
              <w:autoSpaceDN w:val="0"/>
              <w:adjustRightInd w:val="0"/>
              <w:snapToGrid w:val="0"/>
              <w:jc w:val="center"/>
              <w:rPr>
                <w:b/>
              </w:rPr>
            </w:pPr>
            <w:r>
              <w:rPr>
                <w:rFonts w:hint="eastAsia"/>
                <w:b/>
              </w:rPr>
              <w:t>表 4-10</w:t>
            </w:r>
            <w:r>
              <w:rPr>
                <w:b/>
              </w:rPr>
              <w:t xml:space="preserve"> </w:t>
            </w:r>
            <w:r>
              <w:rPr>
                <w:rFonts w:hint="eastAsia"/>
                <w:b/>
              </w:rPr>
              <w:t xml:space="preserve">  废气监测要求一览表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9"/>
              <w:gridCol w:w="3655"/>
              <w:gridCol w:w="1883"/>
              <w:gridCol w:w="1530"/>
            </w:tblGrid>
            <w:tr w14:paraId="7BA4F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pct"/>
                  <w:shd w:val="clear" w:color="auto" w:fill="auto"/>
                  <w:vAlign w:val="center"/>
                </w:tcPr>
                <w:p w14:paraId="2A31BDEB">
                  <w:pPr>
                    <w:widowControl/>
                    <w:jc w:val="center"/>
                    <w:rPr>
                      <w:b/>
                      <w:bCs/>
                      <w:lang w:bidi="ar"/>
                    </w:rPr>
                  </w:pPr>
                  <w:r>
                    <w:rPr>
                      <w:rFonts w:hint="eastAsia"/>
                      <w:b/>
                      <w:bCs/>
                      <w:lang w:bidi="ar"/>
                    </w:rPr>
                    <w:t>类别</w:t>
                  </w:r>
                </w:p>
              </w:tc>
              <w:tc>
                <w:tcPr>
                  <w:tcW w:w="2143" w:type="pct"/>
                  <w:shd w:val="clear" w:color="auto" w:fill="auto"/>
                  <w:vAlign w:val="center"/>
                </w:tcPr>
                <w:p w14:paraId="514FA18F">
                  <w:pPr>
                    <w:widowControl/>
                    <w:jc w:val="center"/>
                    <w:rPr>
                      <w:b/>
                      <w:bCs/>
                      <w:lang w:bidi="ar"/>
                    </w:rPr>
                  </w:pPr>
                  <w:r>
                    <w:rPr>
                      <w:rFonts w:hint="eastAsia"/>
                      <w:b/>
                      <w:bCs/>
                      <w:lang w:bidi="ar"/>
                    </w:rPr>
                    <w:t>监测位置</w:t>
                  </w:r>
                </w:p>
              </w:tc>
              <w:tc>
                <w:tcPr>
                  <w:tcW w:w="1104" w:type="pct"/>
                  <w:shd w:val="clear" w:color="auto" w:fill="auto"/>
                  <w:vAlign w:val="center"/>
                </w:tcPr>
                <w:p w14:paraId="76F5C5D6">
                  <w:pPr>
                    <w:widowControl/>
                    <w:jc w:val="center"/>
                    <w:rPr>
                      <w:b/>
                      <w:bCs/>
                      <w:lang w:bidi="ar"/>
                    </w:rPr>
                  </w:pPr>
                  <w:r>
                    <w:rPr>
                      <w:rFonts w:hint="eastAsia"/>
                      <w:b/>
                      <w:bCs/>
                      <w:lang w:bidi="ar"/>
                    </w:rPr>
                    <w:t>监测因子</w:t>
                  </w:r>
                </w:p>
              </w:tc>
              <w:tc>
                <w:tcPr>
                  <w:tcW w:w="898" w:type="pct"/>
                  <w:shd w:val="clear" w:color="auto" w:fill="auto"/>
                  <w:vAlign w:val="center"/>
                </w:tcPr>
                <w:p w14:paraId="4DB3893E">
                  <w:pPr>
                    <w:widowControl/>
                    <w:jc w:val="center"/>
                    <w:rPr>
                      <w:b/>
                      <w:bCs/>
                      <w:lang w:bidi="ar"/>
                    </w:rPr>
                  </w:pPr>
                  <w:r>
                    <w:rPr>
                      <w:rFonts w:hint="eastAsia"/>
                      <w:b/>
                      <w:bCs/>
                      <w:lang w:bidi="ar"/>
                    </w:rPr>
                    <w:t>监测频次</w:t>
                  </w:r>
                </w:p>
              </w:tc>
            </w:tr>
            <w:tr w14:paraId="544D7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pct"/>
                  <w:vMerge w:val="restart"/>
                  <w:shd w:val="clear" w:color="auto" w:fill="auto"/>
                  <w:vAlign w:val="center"/>
                </w:tcPr>
                <w:p w14:paraId="03624663">
                  <w:pPr>
                    <w:widowControl/>
                    <w:jc w:val="center"/>
                    <w:rPr>
                      <w:lang w:bidi="ar"/>
                    </w:rPr>
                  </w:pPr>
                  <w:r>
                    <w:rPr>
                      <w:rFonts w:hint="eastAsia"/>
                      <w:lang w:bidi="ar"/>
                    </w:rPr>
                    <w:t>有组织废气</w:t>
                  </w:r>
                </w:p>
              </w:tc>
              <w:tc>
                <w:tcPr>
                  <w:tcW w:w="2143" w:type="pct"/>
                  <w:shd w:val="clear" w:color="auto" w:fill="auto"/>
                  <w:vAlign w:val="center"/>
                </w:tcPr>
                <w:p w14:paraId="6C3304ED">
                  <w:pPr>
                    <w:widowControl/>
                    <w:jc w:val="center"/>
                    <w:rPr>
                      <w:lang w:bidi="ar"/>
                    </w:rPr>
                  </w:pPr>
                  <w:r>
                    <w:rPr>
                      <w:lang w:bidi="ar"/>
                    </w:rPr>
                    <w:t>DA001</w:t>
                  </w:r>
                </w:p>
              </w:tc>
              <w:tc>
                <w:tcPr>
                  <w:tcW w:w="1104" w:type="pct"/>
                  <w:shd w:val="clear" w:color="auto" w:fill="auto"/>
                  <w:vAlign w:val="center"/>
                </w:tcPr>
                <w:p w14:paraId="7C50E471">
                  <w:pPr>
                    <w:widowControl/>
                    <w:jc w:val="center"/>
                    <w:rPr>
                      <w:lang w:bidi="ar"/>
                    </w:rPr>
                  </w:pPr>
                  <w:r>
                    <w:rPr>
                      <w:rFonts w:hint="eastAsia"/>
                      <w:lang w:bidi="ar"/>
                    </w:rPr>
                    <w:t>臭气浓度</w:t>
                  </w:r>
                </w:p>
              </w:tc>
              <w:tc>
                <w:tcPr>
                  <w:tcW w:w="898" w:type="pct"/>
                  <w:shd w:val="clear" w:color="auto" w:fill="auto"/>
                  <w:vAlign w:val="center"/>
                </w:tcPr>
                <w:p w14:paraId="4658B611">
                  <w:pPr>
                    <w:widowControl/>
                    <w:jc w:val="center"/>
                    <w:rPr>
                      <w:lang w:bidi="ar"/>
                    </w:rPr>
                  </w:pPr>
                  <w:r>
                    <w:rPr>
                      <w:rFonts w:hint="eastAsia"/>
                      <w:lang w:bidi="ar"/>
                    </w:rPr>
                    <w:t>1次/年</w:t>
                  </w:r>
                </w:p>
              </w:tc>
            </w:tr>
            <w:tr w14:paraId="100A1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pct"/>
                  <w:vMerge w:val="continue"/>
                  <w:shd w:val="clear" w:color="auto" w:fill="auto"/>
                  <w:vAlign w:val="center"/>
                </w:tcPr>
                <w:p w14:paraId="3BC5EB06">
                  <w:pPr>
                    <w:widowControl/>
                    <w:jc w:val="center"/>
                    <w:rPr>
                      <w:lang w:bidi="ar"/>
                    </w:rPr>
                  </w:pPr>
                </w:p>
              </w:tc>
              <w:tc>
                <w:tcPr>
                  <w:tcW w:w="2143" w:type="pct"/>
                  <w:shd w:val="clear" w:color="auto" w:fill="auto"/>
                  <w:vAlign w:val="center"/>
                </w:tcPr>
                <w:p w14:paraId="32D61A13">
                  <w:pPr>
                    <w:widowControl/>
                    <w:jc w:val="center"/>
                    <w:rPr>
                      <w:lang w:bidi="ar"/>
                    </w:rPr>
                  </w:pPr>
                  <w:r>
                    <w:rPr>
                      <w:lang w:bidi="ar"/>
                    </w:rPr>
                    <w:t>DA00</w:t>
                  </w:r>
                  <w:r>
                    <w:rPr>
                      <w:rFonts w:hint="eastAsia"/>
                      <w:lang w:bidi="ar"/>
                    </w:rPr>
                    <w:t>2</w:t>
                  </w:r>
                </w:p>
              </w:tc>
              <w:tc>
                <w:tcPr>
                  <w:tcW w:w="1104" w:type="pct"/>
                  <w:shd w:val="clear" w:color="auto" w:fill="auto"/>
                  <w:vAlign w:val="center"/>
                </w:tcPr>
                <w:p w14:paraId="5AB31D06">
                  <w:pPr>
                    <w:widowControl/>
                    <w:jc w:val="center"/>
                    <w:rPr>
                      <w:lang w:bidi="ar"/>
                    </w:rPr>
                  </w:pPr>
                  <w:r>
                    <w:rPr>
                      <w:rFonts w:hint="eastAsia"/>
                      <w:lang w:bidi="ar"/>
                    </w:rPr>
                    <w:t>颗粒物</w:t>
                  </w:r>
                </w:p>
              </w:tc>
              <w:tc>
                <w:tcPr>
                  <w:tcW w:w="898" w:type="pct"/>
                  <w:shd w:val="clear" w:color="auto" w:fill="auto"/>
                  <w:vAlign w:val="center"/>
                </w:tcPr>
                <w:p w14:paraId="246D4C05">
                  <w:pPr>
                    <w:widowControl/>
                    <w:jc w:val="center"/>
                    <w:rPr>
                      <w:lang w:bidi="ar"/>
                    </w:rPr>
                  </w:pPr>
                  <w:r>
                    <w:rPr>
                      <w:rFonts w:hint="eastAsia"/>
                      <w:lang w:bidi="ar"/>
                    </w:rPr>
                    <w:t>1次/半年</w:t>
                  </w:r>
                </w:p>
              </w:tc>
            </w:tr>
            <w:tr w14:paraId="2CAA40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6" w:type="pct"/>
                  <w:shd w:val="clear" w:color="auto" w:fill="auto"/>
                  <w:vAlign w:val="center"/>
                </w:tcPr>
                <w:p w14:paraId="6D471E6C">
                  <w:pPr>
                    <w:widowControl/>
                    <w:jc w:val="center"/>
                    <w:rPr>
                      <w:lang w:bidi="ar"/>
                    </w:rPr>
                  </w:pPr>
                  <w:r>
                    <w:rPr>
                      <w:rFonts w:hint="eastAsia"/>
                      <w:lang w:bidi="ar"/>
                    </w:rPr>
                    <w:t>无组织废气</w:t>
                  </w:r>
                </w:p>
              </w:tc>
              <w:tc>
                <w:tcPr>
                  <w:tcW w:w="2143" w:type="pct"/>
                  <w:shd w:val="clear" w:color="auto" w:fill="auto"/>
                  <w:vAlign w:val="center"/>
                </w:tcPr>
                <w:p w14:paraId="5C6718CF">
                  <w:pPr>
                    <w:widowControl/>
                    <w:jc w:val="center"/>
                    <w:rPr>
                      <w:lang w:bidi="ar"/>
                    </w:rPr>
                  </w:pPr>
                  <w:r>
                    <w:rPr>
                      <w:rFonts w:hint="eastAsia"/>
                      <w:lang w:bidi="ar"/>
                    </w:rPr>
                    <w:t>项目厂界上风向1个点位、下风向 3 个点位</w:t>
                  </w:r>
                </w:p>
              </w:tc>
              <w:tc>
                <w:tcPr>
                  <w:tcW w:w="1104" w:type="pct"/>
                  <w:shd w:val="clear" w:color="auto" w:fill="auto"/>
                  <w:vAlign w:val="center"/>
                </w:tcPr>
                <w:p w14:paraId="7A2F9589">
                  <w:pPr>
                    <w:widowControl/>
                    <w:jc w:val="center"/>
                    <w:rPr>
                      <w:lang w:bidi="ar"/>
                    </w:rPr>
                  </w:pPr>
                  <w:r>
                    <w:rPr>
                      <w:rFonts w:hint="eastAsia"/>
                      <w:lang w:bidi="ar"/>
                    </w:rPr>
                    <w:t>颗粒物、臭气浓度、VOCs、硫化氢、氨气</w:t>
                  </w:r>
                </w:p>
              </w:tc>
              <w:tc>
                <w:tcPr>
                  <w:tcW w:w="898" w:type="pct"/>
                  <w:shd w:val="clear" w:color="auto" w:fill="auto"/>
                  <w:vAlign w:val="center"/>
                </w:tcPr>
                <w:p w14:paraId="0E88AEE5">
                  <w:pPr>
                    <w:widowControl/>
                    <w:jc w:val="center"/>
                    <w:rPr>
                      <w:lang w:bidi="ar"/>
                    </w:rPr>
                  </w:pPr>
                  <w:r>
                    <w:rPr>
                      <w:rFonts w:hint="eastAsia"/>
                      <w:lang w:bidi="ar"/>
                    </w:rPr>
                    <w:t>1次/年</w:t>
                  </w:r>
                </w:p>
              </w:tc>
            </w:tr>
          </w:tbl>
          <w:p w14:paraId="1A687A7C">
            <w:pPr>
              <w:widowControl/>
              <w:spacing w:line="360" w:lineRule="auto"/>
              <w:ind w:firstLine="422" w:firstLineChars="200"/>
              <w:rPr>
                <w:rFonts w:hint="eastAsia" w:ascii="宋体" w:hAnsi="宋体"/>
                <w:b/>
                <w:bCs/>
                <w:lang w:bidi="ar"/>
              </w:rPr>
            </w:pPr>
            <w:r>
              <w:rPr>
                <w:rFonts w:hint="eastAsia" w:ascii="宋体" w:hAnsi="宋体"/>
                <w:b/>
                <w:bCs/>
                <w:lang w:bidi="ar"/>
              </w:rPr>
              <w:t>二、废水</w:t>
            </w:r>
          </w:p>
          <w:p w14:paraId="352FA444">
            <w:pPr>
              <w:widowControl/>
              <w:spacing w:line="360" w:lineRule="auto"/>
              <w:ind w:firstLine="420" w:firstLineChars="200"/>
              <w:rPr>
                <w:rFonts w:hint="eastAsia" w:ascii="宋体" w:hAnsi="宋体"/>
                <w:lang w:bidi="ar"/>
              </w:rPr>
            </w:pPr>
            <w:r>
              <w:rPr>
                <w:rFonts w:hint="eastAsia" w:ascii="宋体" w:hAnsi="宋体"/>
                <w:lang w:bidi="ar"/>
              </w:rPr>
              <w:t>根</w:t>
            </w:r>
            <w:r>
              <w:rPr>
                <w:rFonts w:hint="eastAsia"/>
                <w:lang w:bidi="ar"/>
              </w:rPr>
              <w:t>据《建设项目环境影响报告表编制技术指南》（污染影响类）（试行）“表1专项评价设置原则表”，本项目废水经处理后，排入污水处理厂进行处理，不属于“新增工业废水直排建设项目”，因此本项目不设置地表水专项</w:t>
            </w:r>
            <w:r>
              <w:rPr>
                <w:rFonts w:hint="eastAsia" w:ascii="宋体" w:hAnsi="宋体"/>
                <w:lang w:bidi="ar"/>
              </w:rPr>
              <w:t>。</w:t>
            </w:r>
          </w:p>
          <w:p w14:paraId="7FBD8789">
            <w:pPr>
              <w:widowControl/>
              <w:spacing w:line="360" w:lineRule="auto"/>
              <w:ind w:firstLine="422" w:firstLineChars="200"/>
              <w:rPr>
                <w:rFonts w:hint="eastAsia" w:ascii="宋体" w:hAnsi="宋体"/>
                <w:b/>
                <w:bCs/>
                <w:lang w:bidi="ar"/>
              </w:rPr>
            </w:pPr>
            <w:r>
              <w:rPr>
                <w:rFonts w:hint="eastAsia" w:ascii="宋体" w:hAnsi="宋体"/>
                <w:b/>
                <w:bCs/>
                <w:lang w:bidi="ar"/>
              </w:rPr>
              <w:t>（一）废水类别及污染物种类</w:t>
            </w:r>
          </w:p>
          <w:p w14:paraId="250593DF">
            <w:pPr>
              <w:widowControl/>
              <w:spacing w:line="360" w:lineRule="auto"/>
              <w:ind w:firstLine="420" w:firstLineChars="200"/>
              <w:rPr>
                <w:lang w:bidi="ar"/>
              </w:rPr>
            </w:pPr>
            <w:r>
              <w:rPr>
                <w:rFonts w:hint="eastAsia"/>
                <w:lang w:bidi="ar"/>
              </w:rPr>
              <w:t>（1）生产废水：主要包括设备清洗废水、纯水制备废水、</w:t>
            </w:r>
            <w:r>
              <w:rPr>
                <w:rFonts w:hint="eastAsia"/>
                <w:bCs/>
              </w:rPr>
              <w:t>蒸汽发生器废水、冷凝水排水、</w:t>
            </w:r>
            <w:r>
              <w:rPr>
                <w:rFonts w:hint="eastAsia"/>
                <w:lang w:bidi="ar"/>
              </w:rPr>
              <w:t>地面清洁废水等；</w:t>
            </w:r>
          </w:p>
          <w:p w14:paraId="6206AAA6">
            <w:pPr>
              <w:widowControl/>
              <w:spacing w:line="360" w:lineRule="auto"/>
              <w:ind w:firstLine="420" w:firstLineChars="200"/>
              <w:rPr>
                <w:lang w:bidi="ar"/>
              </w:rPr>
            </w:pPr>
            <w:r>
              <w:rPr>
                <w:rFonts w:hint="eastAsia"/>
                <w:lang w:bidi="ar"/>
              </w:rPr>
              <w:t>（2）生活污水：主要办公生活污水。</w:t>
            </w:r>
          </w:p>
          <w:p w14:paraId="34CD9DF0">
            <w:pPr>
              <w:autoSpaceDE w:val="0"/>
              <w:autoSpaceDN w:val="0"/>
              <w:adjustRightInd w:val="0"/>
              <w:snapToGrid w:val="0"/>
              <w:jc w:val="center"/>
              <w:rPr>
                <w:b/>
              </w:rPr>
            </w:pPr>
            <w:r>
              <w:rPr>
                <w:rFonts w:hint="eastAsia"/>
                <w:b/>
              </w:rPr>
              <w:t>表4-</w:t>
            </w:r>
            <w:r>
              <w:rPr>
                <w:b/>
              </w:rPr>
              <w:t>1</w:t>
            </w:r>
            <w:r>
              <w:rPr>
                <w:rFonts w:hint="eastAsia"/>
                <w:b/>
              </w:rPr>
              <w:t>1 本项目废水产排污环节及污染物种类一览表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2657"/>
              <w:gridCol w:w="1554"/>
              <w:gridCol w:w="3540"/>
            </w:tblGrid>
            <w:tr w14:paraId="2584F7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13" w:type="pct"/>
                  <w:gridSpan w:val="2"/>
                  <w:vAlign w:val="center"/>
                </w:tcPr>
                <w:p w14:paraId="4F30CEC9">
                  <w:pPr>
                    <w:jc w:val="center"/>
                    <w:rPr>
                      <w:b/>
                      <w:bCs/>
                    </w:rPr>
                  </w:pPr>
                  <w:r>
                    <w:rPr>
                      <w:rFonts w:hint="eastAsia"/>
                      <w:b/>
                      <w:bCs/>
                    </w:rPr>
                    <w:t>名称</w:t>
                  </w:r>
                </w:p>
              </w:tc>
              <w:tc>
                <w:tcPr>
                  <w:tcW w:w="911" w:type="pct"/>
                  <w:shd w:val="clear" w:color="auto" w:fill="auto"/>
                  <w:vAlign w:val="center"/>
                </w:tcPr>
                <w:p w14:paraId="1E79E39E">
                  <w:pPr>
                    <w:jc w:val="center"/>
                    <w:rPr>
                      <w:b/>
                      <w:bCs/>
                    </w:rPr>
                  </w:pPr>
                  <w:r>
                    <w:rPr>
                      <w:rFonts w:hint="eastAsia"/>
                      <w:b/>
                      <w:bCs/>
                    </w:rPr>
                    <w:t>产生工序</w:t>
                  </w:r>
                </w:p>
              </w:tc>
              <w:tc>
                <w:tcPr>
                  <w:tcW w:w="2077" w:type="pct"/>
                  <w:shd w:val="clear" w:color="auto" w:fill="auto"/>
                  <w:vAlign w:val="center"/>
                </w:tcPr>
                <w:p w14:paraId="451DDBC5">
                  <w:pPr>
                    <w:jc w:val="center"/>
                    <w:rPr>
                      <w:b/>
                      <w:bCs/>
                    </w:rPr>
                  </w:pPr>
                  <w:r>
                    <w:rPr>
                      <w:rFonts w:hint="eastAsia"/>
                      <w:b/>
                      <w:bCs/>
                    </w:rPr>
                    <w:t>主要污染物</w:t>
                  </w:r>
                </w:p>
              </w:tc>
            </w:tr>
            <w:tr w14:paraId="52BA25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55" w:type="pct"/>
                  <w:vMerge w:val="restart"/>
                  <w:vAlign w:val="center"/>
                </w:tcPr>
                <w:p w14:paraId="7910EE0F">
                  <w:pPr>
                    <w:jc w:val="center"/>
                  </w:pPr>
                  <w:r>
                    <w:rPr>
                      <w:rFonts w:hint="eastAsia"/>
                    </w:rPr>
                    <w:t>生产废水</w:t>
                  </w:r>
                </w:p>
              </w:tc>
              <w:tc>
                <w:tcPr>
                  <w:tcW w:w="1557" w:type="pct"/>
                  <w:shd w:val="clear" w:color="auto" w:fill="auto"/>
                  <w:vAlign w:val="center"/>
                </w:tcPr>
                <w:p w14:paraId="1989BD86">
                  <w:pPr>
                    <w:jc w:val="center"/>
                  </w:pPr>
                  <w:r>
                    <w:rPr>
                      <w:rFonts w:hint="eastAsia"/>
                      <w:lang w:bidi="ar"/>
                    </w:rPr>
                    <w:t>设备清洗废水</w:t>
                  </w:r>
                </w:p>
              </w:tc>
              <w:tc>
                <w:tcPr>
                  <w:tcW w:w="911" w:type="pct"/>
                  <w:shd w:val="clear" w:color="auto" w:fill="auto"/>
                  <w:vAlign w:val="center"/>
                </w:tcPr>
                <w:p w14:paraId="54386BC2">
                  <w:pPr>
                    <w:jc w:val="center"/>
                  </w:pPr>
                  <w:r>
                    <w:rPr>
                      <w:rFonts w:hint="eastAsia"/>
                      <w:bCs/>
                    </w:rPr>
                    <w:t>设备清洗</w:t>
                  </w:r>
                </w:p>
              </w:tc>
              <w:tc>
                <w:tcPr>
                  <w:tcW w:w="2077" w:type="pct"/>
                  <w:shd w:val="clear" w:color="auto" w:fill="auto"/>
                  <w:vAlign w:val="center"/>
                </w:tcPr>
                <w:p w14:paraId="138AE685">
                  <w:pPr>
                    <w:jc w:val="center"/>
                  </w:pPr>
                  <w:r>
                    <w:rPr>
                      <w:rFonts w:hint="eastAsia"/>
                    </w:rPr>
                    <w:t>COD、SS</w:t>
                  </w:r>
                </w:p>
              </w:tc>
            </w:tr>
            <w:tr w14:paraId="0D142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55" w:type="pct"/>
                  <w:vMerge w:val="continue"/>
                  <w:vAlign w:val="center"/>
                </w:tcPr>
                <w:p w14:paraId="4A3022C8">
                  <w:pPr>
                    <w:jc w:val="center"/>
                  </w:pPr>
                </w:p>
              </w:tc>
              <w:tc>
                <w:tcPr>
                  <w:tcW w:w="1557" w:type="pct"/>
                  <w:shd w:val="clear" w:color="auto" w:fill="auto"/>
                  <w:vAlign w:val="center"/>
                </w:tcPr>
                <w:p w14:paraId="33B335CA">
                  <w:pPr>
                    <w:jc w:val="center"/>
                  </w:pPr>
                  <w:r>
                    <w:rPr>
                      <w:rFonts w:hint="eastAsia"/>
                      <w:lang w:bidi="ar"/>
                    </w:rPr>
                    <w:t>纯水制备废水</w:t>
                  </w:r>
                </w:p>
              </w:tc>
              <w:tc>
                <w:tcPr>
                  <w:tcW w:w="911" w:type="pct"/>
                  <w:shd w:val="clear" w:color="auto" w:fill="auto"/>
                  <w:vAlign w:val="center"/>
                </w:tcPr>
                <w:p w14:paraId="7D2345C5">
                  <w:pPr>
                    <w:jc w:val="center"/>
                    <w:rPr>
                      <w:rFonts w:hint="eastAsia"/>
                    </w:rPr>
                  </w:pPr>
                  <w:r>
                    <w:rPr>
                      <w:rFonts w:hint="eastAsia"/>
                    </w:rPr>
                    <w:t>纯水制备</w:t>
                  </w:r>
                </w:p>
              </w:tc>
              <w:tc>
                <w:tcPr>
                  <w:tcW w:w="2077" w:type="pct"/>
                  <w:shd w:val="clear" w:color="auto" w:fill="auto"/>
                  <w:vAlign w:val="center"/>
                </w:tcPr>
                <w:p w14:paraId="4D388A08">
                  <w:pPr>
                    <w:jc w:val="center"/>
                  </w:pPr>
                  <w:r>
                    <w:rPr>
                      <w:rFonts w:hint="eastAsia"/>
                    </w:rPr>
                    <w:t>COD、SS</w:t>
                  </w:r>
                </w:p>
              </w:tc>
            </w:tr>
            <w:tr w14:paraId="0DD17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55" w:type="pct"/>
                  <w:vMerge w:val="continue"/>
                  <w:vAlign w:val="center"/>
                </w:tcPr>
                <w:p w14:paraId="59CDED02">
                  <w:pPr>
                    <w:jc w:val="center"/>
                  </w:pPr>
                </w:p>
              </w:tc>
              <w:tc>
                <w:tcPr>
                  <w:tcW w:w="1557" w:type="pct"/>
                  <w:shd w:val="clear" w:color="auto" w:fill="auto"/>
                  <w:vAlign w:val="center"/>
                </w:tcPr>
                <w:p w14:paraId="4C0A3CDE">
                  <w:pPr>
                    <w:jc w:val="center"/>
                  </w:pPr>
                  <w:r>
                    <w:rPr>
                      <w:rFonts w:hint="eastAsia"/>
                      <w:bCs/>
                    </w:rPr>
                    <w:t>蒸汽发生器废水</w:t>
                  </w:r>
                </w:p>
              </w:tc>
              <w:tc>
                <w:tcPr>
                  <w:tcW w:w="911" w:type="pct"/>
                  <w:shd w:val="clear" w:color="auto" w:fill="auto"/>
                  <w:vAlign w:val="center"/>
                </w:tcPr>
                <w:p w14:paraId="3FCDF401">
                  <w:pPr>
                    <w:jc w:val="center"/>
                  </w:pPr>
                  <w:r>
                    <w:rPr>
                      <w:rFonts w:hint="eastAsia"/>
                    </w:rPr>
                    <w:t>蒸汽制备</w:t>
                  </w:r>
                </w:p>
              </w:tc>
              <w:tc>
                <w:tcPr>
                  <w:tcW w:w="2077" w:type="pct"/>
                  <w:shd w:val="clear" w:color="auto" w:fill="auto"/>
                  <w:vAlign w:val="center"/>
                </w:tcPr>
                <w:p w14:paraId="5B169EA8">
                  <w:pPr>
                    <w:jc w:val="center"/>
                  </w:pPr>
                  <w:r>
                    <w:rPr>
                      <w:rFonts w:hint="eastAsia"/>
                    </w:rPr>
                    <w:t>COD、BOD</w:t>
                  </w:r>
                  <w:r>
                    <w:rPr>
                      <w:rFonts w:hint="eastAsia"/>
                      <w:vertAlign w:val="subscript"/>
                    </w:rPr>
                    <w:t>5</w:t>
                  </w:r>
                  <w:r>
                    <w:rPr>
                      <w:rFonts w:hint="eastAsia"/>
                    </w:rPr>
                    <w:t>、氨氮、SS</w:t>
                  </w:r>
                </w:p>
              </w:tc>
            </w:tr>
            <w:tr w14:paraId="01502A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55" w:type="pct"/>
                  <w:vMerge w:val="continue"/>
                  <w:vAlign w:val="center"/>
                </w:tcPr>
                <w:p w14:paraId="70C371E1">
                  <w:pPr>
                    <w:jc w:val="center"/>
                  </w:pPr>
                </w:p>
              </w:tc>
              <w:tc>
                <w:tcPr>
                  <w:tcW w:w="1557" w:type="pct"/>
                  <w:shd w:val="clear" w:color="auto" w:fill="auto"/>
                  <w:vAlign w:val="center"/>
                </w:tcPr>
                <w:p w14:paraId="14F4A566">
                  <w:pPr>
                    <w:jc w:val="center"/>
                    <w:rPr>
                      <w:rFonts w:hint="eastAsia"/>
                      <w:bCs/>
                    </w:rPr>
                  </w:pPr>
                  <w:r>
                    <w:rPr>
                      <w:rFonts w:hint="eastAsia"/>
                      <w:bCs/>
                    </w:rPr>
                    <w:t>蒸汽发生器冷凝水排水</w:t>
                  </w:r>
                </w:p>
              </w:tc>
              <w:tc>
                <w:tcPr>
                  <w:tcW w:w="911" w:type="pct"/>
                  <w:shd w:val="clear" w:color="auto" w:fill="auto"/>
                  <w:vAlign w:val="center"/>
                </w:tcPr>
                <w:p w14:paraId="087A0536">
                  <w:pPr>
                    <w:jc w:val="center"/>
                  </w:pPr>
                  <w:r>
                    <w:rPr>
                      <w:rFonts w:hint="eastAsia"/>
                    </w:rPr>
                    <w:t>蒸汽制备</w:t>
                  </w:r>
                </w:p>
              </w:tc>
              <w:tc>
                <w:tcPr>
                  <w:tcW w:w="2077" w:type="pct"/>
                  <w:shd w:val="clear" w:color="auto" w:fill="auto"/>
                  <w:vAlign w:val="center"/>
                </w:tcPr>
                <w:p w14:paraId="4C26A336">
                  <w:pPr>
                    <w:jc w:val="center"/>
                    <w:rPr>
                      <w:rFonts w:hint="eastAsia"/>
                    </w:rPr>
                  </w:pPr>
                  <w:r>
                    <w:rPr>
                      <w:rFonts w:hint="eastAsia"/>
                    </w:rPr>
                    <w:t>COD、BOD</w:t>
                  </w:r>
                  <w:r>
                    <w:rPr>
                      <w:rFonts w:hint="eastAsia"/>
                      <w:vertAlign w:val="subscript"/>
                    </w:rPr>
                    <w:t>5</w:t>
                  </w:r>
                  <w:r>
                    <w:rPr>
                      <w:rFonts w:hint="eastAsia"/>
                    </w:rPr>
                    <w:t>、氨氮、SS</w:t>
                  </w:r>
                </w:p>
              </w:tc>
            </w:tr>
            <w:tr w14:paraId="2177C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55" w:type="pct"/>
                  <w:vMerge w:val="continue"/>
                  <w:vAlign w:val="center"/>
                </w:tcPr>
                <w:p w14:paraId="384741CB">
                  <w:pPr>
                    <w:jc w:val="center"/>
                  </w:pPr>
                </w:p>
              </w:tc>
              <w:tc>
                <w:tcPr>
                  <w:tcW w:w="1557" w:type="pct"/>
                  <w:shd w:val="clear" w:color="auto" w:fill="auto"/>
                  <w:vAlign w:val="center"/>
                </w:tcPr>
                <w:p w14:paraId="20B3E19D">
                  <w:pPr>
                    <w:jc w:val="center"/>
                  </w:pPr>
                  <w:r>
                    <w:rPr>
                      <w:rFonts w:hint="eastAsia"/>
                    </w:rPr>
                    <w:t>车间地面清洁废水</w:t>
                  </w:r>
                </w:p>
              </w:tc>
              <w:tc>
                <w:tcPr>
                  <w:tcW w:w="911" w:type="pct"/>
                  <w:shd w:val="clear" w:color="auto" w:fill="auto"/>
                  <w:vAlign w:val="center"/>
                </w:tcPr>
                <w:p w14:paraId="2FE307D9">
                  <w:pPr>
                    <w:jc w:val="center"/>
                  </w:pPr>
                  <w:r>
                    <w:rPr>
                      <w:rFonts w:hint="eastAsia"/>
                    </w:rPr>
                    <w:t>拖布清洗</w:t>
                  </w:r>
                </w:p>
              </w:tc>
              <w:tc>
                <w:tcPr>
                  <w:tcW w:w="2077" w:type="pct"/>
                  <w:shd w:val="clear" w:color="auto" w:fill="auto"/>
                  <w:vAlign w:val="center"/>
                </w:tcPr>
                <w:p w14:paraId="33B0D212">
                  <w:pPr>
                    <w:jc w:val="center"/>
                  </w:pPr>
                  <w:r>
                    <w:rPr>
                      <w:rFonts w:hint="eastAsia"/>
                    </w:rPr>
                    <w:t>COD、BOD</w:t>
                  </w:r>
                  <w:r>
                    <w:rPr>
                      <w:rFonts w:hint="eastAsia"/>
                      <w:vertAlign w:val="subscript"/>
                    </w:rPr>
                    <w:t>5</w:t>
                  </w:r>
                  <w:r>
                    <w:rPr>
                      <w:rFonts w:hint="eastAsia"/>
                    </w:rPr>
                    <w:t>、氨氮、SS</w:t>
                  </w:r>
                </w:p>
              </w:tc>
            </w:tr>
            <w:tr w14:paraId="79C92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55" w:type="pct"/>
                  <w:vAlign w:val="center"/>
                </w:tcPr>
                <w:p w14:paraId="0AEFB55E">
                  <w:pPr>
                    <w:jc w:val="center"/>
                  </w:pPr>
                  <w:r>
                    <w:rPr>
                      <w:rFonts w:hint="eastAsia"/>
                    </w:rPr>
                    <w:t>生活污水</w:t>
                  </w:r>
                </w:p>
              </w:tc>
              <w:tc>
                <w:tcPr>
                  <w:tcW w:w="1557" w:type="pct"/>
                  <w:shd w:val="clear" w:color="auto" w:fill="auto"/>
                  <w:vAlign w:val="center"/>
                </w:tcPr>
                <w:p w14:paraId="290D7C17">
                  <w:pPr>
                    <w:jc w:val="center"/>
                  </w:pPr>
                  <w:r>
                    <w:rPr>
                      <w:rFonts w:hint="eastAsia"/>
                    </w:rPr>
                    <w:t>办公生活污水</w:t>
                  </w:r>
                </w:p>
              </w:tc>
              <w:tc>
                <w:tcPr>
                  <w:tcW w:w="911" w:type="pct"/>
                  <w:shd w:val="clear" w:color="auto" w:fill="auto"/>
                  <w:vAlign w:val="center"/>
                </w:tcPr>
                <w:p w14:paraId="055E46E4">
                  <w:pPr>
                    <w:jc w:val="center"/>
                  </w:pPr>
                  <w:r>
                    <w:rPr>
                      <w:rFonts w:hint="eastAsia"/>
                    </w:rPr>
                    <w:t>办公生活</w:t>
                  </w:r>
                </w:p>
              </w:tc>
              <w:tc>
                <w:tcPr>
                  <w:tcW w:w="2077" w:type="pct"/>
                  <w:shd w:val="clear" w:color="auto" w:fill="auto"/>
                  <w:vAlign w:val="center"/>
                </w:tcPr>
                <w:p w14:paraId="0CD245B7">
                  <w:pPr>
                    <w:jc w:val="center"/>
                  </w:pPr>
                  <w:r>
                    <w:rPr>
                      <w:rFonts w:hint="eastAsia"/>
                    </w:rPr>
                    <w:t>COD、BOD</w:t>
                  </w:r>
                  <w:r>
                    <w:rPr>
                      <w:rFonts w:hint="eastAsia"/>
                      <w:vertAlign w:val="subscript"/>
                    </w:rPr>
                    <w:t>5</w:t>
                  </w:r>
                  <w:r>
                    <w:rPr>
                      <w:rFonts w:hint="eastAsia"/>
                    </w:rPr>
                    <w:t>、氨氮、SS、总磷</w:t>
                  </w:r>
                </w:p>
              </w:tc>
            </w:tr>
          </w:tbl>
          <w:p w14:paraId="3545A5BD">
            <w:pPr>
              <w:widowControl/>
              <w:spacing w:line="360" w:lineRule="auto"/>
              <w:ind w:firstLine="422" w:firstLineChars="200"/>
              <w:rPr>
                <w:rFonts w:hint="eastAsia" w:ascii="宋体" w:hAnsi="宋体"/>
                <w:b/>
                <w:bCs/>
                <w:lang w:bidi="ar"/>
              </w:rPr>
            </w:pPr>
            <w:r>
              <w:rPr>
                <w:rFonts w:hint="eastAsia" w:ascii="宋体" w:hAnsi="宋体"/>
                <w:b/>
                <w:bCs/>
                <w:lang w:bidi="ar"/>
              </w:rPr>
              <w:t>（二）污染物来源、源强核算及治理措施</w:t>
            </w:r>
          </w:p>
          <w:p w14:paraId="4BF4175B">
            <w:pPr>
              <w:widowControl/>
              <w:spacing w:line="360" w:lineRule="auto"/>
              <w:ind w:firstLine="422" w:firstLineChars="200"/>
              <w:rPr>
                <w:b/>
                <w:bCs/>
                <w:lang w:bidi="ar"/>
              </w:rPr>
            </w:pPr>
            <w:r>
              <w:rPr>
                <w:rFonts w:hint="eastAsia"/>
                <w:b/>
                <w:bCs/>
                <w:lang w:bidi="ar"/>
              </w:rPr>
              <w:t>1、</w:t>
            </w:r>
            <w:r>
              <w:rPr>
                <w:rFonts w:hint="eastAsia"/>
                <w:b/>
                <w:bCs/>
              </w:rPr>
              <w:t>生产废水</w:t>
            </w:r>
          </w:p>
          <w:p w14:paraId="6E30D3C6">
            <w:pPr>
              <w:widowControl/>
              <w:spacing w:line="360" w:lineRule="auto"/>
              <w:ind w:firstLine="420" w:firstLineChars="200"/>
              <w:rPr>
                <w:lang w:bidi="ar"/>
              </w:rPr>
            </w:pPr>
            <w:r>
              <w:rPr>
                <w:rFonts w:hint="eastAsia"/>
                <w:lang w:bidi="ar"/>
              </w:rPr>
              <w:t>项目生产用水主要包括设备清洗废水、纯水制备废水、</w:t>
            </w:r>
            <w:r>
              <w:rPr>
                <w:rFonts w:hint="eastAsia"/>
                <w:bCs/>
              </w:rPr>
              <w:t>蒸汽发生器废水、冷凝水排水、</w:t>
            </w:r>
            <w:r>
              <w:rPr>
                <w:rFonts w:hint="eastAsia"/>
                <w:lang w:bidi="ar"/>
              </w:rPr>
              <w:t>地面清洁废水等。</w:t>
            </w:r>
          </w:p>
          <w:p w14:paraId="4B0C1E8C">
            <w:pPr>
              <w:widowControl/>
              <w:spacing w:line="360" w:lineRule="auto"/>
              <w:ind w:firstLine="422" w:firstLineChars="200"/>
              <w:rPr>
                <w:b/>
                <w:bCs/>
                <w:lang w:bidi="ar"/>
              </w:rPr>
            </w:pPr>
            <w:r>
              <w:rPr>
                <w:rFonts w:hint="eastAsia"/>
                <w:b/>
                <w:bCs/>
                <w:lang w:bidi="ar"/>
              </w:rPr>
              <w:t>（1）纯水制备废水：</w:t>
            </w:r>
          </w:p>
          <w:p w14:paraId="2AFCC7D0">
            <w:pPr>
              <w:widowControl/>
              <w:spacing w:line="360" w:lineRule="auto"/>
              <w:ind w:firstLine="422" w:firstLineChars="200"/>
              <w:rPr>
                <w:lang w:bidi="ar"/>
              </w:rPr>
            </w:pPr>
            <w:r>
              <w:rPr>
                <w:rFonts w:hint="eastAsia"/>
                <w:b/>
                <w:bCs/>
                <w:lang w:bidi="ar"/>
              </w:rPr>
              <w:t>来源：</w:t>
            </w:r>
            <w:r>
              <w:rPr>
                <w:rFonts w:hint="eastAsia"/>
                <w:bCs/>
              </w:rPr>
              <w:t>蒸汽发生器用水及中药煎煮用水使用纯水，项目纯水制备率取0.6，纯水制备所需新鲜用水量为6.1165m</w:t>
            </w:r>
            <w:r>
              <w:rPr>
                <w:rFonts w:hint="eastAsia"/>
                <w:bCs/>
                <w:vertAlign w:val="superscript"/>
              </w:rPr>
              <w:t>3</w:t>
            </w:r>
            <w:r>
              <w:rPr>
                <w:rFonts w:hint="eastAsia"/>
                <w:bCs/>
              </w:rPr>
              <w:t>/d （1834.95m</w:t>
            </w:r>
            <w:r>
              <w:rPr>
                <w:rFonts w:hint="eastAsia"/>
                <w:bCs/>
                <w:vertAlign w:val="superscript"/>
              </w:rPr>
              <w:t>3</w:t>
            </w:r>
            <w:r>
              <w:rPr>
                <w:rFonts w:hint="eastAsia"/>
                <w:bCs/>
              </w:rPr>
              <w:t>/a ），则浓水排放量为2.4466m</w:t>
            </w:r>
            <w:r>
              <w:rPr>
                <w:rFonts w:hint="eastAsia"/>
                <w:bCs/>
                <w:vertAlign w:val="superscript"/>
              </w:rPr>
              <w:t>3</w:t>
            </w:r>
            <w:r>
              <w:rPr>
                <w:rFonts w:hint="eastAsia"/>
                <w:bCs/>
              </w:rPr>
              <w:t>/d（733.98m</w:t>
            </w:r>
            <w:r>
              <w:rPr>
                <w:rFonts w:hint="eastAsia"/>
                <w:bCs/>
                <w:vertAlign w:val="superscript"/>
              </w:rPr>
              <w:t>3</w:t>
            </w:r>
            <w:r>
              <w:rPr>
                <w:rFonts w:hint="eastAsia"/>
                <w:bCs/>
              </w:rPr>
              <w:t>/a）。浓水排入厂区污水处理站处理后排入园区污水管网。浓水排放量为2.4466m</w:t>
            </w:r>
            <w:r>
              <w:rPr>
                <w:rFonts w:hint="eastAsia"/>
                <w:bCs/>
                <w:vertAlign w:val="superscript"/>
              </w:rPr>
              <w:t>3</w:t>
            </w:r>
            <w:r>
              <w:rPr>
                <w:rFonts w:hint="eastAsia"/>
                <w:bCs/>
              </w:rPr>
              <w:t>/d（733.98m</w:t>
            </w:r>
            <w:r>
              <w:rPr>
                <w:rFonts w:hint="eastAsia"/>
                <w:bCs/>
                <w:vertAlign w:val="superscript"/>
              </w:rPr>
              <w:t>3</w:t>
            </w:r>
            <w:r>
              <w:rPr>
                <w:rFonts w:hint="eastAsia"/>
                <w:bCs/>
              </w:rPr>
              <w:t>/a）</w:t>
            </w:r>
            <w:r>
              <w:rPr>
                <w:rFonts w:hint="eastAsia"/>
                <w:lang w:bidi="ar"/>
              </w:rPr>
              <w:t>。</w:t>
            </w:r>
          </w:p>
          <w:p w14:paraId="3E8A4011">
            <w:pPr>
              <w:widowControl/>
              <w:spacing w:line="360" w:lineRule="auto"/>
              <w:ind w:firstLine="422" w:firstLineChars="200"/>
              <w:rPr>
                <w:b/>
                <w:bCs/>
                <w:lang w:bidi="ar"/>
              </w:rPr>
            </w:pPr>
            <w:r>
              <w:rPr>
                <w:rFonts w:hint="eastAsia"/>
                <w:b/>
                <w:bCs/>
                <w:lang w:bidi="ar"/>
              </w:rPr>
              <w:t>治理措施及排放去向：</w:t>
            </w:r>
            <w:r>
              <w:rPr>
                <w:rFonts w:hint="eastAsia"/>
                <w:lang w:bidi="ar"/>
              </w:rPr>
              <w:t>纯水制备浓水属清净下水，拟直接排放至厂区污水处理站的清水池，与处理后的生产废水一并排入</w:t>
            </w:r>
            <w:r>
              <w:rPr>
                <w:rFonts w:hint="eastAsia"/>
              </w:rPr>
              <w:t>通川区中医药产业示范园现有预处理池（设计处理能力250m³/d）处理</w:t>
            </w:r>
            <w:r>
              <w:rPr>
                <w:rFonts w:hint="eastAsia"/>
                <w:lang w:bidi="ar"/>
              </w:rPr>
              <w:t>达到《污水综合排放标准》（GB8978-1996）中三级标准后</w:t>
            </w:r>
            <w:r>
              <w:rPr>
                <w:rFonts w:hint="eastAsia"/>
              </w:rPr>
              <w:t>，排入园区市政污水管网，最</w:t>
            </w:r>
            <w:r>
              <w:rPr>
                <w:rFonts w:hint="eastAsia"/>
                <w:lang w:bidi="ar"/>
              </w:rPr>
              <w:t>终排入</w:t>
            </w:r>
            <w:r>
              <w:rPr>
                <w:rFonts w:hint="eastAsia"/>
              </w:rPr>
              <w:t>魏兴场镇污水处理厂</w:t>
            </w:r>
            <w:r>
              <w:rPr>
                <w:rFonts w:hint="eastAsia"/>
                <w:lang w:bidi="ar"/>
              </w:rPr>
              <w:t>进行处理达标后排入州河。</w:t>
            </w:r>
          </w:p>
          <w:p w14:paraId="58C8AD48">
            <w:pPr>
              <w:widowControl/>
              <w:spacing w:line="360" w:lineRule="auto"/>
              <w:ind w:firstLine="422" w:firstLineChars="200"/>
              <w:rPr>
                <w:b/>
                <w:bCs/>
                <w:lang w:bidi="ar"/>
              </w:rPr>
            </w:pPr>
            <w:r>
              <w:rPr>
                <w:rFonts w:hint="eastAsia"/>
                <w:b/>
                <w:bCs/>
                <w:lang w:bidi="ar"/>
              </w:rPr>
              <w:t>（2）蒸汽发生器排水、冷凝水：</w:t>
            </w:r>
          </w:p>
          <w:p w14:paraId="25AC8C95">
            <w:pPr>
              <w:widowControl/>
              <w:spacing w:line="360" w:lineRule="auto"/>
              <w:ind w:firstLine="422" w:firstLineChars="200"/>
              <w:rPr>
                <w:lang w:bidi="ar"/>
              </w:rPr>
            </w:pPr>
            <w:r>
              <w:rPr>
                <w:rFonts w:hint="eastAsia"/>
                <w:b/>
                <w:bCs/>
                <w:lang w:bidi="ar"/>
              </w:rPr>
              <w:t>来源：</w:t>
            </w:r>
            <w:r>
              <w:rPr>
                <w:rFonts w:hint="eastAsia"/>
                <w:lang w:bidi="ar"/>
              </w:rPr>
              <w:t>本项目蒸汽发生器排水量约</w:t>
            </w:r>
            <w:r>
              <w:rPr>
                <w:rFonts w:hint="eastAsia"/>
                <w:bCs/>
              </w:rPr>
              <w:t>0.0007m</w:t>
            </w:r>
            <w:r>
              <w:rPr>
                <w:rFonts w:hint="eastAsia"/>
                <w:bCs/>
                <w:vertAlign w:val="superscript"/>
              </w:rPr>
              <w:t>3</w:t>
            </w:r>
            <w:r>
              <w:rPr>
                <w:rFonts w:hint="eastAsia"/>
                <w:bCs/>
              </w:rPr>
              <w:t>/d，</w:t>
            </w:r>
            <w:r>
              <w:rPr>
                <w:rFonts w:hint="eastAsia"/>
                <w:lang w:bidi="ar"/>
              </w:rPr>
              <w:t>冷凝水排水约为</w:t>
            </w:r>
            <w:r>
              <w:rPr>
                <w:rFonts w:hint="eastAsia"/>
                <w:bCs/>
              </w:rPr>
              <w:t>0.0205m</w:t>
            </w:r>
            <w:r>
              <w:rPr>
                <w:rFonts w:hint="eastAsia"/>
                <w:bCs/>
                <w:vertAlign w:val="superscript"/>
              </w:rPr>
              <w:t>3</w:t>
            </w:r>
            <w:r>
              <w:rPr>
                <w:rFonts w:hint="eastAsia"/>
                <w:bCs/>
              </w:rPr>
              <w:t>/d，项目夹层锅使用蒸汽间接</w:t>
            </w:r>
            <w:r>
              <w:rPr>
                <w:rFonts w:hint="eastAsia"/>
                <w:lang w:bidi="ar"/>
              </w:rPr>
              <w:t>加热，冷凝水较为干净，但由于冷凝水较少，利用价值不大，拟直接排放至厂区污水处理站的清水池，与处理后的生产废水一并排入园区污水管网。</w:t>
            </w:r>
          </w:p>
          <w:p w14:paraId="6799F968">
            <w:pPr>
              <w:widowControl/>
              <w:spacing w:line="360" w:lineRule="auto"/>
              <w:ind w:firstLine="422" w:firstLineChars="200"/>
              <w:rPr>
                <w:lang w:bidi="ar"/>
              </w:rPr>
            </w:pPr>
            <w:r>
              <w:rPr>
                <w:rFonts w:hint="eastAsia"/>
                <w:b/>
                <w:bCs/>
                <w:lang w:bidi="ar"/>
              </w:rPr>
              <w:t>治理措施及排放去向：</w:t>
            </w:r>
            <w:r>
              <w:rPr>
                <w:rFonts w:hint="eastAsia"/>
                <w:lang w:bidi="ar"/>
              </w:rPr>
              <w:t>蒸汽发生器排水、冷凝水拟直接排放至厂区污水处理站的清水池，与处理后的生产废水一并排入</w:t>
            </w:r>
            <w:r>
              <w:rPr>
                <w:rFonts w:hint="eastAsia"/>
              </w:rPr>
              <w:t>通川区中医药产业示范园现有预处理池（设计处理能力250m³/d）处理</w:t>
            </w:r>
            <w:r>
              <w:rPr>
                <w:rFonts w:hint="eastAsia"/>
                <w:lang w:bidi="ar"/>
              </w:rPr>
              <w:t>达到《污水综合排放标准》（GB8978-1996）中三级标准后</w:t>
            </w:r>
            <w:r>
              <w:rPr>
                <w:rFonts w:hint="eastAsia"/>
              </w:rPr>
              <w:t>，排入园区市政污水管网，最</w:t>
            </w:r>
            <w:r>
              <w:rPr>
                <w:rFonts w:hint="eastAsia"/>
                <w:lang w:bidi="ar"/>
              </w:rPr>
              <w:t>终排入</w:t>
            </w:r>
            <w:r>
              <w:rPr>
                <w:rFonts w:hint="eastAsia"/>
              </w:rPr>
              <w:t>魏兴场镇污水处理厂</w:t>
            </w:r>
            <w:r>
              <w:rPr>
                <w:rFonts w:hint="eastAsia"/>
                <w:lang w:bidi="ar"/>
              </w:rPr>
              <w:t>进行处理达标后排入州河。</w:t>
            </w:r>
          </w:p>
          <w:p w14:paraId="713F4DB1">
            <w:pPr>
              <w:widowControl/>
              <w:spacing w:line="360" w:lineRule="auto"/>
              <w:ind w:firstLine="422" w:firstLineChars="200"/>
              <w:rPr>
                <w:b/>
                <w:bCs/>
                <w:lang w:bidi="ar"/>
              </w:rPr>
            </w:pPr>
            <w:r>
              <w:rPr>
                <w:rFonts w:hint="eastAsia"/>
                <w:b/>
                <w:bCs/>
                <w:lang w:bidi="ar"/>
              </w:rPr>
              <w:t>（3）地面清洁废水：</w:t>
            </w:r>
          </w:p>
          <w:p w14:paraId="24946D26">
            <w:pPr>
              <w:widowControl/>
              <w:spacing w:line="360" w:lineRule="auto"/>
              <w:ind w:firstLine="422" w:firstLineChars="200"/>
              <w:rPr>
                <w:lang w:bidi="ar"/>
              </w:rPr>
            </w:pPr>
            <w:r>
              <w:rPr>
                <w:rFonts w:hint="eastAsia"/>
                <w:b/>
                <w:bCs/>
                <w:lang w:bidi="ar"/>
              </w:rPr>
              <w:t>来源：</w:t>
            </w:r>
            <w:r>
              <w:rPr>
                <w:rFonts w:hint="eastAsia"/>
              </w:rPr>
              <w:t>车间清洁主要为拖地方式为主，项目车间生产区每天清扫一次，采用拖把拖洗的方式进行地坪清洁，拖把拖洗用水以0.5L/m</w:t>
            </w:r>
            <w:r>
              <w:rPr>
                <w:rFonts w:hint="eastAsia"/>
                <w:vertAlign w:val="superscript"/>
              </w:rPr>
              <w:t>2</w:t>
            </w:r>
            <w:r>
              <w:rPr>
                <w:rFonts w:hint="eastAsia"/>
              </w:rPr>
              <w:t>·d，项目车间厂房2260m</w:t>
            </w:r>
            <w:r>
              <w:rPr>
                <w:rFonts w:hint="eastAsia"/>
                <w:vertAlign w:val="superscript"/>
              </w:rPr>
              <w:t>2</w:t>
            </w:r>
            <w:r>
              <w:rPr>
                <w:rFonts w:hint="eastAsia"/>
              </w:rPr>
              <w:t>，</w:t>
            </w:r>
            <w:r>
              <w:rPr>
                <w:rFonts w:hint="eastAsia"/>
                <w:bCs/>
              </w:rPr>
              <w:t>项目地坪拖洗用水量为1.13m</w:t>
            </w:r>
            <w:r>
              <w:rPr>
                <w:rFonts w:hint="eastAsia"/>
                <w:bCs/>
                <w:vertAlign w:val="superscript"/>
              </w:rPr>
              <w:t>3</w:t>
            </w:r>
            <w:r>
              <w:rPr>
                <w:rFonts w:hint="eastAsia"/>
                <w:bCs/>
              </w:rPr>
              <w:t>/d（339m</w:t>
            </w:r>
            <w:r>
              <w:rPr>
                <w:rFonts w:hint="eastAsia"/>
                <w:bCs/>
                <w:vertAlign w:val="superscript"/>
              </w:rPr>
              <w:t>3</w:t>
            </w:r>
            <w:r>
              <w:rPr>
                <w:rFonts w:hint="eastAsia"/>
                <w:bCs/>
              </w:rPr>
              <w:t>/a）。废水排放系数按0.85计，则拖地废水产生为</w:t>
            </w:r>
            <w:r>
              <w:rPr>
                <w:bCs/>
              </w:rPr>
              <w:t>0.</w:t>
            </w:r>
            <w:r>
              <w:rPr>
                <w:rFonts w:hint="eastAsia"/>
                <w:bCs/>
              </w:rPr>
              <w:t>9605m</w:t>
            </w:r>
            <w:r>
              <w:rPr>
                <w:rFonts w:hint="eastAsia"/>
                <w:bCs/>
                <w:vertAlign w:val="superscript"/>
              </w:rPr>
              <w:t>3</w:t>
            </w:r>
            <w:r>
              <w:rPr>
                <w:rFonts w:hint="eastAsia"/>
                <w:bCs/>
              </w:rPr>
              <w:t>/d（288.15m</w:t>
            </w:r>
            <w:r>
              <w:rPr>
                <w:rFonts w:hint="eastAsia"/>
                <w:bCs/>
                <w:vertAlign w:val="superscript"/>
              </w:rPr>
              <w:t>3</w:t>
            </w:r>
            <w:r>
              <w:rPr>
                <w:rFonts w:hint="eastAsia"/>
                <w:bCs/>
              </w:rPr>
              <w:t>/a）</w:t>
            </w:r>
            <w:r>
              <w:rPr>
                <w:rFonts w:hint="eastAsia"/>
                <w:lang w:bidi="ar"/>
              </w:rPr>
              <w:t>。地面清洁废水主要污染因子为COD：300mg/L、BOD</w:t>
            </w:r>
            <w:r>
              <w:rPr>
                <w:rFonts w:hint="eastAsia"/>
                <w:vertAlign w:val="subscript"/>
                <w:lang w:bidi="ar"/>
              </w:rPr>
              <w:t>5</w:t>
            </w:r>
            <w:r>
              <w:rPr>
                <w:rFonts w:hint="eastAsia"/>
                <w:lang w:bidi="ar"/>
              </w:rPr>
              <w:t>：250mg/L、SS ：500mg/L、氨氮；35mg/L。</w:t>
            </w:r>
          </w:p>
          <w:p w14:paraId="4DB77F2C">
            <w:pPr>
              <w:widowControl/>
              <w:spacing w:line="360" w:lineRule="auto"/>
              <w:ind w:firstLine="422" w:firstLineChars="200"/>
              <w:rPr>
                <w:lang w:bidi="ar"/>
              </w:rPr>
            </w:pPr>
            <w:r>
              <w:rPr>
                <w:rFonts w:hint="eastAsia"/>
                <w:b/>
                <w:bCs/>
                <w:lang w:bidi="ar"/>
              </w:rPr>
              <w:t>治理措施及排放去向：</w:t>
            </w:r>
            <w:r>
              <w:rPr>
                <w:rFonts w:hint="eastAsia"/>
                <w:lang w:bidi="ar"/>
              </w:rPr>
              <w:t>地面清洁废水排入</w:t>
            </w:r>
            <w:r>
              <w:rPr>
                <w:rFonts w:hint="eastAsia"/>
              </w:rPr>
              <w:t>通川区中医药产业示范园现有预处理池（设计处理能力250m³/d）处理</w:t>
            </w:r>
            <w:r>
              <w:rPr>
                <w:rFonts w:hint="eastAsia"/>
                <w:lang w:bidi="ar"/>
              </w:rPr>
              <w:t>达到《污水综合排放标准》（GB8978-1996）中三级标准后</w:t>
            </w:r>
            <w:r>
              <w:rPr>
                <w:rFonts w:hint="eastAsia"/>
              </w:rPr>
              <w:t>，排入园区市政污水管网，最</w:t>
            </w:r>
            <w:r>
              <w:rPr>
                <w:rFonts w:hint="eastAsia"/>
                <w:lang w:bidi="ar"/>
              </w:rPr>
              <w:t>终排入</w:t>
            </w:r>
            <w:r>
              <w:rPr>
                <w:rFonts w:hint="eastAsia"/>
              </w:rPr>
              <w:t>魏兴场镇污水处理厂</w:t>
            </w:r>
            <w:r>
              <w:rPr>
                <w:rFonts w:hint="eastAsia"/>
                <w:lang w:bidi="ar"/>
              </w:rPr>
              <w:t>进行处理达标后排入州河。</w:t>
            </w:r>
          </w:p>
          <w:p w14:paraId="5800BF37">
            <w:pPr>
              <w:widowControl/>
              <w:spacing w:line="360" w:lineRule="auto"/>
              <w:ind w:firstLine="422" w:firstLineChars="200"/>
              <w:rPr>
                <w:b/>
                <w:bCs/>
                <w:lang w:bidi="ar"/>
              </w:rPr>
            </w:pPr>
            <w:r>
              <w:rPr>
                <w:rFonts w:hint="eastAsia"/>
                <w:b/>
                <w:bCs/>
                <w:lang w:bidi="ar"/>
              </w:rPr>
              <w:t>（4）设备清洗废水：</w:t>
            </w:r>
          </w:p>
          <w:p w14:paraId="03633EC8">
            <w:pPr>
              <w:widowControl/>
              <w:spacing w:line="360" w:lineRule="auto"/>
              <w:ind w:firstLine="422" w:firstLineChars="200"/>
              <w:rPr>
                <w:bCs/>
              </w:rPr>
            </w:pPr>
            <w:r>
              <w:rPr>
                <w:rFonts w:hint="eastAsia"/>
                <w:b/>
                <w:bCs/>
                <w:lang w:bidi="ar"/>
              </w:rPr>
              <w:t>来源：</w:t>
            </w:r>
            <w:r>
              <w:rPr>
                <w:rFonts w:hint="eastAsia"/>
                <w:bCs/>
              </w:rPr>
              <w:t>根据建设单位提供经验数据，设备清洗用水平均12.5L/剂，设计产能527 方/天，则设备清洗用水量为6.588m</w:t>
            </w:r>
            <w:r>
              <w:rPr>
                <w:rFonts w:hint="eastAsia"/>
                <w:bCs/>
                <w:vertAlign w:val="superscript"/>
              </w:rPr>
              <w:t>3</w:t>
            </w:r>
            <w:r>
              <w:rPr>
                <w:rFonts w:hint="eastAsia"/>
                <w:bCs/>
              </w:rPr>
              <w:t>/d（1976.25m</w:t>
            </w:r>
            <w:r>
              <w:rPr>
                <w:rFonts w:hint="eastAsia"/>
                <w:bCs/>
                <w:vertAlign w:val="superscript"/>
              </w:rPr>
              <w:t>3</w:t>
            </w:r>
            <w:r>
              <w:rPr>
                <w:rFonts w:hint="eastAsia"/>
                <w:bCs/>
              </w:rPr>
              <w:t>/a）。排污系数按85%计，则设备清洗废水排放量为5.599m</w:t>
            </w:r>
            <w:r>
              <w:rPr>
                <w:rFonts w:hint="eastAsia"/>
                <w:bCs/>
                <w:vertAlign w:val="superscript"/>
              </w:rPr>
              <w:t>3</w:t>
            </w:r>
            <w:r>
              <w:rPr>
                <w:rFonts w:hint="eastAsia"/>
                <w:bCs/>
              </w:rPr>
              <w:t>/d（1679.81m</w:t>
            </w:r>
            <w:r>
              <w:rPr>
                <w:rFonts w:hint="eastAsia"/>
                <w:bCs/>
                <w:vertAlign w:val="superscript"/>
              </w:rPr>
              <w:t>3</w:t>
            </w:r>
            <w:r>
              <w:rPr>
                <w:rFonts w:hint="eastAsia"/>
                <w:bCs/>
              </w:rPr>
              <w:t>/a）。</w:t>
            </w:r>
          </w:p>
          <w:p w14:paraId="7C18BBC4">
            <w:pPr>
              <w:widowControl/>
              <w:spacing w:line="360" w:lineRule="auto"/>
              <w:ind w:firstLine="420" w:firstLineChars="200"/>
              <w:rPr>
                <w:bCs/>
              </w:rPr>
            </w:pPr>
            <w:r>
              <w:rPr>
                <w:rFonts w:hint="eastAsia"/>
                <w:bCs/>
              </w:rPr>
              <w:t>根据《排放源统计调查产排污核算方法和技术手册》中274中成药生产行业系数（＜200吨产品规模），化学需氧量产生系数为3180克/吨-中药饮片、氨氮产生系数为202克/吨-中药饮片、总磷产生系数为80克/吨-中药饮片、总氮产生系数为326克/吨-中药饮片。</w:t>
            </w:r>
          </w:p>
          <w:p w14:paraId="3656EF42">
            <w:pPr>
              <w:widowControl/>
              <w:spacing w:line="360" w:lineRule="auto"/>
              <w:ind w:firstLine="420" w:firstLineChars="200"/>
              <w:rPr>
                <w:rFonts w:hint="eastAsia"/>
                <w:bCs/>
              </w:rPr>
            </w:pPr>
            <w:r>
              <w:rPr>
                <w:rFonts w:hint="eastAsia"/>
                <w:bCs/>
              </w:rPr>
              <w:t>本项目饮片总规模约为36.234t，则饮片车间，COD产生量为0.1152t/a，氨氮产生量为0.0073t/a，总磷产生量为0.0029t/a，总氮产生量为0.0118t/a。</w:t>
            </w:r>
          </w:p>
          <w:p w14:paraId="7DD4DF24">
            <w:pPr>
              <w:widowControl/>
              <w:spacing w:line="360" w:lineRule="auto"/>
              <w:ind w:firstLine="420" w:firstLineChars="200"/>
              <w:rPr>
                <w:bCs/>
              </w:rPr>
            </w:pPr>
            <w:r>
              <w:rPr>
                <w:rFonts w:hint="eastAsia"/>
                <w:bCs/>
              </w:rPr>
              <w:t>根据上述推算，项目生产废水水质如下：COD：68.6mg/L，NH</w:t>
            </w:r>
            <w:r>
              <w:rPr>
                <w:rFonts w:hint="eastAsia"/>
                <w:bCs/>
                <w:vertAlign w:val="subscript"/>
              </w:rPr>
              <w:t>3</w:t>
            </w:r>
            <w:r>
              <w:rPr>
                <w:rFonts w:hint="eastAsia"/>
                <w:bCs/>
              </w:rPr>
              <w:t>-N：4.4mg/L，总磷：1.7mg/L，总氮：7.0mg/L。废水产生及排放情况如下。</w:t>
            </w:r>
          </w:p>
          <w:p w14:paraId="3F068661">
            <w:pPr>
              <w:widowControl/>
              <w:spacing w:line="360" w:lineRule="auto"/>
              <w:ind w:firstLine="422" w:firstLineChars="200"/>
              <w:rPr>
                <w:lang w:bidi="ar"/>
              </w:rPr>
            </w:pPr>
            <w:r>
              <w:rPr>
                <w:rFonts w:hint="eastAsia"/>
                <w:b/>
                <w:bCs/>
                <w:lang w:bidi="ar"/>
              </w:rPr>
              <w:t>治理措施及排放去向：</w:t>
            </w:r>
            <w:r>
              <w:rPr>
                <w:rFonts w:hint="eastAsia"/>
                <w:lang w:bidi="ar"/>
              </w:rPr>
              <w:t>设备清洗废水经厂区拟建</w:t>
            </w:r>
          </w:p>
          <w:p w14:paraId="3D92F106">
            <w:pPr>
              <w:widowControl/>
              <w:spacing w:line="360" w:lineRule="auto"/>
              <w:ind w:firstLine="420" w:firstLineChars="200"/>
              <w:rPr>
                <w:lang w:bidi="ar"/>
              </w:rPr>
            </w:pPr>
            <w:r>
              <w:rPr>
                <w:rFonts w:hint="eastAsia"/>
                <w:lang w:bidi="ar"/>
              </w:rPr>
              <w:t>排入</w:t>
            </w:r>
            <w:r>
              <w:rPr>
                <w:rFonts w:hint="eastAsia"/>
              </w:rPr>
              <w:t>通川区中医药产业示范园现有预处理池（设计处理能力250m³/d）处理</w:t>
            </w:r>
            <w:r>
              <w:rPr>
                <w:rFonts w:hint="eastAsia"/>
                <w:lang w:bidi="ar"/>
              </w:rPr>
              <w:t>达到《污水综合排放标准》（GB8978-1996）中三级标准后</w:t>
            </w:r>
            <w:r>
              <w:rPr>
                <w:rFonts w:hint="eastAsia"/>
              </w:rPr>
              <w:t>，排入园区市政污水管网，最</w:t>
            </w:r>
            <w:r>
              <w:rPr>
                <w:rFonts w:hint="eastAsia"/>
                <w:lang w:bidi="ar"/>
              </w:rPr>
              <w:t>终排入</w:t>
            </w:r>
            <w:r>
              <w:rPr>
                <w:rFonts w:hint="eastAsia"/>
              </w:rPr>
              <w:t>魏兴场镇污水处理厂</w:t>
            </w:r>
            <w:r>
              <w:rPr>
                <w:rFonts w:hint="eastAsia"/>
                <w:lang w:bidi="ar"/>
              </w:rPr>
              <w:t>进行处理达标后排入州河。</w:t>
            </w:r>
          </w:p>
          <w:p w14:paraId="4D704EB0">
            <w:pPr>
              <w:widowControl/>
              <w:spacing w:line="360" w:lineRule="auto"/>
              <w:ind w:firstLine="422" w:firstLineChars="200"/>
              <w:rPr>
                <w:b/>
                <w:bCs/>
                <w:lang w:bidi="ar"/>
              </w:rPr>
            </w:pPr>
            <w:r>
              <w:rPr>
                <w:rFonts w:hint="eastAsia"/>
                <w:b/>
                <w:bCs/>
                <w:lang w:bidi="ar"/>
              </w:rPr>
              <w:t>2、</w:t>
            </w:r>
            <w:r>
              <w:rPr>
                <w:rFonts w:hint="eastAsia"/>
                <w:b/>
                <w:bCs/>
              </w:rPr>
              <w:t>生活污水</w:t>
            </w:r>
          </w:p>
          <w:p w14:paraId="6887935F">
            <w:pPr>
              <w:widowControl/>
              <w:spacing w:line="360" w:lineRule="auto"/>
              <w:ind w:firstLine="422" w:firstLineChars="200"/>
              <w:rPr>
                <w:b/>
                <w:bCs/>
                <w:lang w:bidi="ar"/>
              </w:rPr>
            </w:pPr>
            <w:r>
              <w:rPr>
                <w:rFonts w:hint="eastAsia"/>
                <w:b/>
                <w:bCs/>
                <w:lang w:bidi="ar"/>
              </w:rPr>
              <w:t>（1）办公生活污水：</w:t>
            </w:r>
          </w:p>
          <w:p w14:paraId="342D90C2">
            <w:pPr>
              <w:widowControl/>
              <w:spacing w:line="360" w:lineRule="auto"/>
              <w:ind w:firstLine="422" w:firstLineChars="200"/>
              <w:rPr>
                <w:lang w:bidi="ar"/>
              </w:rPr>
            </w:pPr>
            <w:r>
              <w:rPr>
                <w:rFonts w:hint="eastAsia"/>
                <w:b/>
                <w:bCs/>
                <w:lang w:bidi="ar"/>
              </w:rPr>
              <w:t>来源：</w:t>
            </w:r>
            <w:r>
              <w:rPr>
                <w:rFonts w:hint="eastAsia"/>
                <w:lang w:bidi="ar"/>
              </w:rPr>
              <w:t>本项目劳动定员60人，办公生活用水量以</w:t>
            </w:r>
            <w:r>
              <w:rPr>
                <w:lang w:bidi="ar"/>
              </w:rPr>
              <w:t>5</w:t>
            </w:r>
            <w:r>
              <w:rPr>
                <w:rFonts w:hint="eastAsia"/>
                <w:lang w:bidi="ar"/>
              </w:rPr>
              <w:t>0L/人·d计，</w:t>
            </w:r>
            <w:r>
              <w:rPr>
                <w:rFonts w:hint="eastAsia"/>
              </w:rPr>
              <w:t>办公生活用水量为3m</w:t>
            </w:r>
            <w:r>
              <w:rPr>
                <w:rFonts w:hint="eastAsia"/>
                <w:vertAlign w:val="superscript"/>
              </w:rPr>
              <w:t>3</w:t>
            </w:r>
            <w:r>
              <w:rPr>
                <w:rFonts w:hint="eastAsia"/>
              </w:rPr>
              <w:t>/d，900m</w:t>
            </w:r>
            <w:r>
              <w:rPr>
                <w:rFonts w:hint="eastAsia"/>
                <w:vertAlign w:val="superscript"/>
              </w:rPr>
              <w:t>3</w:t>
            </w:r>
            <w:r>
              <w:rPr>
                <w:rFonts w:hint="eastAsia"/>
              </w:rPr>
              <w:t>/a</w:t>
            </w:r>
            <w:r>
              <w:rPr>
                <w:rFonts w:hint="eastAsia"/>
                <w:lang w:bidi="ar"/>
              </w:rPr>
              <w:t>，废水排放系数按0.85计，则生活污水产生为</w:t>
            </w:r>
            <w:r>
              <w:rPr>
                <w:rFonts w:hint="eastAsia" w:eastAsia="等线"/>
              </w:rPr>
              <w:t>2.55</w:t>
            </w:r>
            <w:r>
              <w:rPr>
                <w:rFonts w:hint="eastAsia"/>
                <w:lang w:bidi="ar"/>
              </w:rPr>
              <w:t>m</w:t>
            </w:r>
            <w:r>
              <w:rPr>
                <w:rFonts w:hint="eastAsia"/>
                <w:vertAlign w:val="superscript"/>
                <w:lang w:bidi="ar"/>
              </w:rPr>
              <w:t>3</w:t>
            </w:r>
            <w:r>
              <w:rPr>
                <w:rFonts w:hint="eastAsia"/>
                <w:lang w:bidi="ar"/>
              </w:rPr>
              <w:t>/d（765m</w:t>
            </w:r>
            <w:r>
              <w:rPr>
                <w:rFonts w:hint="eastAsia"/>
                <w:vertAlign w:val="superscript"/>
                <w:lang w:bidi="ar"/>
              </w:rPr>
              <w:t>3</w:t>
            </w:r>
            <w:r>
              <w:rPr>
                <w:rFonts w:hint="eastAsia"/>
                <w:lang w:bidi="ar"/>
              </w:rPr>
              <w:t>/a）。参考《排放源统计调查产排污核算方法和系数手册》中“生活源产排污核算方法和系数手册”，城镇生活源水污染物产生系数，COD：325mg/L、氨氮：37.7mg/L、总氮：49.8mg/L、总磷：4.28mg/L。</w:t>
            </w:r>
          </w:p>
          <w:p w14:paraId="531735DF">
            <w:pPr>
              <w:widowControl/>
              <w:spacing w:line="360" w:lineRule="auto"/>
              <w:ind w:firstLine="422" w:firstLineChars="200"/>
              <w:rPr>
                <w:lang w:bidi="ar"/>
              </w:rPr>
            </w:pPr>
            <w:r>
              <w:rPr>
                <w:rFonts w:hint="eastAsia"/>
                <w:b/>
                <w:bCs/>
                <w:lang w:bidi="ar"/>
              </w:rPr>
              <w:t>治理措施及排放去向：</w:t>
            </w:r>
            <w:r>
              <w:rPr>
                <w:rFonts w:hint="eastAsia"/>
                <w:lang w:bidi="ar"/>
              </w:rPr>
              <w:t>办公生活污水排入</w:t>
            </w:r>
            <w:r>
              <w:rPr>
                <w:rFonts w:hint="eastAsia"/>
              </w:rPr>
              <w:t>通川区中医药产业示范园现有预处理池（设计处理能力250m³/d）处理</w:t>
            </w:r>
            <w:r>
              <w:rPr>
                <w:rFonts w:hint="eastAsia"/>
                <w:lang w:bidi="ar"/>
              </w:rPr>
              <w:t>达到《污水综合排放标准》（GB8978-1996）中三级标准后</w:t>
            </w:r>
            <w:r>
              <w:rPr>
                <w:rFonts w:hint="eastAsia"/>
              </w:rPr>
              <w:t>，排入园区市政污水管网，最</w:t>
            </w:r>
            <w:r>
              <w:rPr>
                <w:rFonts w:hint="eastAsia"/>
                <w:lang w:bidi="ar"/>
              </w:rPr>
              <w:t>终排入</w:t>
            </w:r>
            <w:r>
              <w:rPr>
                <w:rFonts w:hint="eastAsia"/>
              </w:rPr>
              <w:t>魏兴场镇污水处理厂</w:t>
            </w:r>
            <w:r>
              <w:rPr>
                <w:rFonts w:hint="eastAsia"/>
                <w:lang w:bidi="ar"/>
              </w:rPr>
              <w:t>进行处理达标后排入州河。</w:t>
            </w:r>
          </w:p>
          <w:p w14:paraId="446222E0">
            <w:pPr>
              <w:widowControl/>
              <w:spacing w:line="360" w:lineRule="auto"/>
              <w:ind w:firstLine="420" w:firstLineChars="200"/>
              <w:rPr>
                <w:lang w:bidi="ar"/>
              </w:rPr>
            </w:pPr>
            <w:r>
              <w:rPr>
                <w:rFonts w:hint="eastAsia"/>
                <w:lang w:bidi="ar"/>
              </w:rPr>
              <w:t>项目废水产生情况见下表：</w:t>
            </w:r>
          </w:p>
          <w:p w14:paraId="03E0BFC0">
            <w:pPr>
              <w:autoSpaceDE w:val="0"/>
              <w:autoSpaceDN w:val="0"/>
              <w:adjustRightInd w:val="0"/>
              <w:snapToGrid w:val="0"/>
              <w:jc w:val="center"/>
              <w:rPr>
                <w:b/>
              </w:rPr>
            </w:pPr>
            <w:r>
              <w:rPr>
                <w:rFonts w:hint="eastAsia"/>
                <w:b/>
              </w:rPr>
              <w:t>表4-</w:t>
            </w:r>
            <w:r>
              <w:rPr>
                <w:b/>
              </w:rPr>
              <w:t>1</w:t>
            </w:r>
            <w:r>
              <w:rPr>
                <w:rFonts w:hint="eastAsia"/>
                <w:b/>
              </w:rPr>
              <w:t>2</w:t>
            </w:r>
            <w:r>
              <w:rPr>
                <w:b/>
              </w:rPr>
              <w:t xml:space="preserve"> </w:t>
            </w:r>
            <w:r>
              <w:rPr>
                <w:rFonts w:hint="eastAsia"/>
                <w:b/>
              </w:rPr>
              <w:t xml:space="preserve"> 本项目废水产生情况一览表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1803"/>
              <w:gridCol w:w="1351"/>
              <w:gridCol w:w="1351"/>
              <w:gridCol w:w="2935"/>
            </w:tblGrid>
            <w:tr w14:paraId="40B10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95" w:type="pct"/>
                  <w:gridSpan w:val="2"/>
                  <w:vMerge w:val="restart"/>
                  <w:vAlign w:val="center"/>
                </w:tcPr>
                <w:p w14:paraId="6028CA17">
                  <w:pPr>
                    <w:jc w:val="center"/>
                    <w:rPr>
                      <w:b/>
                      <w:bCs/>
                      <w:sz w:val="18"/>
                      <w:szCs w:val="18"/>
                    </w:rPr>
                  </w:pPr>
                  <w:r>
                    <w:rPr>
                      <w:rFonts w:hint="eastAsia"/>
                      <w:b/>
                      <w:bCs/>
                      <w:sz w:val="18"/>
                      <w:szCs w:val="18"/>
                    </w:rPr>
                    <w:t>名称</w:t>
                  </w:r>
                </w:p>
              </w:tc>
              <w:tc>
                <w:tcPr>
                  <w:tcW w:w="1584" w:type="pct"/>
                  <w:gridSpan w:val="2"/>
                  <w:shd w:val="clear" w:color="auto" w:fill="auto"/>
                  <w:vAlign w:val="center"/>
                </w:tcPr>
                <w:p w14:paraId="17DDCE0B">
                  <w:pPr>
                    <w:jc w:val="center"/>
                    <w:rPr>
                      <w:b/>
                      <w:bCs/>
                      <w:sz w:val="18"/>
                      <w:szCs w:val="18"/>
                    </w:rPr>
                  </w:pPr>
                  <w:r>
                    <w:rPr>
                      <w:rFonts w:hint="eastAsia"/>
                      <w:b/>
                      <w:bCs/>
                      <w:sz w:val="18"/>
                      <w:szCs w:val="18"/>
                    </w:rPr>
                    <w:t>产生量</w:t>
                  </w:r>
                </w:p>
              </w:tc>
              <w:tc>
                <w:tcPr>
                  <w:tcW w:w="1721" w:type="pct"/>
                  <w:vMerge w:val="restart"/>
                  <w:shd w:val="clear" w:color="auto" w:fill="auto"/>
                  <w:vAlign w:val="center"/>
                </w:tcPr>
                <w:p w14:paraId="33362EE0">
                  <w:pPr>
                    <w:jc w:val="center"/>
                    <w:rPr>
                      <w:b/>
                      <w:bCs/>
                      <w:sz w:val="18"/>
                      <w:szCs w:val="18"/>
                    </w:rPr>
                  </w:pPr>
                  <w:r>
                    <w:rPr>
                      <w:rFonts w:hint="eastAsia"/>
                      <w:b/>
                      <w:bCs/>
                      <w:sz w:val="18"/>
                      <w:szCs w:val="18"/>
                    </w:rPr>
                    <w:t>主要污染物</w:t>
                  </w:r>
                </w:p>
              </w:tc>
            </w:tr>
            <w:tr w14:paraId="6FE6F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95" w:type="pct"/>
                  <w:gridSpan w:val="2"/>
                  <w:vMerge w:val="continue"/>
                  <w:vAlign w:val="center"/>
                </w:tcPr>
                <w:p w14:paraId="627FD8C0">
                  <w:pPr>
                    <w:jc w:val="center"/>
                    <w:rPr>
                      <w:sz w:val="18"/>
                      <w:szCs w:val="18"/>
                    </w:rPr>
                  </w:pPr>
                </w:p>
              </w:tc>
              <w:tc>
                <w:tcPr>
                  <w:tcW w:w="792" w:type="pct"/>
                  <w:shd w:val="clear" w:color="auto" w:fill="auto"/>
                  <w:vAlign w:val="center"/>
                </w:tcPr>
                <w:p w14:paraId="5DAB2F57">
                  <w:pPr>
                    <w:jc w:val="center"/>
                    <w:rPr>
                      <w:b/>
                      <w:bCs/>
                      <w:sz w:val="18"/>
                      <w:szCs w:val="18"/>
                    </w:rPr>
                  </w:pPr>
                  <w:r>
                    <w:rPr>
                      <w:rFonts w:hint="eastAsia"/>
                      <w:b/>
                      <w:bCs/>
                      <w:sz w:val="18"/>
                      <w:szCs w:val="18"/>
                    </w:rPr>
                    <w:t>日均产生量m</w:t>
                  </w:r>
                  <w:r>
                    <w:rPr>
                      <w:b/>
                      <w:bCs/>
                      <w:sz w:val="18"/>
                      <w:szCs w:val="18"/>
                      <w:vertAlign w:val="superscript"/>
                    </w:rPr>
                    <w:t>3</w:t>
                  </w:r>
                  <w:r>
                    <w:rPr>
                      <w:b/>
                      <w:bCs/>
                      <w:sz w:val="18"/>
                      <w:szCs w:val="18"/>
                    </w:rPr>
                    <w:t>/d</w:t>
                  </w:r>
                </w:p>
              </w:tc>
              <w:tc>
                <w:tcPr>
                  <w:tcW w:w="792" w:type="pct"/>
                  <w:vAlign w:val="center"/>
                </w:tcPr>
                <w:p w14:paraId="0B440489">
                  <w:pPr>
                    <w:jc w:val="center"/>
                    <w:rPr>
                      <w:b/>
                      <w:bCs/>
                      <w:sz w:val="18"/>
                      <w:szCs w:val="18"/>
                    </w:rPr>
                  </w:pPr>
                  <w:r>
                    <w:rPr>
                      <w:rFonts w:hint="eastAsia"/>
                      <w:b/>
                      <w:bCs/>
                      <w:sz w:val="18"/>
                      <w:szCs w:val="18"/>
                    </w:rPr>
                    <w:t>年产生量m</w:t>
                  </w:r>
                  <w:r>
                    <w:rPr>
                      <w:b/>
                      <w:bCs/>
                      <w:sz w:val="18"/>
                      <w:szCs w:val="18"/>
                      <w:vertAlign w:val="superscript"/>
                    </w:rPr>
                    <w:t>3</w:t>
                  </w:r>
                  <w:r>
                    <w:rPr>
                      <w:b/>
                      <w:bCs/>
                      <w:sz w:val="18"/>
                      <w:szCs w:val="18"/>
                    </w:rPr>
                    <w:t>/</w:t>
                  </w:r>
                  <w:r>
                    <w:rPr>
                      <w:rFonts w:hint="eastAsia"/>
                      <w:b/>
                      <w:bCs/>
                      <w:sz w:val="18"/>
                      <w:szCs w:val="18"/>
                    </w:rPr>
                    <w:t>a</w:t>
                  </w:r>
                </w:p>
              </w:tc>
              <w:tc>
                <w:tcPr>
                  <w:tcW w:w="1721" w:type="pct"/>
                  <w:vMerge w:val="continue"/>
                  <w:shd w:val="clear" w:color="auto" w:fill="auto"/>
                  <w:vAlign w:val="center"/>
                </w:tcPr>
                <w:p w14:paraId="4B6EACC6">
                  <w:pPr>
                    <w:jc w:val="center"/>
                    <w:rPr>
                      <w:sz w:val="18"/>
                      <w:szCs w:val="18"/>
                    </w:rPr>
                  </w:pPr>
                </w:p>
              </w:tc>
            </w:tr>
            <w:tr w14:paraId="3B93B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38" w:type="pct"/>
                  <w:vMerge w:val="restart"/>
                  <w:vAlign w:val="center"/>
                </w:tcPr>
                <w:p w14:paraId="0B0B01F3">
                  <w:pPr>
                    <w:jc w:val="center"/>
                    <w:rPr>
                      <w:sz w:val="18"/>
                      <w:szCs w:val="18"/>
                    </w:rPr>
                  </w:pPr>
                  <w:r>
                    <w:rPr>
                      <w:rFonts w:hint="eastAsia"/>
                      <w:sz w:val="18"/>
                      <w:szCs w:val="18"/>
                    </w:rPr>
                    <w:t>生产废水</w:t>
                  </w:r>
                </w:p>
              </w:tc>
              <w:tc>
                <w:tcPr>
                  <w:tcW w:w="1057" w:type="pct"/>
                  <w:shd w:val="clear" w:color="auto" w:fill="auto"/>
                  <w:vAlign w:val="center"/>
                </w:tcPr>
                <w:p w14:paraId="40568924">
                  <w:pPr>
                    <w:jc w:val="center"/>
                    <w:rPr>
                      <w:sz w:val="18"/>
                      <w:szCs w:val="18"/>
                    </w:rPr>
                  </w:pPr>
                  <w:r>
                    <w:rPr>
                      <w:rFonts w:hint="eastAsia"/>
                      <w:sz w:val="18"/>
                      <w:szCs w:val="18"/>
                    </w:rPr>
                    <w:t>纯水制备废水</w:t>
                  </w:r>
                </w:p>
              </w:tc>
              <w:tc>
                <w:tcPr>
                  <w:tcW w:w="792" w:type="pct"/>
                  <w:shd w:val="clear" w:color="auto" w:fill="auto"/>
                  <w:vAlign w:val="center"/>
                </w:tcPr>
                <w:p w14:paraId="52D7F6F4">
                  <w:pPr>
                    <w:jc w:val="center"/>
                    <w:rPr>
                      <w:sz w:val="18"/>
                      <w:szCs w:val="18"/>
                    </w:rPr>
                  </w:pPr>
                  <w:r>
                    <w:rPr>
                      <w:rFonts w:hint="eastAsia"/>
                      <w:bCs/>
                      <w:sz w:val="18"/>
                      <w:szCs w:val="18"/>
                    </w:rPr>
                    <w:t>2.4466</w:t>
                  </w:r>
                </w:p>
              </w:tc>
              <w:tc>
                <w:tcPr>
                  <w:tcW w:w="792" w:type="pct"/>
                  <w:vAlign w:val="center"/>
                </w:tcPr>
                <w:p w14:paraId="4229D66B">
                  <w:pPr>
                    <w:jc w:val="center"/>
                    <w:rPr>
                      <w:sz w:val="18"/>
                      <w:szCs w:val="18"/>
                    </w:rPr>
                  </w:pPr>
                  <w:r>
                    <w:rPr>
                      <w:rFonts w:hint="eastAsia"/>
                      <w:bCs/>
                      <w:sz w:val="18"/>
                      <w:szCs w:val="18"/>
                    </w:rPr>
                    <w:t>733.98</w:t>
                  </w:r>
                </w:p>
              </w:tc>
              <w:tc>
                <w:tcPr>
                  <w:tcW w:w="1721" w:type="pct"/>
                  <w:shd w:val="clear" w:color="auto" w:fill="auto"/>
                  <w:vAlign w:val="center"/>
                </w:tcPr>
                <w:p w14:paraId="5A13904D">
                  <w:pPr>
                    <w:jc w:val="center"/>
                    <w:rPr>
                      <w:sz w:val="18"/>
                      <w:szCs w:val="18"/>
                    </w:rPr>
                  </w:pPr>
                  <w:r>
                    <w:rPr>
                      <w:rFonts w:hint="eastAsia"/>
                      <w:sz w:val="18"/>
                      <w:szCs w:val="18"/>
                    </w:rPr>
                    <w:t>COD、SS</w:t>
                  </w:r>
                </w:p>
              </w:tc>
            </w:tr>
            <w:tr w14:paraId="16BB9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38" w:type="pct"/>
                  <w:vMerge w:val="continue"/>
                  <w:vAlign w:val="center"/>
                </w:tcPr>
                <w:p w14:paraId="2C7183B8">
                  <w:pPr>
                    <w:jc w:val="center"/>
                    <w:rPr>
                      <w:sz w:val="18"/>
                      <w:szCs w:val="18"/>
                    </w:rPr>
                  </w:pPr>
                </w:p>
              </w:tc>
              <w:tc>
                <w:tcPr>
                  <w:tcW w:w="1057" w:type="pct"/>
                  <w:shd w:val="clear" w:color="auto" w:fill="auto"/>
                  <w:vAlign w:val="center"/>
                </w:tcPr>
                <w:p w14:paraId="19D6F2C0">
                  <w:pPr>
                    <w:jc w:val="center"/>
                    <w:rPr>
                      <w:sz w:val="18"/>
                      <w:szCs w:val="18"/>
                    </w:rPr>
                  </w:pPr>
                  <w:r>
                    <w:rPr>
                      <w:rFonts w:hint="eastAsia"/>
                      <w:sz w:val="18"/>
                      <w:szCs w:val="18"/>
                    </w:rPr>
                    <w:t>蒸汽发生器排水、冷凝水</w:t>
                  </w:r>
                </w:p>
              </w:tc>
              <w:tc>
                <w:tcPr>
                  <w:tcW w:w="792" w:type="pct"/>
                  <w:shd w:val="clear" w:color="auto" w:fill="auto"/>
                  <w:vAlign w:val="center"/>
                </w:tcPr>
                <w:p w14:paraId="662B7F79">
                  <w:pPr>
                    <w:jc w:val="center"/>
                    <w:rPr>
                      <w:sz w:val="18"/>
                      <w:szCs w:val="18"/>
                    </w:rPr>
                  </w:pPr>
                  <w:r>
                    <w:rPr>
                      <w:rFonts w:hint="eastAsia"/>
                      <w:sz w:val="18"/>
                      <w:szCs w:val="18"/>
                    </w:rPr>
                    <w:t>0.0043</w:t>
                  </w:r>
                </w:p>
              </w:tc>
              <w:tc>
                <w:tcPr>
                  <w:tcW w:w="792" w:type="pct"/>
                  <w:vAlign w:val="center"/>
                </w:tcPr>
                <w:p w14:paraId="2DC628FD">
                  <w:pPr>
                    <w:jc w:val="center"/>
                    <w:rPr>
                      <w:rFonts w:hint="eastAsia"/>
                      <w:sz w:val="18"/>
                      <w:szCs w:val="18"/>
                    </w:rPr>
                  </w:pPr>
                  <w:r>
                    <w:rPr>
                      <w:rFonts w:hint="eastAsia"/>
                      <w:sz w:val="18"/>
                      <w:szCs w:val="18"/>
                    </w:rPr>
                    <w:t>0.212</w:t>
                  </w:r>
                </w:p>
              </w:tc>
              <w:tc>
                <w:tcPr>
                  <w:tcW w:w="1721" w:type="pct"/>
                  <w:shd w:val="clear" w:color="auto" w:fill="auto"/>
                  <w:vAlign w:val="center"/>
                </w:tcPr>
                <w:p w14:paraId="261F3832">
                  <w:pPr>
                    <w:jc w:val="center"/>
                    <w:rPr>
                      <w:sz w:val="18"/>
                      <w:szCs w:val="18"/>
                    </w:rPr>
                  </w:pPr>
                  <w:r>
                    <w:rPr>
                      <w:rFonts w:hint="eastAsia"/>
                      <w:sz w:val="18"/>
                      <w:szCs w:val="18"/>
                    </w:rPr>
                    <w:t>COD、SS</w:t>
                  </w:r>
                </w:p>
              </w:tc>
            </w:tr>
            <w:tr w14:paraId="3BE93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38" w:type="pct"/>
                  <w:vMerge w:val="continue"/>
                  <w:vAlign w:val="center"/>
                </w:tcPr>
                <w:p w14:paraId="35C9D129">
                  <w:pPr>
                    <w:jc w:val="center"/>
                    <w:rPr>
                      <w:sz w:val="18"/>
                      <w:szCs w:val="18"/>
                    </w:rPr>
                  </w:pPr>
                </w:p>
              </w:tc>
              <w:tc>
                <w:tcPr>
                  <w:tcW w:w="1057" w:type="pct"/>
                  <w:shd w:val="clear" w:color="auto" w:fill="auto"/>
                  <w:vAlign w:val="center"/>
                </w:tcPr>
                <w:p w14:paraId="1A69F16E">
                  <w:pPr>
                    <w:jc w:val="center"/>
                    <w:rPr>
                      <w:sz w:val="18"/>
                      <w:szCs w:val="18"/>
                    </w:rPr>
                  </w:pPr>
                  <w:r>
                    <w:rPr>
                      <w:rFonts w:hint="eastAsia"/>
                      <w:sz w:val="18"/>
                      <w:szCs w:val="18"/>
                    </w:rPr>
                    <w:t>地面清洁废水</w:t>
                  </w:r>
                </w:p>
              </w:tc>
              <w:tc>
                <w:tcPr>
                  <w:tcW w:w="792" w:type="pct"/>
                  <w:shd w:val="clear" w:color="auto" w:fill="auto"/>
                  <w:vAlign w:val="center"/>
                </w:tcPr>
                <w:p w14:paraId="6D5FD323">
                  <w:pPr>
                    <w:jc w:val="center"/>
                    <w:rPr>
                      <w:sz w:val="18"/>
                      <w:szCs w:val="18"/>
                    </w:rPr>
                  </w:pPr>
                  <w:r>
                    <w:rPr>
                      <w:sz w:val="18"/>
                      <w:szCs w:val="18"/>
                    </w:rPr>
                    <w:t>0.9605</w:t>
                  </w:r>
                </w:p>
              </w:tc>
              <w:tc>
                <w:tcPr>
                  <w:tcW w:w="792" w:type="pct"/>
                  <w:vAlign w:val="center"/>
                </w:tcPr>
                <w:p w14:paraId="1033DF2D">
                  <w:pPr>
                    <w:jc w:val="center"/>
                    <w:rPr>
                      <w:sz w:val="18"/>
                      <w:szCs w:val="18"/>
                    </w:rPr>
                  </w:pPr>
                  <w:r>
                    <w:rPr>
                      <w:sz w:val="18"/>
                      <w:szCs w:val="18"/>
                    </w:rPr>
                    <w:t>288.15</w:t>
                  </w:r>
                </w:p>
              </w:tc>
              <w:tc>
                <w:tcPr>
                  <w:tcW w:w="1721" w:type="pct"/>
                  <w:shd w:val="clear" w:color="auto" w:fill="auto"/>
                  <w:vAlign w:val="center"/>
                </w:tcPr>
                <w:p w14:paraId="310585C2">
                  <w:pPr>
                    <w:jc w:val="center"/>
                    <w:rPr>
                      <w:sz w:val="18"/>
                      <w:szCs w:val="18"/>
                    </w:rPr>
                  </w:pPr>
                  <w:r>
                    <w:rPr>
                      <w:rFonts w:hint="eastAsia"/>
                      <w:sz w:val="18"/>
                      <w:szCs w:val="18"/>
                    </w:rPr>
                    <w:t>COD、BOD</w:t>
                  </w:r>
                  <w:r>
                    <w:rPr>
                      <w:rFonts w:hint="eastAsia"/>
                      <w:sz w:val="18"/>
                      <w:szCs w:val="18"/>
                      <w:vertAlign w:val="subscript"/>
                    </w:rPr>
                    <w:t>5</w:t>
                  </w:r>
                  <w:r>
                    <w:rPr>
                      <w:rFonts w:hint="eastAsia"/>
                      <w:sz w:val="18"/>
                      <w:szCs w:val="18"/>
                    </w:rPr>
                    <w:t>、氨氮、SS</w:t>
                  </w:r>
                </w:p>
              </w:tc>
            </w:tr>
            <w:tr w14:paraId="1D98B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38" w:type="pct"/>
                  <w:vMerge w:val="continue"/>
                  <w:vAlign w:val="center"/>
                </w:tcPr>
                <w:p w14:paraId="10F6D100">
                  <w:pPr>
                    <w:jc w:val="center"/>
                    <w:rPr>
                      <w:sz w:val="18"/>
                      <w:szCs w:val="18"/>
                    </w:rPr>
                  </w:pPr>
                </w:p>
              </w:tc>
              <w:tc>
                <w:tcPr>
                  <w:tcW w:w="1057" w:type="pct"/>
                  <w:shd w:val="clear" w:color="auto" w:fill="auto"/>
                  <w:vAlign w:val="center"/>
                </w:tcPr>
                <w:p w14:paraId="67BC99BB">
                  <w:pPr>
                    <w:jc w:val="center"/>
                    <w:rPr>
                      <w:rFonts w:hint="eastAsia"/>
                      <w:sz w:val="18"/>
                      <w:szCs w:val="18"/>
                    </w:rPr>
                  </w:pPr>
                  <w:r>
                    <w:rPr>
                      <w:rFonts w:hint="eastAsia"/>
                      <w:sz w:val="18"/>
                      <w:szCs w:val="18"/>
                    </w:rPr>
                    <w:t>设备清洗废水</w:t>
                  </w:r>
                </w:p>
              </w:tc>
              <w:tc>
                <w:tcPr>
                  <w:tcW w:w="792" w:type="pct"/>
                  <w:shd w:val="clear" w:color="auto" w:fill="auto"/>
                  <w:vAlign w:val="center"/>
                </w:tcPr>
                <w:p w14:paraId="496285A2">
                  <w:pPr>
                    <w:jc w:val="center"/>
                    <w:rPr>
                      <w:rFonts w:hint="eastAsia"/>
                      <w:sz w:val="18"/>
                      <w:szCs w:val="18"/>
                    </w:rPr>
                  </w:pPr>
                  <w:r>
                    <w:rPr>
                      <w:sz w:val="18"/>
                      <w:szCs w:val="18"/>
                    </w:rPr>
                    <w:t>5.599</w:t>
                  </w:r>
                </w:p>
              </w:tc>
              <w:tc>
                <w:tcPr>
                  <w:tcW w:w="792" w:type="pct"/>
                  <w:vAlign w:val="center"/>
                </w:tcPr>
                <w:p w14:paraId="63AD6480">
                  <w:pPr>
                    <w:jc w:val="center"/>
                    <w:rPr>
                      <w:rFonts w:hint="eastAsia"/>
                      <w:sz w:val="18"/>
                      <w:szCs w:val="18"/>
                    </w:rPr>
                  </w:pPr>
                  <w:r>
                    <w:rPr>
                      <w:sz w:val="18"/>
                      <w:szCs w:val="18"/>
                    </w:rPr>
                    <w:t>1679.81</w:t>
                  </w:r>
                </w:p>
              </w:tc>
              <w:tc>
                <w:tcPr>
                  <w:tcW w:w="1721" w:type="pct"/>
                  <w:shd w:val="clear" w:color="auto" w:fill="auto"/>
                  <w:vAlign w:val="center"/>
                </w:tcPr>
                <w:p w14:paraId="0DF57BBD">
                  <w:pPr>
                    <w:jc w:val="center"/>
                    <w:rPr>
                      <w:rFonts w:hint="eastAsia"/>
                      <w:sz w:val="18"/>
                      <w:szCs w:val="18"/>
                    </w:rPr>
                  </w:pPr>
                  <w:r>
                    <w:rPr>
                      <w:rFonts w:hint="eastAsia"/>
                      <w:sz w:val="18"/>
                      <w:szCs w:val="18"/>
                    </w:rPr>
                    <w:t>COD、BOD</w:t>
                  </w:r>
                  <w:r>
                    <w:rPr>
                      <w:rFonts w:hint="eastAsia"/>
                      <w:sz w:val="18"/>
                      <w:szCs w:val="18"/>
                      <w:vertAlign w:val="subscript"/>
                    </w:rPr>
                    <w:t>5</w:t>
                  </w:r>
                  <w:r>
                    <w:rPr>
                      <w:rFonts w:hint="eastAsia"/>
                      <w:sz w:val="18"/>
                      <w:szCs w:val="18"/>
                    </w:rPr>
                    <w:t>、氨氮、SS、总磷</w:t>
                  </w:r>
                </w:p>
              </w:tc>
            </w:tr>
            <w:tr w14:paraId="7947A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38" w:type="pct"/>
                  <w:vAlign w:val="center"/>
                </w:tcPr>
                <w:p w14:paraId="7337A5F3">
                  <w:pPr>
                    <w:jc w:val="center"/>
                    <w:rPr>
                      <w:sz w:val="18"/>
                      <w:szCs w:val="18"/>
                    </w:rPr>
                  </w:pPr>
                  <w:r>
                    <w:rPr>
                      <w:rFonts w:hint="eastAsia"/>
                      <w:sz w:val="18"/>
                      <w:szCs w:val="18"/>
                    </w:rPr>
                    <w:t>生活污水</w:t>
                  </w:r>
                </w:p>
              </w:tc>
              <w:tc>
                <w:tcPr>
                  <w:tcW w:w="1057" w:type="pct"/>
                  <w:shd w:val="clear" w:color="auto" w:fill="auto"/>
                  <w:vAlign w:val="center"/>
                </w:tcPr>
                <w:p w14:paraId="38E6515D">
                  <w:pPr>
                    <w:jc w:val="center"/>
                    <w:rPr>
                      <w:sz w:val="18"/>
                      <w:szCs w:val="18"/>
                    </w:rPr>
                  </w:pPr>
                  <w:r>
                    <w:rPr>
                      <w:rFonts w:hint="eastAsia"/>
                      <w:sz w:val="18"/>
                      <w:szCs w:val="18"/>
                    </w:rPr>
                    <w:t>办公生活污水</w:t>
                  </w:r>
                </w:p>
              </w:tc>
              <w:tc>
                <w:tcPr>
                  <w:tcW w:w="792" w:type="pct"/>
                  <w:shd w:val="clear" w:color="auto" w:fill="auto"/>
                  <w:vAlign w:val="center"/>
                </w:tcPr>
                <w:p w14:paraId="76CC40D0">
                  <w:pPr>
                    <w:jc w:val="center"/>
                    <w:rPr>
                      <w:rFonts w:hint="eastAsia"/>
                      <w:sz w:val="18"/>
                      <w:szCs w:val="18"/>
                    </w:rPr>
                  </w:pPr>
                  <w:r>
                    <w:rPr>
                      <w:rFonts w:hint="eastAsia"/>
                      <w:sz w:val="18"/>
                      <w:szCs w:val="18"/>
                    </w:rPr>
                    <w:t>2.55</w:t>
                  </w:r>
                </w:p>
              </w:tc>
              <w:tc>
                <w:tcPr>
                  <w:tcW w:w="792" w:type="pct"/>
                  <w:vAlign w:val="center"/>
                </w:tcPr>
                <w:p w14:paraId="14DF5836">
                  <w:pPr>
                    <w:jc w:val="center"/>
                    <w:rPr>
                      <w:rFonts w:hint="eastAsia"/>
                      <w:sz w:val="18"/>
                      <w:szCs w:val="18"/>
                    </w:rPr>
                  </w:pPr>
                  <w:r>
                    <w:rPr>
                      <w:rFonts w:hint="eastAsia"/>
                      <w:sz w:val="18"/>
                      <w:szCs w:val="18"/>
                    </w:rPr>
                    <w:t>765</w:t>
                  </w:r>
                </w:p>
              </w:tc>
              <w:tc>
                <w:tcPr>
                  <w:tcW w:w="1721" w:type="pct"/>
                  <w:shd w:val="clear" w:color="auto" w:fill="auto"/>
                  <w:vAlign w:val="center"/>
                </w:tcPr>
                <w:p w14:paraId="5747D1C7">
                  <w:pPr>
                    <w:jc w:val="center"/>
                    <w:rPr>
                      <w:sz w:val="18"/>
                      <w:szCs w:val="18"/>
                    </w:rPr>
                  </w:pPr>
                  <w:r>
                    <w:rPr>
                      <w:rFonts w:hint="eastAsia"/>
                      <w:sz w:val="18"/>
                      <w:szCs w:val="18"/>
                    </w:rPr>
                    <w:t>COD、BOD</w:t>
                  </w:r>
                  <w:r>
                    <w:rPr>
                      <w:rFonts w:hint="eastAsia"/>
                      <w:sz w:val="18"/>
                      <w:szCs w:val="18"/>
                      <w:vertAlign w:val="subscript"/>
                    </w:rPr>
                    <w:t>5</w:t>
                  </w:r>
                  <w:r>
                    <w:rPr>
                      <w:rFonts w:hint="eastAsia"/>
                      <w:sz w:val="18"/>
                      <w:szCs w:val="18"/>
                    </w:rPr>
                    <w:t>、氨氮、SS、总磷</w:t>
                  </w:r>
                </w:p>
              </w:tc>
            </w:tr>
            <w:tr w14:paraId="3B000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695" w:type="pct"/>
                  <w:gridSpan w:val="2"/>
                  <w:vAlign w:val="center"/>
                </w:tcPr>
                <w:p w14:paraId="4D068549">
                  <w:pPr>
                    <w:jc w:val="center"/>
                    <w:rPr>
                      <w:sz w:val="18"/>
                      <w:szCs w:val="18"/>
                    </w:rPr>
                  </w:pPr>
                  <w:r>
                    <w:rPr>
                      <w:rFonts w:hint="eastAsia"/>
                      <w:sz w:val="18"/>
                      <w:szCs w:val="18"/>
                    </w:rPr>
                    <w:t>合计</w:t>
                  </w:r>
                </w:p>
              </w:tc>
              <w:tc>
                <w:tcPr>
                  <w:tcW w:w="792" w:type="pct"/>
                  <w:shd w:val="clear" w:color="auto" w:fill="auto"/>
                  <w:vAlign w:val="center"/>
                </w:tcPr>
                <w:p w14:paraId="0E3432E4">
                  <w:pPr>
                    <w:jc w:val="center"/>
                    <w:rPr>
                      <w:rFonts w:hint="eastAsia"/>
                      <w:sz w:val="18"/>
                      <w:szCs w:val="18"/>
                    </w:rPr>
                  </w:pPr>
                  <w:r>
                    <w:rPr>
                      <w:rFonts w:hint="eastAsia"/>
                      <w:sz w:val="18"/>
                      <w:szCs w:val="18"/>
                    </w:rPr>
                    <w:t>11.58</w:t>
                  </w:r>
                </w:p>
              </w:tc>
              <w:tc>
                <w:tcPr>
                  <w:tcW w:w="792" w:type="pct"/>
                  <w:vAlign w:val="center"/>
                </w:tcPr>
                <w:p w14:paraId="0391017D">
                  <w:pPr>
                    <w:jc w:val="center"/>
                    <w:rPr>
                      <w:rFonts w:hint="eastAsia"/>
                      <w:sz w:val="18"/>
                      <w:szCs w:val="18"/>
                    </w:rPr>
                  </w:pPr>
                  <w:r>
                    <w:rPr>
                      <w:rFonts w:hint="eastAsia"/>
                      <w:sz w:val="18"/>
                      <w:szCs w:val="18"/>
                    </w:rPr>
                    <w:t>3473.3</w:t>
                  </w:r>
                </w:p>
              </w:tc>
              <w:tc>
                <w:tcPr>
                  <w:tcW w:w="1721" w:type="pct"/>
                  <w:shd w:val="clear" w:color="auto" w:fill="auto"/>
                  <w:vAlign w:val="center"/>
                </w:tcPr>
                <w:p w14:paraId="6CF2D5C6">
                  <w:pPr>
                    <w:jc w:val="center"/>
                    <w:rPr>
                      <w:sz w:val="18"/>
                      <w:szCs w:val="18"/>
                    </w:rPr>
                  </w:pPr>
                  <w:r>
                    <w:rPr>
                      <w:rFonts w:hint="eastAsia"/>
                      <w:sz w:val="18"/>
                      <w:szCs w:val="18"/>
                    </w:rPr>
                    <w:t>/</w:t>
                  </w:r>
                </w:p>
              </w:tc>
            </w:tr>
          </w:tbl>
          <w:p w14:paraId="0AA8D2D3">
            <w:pPr>
              <w:widowControl/>
              <w:spacing w:line="360" w:lineRule="auto"/>
              <w:ind w:firstLine="420" w:firstLineChars="200"/>
              <w:rPr>
                <w:lang w:bidi="ar"/>
              </w:rPr>
            </w:pPr>
            <w:r>
              <w:rPr>
                <w:rFonts w:hint="eastAsia"/>
                <w:lang w:bidi="ar"/>
              </w:rPr>
              <w:t>本项目废水产生及达标排放情况见下表：</w:t>
            </w:r>
          </w:p>
          <w:p w14:paraId="09ACA98B">
            <w:pPr>
              <w:autoSpaceDE w:val="0"/>
              <w:autoSpaceDN w:val="0"/>
              <w:adjustRightInd w:val="0"/>
              <w:snapToGrid w:val="0"/>
              <w:jc w:val="center"/>
              <w:rPr>
                <w:b/>
              </w:rPr>
            </w:pPr>
            <w:r>
              <w:rPr>
                <w:rFonts w:hint="eastAsia"/>
                <w:b/>
              </w:rPr>
              <w:t>表4</w:t>
            </w:r>
            <w:r>
              <w:rPr>
                <w:b/>
              </w:rPr>
              <w:t>-1</w:t>
            </w:r>
            <w:r>
              <w:rPr>
                <w:rFonts w:hint="eastAsia"/>
                <w:b/>
              </w:rPr>
              <w:t>3</w:t>
            </w:r>
            <w:r>
              <w:rPr>
                <w:b/>
              </w:rPr>
              <w:t xml:space="preserve">  </w:t>
            </w:r>
            <w:r>
              <w:rPr>
                <w:rFonts w:hint="eastAsia"/>
                <w:b/>
              </w:rPr>
              <w:t>本项目废水污染物产生及排放情况表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1035"/>
              <w:gridCol w:w="1083"/>
              <w:gridCol w:w="813"/>
              <w:gridCol w:w="808"/>
              <w:gridCol w:w="810"/>
              <w:gridCol w:w="810"/>
              <w:gridCol w:w="773"/>
              <w:gridCol w:w="723"/>
              <w:gridCol w:w="717"/>
            </w:tblGrid>
            <w:tr w14:paraId="33BF8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2" w:type="pct"/>
                  <w:gridSpan w:val="3"/>
                  <w:vMerge w:val="restart"/>
                  <w:shd w:val="clear" w:color="auto" w:fill="auto"/>
                  <w:vAlign w:val="center"/>
                </w:tcPr>
                <w:p w14:paraId="3FF0F883">
                  <w:pPr>
                    <w:jc w:val="center"/>
                    <w:rPr>
                      <w:b/>
                      <w:bCs/>
                      <w:sz w:val="18"/>
                      <w:szCs w:val="18"/>
                    </w:rPr>
                  </w:pPr>
                  <w:r>
                    <w:rPr>
                      <w:rFonts w:hint="eastAsia"/>
                      <w:b/>
                      <w:bCs/>
                      <w:sz w:val="18"/>
                      <w:szCs w:val="18"/>
                    </w:rPr>
                    <w:t>废水性质</w:t>
                  </w:r>
                </w:p>
              </w:tc>
              <w:tc>
                <w:tcPr>
                  <w:tcW w:w="477" w:type="pct"/>
                  <w:vMerge w:val="restart"/>
                  <w:shd w:val="clear" w:color="auto" w:fill="auto"/>
                  <w:vAlign w:val="center"/>
                </w:tcPr>
                <w:p w14:paraId="1A7A8A37">
                  <w:pPr>
                    <w:jc w:val="center"/>
                    <w:rPr>
                      <w:b/>
                      <w:bCs/>
                      <w:sz w:val="18"/>
                      <w:szCs w:val="18"/>
                    </w:rPr>
                  </w:pPr>
                  <w:r>
                    <w:rPr>
                      <w:rFonts w:hint="eastAsia"/>
                      <w:b/>
                      <w:bCs/>
                      <w:sz w:val="18"/>
                      <w:szCs w:val="18"/>
                    </w:rPr>
                    <w:t>废水量</w:t>
                  </w:r>
                </w:p>
                <w:p w14:paraId="6A15248A">
                  <w:pPr>
                    <w:jc w:val="center"/>
                    <w:rPr>
                      <w:b/>
                      <w:bCs/>
                      <w:sz w:val="18"/>
                      <w:szCs w:val="18"/>
                    </w:rPr>
                  </w:pPr>
                  <w:r>
                    <w:rPr>
                      <w:b/>
                      <w:bCs/>
                      <w:sz w:val="18"/>
                      <w:szCs w:val="18"/>
                    </w:rPr>
                    <w:t>m</w:t>
                  </w:r>
                  <w:r>
                    <w:rPr>
                      <w:b/>
                      <w:bCs/>
                      <w:sz w:val="18"/>
                      <w:szCs w:val="18"/>
                      <w:vertAlign w:val="superscript"/>
                    </w:rPr>
                    <w:t>3</w:t>
                  </w:r>
                  <w:r>
                    <w:rPr>
                      <w:b/>
                      <w:bCs/>
                      <w:sz w:val="18"/>
                      <w:szCs w:val="18"/>
                    </w:rPr>
                    <w:t>/a</w:t>
                  </w:r>
                </w:p>
              </w:tc>
              <w:tc>
                <w:tcPr>
                  <w:tcW w:w="2721" w:type="pct"/>
                  <w:gridSpan w:val="6"/>
                  <w:shd w:val="clear" w:color="auto" w:fill="auto"/>
                  <w:vAlign w:val="center"/>
                </w:tcPr>
                <w:p w14:paraId="7DB3F48C">
                  <w:pPr>
                    <w:jc w:val="center"/>
                    <w:rPr>
                      <w:rFonts w:hint="eastAsia"/>
                      <w:b/>
                      <w:bCs/>
                      <w:sz w:val="18"/>
                      <w:szCs w:val="18"/>
                    </w:rPr>
                  </w:pPr>
                  <w:r>
                    <w:rPr>
                      <w:rFonts w:hint="eastAsia"/>
                      <w:b/>
                      <w:bCs/>
                      <w:sz w:val="18"/>
                      <w:szCs w:val="18"/>
                    </w:rPr>
                    <w:t>污染物</w:t>
                  </w:r>
                </w:p>
              </w:tc>
            </w:tr>
            <w:tr w14:paraId="7E3FE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2" w:type="pct"/>
                  <w:gridSpan w:val="3"/>
                  <w:vMerge w:val="continue"/>
                  <w:shd w:val="clear" w:color="auto" w:fill="auto"/>
                  <w:vAlign w:val="center"/>
                </w:tcPr>
                <w:p w14:paraId="5530731D">
                  <w:pPr>
                    <w:jc w:val="center"/>
                    <w:rPr>
                      <w:b/>
                      <w:bCs/>
                      <w:sz w:val="18"/>
                      <w:szCs w:val="18"/>
                    </w:rPr>
                  </w:pPr>
                </w:p>
              </w:tc>
              <w:tc>
                <w:tcPr>
                  <w:tcW w:w="477" w:type="pct"/>
                  <w:vMerge w:val="continue"/>
                  <w:shd w:val="clear" w:color="auto" w:fill="auto"/>
                  <w:vAlign w:val="center"/>
                </w:tcPr>
                <w:p w14:paraId="3EBD1459">
                  <w:pPr>
                    <w:jc w:val="center"/>
                    <w:rPr>
                      <w:b/>
                      <w:bCs/>
                      <w:sz w:val="18"/>
                      <w:szCs w:val="18"/>
                    </w:rPr>
                  </w:pPr>
                </w:p>
              </w:tc>
              <w:tc>
                <w:tcPr>
                  <w:tcW w:w="474" w:type="pct"/>
                  <w:shd w:val="clear" w:color="auto" w:fill="auto"/>
                  <w:vAlign w:val="center"/>
                </w:tcPr>
                <w:p w14:paraId="76C27AFD">
                  <w:pPr>
                    <w:jc w:val="center"/>
                    <w:rPr>
                      <w:b/>
                      <w:bCs/>
                      <w:sz w:val="18"/>
                      <w:szCs w:val="18"/>
                    </w:rPr>
                  </w:pPr>
                  <w:r>
                    <w:rPr>
                      <w:b/>
                      <w:bCs/>
                      <w:sz w:val="18"/>
                      <w:szCs w:val="18"/>
                    </w:rPr>
                    <w:t>COD</w:t>
                  </w:r>
                </w:p>
              </w:tc>
              <w:tc>
                <w:tcPr>
                  <w:tcW w:w="475" w:type="pct"/>
                  <w:shd w:val="clear" w:color="auto" w:fill="auto"/>
                  <w:vAlign w:val="center"/>
                </w:tcPr>
                <w:p w14:paraId="1DF521E4">
                  <w:pPr>
                    <w:jc w:val="center"/>
                    <w:rPr>
                      <w:b/>
                      <w:bCs/>
                      <w:sz w:val="18"/>
                      <w:szCs w:val="18"/>
                    </w:rPr>
                  </w:pPr>
                  <w:r>
                    <w:rPr>
                      <w:b/>
                      <w:bCs/>
                      <w:sz w:val="18"/>
                      <w:szCs w:val="18"/>
                    </w:rPr>
                    <w:t>BOD</w:t>
                  </w:r>
                  <w:r>
                    <w:rPr>
                      <w:b/>
                      <w:bCs/>
                      <w:sz w:val="18"/>
                      <w:szCs w:val="18"/>
                      <w:vertAlign w:val="subscript"/>
                    </w:rPr>
                    <w:t>5</w:t>
                  </w:r>
                </w:p>
              </w:tc>
              <w:tc>
                <w:tcPr>
                  <w:tcW w:w="475" w:type="pct"/>
                  <w:shd w:val="clear" w:color="auto" w:fill="auto"/>
                  <w:vAlign w:val="center"/>
                </w:tcPr>
                <w:p w14:paraId="6021E38B">
                  <w:pPr>
                    <w:jc w:val="center"/>
                    <w:rPr>
                      <w:b/>
                      <w:bCs/>
                      <w:sz w:val="18"/>
                      <w:szCs w:val="18"/>
                    </w:rPr>
                  </w:pPr>
                  <w:r>
                    <w:rPr>
                      <w:b/>
                      <w:bCs/>
                      <w:sz w:val="18"/>
                      <w:szCs w:val="18"/>
                    </w:rPr>
                    <w:t>SS</w:t>
                  </w:r>
                </w:p>
              </w:tc>
              <w:tc>
                <w:tcPr>
                  <w:tcW w:w="453" w:type="pct"/>
                  <w:shd w:val="clear" w:color="auto" w:fill="auto"/>
                  <w:vAlign w:val="center"/>
                </w:tcPr>
                <w:p w14:paraId="0F2342C9">
                  <w:pPr>
                    <w:jc w:val="center"/>
                    <w:rPr>
                      <w:b/>
                      <w:bCs/>
                      <w:sz w:val="18"/>
                      <w:szCs w:val="18"/>
                    </w:rPr>
                  </w:pPr>
                  <w:r>
                    <w:rPr>
                      <w:b/>
                      <w:bCs/>
                      <w:sz w:val="18"/>
                      <w:szCs w:val="18"/>
                    </w:rPr>
                    <w:t>NH</w:t>
                  </w:r>
                  <w:r>
                    <w:rPr>
                      <w:b/>
                      <w:bCs/>
                      <w:sz w:val="18"/>
                      <w:szCs w:val="18"/>
                      <w:vertAlign w:val="subscript"/>
                    </w:rPr>
                    <w:t>3</w:t>
                  </w:r>
                  <w:r>
                    <w:rPr>
                      <w:b/>
                      <w:bCs/>
                      <w:sz w:val="18"/>
                      <w:szCs w:val="18"/>
                    </w:rPr>
                    <w:t>-N</w:t>
                  </w:r>
                </w:p>
              </w:tc>
              <w:tc>
                <w:tcPr>
                  <w:tcW w:w="424" w:type="pct"/>
                  <w:shd w:val="clear" w:color="auto" w:fill="auto"/>
                  <w:vAlign w:val="center"/>
                </w:tcPr>
                <w:p w14:paraId="56C5D317">
                  <w:pPr>
                    <w:jc w:val="center"/>
                    <w:rPr>
                      <w:b/>
                      <w:bCs/>
                      <w:sz w:val="18"/>
                      <w:szCs w:val="18"/>
                    </w:rPr>
                  </w:pPr>
                  <w:r>
                    <w:rPr>
                      <w:rFonts w:hint="eastAsia"/>
                      <w:b/>
                      <w:bCs/>
                      <w:sz w:val="18"/>
                      <w:szCs w:val="18"/>
                    </w:rPr>
                    <w:t>总磷</w:t>
                  </w:r>
                </w:p>
              </w:tc>
              <w:tc>
                <w:tcPr>
                  <w:tcW w:w="420" w:type="pct"/>
                </w:tcPr>
                <w:p w14:paraId="18F01364">
                  <w:pPr>
                    <w:jc w:val="center"/>
                    <w:rPr>
                      <w:rFonts w:hint="eastAsia"/>
                      <w:b/>
                      <w:bCs/>
                      <w:sz w:val="18"/>
                      <w:szCs w:val="18"/>
                    </w:rPr>
                  </w:pPr>
                  <w:r>
                    <w:rPr>
                      <w:rFonts w:hint="eastAsia"/>
                      <w:b/>
                      <w:bCs/>
                      <w:sz w:val="18"/>
                      <w:szCs w:val="18"/>
                    </w:rPr>
                    <w:t>总氮</w:t>
                  </w:r>
                </w:p>
              </w:tc>
            </w:tr>
            <w:tr w14:paraId="6325F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vMerge w:val="restart"/>
                  <w:shd w:val="clear" w:color="auto" w:fill="auto"/>
                  <w:vAlign w:val="center"/>
                </w:tcPr>
                <w:p w14:paraId="467A7DEA">
                  <w:pPr>
                    <w:jc w:val="center"/>
                    <w:rPr>
                      <w:sz w:val="18"/>
                      <w:szCs w:val="18"/>
                    </w:rPr>
                  </w:pPr>
                  <w:r>
                    <w:rPr>
                      <w:rFonts w:hint="eastAsia"/>
                      <w:sz w:val="18"/>
                      <w:szCs w:val="18"/>
                    </w:rPr>
                    <w:t>设备清洗废水</w:t>
                  </w:r>
                </w:p>
              </w:tc>
              <w:tc>
                <w:tcPr>
                  <w:tcW w:w="607" w:type="pct"/>
                  <w:vMerge w:val="restart"/>
                  <w:shd w:val="clear" w:color="auto" w:fill="auto"/>
                  <w:vAlign w:val="center"/>
                </w:tcPr>
                <w:p w14:paraId="643D6754">
                  <w:pPr>
                    <w:jc w:val="center"/>
                    <w:rPr>
                      <w:sz w:val="18"/>
                      <w:szCs w:val="18"/>
                    </w:rPr>
                  </w:pPr>
                  <w:r>
                    <w:rPr>
                      <w:rFonts w:hint="eastAsia"/>
                      <w:sz w:val="18"/>
                      <w:szCs w:val="18"/>
                    </w:rPr>
                    <w:t>处理前</w:t>
                  </w:r>
                </w:p>
              </w:tc>
              <w:tc>
                <w:tcPr>
                  <w:tcW w:w="635" w:type="pct"/>
                  <w:shd w:val="clear" w:color="auto" w:fill="auto"/>
                  <w:vAlign w:val="center"/>
                </w:tcPr>
                <w:p w14:paraId="22B1DBE2">
                  <w:pPr>
                    <w:jc w:val="center"/>
                    <w:rPr>
                      <w:sz w:val="18"/>
                      <w:szCs w:val="18"/>
                    </w:rPr>
                  </w:pPr>
                  <w:r>
                    <w:rPr>
                      <w:rFonts w:hint="eastAsia"/>
                      <w:sz w:val="18"/>
                      <w:szCs w:val="18"/>
                    </w:rPr>
                    <w:t>浓度mg</w:t>
                  </w:r>
                  <w:r>
                    <w:rPr>
                      <w:sz w:val="18"/>
                      <w:szCs w:val="18"/>
                    </w:rPr>
                    <w:t>/L</w:t>
                  </w:r>
                </w:p>
              </w:tc>
              <w:tc>
                <w:tcPr>
                  <w:tcW w:w="477" w:type="pct"/>
                  <w:vMerge w:val="restart"/>
                  <w:shd w:val="clear" w:color="auto" w:fill="auto"/>
                  <w:vAlign w:val="center"/>
                </w:tcPr>
                <w:p w14:paraId="1C4D22D4">
                  <w:pPr>
                    <w:jc w:val="center"/>
                    <w:rPr>
                      <w:sz w:val="18"/>
                      <w:szCs w:val="18"/>
                    </w:rPr>
                  </w:pPr>
                  <w:r>
                    <w:rPr>
                      <w:sz w:val="18"/>
                      <w:szCs w:val="18"/>
                    </w:rPr>
                    <w:t>1679.81</w:t>
                  </w:r>
                </w:p>
              </w:tc>
              <w:tc>
                <w:tcPr>
                  <w:tcW w:w="474" w:type="pct"/>
                  <w:shd w:val="clear" w:color="auto" w:fill="auto"/>
                  <w:vAlign w:val="center"/>
                </w:tcPr>
                <w:p w14:paraId="563DDB8F">
                  <w:pPr>
                    <w:jc w:val="center"/>
                    <w:rPr>
                      <w:rFonts w:hint="eastAsia"/>
                      <w:sz w:val="18"/>
                      <w:szCs w:val="18"/>
                    </w:rPr>
                  </w:pPr>
                  <w:r>
                    <w:rPr>
                      <w:rFonts w:hint="eastAsia"/>
                      <w:sz w:val="18"/>
                      <w:szCs w:val="18"/>
                    </w:rPr>
                    <w:t>68.6</w:t>
                  </w:r>
                </w:p>
              </w:tc>
              <w:tc>
                <w:tcPr>
                  <w:tcW w:w="475" w:type="pct"/>
                  <w:shd w:val="clear" w:color="auto" w:fill="auto"/>
                  <w:vAlign w:val="center"/>
                </w:tcPr>
                <w:p w14:paraId="1E1CCDCD">
                  <w:pPr>
                    <w:jc w:val="center"/>
                    <w:rPr>
                      <w:sz w:val="18"/>
                      <w:szCs w:val="18"/>
                    </w:rPr>
                  </w:pPr>
                  <w:r>
                    <w:rPr>
                      <w:rFonts w:hint="eastAsia"/>
                      <w:sz w:val="18"/>
                      <w:szCs w:val="18"/>
                    </w:rPr>
                    <w:t>/</w:t>
                  </w:r>
                </w:p>
              </w:tc>
              <w:tc>
                <w:tcPr>
                  <w:tcW w:w="475" w:type="pct"/>
                  <w:shd w:val="clear" w:color="auto" w:fill="auto"/>
                  <w:vAlign w:val="center"/>
                </w:tcPr>
                <w:p w14:paraId="520FE493">
                  <w:pPr>
                    <w:jc w:val="center"/>
                    <w:rPr>
                      <w:sz w:val="18"/>
                      <w:szCs w:val="18"/>
                    </w:rPr>
                  </w:pPr>
                  <w:r>
                    <w:rPr>
                      <w:rFonts w:hint="eastAsia"/>
                      <w:sz w:val="18"/>
                      <w:szCs w:val="18"/>
                    </w:rPr>
                    <w:t>/</w:t>
                  </w:r>
                </w:p>
              </w:tc>
              <w:tc>
                <w:tcPr>
                  <w:tcW w:w="453" w:type="pct"/>
                  <w:shd w:val="clear" w:color="auto" w:fill="auto"/>
                  <w:vAlign w:val="center"/>
                </w:tcPr>
                <w:p w14:paraId="46C0B099">
                  <w:pPr>
                    <w:jc w:val="center"/>
                    <w:rPr>
                      <w:rFonts w:hint="eastAsia"/>
                      <w:sz w:val="18"/>
                      <w:szCs w:val="18"/>
                    </w:rPr>
                  </w:pPr>
                  <w:r>
                    <w:rPr>
                      <w:rFonts w:hint="eastAsia"/>
                      <w:sz w:val="18"/>
                      <w:szCs w:val="18"/>
                    </w:rPr>
                    <w:t>4.4</w:t>
                  </w:r>
                </w:p>
              </w:tc>
              <w:tc>
                <w:tcPr>
                  <w:tcW w:w="424" w:type="pct"/>
                  <w:shd w:val="clear" w:color="auto" w:fill="auto"/>
                  <w:vAlign w:val="center"/>
                </w:tcPr>
                <w:p w14:paraId="6943A536">
                  <w:pPr>
                    <w:jc w:val="center"/>
                    <w:rPr>
                      <w:rFonts w:hint="eastAsia"/>
                      <w:sz w:val="18"/>
                      <w:szCs w:val="18"/>
                    </w:rPr>
                  </w:pPr>
                  <w:r>
                    <w:rPr>
                      <w:rFonts w:hint="eastAsia"/>
                      <w:sz w:val="18"/>
                      <w:szCs w:val="18"/>
                    </w:rPr>
                    <w:t>1.7</w:t>
                  </w:r>
                </w:p>
              </w:tc>
              <w:tc>
                <w:tcPr>
                  <w:tcW w:w="420" w:type="pct"/>
                  <w:vAlign w:val="center"/>
                </w:tcPr>
                <w:p w14:paraId="144EF9BF">
                  <w:pPr>
                    <w:jc w:val="center"/>
                    <w:rPr>
                      <w:rFonts w:hint="eastAsia"/>
                      <w:sz w:val="18"/>
                      <w:szCs w:val="18"/>
                    </w:rPr>
                  </w:pPr>
                  <w:r>
                    <w:rPr>
                      <w:rFonts w:hint="eastAsia"/>
                      <w:sz w:val="18"/>
                      <w:szCs w:val="18"/>
                    </w:rPr>
                    <w:t>7.0</w:t>
                  </w:r>
                </w:p>
              </w:tc>
            </w:tr>
            <w:tr w14:paraId="6F7DF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vMerge w:val="continue"/>
                  <w:shd w:val="clear" w:color="auto" w:fill="auto"/>
                  <w:vAlign w:val="center"/>
                </w:tcPr>
                <w:p w14:paraId="4327C93D">
                  <w:pPr>
                    <w:jc w:val="center"/>
                    <w:rPr>
                      <w:sz w:val="18"/>
                      <w:szCs w:val="18"/>
                    </w:rPr>
                  </w:pPr>
                </w:p>
              </w:tc>
              <w:tc>
                <w:tcPr>
                  <w:tcW w:w="607" w:type="pct"/>
                  <w:vMerge w:val="continue"/>
                  <w:shd w:val="clear" w:color="auto" w:fill="auto"/>
                  <w:vAlign w:val="center"/>
                </w:tcPr>
                <w:p w14:paraId="68600F6F">
                  <w:pPr>
                    <w:jc w:val="center"/>
                    <w:rPr>
                      <w:sz w:val="18"/>
                      <w:szCs w:val="18"/>
                    </w:rPr>
                  </w:pPr>
                </w:p>
              </w:tc>
              <w:tc>
                <w:tcPr>
                  <w:tcW w:w="635" w:type="pct"/>
                  <w:shd w:val="clear" w:color="auto" w:fill="auto"/>
                  <w:vAlign w:val="center"/>
                </w:tcPr>
                <w:p w14:paraId="483D1334">
                  <w:pPr>
                    <w:jc w:val="center"/>
                    <w:rPr>
                      <w:sz w:val="18"/>
                      <w:szCs w:val="18"/>
                    </w:rPr>
                  </w:pPr>
                  <w:r>
                    <w:rPr>
                      <w:rFonts w:hint="eastAsia"/>
                      <w:sz w:val="18"/>
                      <w:szCs w:val="18"/>
                    </w:rPr>
                    <w:t>产生量t</w:t>
                  </w:r>
                  <w:r>
                    <w:rPr>
                      <w:sz w:val="18"/>
                      <w:szCs w:val="18"/>
                    </w:rPr>
                    <w:t>/</w:t>
                  </w:r>
                  <w:r>
                    <w:rPr>
                      <w:rFonts w:hint="eastAsia"/>
                      <w:sz w:val="18"/>
                      <w:szCs w:val="18"/>
                    </w:rPr>
                    <w:t>a</w:t>
                  </w:r>
                </w:p>
              </w:tc>
              <w:tc>
                <w:tcPr>
                  <w:tcW w:w="477" w:type="pct"/>
                  <w:vMerge w:val="continue"/>
                  <w:shd w:val="clear" w:color="auto" w:fill="auto"/>
                  <w:vAlign w:val="center"/>
                </w:tcPr>
                <w:p w14:paraId="6A1691B9">
                  <w:pPr>
                    <w:jc w:val="center"/>
                    <w:rPr>
                      <w:sz w:val="18"/>
                      <w:szCs w:val="18"/>
                    </w:rPr>
                  </w:pPr>
                </w:p>
              </w:tc>
              <w:tc>
                <w:tcPr>
                  <w:tcW w:w="474" w:type="pct"/>
                  <w:shd w:val="clear" w:color="auto" w:fill="auto"/>
                  <w:vAlign w:val="center"/>
                </w:tcPr>
                <w:p w14:paraId="7EE14C41">
                  <w:pPr>
                    <w:jc w:val="center"/>
                    <w:rPr>
                      <w:sz w:val="18"/>
                      <w:szCs w:val="18"/>
                    </w:rPr>
                  </w:pPr>
                  <w:r>
                    <w:rPr>
                      <w:rFonts w:eastAsia="等线" w:cs="Times New Roman"/>
                      <w:color w:val="000000"/>
                      <w:sz w:val="18"/>
                      <w:szCs w:val="18"/>
                    </w:rPr>
                    <w:t>0.115</w:t>
                  </w:r>
                </w:p>
              </w:tc>
              <w:tc>
                <w:tcPr>
                  <w:tcW w:w="475" w:type="pct"/>
                  <w:shd w:val="clear" w:color="auto" w:fill="auto"/>
                  <w:vAlign w:val="center"/>
                </w:tcPr>
                <w:p w14:paraId="243768F4">
                  <w:pPr>
                    <w:jc w:val="center"/>
                    <w:rPr>
                      <w:sz w:val="18"/>
                      <w:szCs w:val="18"/>
                    </w:rPr>
                  </w:pPr>
                  <w:r>
                    <w:rPr>
                      <w:rFonts w:hint="eastAsia"/>
                      <w:sz w:val="18"/>
                      <w:szCs w:val="18"/>
                    </w:rPr>
                    <w:t>/</w:t>
                  </w:r>
                </w:p>
              </w:tc>
              <w:tc>
                <w:tcPr>
                  <w:tcW w:w="475" w:type="pct"/>
                  <w:shd w:val="clear" w:color="auto" w:fill="auto"/>
                  <w:vAlign w:val="center"/>
                </w:tcPr>
                <w:p w14:paraId="7CC21E8C">
                  <w:pPr>
                    <w:jc w:val="center"/>
                    <w:rPr>
                      <w:sz w:val="18"/>
                      <w:szCs w:val="18"/>
                    </w:rPr>
                  </w:pPr>
                  <w:r>
                    <w:rPr>
                      <w:rFonts w:hint="eastAsia"/>
                      <w:sz w:val="18"/>
                      <w:szCs w:val="18"/>
                    </w:rPr>
                    <w:t>/</w:t>
                  </w:r>
                </w:p>
              </w:tc>
              <w:tc>
                <w:tcPr>
                  <w:tcW w:w="453" w:type="pct"/>
                  <w:shd w:val="clear" w:color="auto" w:fill="auto"/>
                  <w:vAlign w:val="center"/>
                </w:tcPr>
                <w:p w14:paraId="3E1ACCC2">
                  <w:pPr>
                    <w:jc w:val="center"/>
                    <w:rPr>
                      <w:sz w:val="18"/>
                      <w:szCs w:val="18"/>
                    </w:rPr>
                  </w:pPr>
                  <w:r>
                    <w:rPr>
                      <w:rFonts w:eastAsia="等线" w:cs="Times New Roman"/>
                      <w:color w:val="000000"/>
                      <w:sz w:val="18"/>
                      <w:szCs w:val="18"/>
                    </w:rPr>
                    <w:t>0.007</w:t>
                  </w:r>
                </w:p>
              </w:tc>
              <w:tc>
                <w:tcPr>
                  <w:tcW w:w="424" w:type="pct"/>
                  <w:shd w:val="clear" w:color="auto" w:fill="auto"/>
                  <w:vAlign w:val="center"/>
                </w:tcPr>
                <w:p w14:paraId="252DF789">
                  <w:pPr>
                    <w:jc w:val="center"/>
                    <w:rPr>
                      <w:sz w:val="18"/>
                      <w:szCs w:val="18"/>
                    </w:rPr>
                  </w:pPr>
                  <w:r>
                    <w:rPr>
                      <w:rFonts w:eastAsia="等线" w:cs="Times New Roman"/>
                      <w:color w:val="000000"/>
                      <w:sz w:val="18"/>
                      <w:szCs w:val="18"/>
                    </w:rPr>
                    <w:t>0.003</w:t>
                  </w:r>
                </w:p>
              </w:tc>
              <w:tc>
                <w:tcPr>
                  <w:tcW w:w="420" w:type="pct"/>
                  <w:vAlign w:val="center"/>
                </w:tcPr>
                <w:p w14:paraId="231EF05B">
                  <w:pPr>
                    <w:jc w:val="center"/>
                    <w:rPr>
                      <w:rFonts w:hint="eastAsia"/>
                      <w:sz w:val="18"/>
                      <w:szCs w:val="18"/>
                    </w:rPr>
                  </w:pPr>
                  <w:r>
                    <w:rPr>
                      <w:rFonts w:eastAsia="等线" w:cs="Times New Roman"/>
                      <w:color w:val="000000"/>
                      <w:sz w:val="18"/>
                      <w:szCs w:val="18"/>
                    </w:rPr>
                    <w:t>0.012</w:t>
                  </w:r>
                </w:p>
              </w:tc>
            </w:tr>
            <w:tr w14:paraId="1E6CC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vMerge w:val="continue"/>
                  <w:shd w:val="clear" w:color="auto" w:fill="auto"/>
                  <w:vAlign w:val="center"/>
                </w:tcPr>
                <w:p w14:paraId="677B7C48">
                  <w:pPr>
                    <w:jc w:val="center"/>
                    <w:rPr>
                      <w:sz w:val="18"/>
                      <w:szCs w:val="18"/>
                    </w:rPr>
                  </w:pPr>
                </w:p>
              </w:tc>
              <w:tc>
                <w:tcPr>
                  <w:tcW w:w="607" w:type="pct"/>
                  <w:vMerge w:val="restart"/>
                  <w:shd w:val="clear" w:color="auto" w:fill="auto"/>
                  <w:vAlign w:val="center"/>
                </w:tcPr>
                <w:p w14:paraId="075BD191">
                  <w:pPr>
                    <w:jc w:val="center"/>
                    <w:rPr>
                      <w:rFonts w:hint="eastAsia"/>
                      <w:sz w:val="18"/>
                      <w:szCs w:val="18"/>
                    </w:rPr>
                  </w:pPr>
                  <w:r>
                    <w:rPr>
                      <w:rFonts w:hint="eastAsia"/>
                      <w:sz w:val="18"/>
                      <w:szCs w:val="18"/>
                    </w:rPr>
                    <w:t>污水处理站处理后</w:t>
                  </w:r>
                </w:p>
              </w:tc>
              <w:tc>
                <w:tcPr>
                  <w:tcW w:w="635" w:type="pct"/>
                  <w:shd w:val="clear" w:color="auto" w:fill="auto"/>
                  <w:vAlign w:val="center"/>
                </w:tcPr>
                <w:p w14:paraId="6883615E">
                  <w:pPr>
                    <w:jc w:val="center"/>
                    <w:rPr>
                      <w:rFonts w:hint="eastAsia"/>
                      <w:sz w:val="18"/>
                      <w:szCs w:val="18"/>
                    </w:rPr>
                  </w:pPr>
                  <w:r>
                    <w:rPr>
                      <w:rFonts w:hint="eastAsia"/>
                      <w:sz w:val="18"/>
                      <w:szCs w:val="18"/>
                    </w:rPr>
                    <w:t>浓度mg</w:t>
                  </w:r>
                  <w:r>
                    <w:rPr>
                      <w:sz w:val="18"/>
                      <w:szCs w:val="18"/>
                    </w:rPr>
                    <w:t>/L</w:t>
                  </w:r>
                </w:p>
              </w:tc>
              <w:tc>
                <w:tcPr>
                  <w:tcW w:w="477" w:type="pct"/>
                  <w:vMerge w:val="continue"/>
                  <w:shd w:val="clear" w:color="auto" w:fill="auto"/>
                  <w:vAlign w:val="center"/>
                </w:tcPr>
                <w:p w14:paraId="133B4E1C">
                  <w:pPr>
                    <w:jc w:val="center"/>
                    <w:rPr>
                      <w:sz w:val="18"/>
                      <w:szCs w:val="18"/>
                    </w:rPr>
                  </w:pPr>
                </w:p>
              </w:tc>
              <w:tc>
                <w:tcPr>
                  <w:tcW w:w="474" w:type="pct"/>
                  <w:shd w:val="clear" w:color="auto" w:fill="auto"/>
                  <w:vAlign w:val="center"/>
                </w:tcPr>
                <w:p w14:paraId="65303E6B">
                  <w:pPr>
                    <w:jc w:val="center"/>
                    <w:rPr>
                      <w:rFonts w:eastAsia="等线"/>
                      <w:color w:val="000000"/>
                      <w:sz w:val="18"/>
                      <w:szCs w:val="18"/>
                    </w:rPr>
                  </w:pPr>
                  <w:r>
                    <w:rPr>
                      <w:rFonts w:eastAsia="等线" w:cs="Times New Roman"/>
                      <w:color w:val="000000"/>
                      <w:sz w:val="18"/>
                      <w:szCs w:val="18"/>
                    </w:rPr>
                    <w:t>11.0</w:t>
                  </w:r>
                </w:p>
              </w:tc>
              <w:tc>
                <w:tcPr>
                  <w:tcW w:w="475" w:type="pct"/>
                  <w:shd w:val="clear" w:color="auto" w:fill="auto"/>
                  <w:vAlign w:val="center"/>
                </w:tcPr>
                <w:p w14:paraId="06D77C32">
                  <w:pPr>
                    <w:jc w:val="center"/>
                    <w:rPr>
                      <w:rFonts w:eastAsia="等线"/>
                      <w:color w:val="000000"/>
                      <w:sz w:val="18"/>
                      <w:szCs w:val="18"/>
                    </w:rPr>
                  </w:pPr>
                  <w:r>
                    <w:rPr>
                      <w:rFonts w:hint="eastAsia"/>
                      <w:sz w:val="18"/>
                      <w:szCs w:val="18"/>
                    </w:rPr>
                    <w:t>/</w:t>
                  </w:r>
                </w:p>
              </w:tc>
              <w:tc>
                <w:tcPr>
                  <w:tcW w:w="475" w:type="pct"/>
                  <w:shd w:val="clear" w:color="auto" w:fill="auto"/>
                  <w:vAlign w:val="center"/>
                </w:tcPr>
                <w:p w14:paraId="13C43E2B">
                  <w:pPr>
                    <w:jc w:val="center"/>
                    <w:rPr>
                      <w:rFonts w:eastAsia="等线"/>
                      <w:color w:val="000000"/>
                      <w:sz w:val="18"/>
                      <w:szCs w:val="18"/>
                    </w:rPr>
                  </w:pPr>
                  <w:r>
                    <w:rPr>
                      <w:rFonts w:hint="eastAsia"/>
                      <w:sz w:val="18"/>
                      <w:szCs w:val="18"/>
                    </w:rPr>
                    <w:t>/</w:t>
                  </w:r>
                </w:p>
              </w:tc>
              <w:tc>
                <w:tcPr>
                  <w:tcW w:w="453" w:type="pct"/>
                  <w:shd w:val="clear" w:color="auto" w:fill="auto"/>
                  <w:vAlign w:val="center"/>
                </w:tcPr>
                <w:p w14:paraId="6A91AD58">
                  <w:pPr>
                    <w:jc w:val="center"/>
                    <w:rPr>
                      <w:rFonts w:eastAsia="等线"/>
                      <w:color w:val="000000"/>
                      <w:sz w:val="18"/>
                      <w:szCs w:val="18"/>
                    </w:rPr>
                  </w:pPr>
                  <w:r>
                    <w:rPr>
                      <w:rFonts w:eastAsia="等线" w:cs="Times New Roman"/>
                      <w:color w:val="000000"/>
                      <w:sz w:val="18"/>
                      <w:szCs w:val="18"/>
                    </w:rPr>
                    <w:t>1.1</w:t>
                  </w:r>
                </w:p>
              </w:tc>
              <w:tc>
                <w:tcPr>
                  <w:tcW w:w="424" w:type="pct"/>
                  <w:shd w:val="clear" w:color="auto" w:fill="auto"/>
                  <w:vAlign w:val="center"/>
                </w:tcPr>
                <w:p w14:paraId="71B3EBDF">
                  <w:pPr>
                    <w:jc w:val="center"/>
                    <w:rPr>
                      <w:rFonts w:hint="eastAsia"/>
                      <w:sz w:val="18"/>
                      <w:szCs w:val="18"/>
                    </w:rPr>
                  </w:pPr>
                  <w:r>
                    <w:rPr>
                      <w:rFonts w:eastAsia="等线" w:cs="Times New Roman"/>
                      <w:color w:val="000000"/>
                      <w:sz w:val="18"/>
                      <w:szCs w:val="18"/>
                    </w:rPr>
                    <w:t>0.5</w:t>
                  </w:r>
                </w:p>
              </w:tc>
              <w:tc>
                <w:tcPr>
                  <w:tcW w:w="420" w:type="pct"/>
                  <w:vAlign w:val="center"/>
                </w:tcPr>
                <w:p w14:paraId="57F97B8B">
                  <w:pPr>
                    <w:jc w:val="center"/>
                    <w:rPr>
                      <w:rFonts w:hint="eastAsia"/>
                      <w:sz w:val="18"/>
                      <w:szCs w:val="18"/>
                    </w:rPr>
                  </w:pPr>
                  <w:r>
                    <w:rPr>
                      <w:rFonts w:eastAsia="等线" w:cs="Times New Roman"/>
                      <w:color w:val="000000"/>
                      <w:sz w:val="18"/>
                      <w:szCs w:val="18"/>
                    </w:rPr>
                    <w:t>1.8</w:t>
                  </w:r>
                </w:p>
              </w:tc>
            </w:tr>
            <w:tr w14:paraId="0AC41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vMerge w:val="continue"/>
                  <w:shd w:val="clear" w:color="auto" w:fill="auto"/>
                  <w:vAlign w:val="center"/>
                </w:tcPr>
                <w:p w14:paraId="1DF8C297">
                  <w:pPr>
                    <w:jc w:val="center"/>
                    <w:rPr>
                      <w:sz w:val="18"/>
                      <w:szCs w:val="18"/>
                    </w:rPr>
                  </w:pPr>
                </w:p>
              </w:tc>
              <w:tc>
                <w:tcPr>
                  <w:tcW w:w="607" w:type="pct"/>
                  <w:vMerge w:val="continue"/>
                  <w:shd w:val="clear" w:color="auto" w:fill="auto"/>
                  <w:vAlign w:val="center"/>
                </w:tcPr>
                <w:p w14:paraId="6B4DD1DA">
                  <w:pPr>
                    <w:jc w:val="center"/>
                    <w:rPr>
                      <w:sz w:val="18"/>
                      <w:szCs w:val="18"/>
                    </w:rPr>
                  </w:pPr>
                </w:p>
              </w:tc>
              <w:tc>
                <w:tcPr>
                  <w:tcW w:w="635" w:type="pct"/>
                  <w:shd w:val="clear" w:color="auto" w:fill="auto"/>
                  <w:vAlign w:val="center"/>
                </w:tcPr>
                <w:p w14:paraId="23787E79">
                  <w:pPr>
                    <w:jc w:val="center"/>
                    <w:rPr>
                      <w:rFonts w:hint="eastAsia"/>
                      <w:sz w:val="18"/>
                      <w:szCs w:val="18"/>
                    </w:rPr>
                  </w:pPr>
                  <w:r>
                    <w:rPr>
                      <w:rFonts w:hint="eastAsia"/>
                      <w:sz w:val="18"/>
                      <w:szCs w:val="18"/>
                    </w:rPr>
                    <w:t>产生量t</w:t>
                  </w:r>
                  <w:r>
                    <w:rPr>
                      <w:sz w:val="18"/>
                      <w:szCs w:val="18"/>
                    </w:rPr>
                    <w:t>/</w:t>
                  </w:r>
                  <w:r>
                    <w:rPr>
                      <w:rFonts w:hint="eastAsia"/>
                      <w:sz w:val="18"/>
                      <w:szCs w:val="18"/>
                    </w:rPr>
                    <w:t>a</w:t>
                  </w:r>
                </w:p>
              </w:tc>
              <w:tc>
                <w:tcPr>
                  <w:tcW w:w="477" w:type="pct"/>
                  <w:vMerge w:val="continue"/>
                  <w:shd w:val="clear" w:color="auto" w:fill="auto"/>
                  <w:vAlign w:val="center"/>
                </w:tcPr>
                <w:p w14:paraId="6098BF8C">
                  <w:pPr>
                    <w:jc w:val="center"/>
                    <w:rPr>
                      <w:sz w:val="18"/>
                      <w:szCs w:val="18"/>
                    </w:rPr>
                  </w:pPr>
                </w:p>
              </w:tc>
              <w:tc>
                <w:tcPr>
                  <w:tcW w:w="474" w:type="pct"/>
                  <w:shd w:val="clear" w:color="auto" w:fill="auto"/>
                  <w:vAlign w:val="center"/>
                </w:tcPr>
                <w:p w14:paraId="5EF944A9">
                  <w:pPr>
                    <w:jc w:val="center"/>
                    <w:rPr>
                      <w:rFonts w:eastAsia="等线"/>
                      <w:color w:val="000000"/>
                      <w:sz w:val="18"/>
                      <w:szCs w:val="18"/>
                    </w:rPr>
                  </w:pPr>
                  <w:r>
                    <w:rPr>
                      <w:rFonts w:eastAsia="等线" w:cs="Times New Roman"/>
                      <w:color w:val="000000"/>
                      <w:sz w:val="18"/>
                      <w:szCs w:val="18"/>
                    </w:rPr>
                    <w:t>0.018</w:t>
                  </w:r>
                </w:p>
              </w:tc>
              <w:tc>
                <w:tcPr>
                  <w:tcW w:w="475" w:type="pct"/>
                  <w:shd w:val="clear" w:color="auto" w:fill="auto"/>
                  <w:vAlign w:val="center"/>
                </w:tcPr>
                <w:p w14:paraId="1BCBE954">
                  <w:pPr>
                    <w:jc w:val="center"/>
                    <w:rPr>
                      <w:rFonts w:eastAsia="等线"/>
                      <w:color w:val="000000"/>
                      <w:sz w:val="18"/>
                      <w:szCs w:val="18"/>
                    </w:rPr>
                  </w:pPr>
                  <w:r>
                    <w:rPr>
                      <w:rFonts w:hint="eastAsia"/>
                      <w:sz w:val="18"/>
                      <w:szCs w:val="18"/>
                    </w:rPr>
                    <w:t>/</w:t>
                  </w:r>
                </w:p>
              </w:tc>
              <w:tc>
                <w:tcPr>
                  <w:tcW w:w="475" w:type="pct"/>
                  <w:shd w:val="clear" w:color="auto" w:fill="auto"/>
                  <w:vAlign w:val="center"/>
                </w:tcPr>
                <w:p w14:paraId="78C2FE80">
                  <w:pPr>
                    <w:jc w:val="center"/>
                    <w:rPr>
                      <w:rFonts w:eastAsia="等线"/>
                      <w:color w:val="000000"/>
                      <w:sz w:val="18"/>
                      <w:szCs w:val="18"/>
                    </w:rPr>
                  </w:pPr>
                  <w:r>
                    <w:rPr>
                      <w:rFonts w:hint="eastAsia"/>
                      <w:sz w:val="18"/>
                      <w:szCs w:val="18"/>
                    </w:rPr>
                    <w:t>/</w:t>
                  </w:r>
                </w:p>
              </w:tc>
              <w:tc>
                <w:tcPr>
                  <w:tcW w:w="453" w:type="pct"/>
                  <w:shd w:val="clear" w:color="auto" w:fill="auto"/>
                  <w:vAlign w:val="center"/>
                </w:tcPr>
                <w:p w14:paraId="6BAA5D2C">
                  <w:pPr>
                    <w:jc w:val="center"/>
                    <w:rPr>
                      <w:rFonts w:eastAsia="等线"/>
                      <w:color w:val="000000"/>
                      <w:sz w:val="18"/>
                      <w:szCs w:val="18"/>
                    </w:rPr>
                  </w:pPr>
                  <w:r>
                    <w:rPr>
                      <w:rFonts w:eastAsia="等线" w:cs="Times New Roman"/>
                      <w:color w:val="000000"/>
                      <w:sz w:val="18"/>
                      <w:szCs w:val="18"/>
                    </w:rPr>
                    <w:t>0.002</w:t>
                  </w:r>
                </w:p>
              </w:tc>
              <w:tc>
                <w:tcPr>
                  <w:tcW w:w="424" w:type="pct"/>
                  <w:shd w:val="clear" w:color="auto" w:fill="auto"/>
                  <w:vAlign w:val="center"/>
                </w:tcPr>
                <w:p w14:paraId="01C557C0">
                  <w:pPr>
                    <w:jc w:val="center"/>
                    <w:rPr>
                      <w:rFonts w:hint="eastAsia"/>
                      <w:sz w:val="18"/>
                      <w:szCs w:val="18"/>
                    </w:rPr>
                  </w:pPr>
                  <w:r>
                    <w:rPr>
                      <w:rFonts w:eastAsia="等线" w:cs="Times New Roman"/>
                      <w:color w:val="000000"/>
                      <w:sz w:val="18"/>
                      <w:szCs w:val="18"/>
                    </w:rPr>
                    <w:t>0.001</w:t>
                  </w:r>
                </w:p>
              </w:tc>
              <w:tc>
                <w:tcPr>
                  <w:tcW w:w="420" w:type="pct"/>
                  <w:vAlign w:val="center"/>
                </w:tcPr>
                <w:p w14:paraId="7E7B76AB">
                  <w:pPr>
                    <w:jc w:val="center"/>
                    <w:rPr>
                      <w:rFonts w:hint="eastAsia"/>
                      <w:sz w:val="18"/>
                      <w:szCs w:val="18"/>
                    </w:rPr>
                  </w:pPr>
                  <w:r>
                    <w:rPr>
                      <w:rFonts w:eastAsia="等线" w:cs="Times New Roman"/>
                      <w:color w:val="000000"/>
                      <w:sz w:val="18"/>
                      <w:szCs w:val="18"/>
                    </w:rPr>
                    <w:t>0.003</w:t>
                  </w:r>
                </w:p>
              </w:tc>
            </w:tr>
            <w:tr w14:paraId="5923F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9" w:type="pct"/>
                  <w:gridSpan w:val="4"/>
                  <w:shd w:val="clear" w:color="auto" w:fill="auto"/>
                  <w:vAlign w:val="center"/>
                </w:tcPr>
                <w:p w14:paraId="07318D32">
                  <w:pPr>
                    <w:jc w:val="center"/>
                    <w:rPr>
                      <w:sz w:val="18"/>
                      <w:szCs w:val="18"/>
                    </w:rPr>
                  </w:pPr>
                  <w:r>
                    <w:rPr>
                      <w:rFonts w:hint="eastAsia"/>
                      <w:sz w:val="18"/>
                      <w:szCs w:val="18"/>
                    </w:rPr>
                    <w:t>《中药类制药工业水污染物排 放标准》  (GB21906-2008) 表2 标准</w:t>
                  </w:r>
                </w:p>
              </w:tc>
              <w:tc>
                <w:tcPr>
                  <w:tcW w:w="474" w:type="pct"/>
                  <w:shd w:val="clear" w:color="auto" w:fill="auto"/>
                  <w:vAlign w:val="center"/>
                </w:tcPr>
                <w:p w14:paraId="13025DE8">
                  <w:pPr>
                    <w:jc w:val="center"/>
                    <w:rPr>
                      <w:rFonts w:eastAsia="等线" w:cs="Times New Roman"/>
                      <w:color w:val="000000"/>
                      <w:sz w:val="18"/>
                      <w:szCs w:val="18"/>
                    </w:rPr>
                  </w:pPr>
                  <w:r>
                    <w:rPr>
                      <w:rFonts w:eastAsia="等线" w:cs="Times New Roman"/>
                      <w:color w:val="000000"/>
                      <w:sz w:val="18"/>
                      <w:szCs w:val="18"/>
                    </w:rPr>
                    <w:t>100</w:t>
                  </w:r>
                </w:p>
              </w:tc>
              <w:tc>
                <w:tcPr>
                  <w:tcW w:w="475" w:type="pct"/>
                  <w:shd w:val="clear" w:color="auto" w:fill="auto"/>
                  <w:vAlign w:val="center"/>
                </w:tcPr>
                <w:p w14:paraId="5CD93D3C">
                  <w:pPr>
                    <w:jc w:val="center"/>
                    <w:rPr>
                      <w:rFonts w:hint="eastAsia"/>
                      <w:sz w:val="18"/>
                      <w:szCs w:val="18"/>
                    </w:rPr>
                  </w:pPr>
                  <w:r>
                    <w:rPr>
                      <w:rFonts w:hint="eastAsia"/>
                      <w:sz w:val="18"/>
                      <w:szCs w:val="18"/>
                    </w:rPr>
                    <w:t>20</w:t>
                  </w:r>
                </w:p>
              </w:tc>
              <w:tc>
                <w:tcPr>
                  <w:tcW w:w="475" w:type="pct"/>
                  <w:shd w:val="clear" w:color="auto" w:fill="auto"/>
                  <w:vAlign w:val="center"/>
                </w:tcPr>
                <w:p w14:paraId="150F0A3B">
                  <w:pPr>
                    <w:jc w:val="center"/>
                    <w:rPr>
                      <w:rFonts w:hint="eastAsia"/>
                      <w:sz w:val="18"/>
                      <w:szCs w:val="18"/>
                    </w:rPr>
                  </w:pPr>
                  <w:r>
                    <w:rPr>
                      <w:rFonts w:hint="eastAsia"/>
                      <w:sz w:val="18"/>
                      <w:szCs w:val="18"/>
                    </w:rPr>
                    <w:t>50</w:t>
                  </w:r>
                </w:p>
              </w:tc>
              <w:tc>
                <w:tcPr>
                  <w:tcW w:w="453" w:type="pct"/>
                  <w:shd w:val="clear" w:color="auto" w:fill="auto"/>
                  <w:vAlign w:val="center"/>
                </w:tcPr>
                <w:p w14:paraId="7D082E54">
                  <w:pPr>
                    <w:jc w:val="center"/>
                    <w:rPr>
                      <w:rFonts w:eastAsia="等线" w:cs="Times New Roman"/>
                      <w:color w:val="000000"/>
                      <w:sz w:val="18"/>
                      <w:szCs w:val="18"/>
                    </w:rPr>
                  </w:pPr>
                  <w:r>
                    <w:rPr>
                      <w:rFonts w:hint="eastAsia" w:eastAsia="等线" w:cs="Times New Roman"/>
                      <w:color w:val="000000"/>
                      <w:sz w:val="18"/>
                      <w:szCs w:val="18"/>
                    </w:rPr>
                    <w:t>8</w:t>
                  </w:r>
                </w:p>
              </w:tc>
              <w:tc>
                <w:tcPr>
                  <w:tcW w:w="424" w:type="pct"/>
                  <w:shd w:val="clear" w:color="auto" w:fill="auto"/>
                  <w:vAlign w:val="center"/>
                </w:tcPr>
                <w:p w14:paraId="3DE655DC">
                  <w:pPr>
                    <w:jc w:val="center"/>
                    <w:rPr>
                      <w:rFonts w:eastAsia="等线" w:cs="Times New Roman"/>
                      <w:color w:val="000000"/>
                      <w:sz w:val="18"/>
                      <w:szCs w:val="18"/>
                    </w:rPr>
                  </w:pPr>
                  <w:r>
                    <w:rPr>
                      <w:rFonts w:hint="eastAsia" w:eastAsia="等线" w:cs="Times New Roman"/>
                      <w:color w:val="000000"/>
                      <w:sz w:val="18"/>
                      <w:szCs w:val="18"/>
                    </w:rPr>
                    <w:t>/</w:t>
                  </w:r>
                </w:p>
              </w:tc>
              <w:tc>
                <w:tcPr>
                  <w:tcW w:w="420" w:type="pct"/>
                  <w:vAlign w:val="center"/>
                </w:tcPr>
                <w:p w14:paraId="4878B0D0">
                  <w:pPr>
                    <w:jc w:val="center"/>
                    <w:rPr>
                      <w:rFonts w:eastAsia="等线" w:cs="Times New Roman"/>
                      <w:color w:val="000000"/>
                      <w:sz w:val="18"/>
                      <w:szCs w:val="18"/>
                    </w:rPr>
                  </w:pPr>
                  <w:r>
                    <w:rPr>
                      <w:rFonts w:hint="eastAsia" w:eastAsia="等线" w:cs="Times New Roman"/>
                      <w:color w:val="000000"/>
                      <w:sz w:val="18"/>
                      <w:szCs w:val="18"/>
                    </w:rPr>
                    <w:t>/</w:t>
                  </w:r>
                </w:p>
              </w:tc>
            </w:tr>
            <w:tr w14:paraId="1670F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vMerge w:val="restart"/>
                  <w:shd w:val="clear" w:color="auto" w:fill="auto"/>
                  <w:vAlign w:val="center"/>
                </w:tcPr>
                <w:p w14:paraId="4EEF39F6">
                  <w:pPr>
                    <w:jc w:val="center"/>
                    <w:rPr>
                      <w:sz w:val="18"/>
                      <w:szCs w:val="18"/>
                    </w:rPr>
                  </w:pPr>
                  <w:r>
                    <w:rPr>
                      <w:rFonts w:hint="eastAsia"/>
                      <w:sz w:val="18"/>
                      <w:szCs w:val="18"/>
                    </w:rPr>
                    <w:t>车间地面清洁废水</w:t>
                  </w:r>
                </w:p>
              </w:tc>
              <w:tc>
                <w:tcPr>
                  <w:tcW w:w="607" w:type="pct"/>
                  <w:vMerge w:val="restart"/>
                  <w:shd w:val="clear" w:color="auto" w:fill="auto"/>
                  <w:vAlign w:val="center"/>
                </w:tcPr>
                <w:p w14:paraId="4A8F7FD6">
                  <w:pPr>
                    <w:jc w:val="center"/>
                    <w:rPr>
                      <w:sz w:val="18"/>
                      <w:szCs w:val="18"/>
                    </w:rPr>
                  </w:pPr>
                  <w:r>
                    <w:rPr>
                      <w:rFonts w:hint="eastAsia"/>
                      <w:sz w:val="18"/>
                      <w:szCs w:val="18"/>
                    </w:rPr>
                    <w:t>处理前</w:t>
                  </w:r>
                </w:p>
              </w:tc>
              <w:tc>
                <w:tcPr>
                  <w:tcW w:w="635" w:type="pct"/>
                  <w:shd w:val="clear" w:color="auto" w:fill="auto"/>
                  <w:vAlign w:val="center"/>
                </w:tcPr>
                <w:p w14:paraId="7E281D0A">
                  <w:pPr>
                    <w:jc w:val="center"/>
                    <w:rPr>
                      <w:sz w:val="18"/>
                      <w:szCs w:val="18"/>
                    </w:rPr>
                  </w:pPr>
                  <w:r>
                    <w:rPr>
                      <w:rFonts w:hint="eastAsia"/>
                      <w:sz w:val="18"/>
                      <w:szCs w:val="18"/>
                    </w:rPr>
                    <w:t>浓度mg</w:t>
                  </w:r>
                  <w:r>
                    <w:rPr>
                      <w:sz w:val="18"/>
                      <w:szCs w:val="18"/>
                    </w:rPr>
                    <w:t>/L</w:t>
                  </w:r>
                </w:p>
              </w:tc>
              <w:tc>
                <w:tcPr>
                  <w:tcW w:w="477" w:type="pct"/>
                  <w:vMerge w:val="restart"/>
                  <w:shd w:val="clear" w:color="auto" w:fill="auto"/>
                  <w:vAlign w:val="center"/>
                </w:tcPr>
                <w:p w14:paraId="63EF02D7">
                  <w:pPr>
                    <w:jc w:val="center"/>
                    <w:rPr>
                      <w:sz w:val="18"/>
                      <w:szCs w:val="18"/>
                    </w:rPr>
                  </w:pPr>
                  <w:r>
                    <w:rPr>
                      <w:sz w:val="18"/>
                      <w:szCs w:val="18"/>
                    </w:rPr>
                    <w:t>288.15</w:t>
                  </w:r>
                </w:p>
              </w:tc>
              <w:tc>
                <w:tcPr>
                  <w:tcW w:w="474" w:type="pct"/>
                  <w:shd w:val="clear" w:color="auto" w:fill="auto"/>
                  <w:vAlign w:val="center"/>
                </w:tcPr>
                <w:p w14:paraId="634CD5D5">
                  <w:pPr>
                    <w:jc w:val="center"/>
                    <w:rPr>
                      <w:sz w:val="18"/>
                      <w:szCs w:val="18"/>
                    </w:rPr>
                  </w:pPr>
                  <w:r>
                    <w:rPr>
                      <w:rFonts w:hint="eastAsia"/>
                      <w:sz w:val="18"/>
                      <w:szCs w:val="18"/>
                    </w:rPr>
                    <w:t>300</w:t>
                  </w:r>
                </w:p>
              </w:tc>
              <w:tc>
                <w:tcPr>
                  <w:tcW w:w="475" w:type="pct"/>
                  <w:shd w:val="clear" w:color="auto" w:fill="auto"/>
                  <w:vAlign w:val="center"/>
                </w:tcPr>
                <w:p w14:paraId="15B44385">
                  <w:pPr>
                    <w:jc w:val="center"/>
                    <w:rPr>
                      <w:sz w:val="18"/>
                      <w:szCs w:val="18"/>
                    </w:rPr>
                  </w:pPr>
                  <w:r>
                    <w:rPr>
                      <w:rFonts w:hint="eastAsia"/>
                      <w:sz w:val="18"/>
                      <w:szCs w:val="18"/>
                    </w:rPr>
                    <w:t>250</w:t>
                  </w:r>
                </w:p>
              </w:tc>
              <w:tc>
                <w:tcPr>
                  <w:tcW w:w="475" w:type="pct"/>
                  <w:shd w:val="clear" w:color="auto" w:fill="auto"/>
                  <w:vAlign w:val="center"/>
                </w:tcPr>
                <w:p w14:paraId="3F8EF173">
                  <w:pPr>
                    <w:jc w:val="center"/>
                    <w:rPr>
                      <w:sz w:val="18"/>
                      <w:szCs w:val="18"/>
                    </w:rPr>
                  </w:pPr>
                  <w:r>
                    <w:rPr>
                      <w:rFonts w:hint="eastAsia"/>
                      <w:sz w:val="18"/>
                      <w:szCs w:val="18"/>
                    </w:rPr>
                    <w:t>500</w:t>
                  </w:r>
                </w:p>
              </w:tc>
              <w:tc>
                <w:tcPr>
                  <w:tcW w:w="453" w:type="pct"/>
                  <w:shd w:val="clear" w:color="auto" w:fill="auto"/>
                  <w:vAlign w:val="center"/>
                </w:tcPr>
                <w:p w14:paraId="69D1A217">
                  <w:pPr>
                    <w:jc w:val="center"/>
                    <w:rPr>
                      <w:sz w:val="18"/>
                      <w:szCs w:val="18"/>
                    </w:rPr>
                  </w:pPr>
                  <w:r>
                    <w:rPr>
                      <w:rFonts w:hint="eastAsia"/>
                      <w:sz w:val="18"/>
                      <w:szCs w:val="18"/>
                    </w:rPr>
                    <w:t>35</w:t>
                  </w:r>
                </w:p>
              </w:tc>
              <w:tc>
                <w:tcPr>
                  <w:tcW w:w="424" w:type="pct"/>
                  <w:shd w:val="clear" w:color="auto" w:fill="auto"/>
                  <w:vAlign w:val="center"/>
                </w:tcPr>
                <w:p w14:paraId="2A4439FA">
                  <w:pPr>
                    <w:jc w:val="center"/>
                    <w:rPr>
                      <w:sz w:val="18"/>
                      <w:szCs w:val="18"/>
                    </w:rPr>
                  </w:pPr>
                  <w:r>
                    <w:rPr>
                      <w:rFonts w:hint="eastAsia"/>
                      <w:sz w:val="18"/>
                      <w:szCs w:val="18"/>
                    </w:rPr>
                    <w:t>/</w:t>
                  </w:r>
                </w:p>
              </w:tc>
              <w:tc>
                <w:tcPr>
                  <w:tcW w:w="420" w:type="pct"/>
                </w:tcPr>
                <w:p w14:paraId="32C6C9B6">
                  <w:pPr>
                    <w:jc w:val="center"/>
                    <w:rPr>
                      <w:rFonts w:hint="eastAsia"/>
                      <w:sz w:val="18"/>
                      <w:szCs w:val="18"/>
                    </w:rPr>
                  </w:pPr>
                  <w:r>
                    <w:rPr>
                      <w:rFonts w:hint="eastAsia"/>
                      <w:sz w:val="18"/>
                      <w:szCs w:val="18"/>
                    </w:rPr>
                    <w:t>/</w:t>
                  </w:r>
                </w:p>
              </w:tc>
            </w:tr>
            <w:tr w14:paraId="37D550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vMerge w:val="continue"/>
                  <w:shd w:val="clear" w:color="auto" w:fill="auto"/>
                  <w:vAlign w:val="center"/>
                </w:tcPr>
                <w:p w14:paraId="0774A745">
                  <w:pPr>
                    <w:jc w:val="center"/>
                    <w:rPr>
                      <w:sz w:val="18"/>
                      <w:szCs w:val="18"/>
                    </w:rPr>
                  </w:pPr>
                </w:p>
              </w:tc>
              <w:tc>
                <w:tcPr>
                  <w:tcW w:w="607" w:type="pct"/>
                  <w:vMerge w:val="continue"/>
                  <w:shd w:val="clear" w:color="auto" w:fill="auto"/>
                  <w:vAlign w:val="center"/>
                </w:tcPr>
                <w:p w14:paraId="2141C01C">
                  <w:pPr>
                    <w:jc w:val="center"/>
                    <w:rPr>
                      <w:sz w:val="18"/>
                      <w:szCs w:val="18"/>
                    </w:rPr>
                  </w:pPr>
                </w:p>
              </w:tc>
              <w:tc>
                <w:tcPr>
                  <w:tcW w:w="635" w:type="pct"/>
                  <w:shd w:val="clear" w:color="auto" w:fill="auto"/>
                  <w:vAlign w:val="center"/>
                </w:tcPr>
                <w:p w14:paraId="7273B4EE">
                  <w:pPr>
                    <w:jc w:val="center"/>
                    <w:rPr>
                      <w:sz w:val="18"/>
                      <w:szCs w:val="18"/>
                    </w:rPr>
                  </w:pPr>
                  <w:r>
                    <w:rPr>
                      <w:rFonts w:hint="eastAsia"/>
                      <w:sz w:val="18"/>
                      <w:szCs w:val="18"/>
                    </w:rPr>
                    <w:t>产生量t</w:t>
                  </w:r>
                  <w:r>
                    <w:rPr>
                      <w:sz w:val="18"/>
                      <w:szCs w:val="18"/>
                    </w:rPr>
                    <w:t>/</w:t>
                  </w:r>
                  <w:r>
                    <w:rPr>
                      <w:rFonts w:hint="eastAsia"/>
                      <w:sz w:val="18"/>
                      <w:szCs w:val="18"/>
                    </w:rPr>
                    <w:t>a</w:t>
                  </w:r>
                </w:p>
              </w:tc>
              <w:tc>
                <w:tcPr>
                  <w:tcW w:w="477" w:type="pct"/>
                  <w:vMerge w:val="continue"/>
                  <w:shd w:val="clear" w:color="auto" w:fill="auto"/>
                  <w:vAlign w:val="center"/>
                </w:tcPr>
                <w:p w14:paraId="5BF10898">
                  <w:pPr>
                    <w:jc w:val="center"/>
                    <w:rPr>
                      <w:sz w:val="18"/>
                      <w:szCs w:val="18"/>
                    </w:rPr>
                  </w:pPr>
                </w:p>
              </w:tc>
              <w:tc>
                <w:tcPr>
                  <w:tcW w:w="474" w:type="pct"/>
                  <w:shd w:val="clear" w:color="auto" w:fill="auto"/>
                  <w:vAlign w:val="center"/>
                </w:tcPr>
                <w:p w14:paraId="48E38C0E">
                  <w:pPr>
                    <w:jc w:val="center"/>
                    <w:rPr>
                      <w:sz w:val="18"/>
                      <w:szCs w:val="18"/>
                    </w:rPr>
                  </w:pPr>
                  <w:r>
                    <w:rPr>
                      <w:rFonts w:eastAsia="等线" w:cs="Times New Roman"/>
                      <w:color w:val="000000"/>
                      <w:sz w:val="18"/>
                      <w:szCs w:val="18"/>
                    </w:rPr>
                    <w:t>0.086</w:t>
                  </w:r>
                </w:p>
              </w:tc>
              <w:tc>
                <w:tcPr>
                  <w:tcW w:w="475" w:type="pct"/>
                  <w:shd w:val="clear" w:color="auto" w:fill="auto"/>
                  <w:vAlign w:val="center"/>
                </w:tcPr>
                <w:p w14:paraId="5C80D0F2">
                  <w:pPr>
                    <w:jc w:val="center"/>
                    <w:rPr>
                      <w:sz w:val="18"/>
                      <w:szCs w:val="18"/>
                    </w:rPr>
                  </w:pPr>
                  <w:r>
                    <w:rPr>
                      <w:rFonts w:eastAsia="等线" w:cs="Times New Roman"/>
                      <w:color w:val="000000"/>
                      <w:sz w:val="18"/>
                      <w:szCs w:val="18"/>
                    </w:rPr>
                    <w:t>0.072</w:t>
                  </w:r>
                </w:p>
              </w:tc>
              <w:tc>
                <w:tcPr>
                  <w:tcW w:w="475" w:type="pct"/>
                  <w:shd w:val="clear" w:color="auto" w:fill="auto"/>
                  <w:vAlign w:val="center"/>
                </w:tcPr>
                <w:p w14:paraId="54DCC847">
                  <w:pPr>
                    <w:jc w:val="center"/>
                    <w:rPr>
                      <w:sz w:val="18"/>
                      <w:szCs w:val="18"/>
                    </w:rPr>
                  </w:pPr>
                  <w:r>
                    <w:rPr>
                      <w:rFonts w:eastAsia="等线" w:cs="Times New Roman"/>
                      <w:color w:val="000000"/>
                      <w:sz w:val="18"/>
                      <w:szCs w:val="18"/>
                    </w:rPr>
                    <w:t>0.144</w:t>
                  </w:r>
                </w:p>
              </w:tc>
              <w:tc>
                <w:tcPr>
                  <w:tcW w:w="453" w:type="pct"/>
                  <w:shd w:val="clear" w:color="auto" w:fill="auto"/>
                  <w:vAlign w:val="center"/>
                </w:tcPr>
                <w:p w14:paraId="34FC2901">
                  <w:pPr>
                    <w:jc w:val="center"/>
                    <w:rPr>
                      <w:sz w:val="18"/>
                      <w:szCs w:val="18"/>
                    </w:rPr>
                  </w:pPr>
                  <w:r>
                    <w:rPr>
                      <w:rFonts w:eastAsia="等线" w:cs="Times New Roman"/>
                      <w:color w:val="000000"/>
                      <w:sz w:val="18"/>
                      <w:szCs w:val="18"/>
                    </w:rPr>
                    <w:t>0.010</w:t>
                  </w:r>
                </w:p>
              </w:tc>
              <w:tc>
                <w:tcPr>
                  <w:tcW w:w="424" w:type="pct"/>
                  <w:shd w:val="clear" w:color="auto" w:fill="auto"/>
                  <w:vAlign w:val="center"/>
                </w:tcPr>
                <w:p w14:paraId="48BDE3B4">
                  <w:pPr>
                    <w:jc w:val="center"/>
                    <w:rPr>
                      <w:sz w:val="18"/>
                      <w:szCs w:val="18"/>
                    </w:rPr>
                  </w:pPr>
                  <w:r>
                    <w:rPr>
                      <w:rFonts w:hint="eastAsia"/>
                      <w:sz w:val="18"/>
                      <w:szCs w:val="18"/>
                    </w:rPr>
                    <w:t>/</w:t>
                  </w:r>
                </w:p>
              </w:tc>
              <w:tc>
                <w:tcPr>
                  <w:tcW w:w="420" w:type="pct"/>
                </w:tcPr>
                <w:p w14:paraId="02F79247">
                  <w:pPr>
                    <w:jc w:val="center"/>
                    <w:rPr>
                      <w:sz w:val="18"/>
                      <w:szCs w:val="18"/>
                    </w:rPr>
                  </w:pPr>
                  <w:r>
                    <w:rPr>
                      <w:rFonts w:hint="eastAsia"/>
                      <w:sz w:val="18"/>
                      <w:szCs w:val="18"/>
                    </w:rPr>
                    <w:t>/</w:t>
                  </w:r>
                </w:p>
              </w:tc>
            </w:tr>
            <w:tr w14:paraId="09ABA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vMerge w:val="restart"/>
                  <w:shd w:val="clear" w:color="auto" w:fill="auto"/>
                  <w:vAlign w:val="center"/>
                </w:tcPr>
                <w:p w14:paraId="0D70A0E4">
                  <w:pPr>
                    <w:jc w:val="center"/>
                    <w:rPr>
                      <w:sz w:val="18"/>
                      <w:szCs w:val="18"/>
                    </w:rPr>
                  </w:pPr>
                  <w:r>
                    <w:rPr>
                      <w:rFonts w:hint="eastAsia"/>
                      <w:sz w:val="18"/>
                      <w:szCs w:val="18"/>
                    </w:rPr>
                    <w:t>办公生活污水</w:t>
                  </w:r>
                </w:p>
              </w:tc>
              <w:tc>
                <w:tcPr>
                  <w:tcW w:w="607" w:type="pct"/>
                  <w:vMerge w:val="restart"/>
                  <w:shd w:val="clear" w:color="auto" w:fill="auto"/>
                  <w:vAlign w:val="center"/>
                </w:tcPr>
                <w:p w14:paraId="34D91190">
                  <w:pPr>
                    <w:jc w:val="center"/>
                    <w:rPr>
                      <w:sz w:val="18"/>
                      <w:szCs w:val="18"/>
                    </w:rPr>
                  </w:pPr>
                  <w:r>
                    <w:rPr>
                      <w:rFonts w:hint="eastAsia"/>
                      <w:sz w:val="18"/>
                      <w:szCs w:val="18"/>
                    </w:rPr>
                    <w:t>处理前</w:t>
                  </w:r>
                </w:p>
              </w:tc>
              <w:tc>
                <w:tcPr>
                  <w:tcW w:w="635" w:type="pct"/>
                  <w:shd w:val="clear" w:color="auto" w:fill="auto"/>
                  <w:vAlign w:val="center"/>
                </w:tcPr>
                <w:p w14:paraId="068386C6">
                  <w:pPr>
                    <w:jc w:val="center"/>
                    <w:rPr>
                      <w:sz w:val="18"/>
                      <w:szCs w:val="18"/>
                    </w:rPr>
                  </w:pPr>
                  <w:r>
                    <w:rPr>
                      <w:rFonts w:hint="eastAsia"/>
                      <w:sz w:val="18"/>
                      <w:szCs w:val="18"/>
                    </w:rPr>
                    <w:t>浓度mg</w:t>
                  </w:r>
                  <w:r>
                    <w:rPr>
                      <w:sz w:val="18"/>
                      <w:szCs w:val="18"/>
                    </w:rPr>
                    <w:t>/L</w:t>
                  </w:r>
                </w:p>
              </w:tc>
              <w:tc>
                <w:tcPr>
                  <w:tcW w:w="477" w:type="pct"/>
                  <w:vMerge w:val="restart"/>
                  <w:shd w:val="clear" w:color="auto" w:fill="auto"/>
                  <w:vAlign w:val="center"/>
                </w:tcPr>
                <w:p w14:paraId="7ED61C03">
                  <w:pPr>
                    <w:jc w:val="center"/>
                    <w:rPr>
                      <w:sz w:val="18"/>
                      <w:szCs w:val="18"/>
                    </w:rPr>
                  </w:pPr>
                  <w:r>
                    <w:rPr>
                      <w:rFonts w:hint="eastAsia"/>
                      <w:sz w:val="18"/>
                      <w:szCs w:val="18"/>
                    </w:rPr>
                    <w:t>765</w:t>
                  </w:r>
                </w:p>
              </w:tc>
              <w:tc>
                <w:tcPr>
                  <w:tcW w:w="474" w:type="pct"/>
                  <w:shd w:val="clear" w:color="auto" w:fill="auto"/>
                  <w:vAlign w:val="center"/>
                </w:tcPr>
                <w:p w14:paraId="76FDA73B">
                  <w:pPr>
                    <w:jc w:val="center"/>
                    <w:rPr>
                      <w:sz w:val="18"/>
                      <w:szCs w:val="18"/>
                    </w:rPr>
                  </w:pPr>
                  <w:r>
                    <w:rPr>
                      <w:sz w:val="18"/>
                      <w:szCs w:val="18"/>
                    </w:rPr>
                    <w:t>325</w:t>
                  </w:r>
                </w:p>
              </w:tc>
              <w:tc>
                <w:tcPr>
                  <w:tcW w:w="475" w:type="pct"/>
                  <w:shd w:val="clear" w:color="auto" w:fill="auto"/>
                  <w:vAlign w:val="center"/>
                </w:tcPr>
                <w:p w14:paraId="7C058448">
                  <w:pPr>
                    <w:jc w:val="center"/>
                    <w:rPr>
                      <w:sz w:val="18"/>
                      <w:szCs w:val="18"/>
                    </w:rPr>
                  </w:pPr>
                  <w:r>
                    <w:rPr>
                      <w:sz w:val="18"/>
                      <w:szCs w:val="18"/>
                    </w:rPr>
                    <w:t>200</w:t>
                  </w:r>
                </w:p>
              </w:tc>
              <w:tc>
                <w:tcPr>
                  <w:tcW w:w="475" w:type="pct"/>
                  <w:shd w:val="clear" w:color="auto" w:fill="auto"/>
                  <w:vAlign w:val="center"/>
                </w:tcPr>
                <w:p w14:paraId="7AB0B61D">
                  <w:pPr>
                    <w:jc w:val="center"/>
                    <w:rPr>
                      <w:sz w:val="18"/>
                      <w:szCs w:val="18"/>
                    </w:rPr>
                  </w:pPr>
                  <w:r>
                    <w:rPr>
                      <w:sz w:val="18"/>
                      <w:szCs w:val="18"/>
                    </w:rPr>
                    <w:t>200</w:t>
                  </w:r>
                </w:p>
              </w:tc>
              <w:tc>
                <w:tcPr>
                  <w:tcW w:w="453" w:type="pct"/>
                  <w:shd w:val="clear" w:color="auto" w:fill="auto"/>
                  <w:vAlign w:val="center"/>
                </w:tcPr>
                <w:p w14:paraId="68476F64">
                  <w:pPr>
                    <w:jc w:val="center"/>
                    <w:rPr>
                      <w:sz w:val="18"/>
                      <w:szCs w:val="18"/>
                    </w:rPr>
                  </w:pPr>
                  <w:r>
                    <w:rPr>
                      <w:sz w:val="18"/>
                      <w:szCs w:val="18"/>
                    </w:rPr>
                    <w:t>37.7</w:t>
                  </w:r>
                </w:p>
              </w:tc>
              <w:tc>
                <w:tcPr>
                  <w:tcW w:w="424" w:type="pct"/>
                  <w:shd w:val="clear" w:color="auto" w:fill="auto"/>
                  <w:vAlign w:val="center"/>
                </w:tcPr>
                <w:p w14:paraId="17894F15">
                  <w:pPr>
                    <w:jc w:val="center"/>
                    <w:rPr>
                      <w:sz w:val="18"/>
                      <w:szCs w:val="18"/>
                    </w:rPr>
                  </w:pPr>
                  <w:r>
                    <w:rPr>
                      <w:sz w:val="18"/>
                      <w:szCs w:val="18"/>
                    </w:rPr>
                    <w:t>4.28</w:t>
                  </w:r>
                </w:p>
              </w:tc>
              <w:tc>
                <w:tcPr>
                  <w:tcW w:w="420" w:type="pct"/>
                </w:tcPr>
                <w:p w14:paraId="22C49A7D">
                  <w:pPr>
                    <w:jc w:val="center"/>
                    <w:rPr>
                      <w:sz w:val="18"/>
                      <w:szCs w:val="18"/>
                    </w:rPr>
                  </w:pPr>
                  <w:r>
                    <w:rPr>
                      <w:rFonts w:hint="eastAsia"/>
                      <w:sz w:val="18"/>
                      <w:szCs w:val="18"/>
                    </w:rPr>
                    <w:t>/</w:t>
                  </w:r>
                </w:p>
              </w:tc>
            </w:tr>
            <w:tr w14:paraId="4CB542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vMerge w:val="continue"/>
                  <w:shd w:val="clear" w:color="auto" w:fill="auto"/>
                  <w:vAlign w:val="center"/>
                </w:tcPr>
                <w:p w14:paraId="192CEB50">
                  <w:pPr>
                    <w:jc w:val="center"/>
                    <w:rPr>
                      <w:sz w:val="18"/>
                      <w:szCs w:val="18"/>
                    </w:rPr>
                  </w:pPr>
                </w:p>
              </w:tc>
              <w:tc>
                <w:tcPr>
                  <w:tcW w:w="607" w:type="pct"/>
                  <w:vMerge w:val="continue"/>
                  <w:shd w:val="clear" w:color="auto" w:fill="auto"/>
                  <w:vAlign w:val="center"/>
                </w:tcPr>
                <w:p w14:paraId="6B4C280A">
                  <w:pPr>
                    <w:jc w:val="center"/>
                    <w:rPr>
                      <w:sz w:val="18"/>
                      <w:szCs w:val="18"/>
                    </w:rPr>
                  </w:pPr>
                </w:p>
              </w:tc>
              <w:tc>
                <w:tcPr>
                  <w:tcW w:w="635" w:type="pct"/>
                  <w:shd w:val="clear" w:color="auto" w:fill="auto"/>
                  <w:vAlign w:val="center"/>
                </w:tcPr>
                <w:p w14:paraId="63A8E883">
                  <w:pPr>
                    <w:jc w:val="center"/>
                    <w:rPr>
                      <w:sz w:val="18"/>
                      <w:szCs w:val="18"/>
                    </w:rPr>
                  </w:pPr>
                  <w:r>
                    <w:rPr>
                      <w:rFonts w:hint="eastAsia"/>
                      <w:sz w:val="18"/>
                      <w:szCs w:val="18"/>
                    </w:rPr>
                    <w:t>产生量t</w:t>
                  </w:r>
                  <w:r>
                    <w:rPr>
                      <w:sz w:val="18"/>
                      <w:szCs w:val="18"/>
                    </w:rPr>
                    <w:t>/</w:t>
                  </w:r>
                  <w:r>
                    <w:rPr>
                      <w:rFonts w:hint="eastAsia"/>
                      <w:sz w:val="18"/>
                      <w:szCs w:val="18"/>
                    </w:rPr>
                    <w:t>a</w:t>
                  </w:r>
                </w:p>
              </w:tc>
              <w:tc>
                <w:tcPr>
                  <w:tcW w:w="477" w:type="pct"/>
                  <w:vMerge w:val="continue"/>
                  <w:shd w:val="clear" w:color="auto" w:fill="auto"/>
                  <w:vAlign w:val="center"/>
                </w:tcPr>
                <w:p w14:paraId="61ECE48C">
                  <w:pPr>
                    <w:jc w:val="center"/>
                    <w:rPr>
                      <w:sz w:val="18"/>
                      <w:szCs w:val="18"/>
                    </w:rPr>
                  </w:pPr>
                </w:p>
              </w:tc>
              <w:tc>
                <w:tcPr>
                  <w:tcW w:w="474" w:type="pct"/>
                  <w:shd w:val="clear" w:color="auto" w:fill="auto"/>
                  <w:vAlign w:val="center"/>
                </w:tcPr>
                <w:p w14:paraId="5808AB78">
                  <w:pPr>
                    <w:jc w:val="center"/>
                    <w:rPr>
                      <w:sz w:val="18"/>
                      <w:szCs w:val="18"/>
                    </w:rPr>
                  </w:pPr>
                  <w:r>
                    <w:rPr>
                      <w:rFonts w:eastAsia="等线" w:cs="Times New Roman"/>
                      <w:color w:val="000000"/>
                      <w:sz w:val="18"/>
                      <w:szCs w:val="18"/>
                    </w:rPr>
                    <w:t>0.249</w:t>
                  </w:r>
                </w:p>
              </w:tc>
              <w:tc>
                <w:tcPr>
                  <w:tcW w:w="475" w:type="pct"/>
                  <w:shd w:val="clear" w:color="auto" w:fill="auto"/>
                  <w:vAlign w:val="center"/>
                </w:tcPr>
                <w:p w14:paraId="5FA707EA">
                  <w:pPr>
                    <w:jc w:val="center"/>
                    <w:rPr>
                      <w:sz w:val="18"/>
                      <w:szCs w:val="18"/>
                    </w:rPr>
                  </w:pPr>
                  <w:r>
                    <w:rPr>
                      <w:rFonts w:eastAsia="等线" w:cs="Times New Roman"/>
                      <w:color w:val="000000"/>
                      <w:sz w:val="18"/>
                      <w:szCs w:val="18"/>
                    </w:rPr>
                    <w:t>0.153</w:t>
                  </w:r>
                </w:p>
              </w:tc>
              <w:tc>
                <w:tcPr>
                  <w:tcW w:w="475" w:type="pct"/>
                  <w:shd w:val="clear" w:color="auto" w:fill="auto"/>
                  <w:vAlign w:val="center"/>
                </w:tcPr>
                <w:p w14:paraId="25E77660">
                  <w:pPr>
                    <w:jc w:val="center"/>
                    <w:rPr>
                      <w:sz w:val="18"/>
                      <w:szCs w:val="18"/>
                    </w:rPr>
                  </w:pPr>
                  <w:r>
                    <w:rPr>
                      <w:rFonts w:eastAsia="等线" w:cs="Times New Roman"/>
                      <w:color w:val="000000"/>
                      <w:sz w:val="18"/>
                      <w:szCs w:val="18"/>
                    </w:rPr>
                    <w:t>0.153</w:t>
                  </w:r>
                </w:p>
              </w:tc>
              <w:tc>
                <w:tcPr>
                  <w:tcW w:w="453" w:type="pct"/>
                  <w:shd w:val="clear" w:color="auto" w:fill="auto"/>
                  <w:vAlign w:val="center"/>
                </w:tcPr>
                <w:p w14:paraId="3BB4F699">
                  <w:pPr>
                    <w:jc w:val="center"/>
                    <w:rPr>
                      <w:sz w:val="18"/>
                      <w:szCs w:val="18"/>
                    </w:rPr>
                  </w:pPr>
                  <w:r>
                    <w:rPr>
                      <w:rFonts w:eastAsia="等线" w:cs="Times New Roman"/>
                      <w:color w:val="000000"/>
                      <w:sz w:val="18"/>
                      <w:szCs w:val="18"/>
                    </w:rPr>
                    <w:t>0.029</w:t>
                  </w:r>
                </w:p>
              </w:tc>
              <w:tc>
                <w:tcPr>
                  <w:tcW w:w="424" w:type="pct"/>
                  <w:shd w:val="clear" w:color="auto" w:fill="auto"/>
                  <w:vAlign w:val="center"/>
                </w:tcPr>
                <w:p w14:paraId="28652E7D">
                  <w:pPr>
                    <w:jc w:val="center"/>
                    <w:rPr>
                      <w:sz w:val="18"/>
                      <w:szCs w:val="18"/>
                    </w:rPr>
                  </w:pPr>
                  <w:r>
                    <w:rPr>
                      <w:rFonts w:eastAsia="等线" w:cs="Times New Roman"/>
                      <w:color w:val="000000"/>
                      <w:sz w:val="18"/>
                      <w:szCs w:val="18"/>
                    </w:rPr>
                    <w:t>0.003</w:t>
                  </w:r>
                </w:p>
              </w:tc>
              <w:tc>
                <w:tcPr>
                  <w:tcW w:w="420" w:type="pct"/>
                </w:tcPr>
                <w:p w14:paraId="792A888E">
                  <w:pPr>
                    <w:jc w:val="center"/>
                    <w:rPr>
                      <w:rFonts w:eastAsia="等线"/>
                      <w:color w:val="000000"/>
                      <w:sz w:val="18"/>
                      <w:szCs w:val="18"/>
                    </w:rPr>
                  </w:pPr>
                  <w:r>
                    <w:rPr>
                      <w:rFonts w:hint="eastAsia"/>
                      <w:sz w:val="18"/>
                      <w:szCs w:val="18"/>
                    </w:rPr>
                    <w:t>/</w:t>
                  </w:r>
                </w:p>
              </w:tc>
            </w:tr>
            <w:tr w14:paraId="19A89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gridSpan w:val="2"/>
                  <w:vMerge w:val="restart"/>
                  <w:shd w:val="clear" w:color="auto" w:fill="auto"/>
                  <w:vAlign w:val="center"/>
                </w:tcPr>
                <w:p w14:paraId="65287F46">
                  <w:pPr>
                    <w:jc w:val="center"/>
                    <w:rPr>
                      <w:sz w:val="18"/>
                      <w:szCs w:val="18"/>
                    </w:rPr>
                  </w:pPr>
                  <w:r>
                    <w:rPr>
                      <w:rFonts w:hint="eastAsia"/>
                      <w:sz w:val="18"/>
                      <w:szCs w:val="18"/>
                    </w:rPr>
                    <w:t>魏兴场镇污水处理厂处理后</w:t>
                  </w:r>
                </w:p>
              </w:tc>
              <w:tc>
                <w:tcPr>
                  <w:tcW w:w="635" w:type="pct"/>
                  <w:shd w:val="clear" w:color="auto" w:fill="auto"/>
                  <w:vAlign w:val="center"/>
                </w:tcPr>
                <w:p w14:paraId="5DA78B20">
                  <w:pPr>
                    <w:jc w:val="center"/>
                    <w:rPr>
                      <w:sz w:val="18"/>
                      <w:szCs w:val="18"/>
                    </w:rPr>
                  </w:pPr>
                  <w:r>
                    <w:rPr>
                      <w:rFonts w:hint="eastAsia"/>
                      <w:sz w:val="18"/>
                      <w:szCs w:val="18"/>
                    </w:rPr>
                    <w:t>浓度mg</w:t>
                  </w:r>
                  <w:r>
                    <w:rPr>
                      <w:sz w:val="18"/>
                      <w:szCs w:val="18"/>
                    </w:rPr>
                    <w:t>/L</w:t>
                  </w:r>
                </w:p>
              </w:tc>
              <w:tc>
                <w:tcPr>
                  <w:tcW w:w="477" w:type="pct"/>
                  <w:vMerge w:val="restart"/>
                  <w:shd w:val="clear" w:color="auto" w:fill="auto"/>
                  <w:vAlign w:val="center"/>
                </w:tcPr>
                <w:p w14:paraId="7F913DA3">
                  <w:pPr>
                    <w:jc w:val="center"/>
                    <w:rPr>
                      <w:sz w:val="18"/>
                      <w:szCs w:val="18"/>
                    </w:rPr>
                  </w:pPr>
                  <w:r>
                    <w:rPr>
                      <w:rFonts w:hint="eastAsia"/>
                      <w:sz w:val="18"/>
                      <w:szCs w:val="18"/>
                    </w:rPr>
                    <w:t>3473.3</w:t>
                  </w:r>
                </w:p>
              </w:tc>
              <w:tc>
                <w:tcPr>
                  <w:tcW w:w="474" w:type="pct"/>
                  <w:shd w:val="clear" w:color="auto" w:fill="auto"/>
                  <w:vAlign w:val="center"/>
                </w:tcPr>
                <w:p w14:paraId="01F68F74">
                  <w:pPr>
                    <w:jc w:val="center"/>
                    <w:rPr>
                      <w:sz w:val="18"/>
                      <w:szCs w:val="18"/>
                    </w:rPr>
                  </w:pPr>
                  <w:r>
                    <w:rPr>
                      <w:rFonts w:eastAsia="等线" w:cs="Times New Roman"/>
                      <w:color w:val="000000"/>
                      <w:sz w:val="18"/>
                      <w:szCs w:val="18"/>
                    </w:rPr>
                    <w:t>50</w:t>
                  </w:r>
                </w:p>
              </w:tc>
              <w:tc>
                <w:tcPr>
                  <w:tcW w:w="475" w:type="pct"/>
                  <w:shd w:val="clear" w:color="auto" w:fill="auto"/>
                  <w:vAlign w:val="center"/>
                </w:tcPr>
                <w:p w14:paraId="6AEA04B8">
                  <w:pPr>
                    <w:jc w:val="center"/>
                    <w:rPr>
                      <w:sz w:val="18"/>
                      <w:szCs w:val="18"/>
                    </w:rPr>
                  </w:pPr>
                  <w:r>
                    <w:rPr>
                      <w:rFonts w:eastAsia="等线" w:cs="Times New Roman"/>
                      <w:color w:val="000000"/>
                      <w:sz w:val="18"/>
                      <w:szCs w:val="18"/>
                    </w:rPr>
                    <w:t>10</w:t>
                  </w:r>
                </w:p>
              </w:tc>
              <w:tc>
                <w:tcPr>
                  <w:tcW w:w="475" w:type="pct"/>
                  <w:shd w:val="clear" w:color="auto" w:fill="auto"/>
                  <w:vAlign w:val="center"/>
                </w:tcPr>
                <w:p w14:paraId="2EC3EDCD">
                  <w:pPr>
                    <w:jc w:val="center"/>
                    <w:rPr>
                      <w:sz w:val="18"/>
                      <w:szCs w:val="18"/>
                    </w:rPr>
                  </w:pPr>
                  <w:r>
                    <w:rPr>
                      <w:rFonts w:eastAsia="等线" w:cs="Times New Roman"/>
                      <w:color w:val="000000"/>
                      <w:sz w:val="18"/>
                      <w:szCs w:val="18"/>
                    </w:rPr>
                    <w:t>10</w:t>
                  </w:r>
                </w:p>
              </w:tc>
              <w:tc>
                <w:tcPr>
                  <w:tcW w:w="453" w:type="pct"/>
                  <w:shd w:val="clear" w:color="auto" w:fill="auto"/>
                  <w:vAlign w:val="center"/>
                </w:tcPr>
                <w:p w14:paraId="2D868BB2">
                  <w:pPr>
                    <w:jc w:val="center"/>
                    <w:rPr>
                      <w:sz w:val="18"/>
                      <w:szCs w:val="18"/>
                    </w:rPr>
                  </w:pPr>
                  <w:r>
                    <w:rPr>
                      <w:rFonts w:eastAsia="等线" w:cs="Times New Roman"/>
                      <w:color w:val="000000"/>
                      <w:sz w:val="18"/>
                      <w:szCs w:val="18"/>
                    </w:rPr>
                    <w:t>3</w:t>
                  </w:r>
                </w:p>
              </w:tc>
              <w:tc>
                <w:tcPr>
                  <w:tcW w:w="424" w:type="pct"/>
                  <w:shd w:val="clear" w:color="auto" w:fill="auto"/>
                  <w:vAlign w:val="center"/>
                </w:tcPr>
                <w:p w14:paraId="1DA9E450">
                  <w:pPr>
                    <w:jc w:val="center"/>
                    <w:rPr>
                      <w:sz w:val="18"/>
                      <w:szCs w:val="18"/>
                    </w:rPr>
                  </w:pPr>
                  <w:r>
                    <w:rPr>
                      <w:rFonts w:eastAsia="等线" w:cs="Times New Roman"/>
                      <w:color w:val="000000"/>
                      <w:sz w:val="18"/>
                      <w:szCs w:val="18"/>
                    </w:rPr>
                    <w:t>0.5</w:t>
                  </w:r>
                </w:p>
              </w:tc>
              <w:tc>
                <w:tcPr>
                  <w:tcW w:w="420" w:type="pct"/>
                  <w:vAlign w:val="center"/>
                </w:tcPr>
                <w:p w14:paraId="7135B975">
                  <w:pPr>
                    <w:jc w:val="center"/>
                    <w:rPr>
                      <w:rFonts w:hint="eastAsia" w:eastAsia="等线"/>
                      <w:color w:val="000000"/>
                      <w:sz w:val="18"/>
                      <w:szCs w:val="18"/>
                    </w:rPr>
                  </w:pPr>
                  <w:r>
                    <w:rPr>
                      <w:rFonts w:eastAsia="等线" w:cs="Times New Roman"/>
                      <w:color w:val="000000"/>
                      <w:sz w:val="18"/>
                      <w:szCs w:val="18"/>
                    </w:rPr>
                    <w:t>15</w:t>
                  </w:r>
                </w:p>
              </w:tc>
            </w:tr>
            <w:tr w14:paraId="0B6AB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gridSpan w:val="2"/>
                  <w:vMerge w:val="continue"/>
                  <w:shd w:val="clear" w:color="auto" w:fill="auto"/>
                  <w:vAlign w:val="center"/>
                </w:tcPr>
                <w:p w14:paraId="72C8DE98">
                  <w:pPr>
                    <w:jc w:val="center"/>
                    <w:rPr>
                      <w:sz w:val="18"/>
                      <w:szCs w:val="18"/>
                    </w:rPr>
                  </w:pPr>
                </w:p>
              </w:tc>
              <w:tc>
                <w:tcPr>
                  <w:tcW w:w="635" w:type="pct"/>
                  <w:shd w:val="clear" w:color="auto" w:fill="auto"/>
                  <w:vAlign w:val="center"/>
                </w:tcPr>
                <w:p w14:paraId="1F10554C">
                  <w:pPr>
                    <w:jc w:val="center"/>
                    <w:rPr>
                      <w:sz w:val="18"/>
                      <w:szCs w:val="18"/>
                    </w:rPr>
                  </w:pPr>
                  <w:r>
                    <w:rPr>
                      <w:rFonts w:hint="eastAsia"/>
                      <w:sz w:val="18"/>
                      <w:szCs w:val="18"/>
                    </w:rPr>
                    <w:t>排放量t</w:t>
                  </w:r>
                  <w:r>
                    <w:rPr>
                      <w:sz w:val="18"/>
                      <w:szCs w:val="18"/>
                    </w:rPr>
                    <w:t>/</w:t>
                  </w:r>
                  <w:r>
                    <w:rPr>
                      <w:rFonts w:hint="eastAsia"/>
                      <w:sz w:val="18"/>
                      <w:szCs w:val="18"/>
                    </w:rPr>
                    <w:t>a</w:t>
                  </w:r>
                </w:p>
              </w:tc>
              <w:tc>
                <w:tcPr>
                  <w:tcW w:w="477" w:type="pct"/>
                  <w:vMerge w:val="continue"/>
                  <w:shd w:val="clear" w:color="auto" w:fill="auto"/>
                  <w:vAlign w:val="center"/>
                </w:tcPr>
                <w:p w14:paraId="50A503A0">
                  <w:pPr>
                    <w:jc w:val="center"/>
                    <w:rPr>
                      <w:sz w:val="18"/>
                      <w:szCs w:val="18"/>
                    </w:rPr>
                  </w:pPr>
                </w:p>
              </w:tc>
              <w:tc>
                <w:tcPr>
                  <w:tcW w:w="474" w:type="pct"/>
                  <w:shd w:val="clear" w:color="auto" w:fill="auto"/>
                  <w:vAlign w:val="center"/>
                </w:tcPr>
                <w:p w14:paraId="6588E1BF">
                  <w:pPr>
                    <w:jc w:val="center"/>
                    <w:rPr>
                      <w:sz w:val="18"/>
                      <w:szCs w:val="18"/>
                    </w:rPr>
                  </w:pPr>
                  <w:r>
                    <w:rPr>
                      <w:rFonts w:eastAsia="等线" w:cs="Times New Roman"/>
                      <w:color w:val="000000"/>
                      <w:sz w:val="18"/>
                      <w:szCs w:val="18"/>
                    </w:rPr>
                    <w:t>0.174</w:t>
                  </w:r>
                </w:p>
              </w:tc>
              <w:tc>
                <w:tcPr>
                  <w:tcW w:w="475" w:type="pct"/>
                  <w:shd w:val="clear" w:color="auto" w:fill="auto"/>
                  <w:vAlign w:val="center"/>
                </w:tcPr>
                <w:p w14:paraId="4F49474F">
                  <w:pPr>
                    <w:jc w:val="center"/>
                    <w:rPr>
                      <w:sz w:val="18"/>
                      <w:szCs w:val="18"/>
                    </w:rPr>
                  </w:pPr>
                  <w:r>
                    <w:rPr>
                      <w:rFonts w:eastAsia="等线" w:cs="Times New Roman"/>
                      <w:color w:val="000000"/>
                      <w:sz w:val="18"/>
                      <w:szCs w:val="18"/>
                    </w:rPr>
                    <w:t>0.035</w:t>
                  </w:r>
                </w:p>
              </w:tc>
              <w:tc>
                <w:tcPr>
                  <w:tcW w:w="475" w:type="pct"/>
                  <w:shd w:val="clear" w:color="auto" w:fill="auto"/>
                  <w:vAlign w:val="center"/>
                </w:tcPr>
                <w:p w14:paraId="49418341">
                  <w:pPr>
                    <w:jc w:val="center"/>
                    <w:rPr>
                      <w:sz w:val="18"/>
                      <w:szCs w:val="18"/>
                    </w:rPr>
                  </w:pPr>
                  <w:r>
                    <w:rPr>
                      <w:rFonts w:eastAsia="等线" w:cs="Times New Roman"/>
                      <w:color w:val="000000"/>
                      <w:sz w:val="18"/>
                      <w:szCs w:val="18"/>
                    </w:rPr>
                    <w:t>0.035</w:t>
                  </w:r>
                </w:p>
              </w:tc>
              <w:tc>
                <w:tcPr>
                  <w:tcW w:w="453" w:type="pct"/>
                  <w:shd w:val="clear" w:color="auto" w:fill="auto"/>
                  <w:vAlign w:val="center"/>
                </w:tcPr>
                <w:p w14:paraId="7155417B">
                  <w:pPr>
                    <w:jc w:val="center"/>
                    <w:rPr>
                      <w:sz w:val="18"/>
                      <w:szCs w:val="18"/>
                    </w:rPr>
                  </w:pPr>
                  <w:r>
                    <w:rPr>
                      <w:rFonts w:eastAsia="等线" w:cs="Times New Roman"/>
                      <w:color w:val="000000"/>
                      <w:sz w:val="18"/>
                      <w:szCs w:val="18"/>
                    </w:rPr>
                    <w:t>0.010</w:t>
                  </w:r>
                </w:p>
              </w:tc>
              <w:tc>
                <w:tcPr>
                  <w:tcW w:w="424" w:type="pct"/>
                  <w:shd w:val="clear" w:color="auto" w:fill="auto"/>
                  <w:vAlign w:val="center"/>
                </w:tcPr>
                <w:p w14:paraId="6EBE08F6">
                  <w:pPr>
                    <w:jc w:val="center"/>
                    <w:rPr>
                      <w:sz w:val="18"/>
                      <w:szCs w:val="18"/>
                    </w:rPr>
                  </w:pPr>
                  <w:r>
                    <w:rPr>
                      <w:rFonts w:eastAsia="等线" w:cs="Times New Roman"/>
                      <w:color w:val="000000"/>
                      <w:sz w:val="18"/>
                      <w:szCs w:val="18"/>
                    </w:rPr>
                    <w:t>0.002</w:t>
                  </w:r>
                </w:p>
              </w:tc>
              <w:tc>
                <w:tcPr>
                  <w:tcW w:w="420" w:type="pct"/>
                  <w:vAlign w:val="center"/>
                </w:tcPr>
                <w:p w14:paraId="0CF12B72">
                  <w:pPr>
                    <w:jc w:val="center"/>
                    <w:rPr>
                      <w:rFonts w:eastAsia="等线"/>
                      <w:color w:val="000000"/>
                      <w:sz w:val="18"/>
                      <w:szCs w:val="18"/>
                    </w:rPr>
                  </w:pPr>
                  <w:r>
                    <w:rPr>
                      <w:rFonts w:eastAsia="等线" w:cs="Times New Roman"/>
                      <w:color w:val="000000"/>
                      <w:sz w:val="18"/>
                      <w:szCs w:val="18"/>
                    </w:rPr>
                    <w:t>0.052</w:t>
                  </w:r>
                </w:p>
              </w:tc>
            </w:tr>
            <w:tr w14:paraId="51708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9" w:type="pct"/>
                  <w:gridSpan w:val="4"/>
                  <w:shd w:val="clear" w:color="auto" w:fill="auto"/>
                  <w:vAlign w:val="center"/>
                </w:tcPr>
                <w:p w14:paraId="18755772">
                  <w:pPr>
                    <w:jc w:val="center"/>
                    <w:rPr>
                      <w:sz w:val="18"/>
                      <w:szCs w:val="18"/>
                    </w:rPr>
                  </w:pPr>
                  <w:r>
                    <w:rPr>
                      <w:rFonts w:hint="eastAsia"/>
                      <w:sz w:val="18"/>
                      <w:szCs w:val="18"/>
                    </w:rPr>
                    <w:t>《污水综合排放标准》（GB8978- 1996）三级标准（mg/L）</w:t>
                  </w:r>
                </w:p>
              </w:tc>
              <w:tc>
                <w:tcPr>
                  <w:tcW w:w="474" w:type="pct"/>
                  <w:shd w:val="clear" w:color="auto" w:fill="auto"/>
                  <w:vAlign w:val="center"/>
                </w:tcPr>
                <w:p w14:paraId="68A876FF">
                  <w:pPr>
                    <w:jc w:val="center"/>
                    <w:rPr>
                      <w:sz w:val="18"/>
                      <w:szCs w:val="18"/>
                    </w:rPr>
                  </w:pPr>
                  <w:r>
                    <w:rPr>
                      <w:rFonts w:hint="eastAsia"/>
                      <w:sz w:val="18"/>
                      <w:szCs w:val="18"/>
                    </w:rPr>
                    <w:t>500</w:t>
                  </w:r>
                </w:p>
              </w:tc>
              <w:tc>
                <w:tcPr>
                  <w:tcW w:w="475" w:type="pct"/>
                  <w:shd w:val="clear" w:color="auto" w:fill="auto"/>
                  <w:vAlign w:val="center"/>
                </w:tcPr>
                <w:p w14:paraId="21E9F286">
                  <w:pPr>
                    <w:jc w:val="center"/>
                    <w:rPr>
                      <w:sz w:val="18"/>
                      <w:szCs w:val="18"/>
                    </w:rPr>
                  </w:pPr>
                  <w:r>
                    <w:rPr>
                      <w:rFonts w:hint="eastAsia"/>
                      <w:sz w:val="18"/>
                      <w:szCs w:val="18"/>
                    </w:rPr>
                    <w:t>300</w:t>
                  </w:r>
                </w:p>
              </w:tc>
              <w:tc>
                <w:tcPr>
                  <w:tcW w:w="475" w:type="pct"/>
                  <w:shd w:val="clear" w:color="auto" w:fill="auto"/>
                  <w:vAlign w:val="center"/>
                </w:tcPr>
                <w:p w14:paraId="2709C903">
                  <w:pPr>
                    <w:jc w:val="center"/>
                    <w:rPr>
                      <w:sz w:val="18"/>
                      <w:szCs w:val="18"/>
                    </w:rPr>
                  </w:pPr>
                  <w:r>
                    <w:rPr>
                      <w:rFonts w:hint="eastAsia"/>
                      <w:sz w:val="18"/>
                      <w:szCs w:val="18"/>
                    </w:rPr>
                    <w:t>400</w:t>
                  </w:r>
                </w:p>
              </w:tc>
              <w:tc>
                <w:tcPr>
                  <w:tcW w:w="453" w:type="pct"/>
                  <w:shd w:val="clear" w:color="auto" w:fill="auto"/>
                  <w:vAlign w:val="center"/>
                </w:tcPr>
                <w:p w14:paraId="3D7132C2">
                  <w:pPr>
                    <w:jc w:val="center"/>
                    <w:rPr>
                      <w:sz w:val="18"/>
                      <w:szCs w:val="18"/>
                    </w:rPr>
                  </w:pPr>
                  <w:r>
                    <w:rPr>
                      <w:rFonts w:hint="eastAsia"/>
                      <w:sz w:val="18"/>
                      <w:szCs w:val="18"/>
                    </w:rPr>
                    <w:t>/</w:t>
                  </w:r>
                </w:p>
              </w:tc>
              <w:tc>
                <w:tcPr>
                  <w:tcW w:w="424" w:type="pct"/>
                  <w:shd w:val="clear" w:color="auto" w:fill="auto"/>
                  <w:vAlign w:val="center"/>
                </w:tcPr>
                <w:p w14:paraId="3AB51EEF">
                  <w:pPr>
                    <w:jc w:val="center"/>
                    <w:rPr>
                      <w:sz w:val="18"/>
                      <w:szCs w:val="18"/>
                    </w:rPr>
                  </w:pPr>
                  <w:r>
                    <w:rPr>
                      <w:rFonts w:hint="eastAsia"/>
                      <w:sz w:val="18"/>
                      <w:szCs w:val="18"/>
                    </w:rPr>
                    <w:t>/</w:t>
                  </w:r>
                </w:p>
              </w:tc>
              <w:tc>
                <w:tcPr>
                  <w:tcW w:w="420" w:type="pct"/>
                </w:tcPr>
                <w:p w14:paraId="2A129B4A">
                  <w:pPr>
                    <w:jc w:val="center"/>
                    <w:rPr>
                      <w:rFonts w:hint="eastAsia"/>
                      <w:sz w:val="18"/>
                      <w:szCs w:val="18"/>
                    </w:rPr>
                  </w:pPr>
                </w:p>
              </w:tc>
            </w:tr>
            <w:tr w14:paraId="15EFA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9" w:type="pct"/>
                  <w:gridSpan w:val="4"/>
                  <w:shd w:val="clear" w:color="auto" w:fill="auto"/>
                  <w:vAlign w:val="center"/>
                </w:tcPr>
                <w:p w14:paraId="648D70E5">
                  <w:pPr>
                    <w:jc w:val="center"/>
                    <w:rPr>
                      <w:sz w:val="18"/>
                      <w:szCs w:val="18"/>
                    </w:rPr>
                  </w:pPr>
                  <w:r>
                    <w:rPr>
                      <w:rFonts w:hint="eastAsia"/>
                      <w:sz w:val="18"/>
                      <w:szCs w:val="18"/>
                    </w:rPr>
                    <w:t>《污水排入城镇下水道水质标准》（GB/T31962-2015）</w:t>
                  </w:r>
                </w:p>
              </w:tc>
              <w:tc>
                <w:tcPr>
                  <w:tcW w:w="474" w:type="pct"/>
                  <w:shd w:val="clear" w:color="auto" w:fill="auto"/>
                  <w:vAlign w:val="center"/>
                </w:tcPr>
                <w:p w14:paraId="2130FA81">
                  <w:pPr>
                    <w:jc w:val="center"/>
                    <w:rPr>
                      <w:sz w:val="18"/>
                      <w:szCs w:val="18"/>
                    </w:rPr>
                  </w:pPr>
                  <w:r>
                    <w:rPr>
                      <w:rFonts w:hint="eastAsia"/>
                      <w:sz w:val="18"/>
                      <w:szCs w:val="18"/>
                    </w:rPr>
                    <w:t>/</w:t>
                  </w:r>
                </w:p>
              </w:tc>
              <w:tc>
                <w:tcPr>
                  <w:tcW w:w="475" w:type="pct"/>
                  <w:shd w:val="clear" w:color="auto" w:fill="auto"/>
                  <w:vAlign w:val="center"/>
                </w:tcPr>
                <w:p w14:paraId="6F06DD42">
                  <w:pPr>
                    <w:jc w:val="center"/>
                    <w:rPr>
                      <w:sz w:val="18"/>
                      <w:szCs w:val="18"/>
                    </w:rPr>
                  </w:pPr>
                  <w:r>
                    <w:rPr>
                      <w:rFonts w:hint="eastAsia"/>
                      <w:sz w:val="18"/>
                      <w:szCs w:val="18"/>
                    </w:rPr>
                    <w:t>/</w:t>
                  </w:r>
                </w:p>
              </w:tc>
              <w:tc>
                <w:tcPr>
                  <w:tcW w:w="475" w:type="pct"/>
                  <w:shd w:val="clear" w:color="auto" w:fill="auto"/>
                  <w:vAlign w:val="center"/>
                </w:tcPr>
                <w:p w14:paraId="7563283B">
                  <w:pPr>
                    <w:jc w:val="center"/>
                    <w:rPr>
                      <w:sz w:val="18"/>
                      <w:szCs w:val="18"/>
                    </w:rPr>
                  </w:pPr>
                  <w:r>
                    <w:rPr>
                      <w:rFonts w:hint="eastAsia"/>
                      <w:sz w:val="18"/>
                      <w:szCs w:val="18"/>
                    </w:rPr>
                    <w:t>/</w:t>
                  </w:r>
                </w:p>
              </w:tc>
              <w:tc>
                <w:tcPr>
                  <w:tcW w:w="453" w:type="pct"/>
                  <w:shd w:val="clear" w:color="auto" w:fill="auto"/>
                  <w:vAlign w:val="center"/>
                </w:tcPr>
                <w:p w14:paraId="780B57FD">
                  <w:pPr>
                    <w:jc w:val="center"/>
                    <w:rPr>
                      <w:sz w:val="18"/>
                      <w:szCs w:val="18"/>
                    </w:rPr>
                  </w:pPr>
                  <w:r>
                    <w:rPr>
                      <w:rFonts w:hint="eastAsia"/>
                      <w:sz w:val="18"/>
                      <w:szCs w:val="18"/>
                    </w:rPr>
                    <w:t>45</w:t>
                  </w:r>
                </w:p>
              </w:tc>
              <w:tc>
                <w:tcPr>
                  <w:tcW w:w="424" w:type="pct"/>
                  <w:shd w:val="clear" w:color="auto" w:fill="auto"/>
                  <w:vAlign w:val="center"/>
                </w:tcPr>
                <w:p w14:paraId="663B8F27">
                  <w:pPr>
                    <w:jc w:val="center"/>
                    <w:rPr>
                      <w:sz w:val="18"/>
                      <w:szCs w:val="18"/>
                    </w:rPr>
                  </w:pPr>
                  <w:r>
                    <w:rPr>
                      <w:rFonts w:hint="eastAsia"/>
                      <w:sz w:val="18"/>
                      <w:szCs w:val="18"/>
                    </w:rPr>
                    <w:t>8</w:t>
                  </w:r>
                </w:p>
              </w:tc>
              <w:tc>
                <w:tcPr>
                  <w:tcW w:w="420" w:type="pct"/>
                </w:tcPr>
                <w:p w14:paraId="67357407">
                  <w:pPr>
                    <w:jc w:val="center"/>
                    <w:rPr>
                      <w:rFonts w:hint="eastAsia"/>
                      <w:sz w:val="18"/>
                      <w:szCs w:val="18"/>
                    </w:rPr>
                  </w:pPr>
                </w:p>
              </w:tc>
            </w:tr>
            <w:tr w14:paraId="35D83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79" w:type="pct"/>
                  <w:gridSpan w:val="4"/>
                  <w:shd w:val="clear" w:color="auto" w:fill="auto"/>
                  <w:vAlign w:val="center"/>
                </w:tcPr>
                <w:p w14:paraId="2657C6DD">
                  <w:pPr>
                    <w:jc w:val="center"/>
                    <w:rPr>
                      <w:sz w:val="18"/>
                      <w:szCs w:val="18"/>
                    </w:rPr>
                  </w:pPr>
                  <w:r>
                    <w:rPr>
                      <w:rFonts w:hint="eastAsia"/>
                      <w:sz w:val="18"/>
                      <w:szCs w:val="18"/>
                    </w:rPr>
                    <w:t>《城镇污水处理厂污染物排放标准》（GB18918-2002）中表1一级A标</w:t>
                  </w:r>
                </w:p>
              </w:tc>
              <w:tc>
                <w:tcPr>
                  <w:tcW w:w="474" w:type="pct"/>
                  <w:shd w:val="clear" w:color="auto" w:fill="auto"/>
                  <w:vAlign w:val="center"/>
                </w:tcPr>
                <w:p w14:paraId="1074E23B">
                  <w:pPr>
                    <w:jc w:val="center"/>
                    <w:rPr>
                      <w:sz w:val="18"/>
                      <w:szCs w:val="18"/>
                    </w:rPr>
                  </w:pPr>
                  <w:r>
                    <w:rPr>
                      <w:rFonts w:eastAsia="等线" w:cs="Times New Roman"/>
                      <w:color w:val="000000"/>
                      <w:sz w:val="18"/>
                      <w:szCs w:val="18"/>
                    </w:rPr>
                    <w:t>50</w:t>
                  </w:r>
                </w:p>
              </w:tc>
              <w:tc>
                <w:tcPr>
                  <w:tcW w:w="475" w:type="pct"/>
                  <w:shd w:val="clear" w:color="auto" w:fill="auto"/>
                  <w:vAlign w:val="center"/>
                </w:tcPr>
                <w:p w14:paraId="6F17B205">
                  <w:pPr>
                    <w:jc w:val="center"/>
                    <w:rPr>
                      <w:sz w:val="18"/>
                      <w:szCs w:val="18"/>
                    </w:rPr>
                  </w:pPr>
                  <w:r>
                    <w:rPr>
                      <w:rFonts w:eastAsia="等线" w:cs="Times New Roman"/>
                      <w:color w:val="000000"/>
                      <w:sz w:val="18"/>
                      <w:szCs w:val="18"/>
                    </w:rPr>
                    <w:t>10</w:t>
                  </w:r>
                </w:p>
              </w:tc>
              <w:tc>
                <w:tcPr>
                  <w:tcW w:w="475" w:type="pct"/>
                  <w:shd w:val="clear" w:color="auto" w:fill="auto"/>
                  <w:vAlign w:val="center"/>
                </w:tcPr>
                <w:p w14:paraId="7B1559AE">
                  <w:pPr>
                    <w:jc w:val="center"/>
                    <w:rPr>
                      <w:sz w:val="18"/>
                      <w:szCs w:val="18"/>
                    </w:rPr>
                  </w:pPr>
                  <w:r>
                    <w:rPr>
                      <w:rFonts w:eastAsia="等线" w:cs="Times New Roman"/>
                      <w:color w:val="000000"/>
                      <w:sz w:val="18"/>
                      <w:szCs w:val="18"/>
                    </w:rPr>
                    <w:t>10</w:t>
                  </w:r>
                </w:p>
              </w:tc>
              <w:tc>
                <w:tcPr>
                  <w:tcW w:w="453" w:type="pct"/>
                  <w:shd w:val="clear" w:color="auto" w:fill="auto"/>
                  <w:vAlign w:val="center"/>
                </w:tcPr>
                <w:p w14:paraId="7D1E6FC1">
                  <w:pPr>
                    <w:jc w:val="center"/>
                    <w:rPr>
                      <w:sz w:val="18"/>
                      <w:szCs w:val="18"/>
                    </w:rPr>
                  </w:pPr>
                  <w:r>
                    <w:rPr>
                      <w:rFonts w:eastAsia="等线" w:cs="Times New Roman"/>
                      <w:color w:val="000000"/>
                      <w:sz w:val="18"/>
                      <w:szCs w:val="18"/>
                    </w:rPr>
                    <w:t>3</w:t>
                  </w:r>
                </w:p>
              </w:tc>
              <w:tc>
                <w:tcPr>
                  <w:tcW w:w="424" w:type="pct"/>
                  <w:shd w:val="clear" w:color="auto" w:fill="auto"/>
                  <w:vAlign w:val="center"/>
                </w:tcPr>
                <w:p w14:paraId="13B22F95">
                  <w:pPr>
                    <w:jc w:val="center"/>
                    <w:rPr>
                      <w:sz w:val="18"/>
                      <w:szCs w:val="18"/>
                    </w:rPr>
                  </w:pPr>
                  <w:r>
                    <w:rPr>
                      <w:rFonts w:eastAsia="等线" w:cs="Times New Roman"/>
                      <w:color w:val="000000"/>
                      <w:sz w:val="18"/>
                      <w:szCs w:val="18"/>
                    </w:rPr>
                    <w:t>0.5</w:t>
                  </w:r>
                </w:p>
              </w:tc>
              <w:tc>
                <w:tcPr>
                  <w:tcW w:w="420" w:type="pct"/>
                  <w:vAlign w:val="center"/>
                </w:tcPr>
                <w:p w14:paraId="0ECD9667">
                  <w:pPr>
                    <w:jc w:val="center"/>
                    <w:rPr>
                      <w:rFonts w:hint="eastAsia"/>
                      <w:sz w:val="18"/>
                      <w:szCs w:val="18"/>
                    </w:rPr>
                  </w:pPr>
                  <w:r>
                    <w:rPr>
                      <w:rFonts w:eastAsia="等线" w:cs="Times New Roman"/>
                      <w:color w:val="000000"/>
                      <w:sz w:val="18"/>
                      <w:szCs w:val="18"/>
                    </w:rPr>
                    <w:t>15</w:t>
                  </w:r>
                </w:p>
              </w:tc>
            </w:tr>
          </w:tbl>
          <w:p w14:paraId="2A4F3B8B">
            <w:pPr>
              <w:widowControl/>
              <w:spacing w:line="360" w:lineRule="auto"/>
              <w:ind w:firstLine="420" w:firstLineChars="200"/>
              <w:rPr>
                <w:b/>
                <w:bCs/>
                <w:lang w:bidi="ar"/>
              </w:rPr>
            </w:pPr>
            <w:r>
              <w:rPr>
                <w:rFonts w:hint="eastAsia"/>
                <w:lang w:bidi="ar"/>
              </w:rPr>
              <w:t>由上表可知，各类废水经处理后，厂内废水总排口废水中氨氮、总磷符合《污水排入城镇下水道水质标准》（GB/T31962-2015）中表 1 中 B 级标准限值，其余指标均符合《污水综合排放标准》（GB8978-1996）表 4 中三级标准限值，各类废水均能达标排放。</w:t>
            </w:r>
          </w:p>
          <w:p w14:paraId="3CAC0403">
            <w:pPr>
              <w:widowControl/>
              <w:spacing w:line="360" w:lineRule="auto"/>
              <w:ind w:firstLine="422" w:firstLineChars="200"/>
              <w:rPr>
                <w:b/>
                <w:bCs/>
                <w:lang w:bidi="ar"/>
              </w:rPr>
            </w:pPr>
            <w:r>
              <w:rPr>
                <w:rFonts w:hint="eastAsia"/>
                <w:b/>
                <w:bCs/>
                <w:lang w:bidi="ar"/>
              </w:rPr>
              <w:t>（三）废水治理措施及产生、达标排放情况、及排放口基本情况</w:t>
            </w:r>
          </w:p>
          <w:p w14:paraId="2E22A9A1">
            <w:pPr>
              <w:widowControl/>
              <w:spacing w:line="360" w:lineRule="auto"/>
              <w:ind w:firstLine="420" w:firstLineChars="200"/>
              <w:rPr>
                <w:lang w:bidi="ar"/>
              </w:rPr>
            </w:pPr>
            <w:r>
              <w:rPr>
                <w:rFonts w:hint="eastAsia"/>
                <w:lang w:bidi="ar"/>
              </w:rPr>
              <w:t>本项目废水治理情况详见下表：</w:t>
            </w:r>
          </w:p>
          <w:p w14:paraId="02D2445B">
            <w:pPr>
              <w:autoSpaceDE w:val="0"/>
              <w:autoSpaceDN w:val="0"/>
              <w:adjustRightInd w:val="0"/>
              <w:snapToGrid w:val="0"/>
              <w:jc w:val="center"/>
              <w:rPr>
                <w:b/>
              </w:rPr>
            </w:pPr>
            <w:r>
              <w:rPr>
                <w:rFonts w:hint="eastAsia"/>
                <w:b/>
              </w:rPr>
              <w:t>表4-</w:t>
            </w:r>
            <w:r>
              <w:rPr>
                <w:b/>
              </w:rPr>
              <w:t>1</w:t>
            </w:r>
            <w:r>
              <w:rPr>
                <w:rFonts w:hint="eastAsia"/>
                <w:b/>
              </w:rPr>
              <w:t>4</w:t>
            </w:r>
            <w:r>
              <w:rPr>
                <w:b/>
              </w:rPr>
              <w:t xml:space="preserve"> </w:t>
            </w:r>
            <w:r>
              <w:rPr>
                <w:rFonts w:hint="eastAsia"/>
                <w:b/>
              </w:rPr>
              <w:t xml:space="preserve"> 废水类别、污染物名称及治理设施信息表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2024"/>
              <w:gridCol w:w="1439"/>
              <w:gridCol w:w="1586"/>
              <w:gridCol w:w="817"/>
              <w:gridCol w:w="440"/>
              <w:gridCol w:w="440"/>
              <w:gridCol w:w="403"/>
            </w:tblGrid>
            <w:tr w14:paraId="35CC8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vMerge w:val="restart"/>
                  <w:vAlign w:val="center"/>
                </w:tcPr>
                <w:p w14:paraId="579519BE">
                  <w:pPr>
                    <w:ind w:left="-105" w:leftChars="-50" w:right="-105" w:rightChars="-50"/>
                    <w:jc w:val="center"/>
                    <w:rPr>
                      <w:b/>
                      <w:bCs/>
                      <w:sz w:val="18"/>
                      <w:szCs w:val="18"/>
                    </w:rPr>
                  </w:pPr>
                  <w:r>
                    <w:rPr>
                      <w:rFonts w:hint="eastAsia"/>
                      <w:b/>
                      <w:bCs/>
                      <w:sz w:val="18"/>
                      <w:szCs w:val="18"/>
                    </w:rPr>
                    <w:t>废水类别</w:t>
                  </w:r>
                </w:p>
              </w:tc>
              <w:tc>
                <w:tcPr>
                  <w:tcW w:w="3440" w:type="pct"/>
                  <w:gridSpan w:val="4"/>
                  <w:vAlign w:val="center"/>
                </w:tcPr>
                <w:p w14:paraId="0E098132">
                  <w:pPr>
                    <w:ind w:left="-105" w:leftChars="-50" w:right="-105" w:rightChars="-50"/>
                    <w:jc w:val="center"/>
                    <w:rPr>
                      <w:b/>
                      <w:bCs/>
                      <w:sz w:val="18"/>
                      <w:szCs w:val="18"/>
                    </w:rPr>
                  </w:pPr>
                  <w:r>
                    <w:rPr>
                      <w:rFonts w:hint="eastAsia"/>
                      <w:b/>
                      <w:bCs/>
                      <w:sz w:val="18"/>
                      <w:szCs w:val="18"/>
                    </w:rPr>
                    <w:t>污染治理设施</w:t>
                  </w:r>
                </w:p>
              </w:tc>
              <w:tc>
                <w:tcPr>
                  <w:tcW w:w="258" w:type="pct"/>
                  <w:vMerge w:val="restart"/>
                  <w:vAlign w:val="center"/>
                </w:tcPr>
                <w:p w14:paraId="1DAE0640">
                  <w:pPr>
                    <w:jc w:val="center"/>
                    <w:rPr>
                      <w:b/>
                      <w:bCs/>
                      <w:sz w:val="18"/>
                      <w:szCs w:val="18"/>
                    </w:rPr>
                  </w:pPr>
                  <w:r>
                    <w:rPr>
                      <w:rFonts w:hint="eastAsia"/>
                      <w:b/>
                      <w:bCs/>
                      <w:sz w:val="18"/>
                      <w:szCs w:val="18"/>
                    </w:rPr>
                    <w:t>排放方式</w:t>
                  </w:r>
                </w:p>
              </w:tc>
              <w:tc>
                <w:tcPr>
                  <w:tcW w:w="258" w:type="pct"/>
                  <w:vMerge w:val="restart"/>
                  <w:vAlign w:val="center"/>
                </w:tcPr>
                <w:p w14:paraId="383289BC">
                  <w:pPr>
                    <w:jc w:val="center"/>
                    <w:rPr>
                      <w:b/>
                      <w:bCs/>
                      <w:sz w:val="18"/>
                      <w:szCs w:val="18"/>
                    </w:rPr>
                  </w:pPr>
                  <w:r>
                    <w:rPr>
                      <w:rFonts w:hint="eastAsia"/>
                      <w:b/>
                      <w:bCs/>
                      <w:sz w:val="18"/>
                      <w:szCs w:val="18"/>
                    </w:rPr>
                    <w:t>排放规律</w:t>
                  </w:r>
                </w:p>
              </w:tc>
              <w:tc>
                <w:tcPr>
                  <w:tcW w:w="237" w:type="pct"/>
                  <w:vMerge w:val="restart"/>
                  <w:shd w:val="clear" w:color="auto" w:fill="auto"/>
                  <w:vAlign w:val="center"/>
                </w:tcPr>
                <w:p w14:paraId="05DACBE4">
                  <w:pPr>
                    <w:jc w:val="center"/>
                    <w:rPr>
                      <w:b/>
                      <w:bCs/>
                      <w:sz w:val="18"/>
                      <w:szCs w:val="18"/>
                    </w:rPr>
                  </w:pPr>
                  <w:r>
                    <w:rPr>
                      <w:rFonts w:hint="eastAsia"/>
                      <w:b/>
                      <w:bCs/>
                      <w:sz w:val="18"/>
                      <w:szCs w:val="18"/>
                    </w:rPr>
                    <w:t>排放去向</w:t>
                  </w:r>
                </w:p>
              </w:tc>
            </w:tr>
            <w:tr w14:paraId="1BFF2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8" w:type="pct"/>
                  <w:vMerge w:val="continue"/>
                  <w:vAlign w:val="center"/>
                </w:tcPr>
                <w:p w14:paraId="03740544">
                  <w:pPr>
                    <w:ind w:left="-105" w:leftChars="-50" w:right="-105" w:rightChars="-50"/>
                    <w:jc w:val="center"/>
                    <w:rPr>
                      <w:sz w:val="18"/>
                      <w:szCs w:val="18"/>
                    </w:rPr>
                  </w:pPr>
                </w:p>
              </w:tc>
              <w:tc>
                <w:tcPr>
                  <w:tcW w:w="1187" w:type="pct"/>
                  <w:vAlign w:val="center"/>
                </w:tcPr>
                <w:p w14:paraId="14FAAD50">
                  <w:pPr>
                    <w:ind w:left="-105" w:leftChars="-50" w:right="-105" w:rightChars="-50"/>
                    <w:jc w:val="center"/>
                    <w:rPr>
                      <w:b/>
                      <w:bCs/>
                      <w:sz w:val="18"/>
                      <w:szCs w:val="18"/>
                    </w:rPr>
                  </w:pPr>
                  <w:r>
                    <w:rPr>
                      <w:rFonts w:hint="eastAsia"/>
                      <w:b/>
                      <w:bCs/>
                      <w:sz w:val="18"/>
                      <w:szCs w:val="18"/>
                    </w:rPr>
                    <w:t>污染治理设施名称</w:t>
                  </w:r>
                </w:p>
              </w:tc>
              <w:tc>
                <w:tcPr>
                  <w:tcW w:w="844" w:type="pct"/>
                  <w:vAlign w:val="center"/>
                </w:tcPr>
                <w:p w14:paraId="6FD7A4F6">
                  <w:pPr>
                    <w:ind w:left="-105" w:leftChars="-50" w:right="-105" w:rightChars="-50"/>
                    <w:jc w:val="center"/>
                    <w:rPr>
                      <w:b/>
                      <w:bCs/>
                      <w:sz w:val="18"/>
                      <w:szCs w:val="18"/>
                    </w:rPr>
                  </w:pPr>
                  <w:r>
                    <w:rPr>
                      <w:rFonts w:hint="eastAsia"/>
                      <w:b/>
                      <w:bCs/>
                      <w:sz w:val="18"/>
                      <w:szCs w:val="18"/>
                    </w:rPr>
                    <w:t>主要工艺</w:t>
                  </w:r>
                </w:p>
              </w:tc>
              <w:tc>
                <w:tcPr>
                  <w:tcW w:w="930" w:type="pct"/>
                  <w:vAlign w:val="center"/>
                </w:tcPr>
                <w:p w14:paraId="3EE05579">
                  <w:pPr>
                    <w:ind w:left="-105" w:leftChars="-50" w:right="-105" w:rightChars="-50"/>
                    <w:jc w:val="center"/>
                    <w:rPr>
                      <w:b/>
                      <w:bCs/>
                      <w:sz w:val="18"/>
                      <w:szCs w:val="18"/>
                    </w:rPr>
                  </w:pPr>
                  <w:r>
                    <w:rPr>
                      <w:rFonts w:hint="eastAsia"/>
                      <w:b/>
                      <w:bCs/>
                      <w:sz w:val="18"/>
                      <w:szCs w:val="18"/>
                    </w:rPr>
                    <w:t>废水防治可行技术参考</w:t>
                  </w:r>
                </w:p>
              </w:tc>
              <w:tc>
                <w:tcPr>
                  <w:tcW w:w="479" w:type="pct"/>
                  <w:vAlign w:val="center"/>
                </w:tcPr>
                <w:p w14:paraId="3F3BD035">
                  <w:pPr>
                    <w:ind w:left="-105" w:leftChars="-50" w:right="-105" w:rightChars="-50"/>
                    <w:jc w:val="center"/>
                    <w:rPr>
                      <w:b/>
                      <w:bCs/>
                      <w:sz w:val="18"/>
                      <w:szCs w:val="18"/>
                    </w:rPr>
                  </w:pPr>
                  <w:r>
                    <w:rPr>
                      <w:rFonts w:hint="eastAsia"/>
                      <w:b/>
                      <w:bCs/>
                      <w:sz w:val="18"/>
                      <w:szCs w:val="18"/>
                    </w:rPr>
                    <w:t>是否为可行技术</w:t>
                  </w:r>
                </w:p>
              </w:tc>
              <w:tc>
                <w:tcPr>
                  <w:tcW w:w="258" w:type="pct"/>
                  <w:vMerge w:val="continue"/>
                  <w:vAlign w:val="center"/>
                </w:tcPr>
                <w:p w14:paraId="74AF6581">
                  <w:pPr>
                    <w:jc w:val="center"/>
                    <w:rPr>
                      <w:sz w:val="18"/>
                      <w:szCs w:val="18"/>
                    </w:rPr>
                  </w:pPr>
                </w:p>
              </w:tc>
              <w:tc>
                <w:tcPr>
                  <w:tcW w:w="258" w:type="pct"/>
                  <w:vMerge w:val="continue"/>
                  <w:vAlign w:val="center"/>
                </w:tcPr>
                <w:p w14:paraId="07D6076B">
                  <w:pPr>
                    <w:jc w:val="center"/>
                    <w:rPr>
                      <w:sz w:val="18"/>
                      <w:szCs w:val="18"/>
                    </w:rPr>
                  </w:pPr>
                </w:p>
              </w:tc>
              <w:tc>
                <w:tcPr>
                  <w:tcW w:w="237" w:type="pct"/>
                  <w:vMerge w:val="continue"/>
                  <w:shd w:val="clear" w:color="auto" w:fill="auto"/>
                  <w:vAlign w:val="center"/>
                </w:tcPr>
                <w:p w14:paraId="38E74998">
                  <w:pPr>
                    <w:jc w:val="center"/>
                    <w:rPr>
                      <w:sz w:val="18"/>
                      <w:szCs w:val="18"/>
                    </w:rPr>
                  </w:pPr>
                </w:p>
              </w:tc>
            </w:tr>
            <w:tr w14:paraId="187BB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808" w:type="pct"/>
                  <w:shd w:val="clear" w:color="auto" w:fill="auto"/>
                  <w:vAlign w:val="center"/>
                </w:tcPr>
                <w:p w14:paraId="27BFAF79">
                  <w:pPr>
                    <w:jc w:val="center"/>
                    <w:rPr>
                      <w:sz w:val="18"/>
                      <w:szCs w:val="18"/>
                    </w:rPr>
                  </w:pPr>
                  <w:r>
                    <w:rPr>
                      <w:rFonts w:hint="eastAsia"/>
                      <w:sz w:val="18"/>
                      <w:szCs w:val="18"/>
                    </w:rPr>
                    <w:t>纯水制备废水</w:t>
                  </w:r>
                </w:p>
              </w:tc>
              <w:tc>
                <w:tcPr>
                  <w:tcW w:w="1187" w:type="pct"/>
                  <w:vMerge w:val="restart"/>
                  <w:vAlign w:val="center"/>
                </w:tcPr>
                <w:p w14:paraId="7FBB8E6B">
                  <w:pPr>
                    <w:jc w:val="center"/>
                    <w:rPr>
                      <w:sz w:val="18"/>
                      <w:szCs w:val="18"/>
                    </w:rPr>
                  </w:pPr>
                  <w:r>
                    <w:rPr>
                      <w:rFonts w:hint="eastAsia"/>
                      <w:sz w:val="18"/>
                      <w:szCs w:val="18"/>
                    </w:rPr>
                    <w:t>医药产业示范园预处理池（</w:t>
                  </w:r>
                  <w:r>
                    <w:rPr>
                      <w:rFonts w:hint="eastAsia"/>
                      <w:bCs/>
                      <w:sz w:val="18"/>
                      <w:szCs w:val="18"/>
                    </w:rPr>
                    <w:t>250m</w:t>
                  </w:r>
                  <w:r>
                    <w:rPr>
                      <w:rFonts w:hint="eastAsia"/>
                      <w:bCs/>
                      <w:sz w:val="18"/>
                      <w:szCs w:val="18"/>
                      <w:vertAlign w:val="superscript"/>
                    </w:rPr>
                    <w:t>3</w:t>
                  </w:r>
                  <w:r>
                    <w:rPr>
                      <w:rFonts w:hint="eastAsia"/>
                      <w:sz w:val="18"/>
                      <w:szCs w:val="18"/>
                    </w:rPr>
                    <w:t>）</w:t>
                  </w:r>
                </w:p>
              </w:tc>
              <w:tc>
                <w:tcPr>
                  <w:tcW w:w="844" w:type="pct"/>
                  <w:vMerge w:val="restart"/>
                  <w:vAlign w:val="center"/>
                </w:tcPr>
                <w:p w14:paraId="59539A6D">
                  <w:pPr>
                    <w:jc w:val="center"/>
                    <w:rPr>
                      <w:rFonts w:hint="eastAsia"/>
                      <w:sz w:val="18"/>
                      <w:szCs w:val="18"/>
                    </w:rPr>
                  </w:pPr>
                  <w:r>
                    <w:rPr>
                      <w:rFonts w:hint="eastAsia"/>
                      <w:sz w:val="18"/>
                      <w:szCs w:val="18"/>
                    </w:rPr>
                    <w:t>沉淀、预处理</w:t>
                  </w:r>
                </w:p>
              </w:tc>
              <w:tc>
                <w:tcPr>
                  <w:tcW w:w="930" w:type="pct"/>
                  <w:vMerge w:val="restart"/>
                  <w:vAlign w:val="center"/>
                </w:tcPr>
                <w:p w14:paraId="775835AA">
                  <w:pPr>
                    <w:jc w:val="center"/>
                    <w:rPr>
                      <w:sz w:val="18"/>
                      <w:szCs w:val="18"/>
                    </w:rPr>
                  </w:pPr>
                  <w:r>
                    <w:rPr>
                      <w:rFonts w:hint="eastAsia"/>
                      <w:sz w:val="18"/>
                      <w:szCs w:val="18"/>
                    </w:rPr>
                    <w:t>预处理系统：格栅、混凝、沉淀、中和调节、气浮； 生化处理系统：水解酸化、厌氧生物法、好氧生物法； 深度处理：活性炭吸附、曝气生物滤池、高级氧化、芬顿氧化、膜分离；</w:t>
                  </w:r>
                </w:p>
              </w:tc>
              <w:tc>
                <w:tcPr>
                  <w:tcW w:w="479" w:type="pct"/>
                  <w:vAlign w:val="center"/>
                </w:tcPr>
                <w:p w14:paraId="0E0FB472">
                  <w:pPr>
                    <w:jc w:val="center"/>
                    <w:rPr>
                      <w:sz w:val="18"/>
                      <w:szCs w:val="18"/>
                    </w:rPr>
                  </w:pPr>
                  <w:r>
                    <w:rPr>
                      <w:rFonts w:hint="eastAsia"/>
                      <w:sz w:val="18"/>
                      <w:szCs w:val="18"/>
                    </w:rPr>
                    <w:t>是</w:t>
                  </w:r>
                </w:p>
              </w:tc>
              <w:tc>
                <w:tcPr>
                  <w:tcW w:w="258" w:type="pct"/>
                  <w:vMerge w:val="restart"/>
                  <w:vAlign w:val="center"/>
                </w:tcPr>
                <w:p w14:paraId="0B8A2C4B">
                  <w:pPr>
                    <w:jc w:val="center"/>
                    <w:rPr>
                      <w:sz w:val="18"/>
                      <w:szCs w:val="18"/>
                    </w:rPr>
                  </w:pPr>
                  <w:r>
                    <w:rPr>
                      <w:rFonts w:hint="eastAsia"/>
                      <w:sz w:val="18"/>
                      <w:szCs w:val="18"/>
                    </w:rPr>
                    <w:t>间接</w:t>
                  </w:r>
                </w:p>
              </w:tc>
              <w:tc>
                <w:tcPr>
                  <w:tcW w:w="258" w:type="pct"/>
                  <w:vMerge w:val="restart"/>
                  <w:vAlign w:val="center"/>
                </w:tcPr>
                <w:p w14:paraId="4ED1F989">
                  <w:pPr>
                    <w:jc w:val="center"/>
                    <w:rPr>
                      <w:sz w:val="18"/>
                      <w:szCs w:val="18"/>
                    </w:rPr>
                  </w:pPr>
                  <w:r>
                    <w:rPr>
                      <w:rFonts w:hint="eastAsia"/>
                      <w:sz w:val="18"/>
                      <w:szCs w:val="18"/>
                    </w:rPr>
                    <w:t>间断</w:t>
                  </w:r>
                </w:p>
              </w:tc>
              <w:tc>
                <w:tcPr>
                  <w:tcW w:w="237" w:type="pct"/>
                  <w:vMerge w:val="restart"/>
                  <w:shd w:val="clear" w:color="auto" w:fill="auto"/>
                  <w:vAlign w:val="center"/>
                </w:tcPr>
                <w:p w14:paraId="685ED0C3">
                  <w:pPr>
                    <w:jc w:val="center"/>
                    <w:rPr>
                      <w:sz w:val="18"/>
                      <w:szCs w:val="18"/>
                    </w:rPr>
                  </w:pPr>
                  <w:r>
                    <w:rPr>
                      <w:rFonts w:hint="eastAsia"/>
                      <w:sz w:val="18"/>
                      <w:szCs w:val="18"/>
                    </w:rPr>
                    <w:t>魏兴场镇污水处理厂</w:t>
                  </w:r>
                </w:p>
              </w:tc>
            </w:tr>
            <w:tr w14:paraId="303A4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808" w:type="pct"/>
                  <w:shd w:val="clear" w:color="auto" w:fill="auto"/>
                  <w:vAlign w:val="center"/>
                </w:tcPr>
                <w:p w14:paraId="5DABF5E3">
                  <w:pPr>
                    <w:jc w:val="center"/>
                    <w:rPr>
                      <w:sz w:val="18"/>
                      <w:szCs w:val="18"/>
                    </w:rPr>
                  </w:pPr>
                  <w:r>
                    <w:rPr>
                      <w:rFonts w:hint="eastAsia"/>
                      <w:sz w:val="18"/>
                      <w:szCs w:val="18"/>
                    </w:rPr>
                    <w:t>蒸汽发生器排水、冷凝水</w:t>
                  </w:r>
                </w:p>
              </w:tc>
              <w:tc>
                <w:tcPr>
                  <w:tcW w:w="1187" w:type="pct"/>
                  <w:vMerge w:val="continue"/>
                  <w:vAlign w:val="center"/>
                </w:tcPr>
                <w:p w14:paraId="2904DCD5">
                  <w:pPr>
                    <w:jc w:val="center"/>
                    <w:rPr>
                      <w:sz w:val="18"/>
                      <w:szCs w:val="18"/>
                    </w:rPr>
                  </w:pPr>
                </w:p>
              </w:tc>
              <w:tc>
                <w:tcPr>
                  <w:tcW w:w="844" w:type="pct"/>
                  <w:vMerge w:val="continue"/>
                  <w:vAlign w:val="center"/>
                </w:tcPr>
                <w:p w14:paraId="3A98A947">
                  <w:pPr>
                    <w:jc w:val="center"/>
                    <w:rPr>
                      <w:sz w:val="18"/>
                      <w:szCs w:val="18"/>
                    </w:rPr>
                  </w:pPr>
                </w:p>
              </w:tc>
              <w:tc>
                <w:tcPr>
                  <w:tcW w:w="930" w:type="pct"/>
                  <w:vMerge w:val="continue"/>
                  <w:vAlign w:val="center"/>
                </w:tcPr>
                <w:p w14:paraId="0DA2D0BA">
                  <w:pPr>
                    <w:jc w:val="center"/>
                    <w:rPr>
                      <w:sz w:val="18"/>
                      <w:szCs w:val="18"/>
                    </w:rPr>
                  </w:pPr>
                </w:p>
              </w:tc>
              <w:tc>
                <w:tcPr>
                  <w:tcW w:w="479" w:type="pct"/>
                  <w:vAlign w:val="center"/>
                </w:tcPr>
                <w:p w14:paraId="3A2E316F">
                  <w:pPr>
                    <w:jc w:val="center"/>
                    <w:rPr>
                      <w:sz w:val="18"/>
                      <w:szCs w:val="18"/>
                    </w:rPr>
                  </w:pPr>
                  <w:r>
                    <w:rPr>
                      <w:rFonts w:hint="eastAsia"/>
                      <w:sz w:val="18"/>
                      <w:szCs w:val="18"/>
                    </w:rPr>
                    <w:t>是</w:t>
                  </w:r>
                </w:p>
              </w:tc>
              <w:tc>
                <w:tcPr>
                  <w:tcW w:w="258" w:type="pct"/>
                  <w:vMerge w:val="continue"/>
                  <w:vAlign w:val="center"/>
                </w:tcPr>
                <w:p w14:paraId="192B3C34">
                  <w:pPr>
                    <w:adjustRightInd w:val="0"/>
                    <w:snapToGrid w:val="0"/>
                    <w:ind w:firstLine="420"/>
                    <w:jc w:val="center"/>
                    <w:rPr>
                      <w:bCs/>
                      <w:sz w:val="18"/>
                      <w:szCs w:val="18"/>
                    </w:rPr>
                  </w:pPr>
                </w:p>
              </w:tc>
              <w:tc>
                <w:tcPr>
                  <w:tcW w:w="258" w:type="pct"/>
                  <w:vMerge w:val="continue"/>
                  <w:vAlign w:val="center"/>
                </w:tcPr>
                <w:p w14:paraId="2AB1584E">
                  <w:pPr>
                    <w:adjustRightInd w:val="0"/>
                    <w:snapToGrid w:val="0"/>
                    <w:ind w:firstLine="420"/>
                    <w:jc w:val="center"/>
                    <w:rPr>
                      <w:bCs/>
                      <w:sz w:val="18"/>
                      <w:szCs w:val="18"/>
                    </w:rPr>
                  </w:pPr>
                </w:p>
              </w:tc>
              <w:tc>
                <w:tcPr>
                  <w:tcW w:w="237" w:type="pct"/>
                  <w:vMerge w:val="continue"/>
                  <w:shd w:val="clear" w:color="auto" w:fill="auto"/>
                  <w:vAlign w:val="center"/>
                </w:tcPr>
                <w:p w14:paraId="709571C3">
                  <w:pPr>
                    <w:adjustRightInd w:val="0"/>
                    <w:snapToGrid w:val="0"/>
                    <w:ind w:firstLine="420"/>
                    <w:jc w:val="center"/>
                    <w:rPr>
                      <w:bCs/>
                      <w:sz w:val="18"/>
                      <w:szCs w:val="18"/>
                    </w:rPr>
                  </w:pPr>
                </w:p>
              </w:tc>
            </w:tr>
            <w:tr w14:paraId="42146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808" w:type="pct"/>
                  <w:shd w:val="clear" w:color="auto" w:fill="auto"/>
                  <w:vAlign w:val="center"/>
                </w:tcPr>
                <w:p w14:paraId="46A9653A">
                  <w:pPr>
                    <w:jc w:val="center"/>
                    <w:rPr>
                      <w:sz w:val="18"/>
                      <w:szCs w:val="18"/>
                    </w:rPr>
                  </w:pPr>
                  <w:r>
                    <w:rPr>
                      <w:rFonts w:hint="eastAsia"/>
                      <w:sz w:val="18"/>
                      <w:szCs w:val="18"/>
                    </w:rPr>
                    <w:t>地面清洁废水</w:t>
                  </w:r>
                </w:p>
              </w:tc>
              <w:tc>
                <w:tcPr>
                  <w:tcW w:w="1187" w:type="pct"/>
                  <w:vMerge w:val="continue"/>
                  <w:vAlign w:val="center"/>
                </w:tcPr>
                <w:p w14:paraId="6B9D31F1">
                  <w:pPr>
                    <w:jc w:val="center"/>
                    <w:rPr>
                      <w:sz w:val="18"/>
                      <w:szCs w:val="18"/>
                    </w:rPr>
                  </w:pPr>
                </w:p>
              </w:tc>
              <w:tc>
                <w:tcPr>
                  <w:tcW w:w="844" w:type="pct"/>
                  <w:vMerge w:val="continue"/>
                  <w:vAlign w:val="center"/>
                </w:tcPr>
                <w:p w14:paraId="0891DC85">
                  <w:pPr>
                    <w:jc w:val="center"/>
                    <w:rPr>
                      <w:sz w:val="18"/>
                      <w:szCs w:val="18"/>
                    </w:rPr>
                  </w:pPr>
                </w:p>
              </w:tc>
              <w:tc>
                <w:tcPr>
                  <w:tcW w:w="930" w:type="pct"/>
                  <w:vMerge w:val="continue"/>
                  <w:vAlign w:val="center"/>
                </w:tcPr>
                <w:p w14:paraId="5EC5986E">
                  <w:pPr>
                    <w:jc w:val="center"/>
                    <w:rPr>
                      <w:sz w:val="18"/>
                      <w:szCs w:val="18"/>
                    </w:rPr>
                  </w:pPr>
                </w:p>
              </w:tc>
              <w:tc>
                <w:tcPr>
                  <w:tcW w:w="479" w:type="pct"/>
                  <w:vAlign w:val="center"/>
                </w:tcPr>
                <w:p w14:paraId="5D75A40D">
                  <w:pPr>
                    <w:jc w:val="center"/>
                    <w:rPr>
                      <w:sz w:val="18"/>
                      <w:szCs w:val="18"/>
                    </w:rPr>
                  </w:pPr>
                  <w:r>
                    <w:rPr>
                      <w:rFonts w:hint="eastAsia"/>
                      <w:sz w:val="18"/>
                      <w:szCs w:val="18"/>
                    </w:rPr>
                    <w:t>是</w:t>
                  </w:r>
                </w:p>
              </w:tc>
              <w:tc>
                <w:tcPr>
                  <w:tcW w:w="258" w:type="pct"/>
                  <w:vMerge w:val="continue"/>
                  <w:vAlign w:val="center"/>
                </w:tcPr>
                <w:p w14:paraId="05237CBD">
                  <w:pPr>
                    <w:adjustRightInd w:val="0"/>
                    <w:snapToGrid w:val="0"/>
                    <w:ind w:firstLine="420"/>
                    <w:jc w:val="center"/>
                    <w:rPr>
                      <w:bCs/>
                      <w:sz w:val="18"/>
                      <w:szCs w:val="18"/>
                    </w:rPr>
                  </w:pPr>
                </w:p>
              </w:tc>
              <w:tc>
                <w:tcPr>
                  <w:tcW w:w="258" w:type="pct"/>
                  <w:vMerge w:val="continue"/>
                  <w:vAlign w:val="center"/>
                </w:tcPr>
                <w:p w14:paraId="3D75155C">
                  <w:pPr>
                    <w:adjustRightInd w:val="0"/>
                    <w:snapToGrid w:val="0"/>
                    <w:ind w:firstLine="420"/>
                    <w:jc w:val="center"/>
                    <w:rPr>
                      <w:bCs/>
                      <w:sz w:val="18"/>
                      <w:szCs w:val="18"/>
                    </w:rPr>
                  </w:pPr>
                </w:p>
              </w:tc>
              <w:tc>
                <w:tcPr>
                  <w:tcW w:w="237" w:type="pct"/>
                  <w:vMerge w:val="continue"/>
                  <w:shd w:val="clear" w:color="auto" w:fill="auto"/>
                  <w:vAlign w:val="center"/>
                </w:tcPr>
                <w:p w14:paraId="4FC134D3">
                  <w:pPr>
                    <w:adjustRightInd w:val="0"/>
                    <w:snapToGrid w:val="0"/>
                    <w:ind w:firstLine="420"/>
                    <w:jc w:val="center"/>
                    <w:rPr>
                      <w:bCs/>
                      <w:sz w:val="18"/>
                      <w:szCs w:val="18"/>
                    </w:rPr>
                  </w:pPr>
                </w:p>
              </w:tc>
            </w:tr>
            <w:tr w14:paraId="682D2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808" w:type="pct"/>
                  <w:shd w:val="clear" w:color="auto" w:fill="auto"/>
                  <w:vAlign w:val="center"/>
                </w:tcPr>
                <w:p w14:paraId="244C6701">
                  <w:pPr>
                    <w:jc w:val="center"/>
                    <w:rPr>
                      <w:sz w:val="18"/>
                      <w:szCs w:val="18"/>
                    </w:rPr>
                  </w:pPr>
                  <w:r>
                    <w:rPr>
                      <w:rFonts w:hint="eastAsia"/>
                      <w:sz w:val="18"/>
                      <w:szCs w:val="18"/>
                    </w:rPr>
                    <w:t>设备清洗废水</w:t>
                  </w:r>
                </w:p>
              </w:tc>
              <w:tc>
                <w:tcPr>
                  <w:tcW w:w="1187" w:type="pct"/>
                  <w:vAlign w:val="center"/>
                </w:tcPr>
                <w:p w14:paraId="22185F24">
                  <w:pPr>
                    <w:jc w:val="center"/>
                    <w:rPr>
                      <w:sz w:val="18"/>
                      <w:szCs w:val="18"/>
                    </w:rPr>
                  </w:pPr>
                  <w:r>
                    <w:rPr>
                      <w:sz w:val="18"/>
                      <w:szCs w:val="18"/>
                    </w:rPr>
                    <w:t>1.5t/h</w:t>
                  </w:r>
                  <w:r>
                    <w:rPr>
                      <w:rFonts w:hint="eastAsia"/>
                      <w:sz w:val="18"/>
                      <w:szCs w:val="18"/>
                    </w:rPr>
                    <w:t>污水处理站+医药产业示范园预处理池（</w:t>
                  </w:r>
                  <w:r>
                    <w:rPr>
                      <w:rFonts w:hint="eastAsia"/>
                      <w:bCs/>
                      <w:sz w:val="18"/>
                      <w:szCs w:val="18"/>
                    </w:rPr>
                    <w:t>250m</w:t>
                  </w:r>
                  <w:r>
                    <w:rPr>
                      <w:rFonts w:hint="eastAsia"/>
                      <w:bCs/>
                      <w:sz w:val="18"/>
                      <w:szCs w:val="18"/>
                      <w:vertAlign w:val="superscript"/>
                    </w:rPr>
                    <w:t>3</w:t>
                  </w:r>
                  <w:r>
                    <w:rPr>
                      <w:rFonts w:hint="eastAsia"/>
                      <w:sz w:val="18"/>
                      <w:szCs w:val="18"/>
                    </w:rPr>
                    <w:t>）</w:t>
                  </w:r>
                </w:p>
              </w:tc>
              <w:tc>
                <w:tcPr>
                  <w:tcW w:w="844" w:type="pct"/>
                  <w:vAlign w:val="center"/>
                </w:tcPr>
                <w:p w14:paraId="1C06B063">
                  <w:pPr>
                    <w:jc w:val="center"/>
                    <w:rPr>
                      <w:sz w:val="18"/>
                      <w:szCs w:val="18"/>
                    </w:rPr>
                  </w:pPr>
                  <w:r>
                    <w:rPr>
                      <w:rFonts w:hint="eastAsia"/>
                      <w:sz w:val="18"/>
                      <w:szCs w:val="18"/>
                    </w:rPr>
                    <w:t>气浮+A/O+MBR+沉淀、预处理</w:t>
                  </w:r>
                </w:p>
              </w:tc>
              <w:tc>
                <w:tcPr>
                  <w:tcW w:w="930" w:type="pct"/>
                  <w:vMerge w:val="continue"/>
                  <w:vAlign w:val="center"/>
                </w:tcPr>
                <w:p w14:paraId="47A9844E">
                  <w:pPr>
                    <w:jc w:val="center"/>
                    <w:rPr>
                      <w:sz w:val="18"/>
                      <w:szCs w:val="18"/>
                    </w:rPr>
                  </w:pPr>
                </w:p>
              </w:tc>
              <w:tc>
                <w:tcPr>
                  <w:tcW w:w="479" w:type="pct"/>
                  <w:vAlign w:val="center"/>
                </w:tcPr>
                <w:p w14:paraId="4D4582F8">
                  <w:pPr>
                    <w:jc w:val="center"/>
                    <w:rPr>
                      <w:sz w:val="18"/>
                      <w:szCs w:val="18"/>
                    </w:rPr>
                  </w:pPr>
                  <w:r>
                    <w:rPr>
                      <w:rFonts w:hint="eastAsia"/>
                      <w:sz w:val="18"/>
                      <w:szCs w:val="18"/>
                    </w:rPr>
                    <w:t>是</w:t>
                  </w:r>
                </w:p>
              </w:tc>
              <w:tc>
                <w:tcPr>
                  <w:tcW w:w="258" w:type="pct"/>
                  <w:vMerge w:val="continue"/>
                  <w:vAlign w:val="center"/>
                </w:tcPr>
                <w:p w14:paraId="7EBE4DBD">
                  <w:pPr>
                    <w:adjustRightInd w:val="0"/>
                    <w:snapToGrid w:val="0"/>
                    <w:ind w:firstLine="420"/>
                    <w:jc w:val="center"/>
                    <w:rPr>
                      <w:bCs/>
                      <w:sz w:val="18"/>
                      <w:szCs w:val="18"/>
                    </w:rPr>
                  </w:pPr>
                </w:p>
              </w:tc>
              <w:tc>
                <w:tcPr>
                  <w:tcW w:w="258" w:type="pct"/>
                  <w:vMerge w:val="continue"/>
                  <w:vAlign w:val="center"/>
                </w:tcPr>
                <w:p w14:paraId="65B95035">
                  <w:pPr>
                    <w:adjustRightInd w:val="0"/>
                    <w:snapToGrid w:val="0"/>
                    <w:ind w:firstLine="420"/>
                    <w:jc w:val="center"/>
                    <w:rPr>
                      <w:bCs/>
                      <w:sz w:val="18"/>
                      <w:szCs w:val="18"/>
                    </w:rPr>
                  </w:pPr>
                </w:p>
              </w:tc>
              <w:tc>
                <w:tcPr>
                  <w:tcW w:w="237" w:type="pct"/>
                  <w:vMerge w:val="continue"/>
                  <w:shd w:val="clear" w:color="auto" w:fill="auto"/>
                  <w:vAlign w:val="center"/>
                </w:tcPr>
                <w:p w14:paraId="1146E789">
                  <w:pPr>
                    <w:adjustRightInd w:val="0"/>
                    <w:snapToGrid w:val="0"/>
                    <w:ind w:firstLine="420"/>
                    <w:jc w:val="center"/>
                    <w:rPr>
                      <w:bCs/>
                      <w:sz w:val="18"/>
                      <w:szCs w:val="18"/>
                    </w:rPr>
                  </w:pPr>
                </w:p>
              </w:tc>
            </w:tr>
            <w:tr w14:paraId="5E36A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808" w:type="pct"/>
                  <w:shd w:val="clear" w:color="auto" w:fill="auto"/>
                  <w:vAlign w:val="center"/>
                </w:tcPr>
                <w:p w14:paraId="26C7F492">
                  <w:pPr>
                    <w:jc w:val="center"/>
                    <w:rPr>
                      <w:sz w:val="18"/>
                      <w:szCs w:val="18"/>
                    </w:rPr>
                  </w:pPr>
                  <w:r>
                    <w:rPr>
                      <w:rFonts w:hint="eastAsia"/>
                      <w:sz w:val="18"/>
                      <w:szCs w:val="18"/>
                    </w:rPr>
                    <w:t>办公生活污水</w:t>
                  </w:r>
                </w:p>
              </w:tc>
              <w:tc>
                <w:tcPr>
                  <w:tcW w:w="1187" w:type="pct"/>
                  <w:vAlign w:val="center"/>
                </w:tcPr>
                <w:p w14:paraId="5FFE44BA">
                  <w:pPr>
                    <w:jc w:val="center"/>
                    <w:rPr>
                      <w:sz w:val="18"/>
                      <w:szCs w:val="18"/>
                    </w:rPr>
                  </w:pPr>
                  <w:r>
                    <w:rPr>
                      <w:rFonts w:hint="eastAsia"/>
                      <w:sz w:val="18"/>
                      <w:szCs w:val="18"/>
                    </w:rPr>
                    <w:t>医药产业示范园预处理池（</w:t>
                  </w:r>
                  <w:r>
                    <w:rPr>
                      <w:rFonts w:hint="eastAsia"/>
                      <w:bCs/>
                      <w:sz w:val="18"/>
                      <w:szCs w:val="18"/>
                    </w:rPr>
                    <w:t>250m</w:t>
                  </w:r>
                  <w:r>
                    <w:rPr>
                      <w:rFonts w:hint="eastAsia"/>
                      <w:bCs/>
                      <w:sz w:val="18"/>
                      <w:szCs w:val="18"/>
                      <w:vertAlign w:val="superscript"/>
                    </w:rPr>
                    <w:t>3</w:t>
                  </w:r>
                  <w:r>
                    <w:rPr>
                      <w:rFonts w:hint="eastAsia"/>
                      <w:sz w:val="18"/>
                      <w:szCs w:val="18"/>
                    </w:rPr>
                    <w:t>）</w:t>
                  </w:r>
                </w:p>
              </w:tc>
              <w:tc>
                <w:tcPr>
                  <w:tcW w:w="844" w:type="pct"/>
                  <w:vAlign w:val="center"/>
                </w:tcPr>
                <w:p w14:paraId="389F7C8C">
                  <w:pPr>
                    <w:adjustRightInd w:val="0"/>
                    <w:snapToGrid w:val="0"/>
                    <w:jc w:val="center"/>
                    <w:rPr>
                      <w:bCs/>
                      <w:sz w:val="18"/>
                      <w:szCs w:val="18"/>
                    </w:rPr>
                  </w:pPr>
                  <w:r>
                    <w:rPr>
                      <w:rFonts w:hint="eastAsia"/>
                      <w:sz w:val="18"/>
                      <w:szCs w:val="18"/>
                    </w:rPr>
                    <w:t>预处理</w:t>
                  </w:r>
                </w:p>
              </w:tc>
              <w:tc>
                <w:tcPr>
                  <w:tcW w:w="930" w:type="pct"/>
                  <w:vMerge w:val="continue"/>
                  <w:vAlign w:val="center"/>
                </w:tcPr>
                <w:p w14:paraId="5979CCB1">
                  <w:pPr>
                    <w:jc w:val="center"/>
                    <w:rPr>
                      <w:bCs/>
                      <w:sz w:val="18"/>
                      <w:szCs w:val="18"/>
                    </w:rPr>
                  </w:pPr>
                </w:p>
              </w:tc>
              <w:tc>
                <w:tcPr>
                  <w:tcW w:w="479" w:type="pct"/>
                  <w:vAlign w:val="center"/>
                </w:tcPr>
                <w:p w14:paraId="30AE873B">
                  <w:pPr>
                    <w:adjustRightInd w:val="0"/>
                    <w:snapToGrid w:val="0"/>
                    <w:jc w:val="center"/>
                    <w:rPr>
                      <w:bCs/>
                      <w:sz w:val="18"/>
                      <w:szCs w:val="18"/>
                    </w:rPr>
                  </w:pPr>
                  <w:r>
                    <w:rPr>
                      <w:rFonts w:hint="eastAsia"/>
                      <w:sz w:val="18"/>
                      <w:szCs w:val="18"/>
                    </w:rPr>
                    <w:t>是</w:t>
                  </w:r>
                </w:p>
              </w:tc>
              <w:tc>
                <w:tcPr>
                  <w:tcW w:w="258" w:type="pct"/>
                  <w:vMerge w:val="continue"/>
                  <w:vAlign w:val="center"/>
                </w:tcPr>
                <w:p w14:paraId="3286AF9C">
                  <w:pPr>
                    <w:adjustRightInd w:val="0"/>
                    <w:snapToGrid w:val="0"/>
                    <w:ind w:firstLine="420"/>
                    <w:jc w:val="center"/>
                    <w:rPr>
                      <w:bCs/>
                      <w:sz w:val="18"/>
                      <w:szCs w:val="18"/>
                    </w:rPr>
                  </w:pPr>
                </w:p>
              </w:tc>
              <w:tc>
                <w:tcPr>
                  <w:tcW w:w="258" w:type="pct"/>
                  <w:vMerge w:val="continue"/>
                  <w:vAlign w:val="center"/>
                </w:tcPr>
                <w:p w14:paraId="740BD0F4">
                  <w:pPr>
                    <w:adjustRightInd w:val="0"/>
                    <w:snapToGrid w:val="0"/>
                    <w:ind w:firstLine="420"/>
                    <w:jc w:val="center"/>
                    <w:rPr>
                      <w:bCs/>
                      <w:sz w:val="18"/>
                      <w:szCs w:val="18"/>
                    </w:rPr>
                  </w:pPr>
                </w:p>
              </w:tc>
              <w:tc>
                <w:tcPr>
                  <w:tcW w:w="237" w:type="pct"/>
                  <w:vMerge w:val="continue"/>
                  <w:shd w:val="clear" w:color="auto" w:fill="auto"/>
                  <w:vAlign w:val="center"/>
                </w:tcPr>
                <w:p w14:paraId="045C2651">
                  <w:pPr>
                    <w:adjustRightInd w:val="0"/>
                    <w:snapToGrid w:val="0"/>
                    <w:ind w:firstLine="420"/>
                    <w:jc w:val="center"/>
                    <w:rPr>
                      <w:bCs/>
                      <w:sz w:val="18"/>
                      <w:szCs w:val="18"/>
                    </w:rPr>
                  </w:pPr>
                </w:p>
              </w:tc>
            </w:tr>
          </w:tbl>
          <w:p w14:paraId="71A6007C">
            <w:pPr>
              <w:autoSpaceDE w:val="0"/>
              <w:autoSpaceDN w:val="0"/>
              <w:adjustRightInd w:val="0"/>
              <w:snapToGrid w:val="0"/>
              <w:jc w:val="center"/>
              <w:rPr>
                <w:b/>
              </w:rPr>
            </w:pPr>
            <w:r>
              <w:rPr>
                <w:rFonts w:hint="eastAsia"/>
                <w:b/>
              </w:rPr>
              <w:t>表4-</w:t>
            </w:r>
            <w:r>
              <w:rPr>
                <w:b/>
              </w:rPr>
              <w:t>1</w:t>
            </w:r>
            <w:r>
              <w:rPr>
                <w:rFonts w:hint="eastAsia"/>
                <w:b/>
              </w:rPr>
              <w:t>5</w:t>
            </w:r>
            <w:r>
              <w:rPr>
                <w:b/>
              </w:rPr>
              <w:t xml:space="preserve"> </w:t>
            </w:r>
            <w:r>
              <w:rPr>
                <w:rFonts w:hint="eastAsia"/>
                <w:b/>
              </w:rPr>
              <w:t xml:space="preserve"> 废水排放口基本信息表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2"/>
              <w:gridCol w:w="2565"/>
              <w:gridCol w:w="1441"/>
              <w:gridCol w:w="1296"/>
              <w:gridCol w:w="1813"/>
            </w:tblGrid>
            <w:tr w14:paraId="73E80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3" w:hRule="atLeast"/>
                <w:jc w:val="center"/>
              </w:trPr>
              <w:tc>
                <w:tcPr>
                  <w:tcW w:w="828" w:type="pct"/>
                  <w:vAlign w:val="center"/>
                </w:tcPr>
                <w:p w14:paraId="086D7EA0">
                  <w:pPr>
                    <w:jc w:val="center"/>
                    <w:rPr>
                      <w:b/>
                      <w:bCs/>
                      <w:sz w:val="18"/>
                      <w:szCs w:val="18"/>
                    </w:rPr>
                  </w:pPr>
                  <w:r>
                    <w:rPr>
                      <w:rFonts w:hint="eastAsia"/>
                      <w:b/>
                      <w:bCs/>
                      <w:sz w:val="18"/>
                      <w:szCs w:val="18"/>
                    </w:rPr>
                    <w:t>排放口编号</w:t>
                  </w:r>
                </w:p>
              </w:tc>
              <w:tc>
                <w:tcPr>
                  <w:tcW w:w="1504" w:type="pct"/>
                  <w:vAlign w:val="center"/>
                </w:tcPr>
                <w:p w14:paraId="6B9F710D">
                  <w:pPr>
                    <w:jc w:val="center"/>
                    <w:rPr>
                      <w:b/>
                      <w:bCs/>
                      <w:sz w:val="18"/>
                      <w:szCs w:val="18"/>
                    </w:rPr>
                  </w:pPr>
                  <w:r>
                    <w:rPr>
                      <w:rFonts w:hint="eastAsia"/>
                      <w:b/>
                      <w:bCs/>
                      <w:sz w:val="18"/>
                      <w:szCs w:val="18"/>
                    </w:rPr>
                    <w:t>排放口名称</w:t>
                  </w:r>
                </w:p>
              </w:tc>
              <w:tc>
                <w:tcPr>
                  <w:tcW w:w="845" w:type="pct"/>
                  <w:vAlign w:val="center"/>
                </w:tcPr>
                <w:p w14:paraId="5EC0F103">
                  <w:pPr>
                    <w:jc w:val="center"/>
                    <w:rPr>
                      <w:b/>
                      <w:bCs/>
                      <w:sz w:val="18"/>
                      <w:szCs w:val="18"/>
                    </w:rPr>
                  </w:pPr>
                  <w:r>
                    <w:rPr>
                      <w:rFonts w:hint="eastAsia"/>
                      <w:b/>
                      <w:bCs/>
                      <w:sz w:val="18"/>
                      <w:szCs w:val="18"/>
                    </w:rPr>
                    <w:t>废水排放量（m</w:t>
                  </w:r>
                  <w:r>
                    <w:rPr>
                      <w:rFonts w:hint="eastAsia"/>
                      <w:b/>
                      <w:bCs/>
                      <w:sz w:val="18"/>
                      <w:szCs w:val="18"/>
                      <w:vertAlign w:val="superscript"/>
                    </w:rPr>
                    <w:t>3</w:t>
                  </w:r>
                  <w:r>
                    <w:rPr>
                      <w:rFonts w:hint="eastAsia"/>
                      <w:b/>
                      <w:bCs/>
                      <w:sz w:val="18"/>
                      <w:szCs w:val="18"/>
                    </w:rPr>
                    <w:t>/a）</w:t>
                  </w:r>
                </w:p>
              </w:tc>
              <w:tc>
                <w:tcPr>
                  <w:tcW w:w="760" w:type="pct"/>
                  <w:shd w:val="clear" w:color="auto" w:fill="auto"/>
                  <w:vAlign w:val="center"/>
                </w:tcPr>
                <w:p w14:paraId="2AEAF282">
                  <w:pPr>
                    <w:jc w:val="center"/>
                    <w:rPr>
                      <w:b/>
                      <w:bCs/>
                      <w:sz w:val="18"/>
                      <w:szCs w:val="18"/>
                    </w:rPr>
                  </w:pPr>
                  <w:r>
                    <w:rPr>
                      <w:rFonts w:hint="eastAsia"/>
                      <w:b/>
                      <w:bCs/>
                      <w:sz w:val="18"/>
                      <w:szCs w:val="18"/>
                    </w:rPr>
                    <w:t>排放口类型</w:t>
                  </w:r>
                </w:p>
              </w:tc>
              <w:tc>
                <w:tcPr>
                  <w:tcW w:w="1063" w:type="pct"/>
                  <w:shd w:val="clear" w:color="auto" w:fill="auto"/>
                  <w:vAlign w:val="center"/>
                </w:tcPr>
                <w:p w14:paraId="126626B8">
                  <w:pPr>
                    <w:jc w:val="center"/>
                    <w:rPr>
                      <w:b/>
                      <w:bCs/>
                      <w:sz w:val="18"/>
                      <w:szCs w:val="18"/>
                    </w:rPr>
                  </w:pPr>
                  <w:r>
                    <w:rPr>
                      <w:rFonts w:hint="eastAsia"/>
                      <w:b/>
                      <w:bCs/>
                      <w:sz w:val="18"/>
                      <w:szCs w:val="18"/>
                    </w:rPr>
                    <w:t>排放口地理坐标</w:t>
                  </w:r>
                </w:p>
              </w:tc>
            </w:tr>
            <w:tr w14:paraId="60631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28" w:type="pct"/>
                  <w:vAlign w:val="center"/>
                </w:tcPr>
                <w:p w14:paraId="27F62FC2">
                  <w:pPr>
                    <w:jc w:val="center"/>
                    <w:rPr>
                      <w:sz w:val="18"/>
                      <w:szCs w:val="18"/>
                    </w:rPr>
                  </w:pPr>
                  <w:r>
                    <w:rPr>
                      <w:rFonts w:hint="eastAsia"/>
                      <w:sz w:val="18"/>
                      <w:szCs w:val="18"/>
                    </w:rPr>
                    <w:t>DW001</w:t>
                  </w:r>
                </w:p>
              </w:tc>
              <w:tc>
                <w:tcPr>
                  <w:tcW w:w="1504" w:type="pct"/>
                  <w:vAlign w:val="center"/>
                </w:tcPr>
                <w:p w14:paraId="2A92ED09">
                  <w:pPr>
                    <w:jc w:val="center"/>
                    <w:rPr>
                      <w:sz w:val="18"/>
                      <w:szCs w:val="18"/>
                    </w:rPr>
                  </w:pPr>
                  <w:r>
                    <w:rPr>
                      <w:rFonts w:hint="eastAsia"/>
                      <w:sz w:val="18"/>
                      <w:szCs w:val="18"/>
                    </w:rPr>
                    <w:t>医药产业示范园-废水总排口</w:t>
                  </w:r>
                </w:p>
              </w:tc>
              <w:tc>
                <w:tcPr>
                  <w:tcW w:w="845" w:type="pct"/>
                  <w:vAlign w:val="center"/>
                </w:tcPr>
                <w:p w14:paraId="619C37A7">
                  <w:pPr>
                    <w:jc w:val="center"/>
                    <w:rPr>
                      <w:sz w:val="18"/>
                      <w:szCs w:val="18"/>
                    </w:rPr>
                  </w:pPr>
                  <w:r>
                    <w:rPr>
                      <w:sz w:val="18"/>
                      <w:szCs w:val="18"/>
                    </w:rPr>
                    <w:t>3473.3</w:t>
                  </w:r>
                </w:p>
              </w:tc>
              <w:tc>
                <w:tcPr>
                  <w:tcW w:w="760" w:type="pct"/>
                  <w:shd w:val="clear" w:color="auto" w:fill="auto"/>
                  <w:vAlign w:val="center"/>
                </w:tcPr>
                <w:p w14:paraId="410FE326">
                  <w:pPr>
                    <w:jc w:val="center"/>
                    <w:rPr>
                      <w:sz w:val="18"/>
                      <w:szCs w:val="18"/>
                    </w:rPr>
                  </w:pPr>
                  <w:r>
                    <w:rPr>
                      <w:rFonts w:hint="eastAsia"/>
                      <w:sz w:val="18"/>
                      <w:szCs w:val="18"/>
                    </w:rPr>
                    <w:t>一般排放口</w:t>
                  </w:r>
                </w:p>
              </w:tc>
              <w:tc>
                <w:tcPr>
                  <w:tcW w:w="1063" w:type="pct"/>
                  <w:shd w:val="clear" w:color="auto" w:fill="auto"/>
                  <w:vAlign w:val="center"/>
                </w:tcPr>
                <w:p w14:paraId="198A0EB6">
                  <w:pPr>
                    <w:jc w:val="center"/>
                    <w:rPr>
                      <w:sz w:val="18"/>
                      <w:szCs w:val="18"/>
                    </w:rPr>
                  </w:pPr>
                  <w:r>
                    <w:rPr>
                      <w:sz w:val="18"/>
                      <w:szCs w:val="18"/>
                    </w:rPr>
                    <w:t>107.51625556</w:t>
                  </w:r>
                  <w:r>
                    <w:rPr>
                      <w:rFonts w:hint="eastAsia"/>
                      <w:sz w:val="18"/>
                      <w:szCs w:val="18"/>
                    </w:rPr>
                    <w:t>；</w:t>
                  </w:r>
                  <w:r>
                    <w:rPr>
                      <w:sz w:val="18"/>
                      <w:szCs w:val="18"/>
                    </w:rPr>
                    <w:t>31.34736117</w:t>
                  </w:r>
                </w:p>
              </w:tc>
            </w:tr>
          </w:tbl>
          <w:p w14:paraId="538809D2">
            <w:pPr>
              <w:widowControl/>
              <w:spacing w:line="360" w:lineRule="auto"/>
              <w:ind w:firstLine="420" w:firstLineChars="200"/>
              <w:rPr>
                <w:lang w:bidi="ar"/>
              </w:rPr>
            </w:pPr>
            <w:r>
              <w:rPr>
                <w:rFonts w:hint="eastAsia"/>
                <w:lang w:bidi="ar"/>
              </w:rPr>
              <w:t>项目位于</w:t>
            </w:r>
            <w:r>
              <w:rPr>
                <w:rFonts w:hint="eastAsia"/>
              </w:rPr>
              <w:t>通川区中医药产业示范园内，属于魏兴场镇污水处理厂</w:t>
            </w:r>
            <w:r>
              <w:rPr>
                <w:rFonts w:hint="eastAsia"/>
                <w:lang w:bidi="ar"/>
              </w:rPr>
              <w:t>纳管范围。</w:t>
            </w:r>
            <w:r>
              <w:rPr>
                <w:rFonts w:hint="eastAsia"/>
              </w:rPr>
              <w:t>项目生产废水经过厂区新建污水处理站处理后与生活污水一同经医药产业示范园预处理池处理后，排入魏兴场镇污水处理厂处理，达到</w:t>
            </w:r>
            <w:r>
              <w:rPr>
                <w:rFonts w:hint="eastAsia"/>
                <w:lang w:bidi="ar"/>
              </w:rPr>
              <w:t>《城镇污水处理厂污染物排放标准》（GB18918-2002）中表1一级A标</w:t>
            </w:r>
            <w:r>
              <w:rPr>
                <w:rFonts w:hint="eastAsia"/>
              </w:rPr>
              <w:t>后排入州河。</w:t>
            </w:r>
          </w:p>
          <w:p w14:paraId="24EDA178">
            <w:pPr>
              <w:widowControl/>
              <w:spacing w:line="360" w:lineRule="auto"/>
              <w:ind w:firstLine="422" w:firstLineChars="200"/>
              <w:rPr>
                <w:rFonts w:hint="eastAsia" w:ascii="宋体" w:hAnsi="宋体"/>
                <w:b/>
                <w:bCs/>
                <w:lang w:bidi="ar"/>
              </w:rPr>
            </w:pPr>
            <w:r>
              <w:rPr>
                <w:rFonts w:hint="eastAsia" w:ascii="宋体" w:hAnsi="宋体"/>
                <w:b/>
                <w:bCs/>
                <w:lang w:bidi="ar"/>
              </w:rPr>
              <w:t xml:space="preserve">（四）废水污染物排放量统计 </w:t>
            </w:r>
          </w:p>
          <w:p w14:paraId="4B584CD0">
            <w:pPr>
              <w:widowControl/>
              <w:spacing w:line="360" w:lineRule="auto"/>
              <w:ind w:firstLine="420" w:firstLineChars="200"/>
              <w:rPr>
                <w:rFonts w:hint="eastAsia" w:ascii="宋体" w:hAnsi="宋体"/>
                <w:lang w:bidi="ar"/>
              </w:rPr>
            </w:pPr>
            <w:r>
              <w:rPr>
                <w:rFonts w:hint="eastAsia" w:ascii="宋体" w:hAnsi="宋体"/>
                <w:lang w:bidi="ar"/>
              </w:rPr>
              <w:t>本项目废水产生及达标排放情况见下表：</w:t>
            </w:r>
          </w:p>
          <w:p w14:paraId="1587A7B3">
            <w:pPr>
              <w:autoSpaceDE w:val="0"/>
              <w:autoSpaceDN w:val="0"/>
              <w:adjustRightInd w:val="0"/>
              <w:snapToGrid w:val="0"/>
              <w:jc w:val="center"/>
              <w:rPr>
                <w:b/>
              </w:rPr>
            </w:pPr>
            <w:r>
              <w:rPr>
                <w:rFonts w:hint="eastAsia"/>
                <w:b/>
              </w:rPr>
              <w:t>表 4-</w:t>
            </w:r>
            <w:r>
              <w:rPr>
                <w:b/>
              </w:rPr>
              <w:t>1</w:t>
            </w:r>
            <w:r>
              <w:rPr>
                <w:rFonts w:hint="eastAsia"/>
                <w:b/>
              </w:rPr>
              <w:t>6  本项目废水污染物年排放情况统计表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3"/>
              <w:gridCol w:w="4264"/>
            </w:tblGrid>
            <w:tr w14:paraId="28DB2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shd w:val="clear" w:color="auto" w:fill="auto"/>
                  <w:vAlign w:val="center"/>
                </w:tcPr>
                <w:p w14:paraId="1039333B">
                  <w:pPr>
                    <w:jc w:val="center"/>
                    <w:rPr>
                      <w:b/>
                      <w:bCs/>
                    </w:rPr>
                  </w:pPr>
                  <w:r>
                    <w:rPr>
                      <w:rFonts w:hint="eastAsia"/>
                      <w:b/>
                      <w:bCs/>
                    </w:rPr>
                    <w:t>污染物</w:t>
                  </w:r>
                </w:p>
              </w:tc>
              <w:tc>
                <w:tcPr>
                  <w:tcW w:w="2500" w:type="pct"/>
                  <w:shd w:val="clear" w:color="auto" w:fill="auto"/>
                  <w:vAlign w:val="center"/>
                </w:tcPr>
                <w:p w14:paraId="7D6F108F">
                  <w:pPr>
                    <w:jc w:val="center"/>
                    <w:rPr>
                      <w:b/>
                      <w:bCs/>
                    </w:rPr>
                  </w:pPr>
                  <w:r>
                    <w:rPr>
                      <w:rFonts w:hint="eastAsia"/>
                      <w:b/>
                      <w:bCs/>
                    </w:rPr>
                    <w:t>排放量（t</w:t>
                  </w:r>
                  <w:r>
                    <w:rPr>
                      <w:b/>
                      <w:bCs/>
                    </w:rPr>
                    <w:t>/a</w:t>
                  </w:r>
                  <w:r>
                    <w:rPr>
                      <w:rFonts w:hint="eastAsia"/>
                      <w:b/>
                      <w:bCs/>
                    </w:rPr>
                    <w:t>）</w:t>
                  </w:r>
                </w:p>
              </w:tc>
            </w:tr>
            <w:tr w14:paraId="4A878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shd w:val="clear" w:color="auto" w:fill="auto"/>
                  <w:vAlign w:val="center"/>
                </w:tcPr>
                <w:p w14:paraId="7B262FC8">
                  <w:pPr>
                    <w:jc w:val="center"/>
                  </w:pPr>
                  <w:r>
                    <w:rPr>
                      <w:rFonts w:hint="eastAsia"/>
                    </w:rPr>
                    <w:t>COD</w:t>
                  </w:r>
                </w:p>
              </w:tc>
              <w:tc>
                <w:tcPr>
                  <w:tcW w:w="2500" w:type="pct"/>
                  <w:shd w:val="clear" w:color="auto" w:fill="auto"/>
                  <w:vAlign w:val="center"/>
                </w:tcPr>
                <w:p w14:paraId="0303F981">
                  <w:pPr>
                    <w:jc w:val="center"/>
                  </w:pPr>
                  <w:r>
                    <w:t>0.174</w:t>
                  </w:r>
                </w:p>
              </w:tc>
            </w:tr>
            <w:tr w14:paraId="73047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shd w:val="clear" w:color="auto" w:fill="auto"/>
                  <w:vAlign w:val="center"/>
                </w:tcPr>
                <w:p w14:paraId="4C89B124">
                  <w:pPr>
                    <w:jc w:val="center"/>
                  </w:pPr>
                  <w:r>
                    <w:t>BOD</w:t>
                  </w:r>
                  <w:r>
                    <w:rPr>
                      <w:vertAlign w:val="subscript"/>
                    </w:rPr>
                    <w:t>5</w:t>
                  </w:r>
                </w:p>
              </w:tc>
              <w:tc>
                <w:tcPr>
                  <w:tcW w:w="2500" w:type="pct"/>
                  <w:shd w:val="clear" w:color="auto" w:fill="auto"/>
                  <w:vAlign w:val="center"/>
                </w:tcPr>
                <w:p w14:paraId="595D8001">
                  <w:pPr>
                    <w:jc w:val="center"/>
                  </w:pPr>
                  <w:r>
                    <w:t>0.035</w:t>
                  </w:r>
                </w:p>
              </w:tc>
            </w:tr>
            <w:tr w14:paraId="375FF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shd w:val="clear" w:color="auto" w:fill="auto"/>
                  <w:vAlign w:val="center"/>
                </w:tcPr>
                <w:p w14:paraId="10872292">
                  <w:pPr>
                    <w:jc w:val="center"/>
                  </w:pPr>
                  <w:r>
                    <w:t>SS</w:t>
                  </w:r>
                </w:p>
              </w:tc>
              <w:tc>
                <w:tcPr>
                  <w:tcW w:w="2500" w:type="pct"/>
                  <w:shd w:val="clear" w:color="auto" w:fill="auto"/>
                  <w:vAlign w:val="center"/>
                </w:tcPr>
                <w:p w14:paraId="2B45FF4D">
                  <w:pPr>
                    <w:jc w:val="center"/>
                  </w:pPr>
                  <w:r>
                    <w:t>0.035</w:t>
                  </w:r>
                </w:p>
              </w:tc>
            </w:tr>
            <w:tr w14:paraId="15FF1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shd w:val="clear" w:color="auto" w:fill="auto"/>
                  <w:vAlign w:val="center"/>
                </w:tcPr>
                <w:p w14:paraId="0E2D22C6">
                  <w:pPr>
                    <w:jc w:val="center"/>
                  </w:pPr>
                  <w:r>
                    <w:rPr>
                      <w:rFonts w:hint="eastAsia"/>
                    </w:rPr>
                    <w:t>氨氮</w:t>
                  </w:r>
                </w:p>
              </w:tc>
              <w:tc>
                <w:tcPr>
                  <w:tcW w:w="2500" w:type="pct"/>
                  <w:shd w:val="clear" w:color="auto" w:fill="auto"/>
                  <w:vAlign w:val="center"/>
                </w:tcPr>
                <w:p w14:paraId="749BBF19">
                  <w:pPr>
                    <w:jc w:val="center"/>
                  </w:pPr>
                  <w:r>
                    <w:t>0.010</w:t>
                  </w:r>
                </w:p>
              </w:tc>
            </w:tr>
            <w:tr w14:paraId="7F9D0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shd w:val="clear" w:color="auto" w:fill="auto"/>
                  <w:vAlign w:val="center"/>
                </w:tcPr>
                <w:p w14:paraId="1EAB3628">
                  <w:pPr>
                    <w:jc w:val="center"/>
                    <w:rPr>
                      <w:rFonts w:hint="eastAsia"/>
                    </w:rPr>
                  </w:pPr>
                  <w:r>
                    <w:rPr>
                      <w:rFonts w:hint="eastAsia"/>
                    </w:rPr>
                    <w:t>总磷</w:t>
                  </w:r>
                </w:p>
              </w:tc>
              <w:tc>
                <w:tcPr>
                  <w:tcW w:w="2500" w:type="pct"/>
                  <w:shd w:val="clear" w:color="auto" w:fill="auto"/>
                  <w:vAlign w:val="center"/>
                </w:tcPr>
                <w:p w14:paraId="29496464">
                  <w:pPr>
                    <w:jc w:val="center"/>
                  </w:pPr>
                  <w:r>
                    <w:t>0.002</w:t>
                  </w:r>
                </w:p>
              </w:tc>
            </w:tr>
            <w:tr w14:paraId="705C4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00" w:type="pct"/>
                  <w:shd w:val="clear" w:color="auto" w:fill="auto"/>
                  <w:vAlign w:val="center"/>
                </w:tcPr>
                <w:p w14:paraId="757A575E">
                  <w:pPr>
                    <w:jc w:val="center"/>
                  </w:pPr>
                  <w:r>
                    <w:rPr>
                      <w:rFonts w:hint="eastAsia"/>
                    </w:rPr>
                    <w:t>总氮</w:t>
                  </w:r>
                </w:p>
              </w:tc>
              <w:tc>
                <w:tcPr>
                  <w:tcW w:w="2500" w:type="pct"/>
                  <w:shd w:val="clear" w:color="auto" w:fill="auto"/>
                  <w:vAlign w:val="center"/>
                </w:tcPr>
                <w:p w14:paraId="7176A9C8">
                  <w:pPr>
                    <w:jc w:val="center"/>
                  </w:pPr>
                  <w:r>
                    <w:t>0.052</w:t>
                  </w:r>
                </w:p>
              </w:tc>
            </w:tr>
          </w:tbl>
          <w:p w14:paraId="6624409B">
            <w:pPr>
              <w:widowControl/>
              <w:spacing w:line="360" w:lineRule="auto"/>
              <w:ind w:firstLine="422" w:firstLineChars="200"/>
              <w:rPr>
                <w:rFonts w:hint="eastAsia" w:ascii="宋体" w:hAnsi="宋体"/>
                <w:b/>
                <w:bCs/>
                <w:lang w:bidi="ar"/>
              </w:rPr>
            </w:pPr>
            <w:r>
              <w:rPr>
                <w:rFonts w:hint="eastAsia" w:ascii="宋体" w:hAnsi="宋体"/>
                <w:b/>
                <w:bCs/>
                <w:lang w:bidi="ar"/>
              </w:rPr>
              <w:t xml:space="preserve">（五）监测要求 </w:t>
            </w:r>
          </w:p>
          <w:p w14:paraId="17CF57D2">
            <w:pPr>
              <w:widowControl/>
              <w:spacing w:line="360" w:lineRule="auto"/>
              <w:ind w:firstLine="420" w:firstLineChars="200"/>
              <w:rPr>
                <w:lang w:bidi="ar"/>
              </w:rPr>
            </w:pPr>
            <w:r>
              <w:rPr>
                <w:rFonts w:hint="eastAsia"/>
                <w:lang w:bidi="ar"/>
              </w:rPr>
              <w:t>项目属于C2740 中成药生产，根据《排污单位自行监测技术指南总则》（HJ 819-2017）、《排污许可证申请与核发技术规范 制药工业-中成药生产》（HJ1064-2019）、《排污单位自行监测技术指南 中药、生物药品制品、化学药品制剂制造业》（HJ 1256-2022）等技术规范、监测指南，建设单位应执行下表的监测计划。</w:t>
            </w:r>
          </w:p>
          <w:p w14:paraId="0868E125">
            <w:pPr>
              <w:autoSpaceDE w:val="0"/>
              <w:autoSpaceDN w:val="0"/>
              <w:adjustRightInd w:val="0"/>
              <w:snapToGrid w:val="0"/>
              <w:jc w:val="center"/>
              <w:rPr>
                <w:b/>
              </w:rPr>
            </w:pPr>
            <w:r>
              <w:rPr>
                <w:rFonts w:hint="eastAsia"/>
                <w:b/>
              </w:rPr>
              <w:t>表 4-17</w:t>
            </w:r>
            <w:r>
              <w:rPr>
                <w:b/>
              </w:rPr>
              <w:t xml:space="preserve"> </w:t>
            </w:r>
            <w:r>
              <w:rPr>
                <w:rFonts w:hint="eastAsia"/>
                <w:b/>
              </w:rPr>
              <w:t xml:space="preserve">  废水监测要求一览表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873"/>
              <w:gridCol w:w="4461"/>
              <w:gridCol w:w="1530"/>
            </w:tblGrid>
            <w:tr w14:paraId="0227E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shd w:val="clear" w:color="auto" w:fill="auto"/>
                  <w:vAlign w:val="center"/>
                </w:tcPr>
                <w:p w14:paraId="3A91F15A">
                  <w:pPr>
                    <w:widowControl/>
                    <w:jc w:val="center"/>
                    <w:rPr>
                      <w:b/>
                      <w:bCs/>
                      <w:lang w:bidi="ar"/>
                    </w:rPr>
                  </w:pPr>
                  <w:r>
                    <w:rPr>
                      <w:rFonts w:hint="eastAsia"/>
                      <w:b/>
                      <w:bCs/>
                      <w:lang w:bidi="ar"/>
                    </w:rPr>
                    <w:t>类别</w:t>
                  </w:r>
                </w:p>
              </w:tc>
              <w:tc>
                <w:tcPr>
                  <w:tcW w:w="1098" w:type="pct"/>
                  <w:shd w:val="clear" w:color="auto" w:fill="auto"/>
                  <w:vAlign w:val="center"/>
                </w:tcPr>
                <w:p w14:paraId="0BE4EA48">
                  <w:pPr>
                    <w:widowControl/>
                    <w:jc w:val="center"/>
                    <w:rPr>
                      <w:b/>
                      <w:bCs/>
                      <w:lang w:bidi="ar"/>
                    </w:rPr>
                  </w:pPr>
                  <w:r>
                    <w:rPr>
                      <w:rFonts w:hint="eastAsia"/>
                      <w:b/>
                      <w:bCs/>
                      <w:lang w:bidi="ar"/>
                    </w:rPr>
                    <w:t>监测位置</w:t>
                  </w:r>
                </w:p>
              </w:tc>
              <w:tc>
                <w:tcPr>
                  <w:tcW w:w="2616" w:type="pct"/>
                  <w:shd w:val="clear" w:color="auto" w:fill="auto"/>
                  <w:vAlign w:val="center"/>
                </w:tcPr>
                <w:p w14:paraId="67FC84CD">
                  <w:pPr>
                    <w:widowControl/>
                    <w:jc w:val="center"/>
                    <w:rPr>
                      <w:b/>
                      <w:bCs/>
                      <w:lang w:bidi="ar"/>
                    </w:rPr>
                  </w:pPr>
                  <w:r>
                    <w:rPr>
                      <w:rFonts w:hint="eastAsia"/>
                      <w:b/>
                      <w:bCs/>
                      <w:lang w:bidi="ar"/>
                    </w:rPr>
                    <w:t>监测因子</w:t>
                  </w:r>
                </w:p>
              </w:tc>
              <w:tc>
                <w:tcPr>
                  <w:tcW w:w="897" w:type="pct"/>
                  <w:shd w:val="clear" w:color="auto" w:fill="auto"/>
                  <w:vAlign w:val="center"/>
                </w:tcPr>
                <w:p w14:paraId="5D7F9299">
                  <w:pPr>
                    <w:widowControl/>
                    <w:jc w:val="center"/>
                    <w:rPr>
                      <w:b/>
                      <w:bCs/>
                      <w:lang w:bidi="ar"/>
                    </w:rPr>
                  </w:pPr>
                  <w:r>
                    <w:rPr>
                      <w:rFonts w:hint="eastAsia"/>
                      <w:b/>
                      <w:bCs/>
                      <w:lang w:bidi="ar"/>
                    </w:rPr>
                    <w:t>监测频次</w:t>
                  </w:r>
                </w:p>
              </w:tc>
            </w:tr>
            <w:tr w14:paraId="09B43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Merge w:val="restart"/>
                  <w:shd w:val="clear" w:color="auto" w:fill="auto"/>
                  <w:vAlign w:val="center"/>
                </w:tcPr>
                <w:p w14:paraId="4FE9E7C1">
                  <w:pPr>
                    <w:widowControl/>
                    <w:jc w:val="center"/>
                    <w:rPr>
                      <w:lang w:bidi="ar"/>
                    </w:rPr>
                  </w:pPr>
                  <w:r>
                    <w:rPr>
                      <w:rFonts w:hint="eastAsia"/>
                      <w:lang w:bidi="ar"/>
                    </w:rPr>
                    <w:t>废水</w:t>
                  </w:r>
                </w:p>
              </w:tc>
              <w:tc>
                <w:tcPr>
                  <w:tcW w:w="1098" w:type="pct"/>
                  <w:vMerge w:val="restart"/>
                  <w:shd w:val="clear" w:color="auto" w:fill="auto"/>
                  <w:vAlign w:val="center"/>
                </w:tcPr>
                <w:p w14:paraId="5B6CBC6B">
                  <w:pPr>
                    <w:widowControl/>
                    <w:jc w:val="center"/>
                    <w:rPr>
                      <w:rFonts w:hint="eastAsia"/>
                      <w:lang w:bidi="ar"/>
                    </w:rPr>
                  </w:pPr>
                  <w:r>
                    <w:rPr>
                      <w:rFonts w:hint="eastAsia"/>
                      <w:lang w:bidi="ar"/>
                    </w:rPr>
                    <w:t>医药产业示范园-废水总排口DW001</w:t>
                  </w:r>
                </w:p>
              </w:tc>
              <w:tc>
                <w:tcPr>
                  <w:tcW w:w="2616" w:type="pct"/>
                  <w:shd w:val="clear" w:color="auto" w:fill="auto"/>
                  <w:vAlign w:val="center"/>
                </w:tcPr>
                <w:p w14:paraId="75853587">
                  <w:pPr>
                    <w:widowControl/>
                    <w:jc w:val="center"/>
                    <w:rPr>
                      <w:lang w:bidi="ar"/>
                    </w:rPr>
                  </w:pPr>
                  <w:r>
                    <w:rPr>
                      <w:rFonts w:hint="eastAsia"/>
                      <w:lang w:bidi="ar"/>
                    </w:rPr>
                    <w:t>流量、pH值、化学需氧量、氨氮、总磷、总氮、悬浮物、五日生化需氧量、总氰化物、急性毒性（HgCl2毒性当量）</w:t>
                  </w:r>
                </w:p>
              </w:tc>
              <w:tc>
                <w:tcPr>
                  <w:tcW w:w="897" w:type="pct"/>
                  <w:shd w:val="clear" w:color="auto" w:fill="auto"/>
                  <w:vAlign w:val="center"/>
                </w:tcPr>
                <w:p w14:paraId="12636206">
                  <w:pPr>
                    <w:widowControl/>
                    <w:jc w:val="center"/>
                    <w:rPr>
                      <w:lang w:bidi="ar"/>
                    </w:rPr>
                  </w:pPr>
                  <w:r>
                    <w:rPr>
                      <w:rFonts w:hint="eastAsia"/>
                      <w:lang w:bidi="ar"/>
                    </w:rPr>
                    <w:t>1次/半年</w:t>
                  </w:r>
                </w:p>
              </w:tc>
            </w:tr>
            <w:tr w14:paraId="52292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Merge w:val="continue"/>
                  <w:shd w:val="clear" w:color="auto" w:fill="auto"/>
                  <w:vAlign w:val="center"/>
                </w:tcPr>
                <w:p w14:paraId="264D5808">
                  <w:pPr>
                    <w:widowControl/>
                    <w:jc w:val="center"/>
                    <w:rPr>
                      <w:rFonts w:hint="eastAsia"/>
                      <w:lang w:bidi="ar"/>
                    </w:rPr>
                  </w:pPr>
                </w:p>
              </w:tc>
              <w:tc>
                <w:tcPr>
                  <w:tcW w:w="1098" w:type="pct"/>
                  <w:vMerge w:val="continue"/>
                  <w:shd w:val="clear" w:color="auto" w:fill="auto"/>
                  <w:vAlign w:val="center"/>
                </w:tcPr>
                <w:p w14:paraId="0036F9E3">
                  <w:pPr>
                    <w:widowControl/>
                    <w:jc w:val="center"/>
                    <w:rPr>
                      <w:rFonts w:hint="eastAsia"/>
                      <w:lang w:bidi="ar"/>
                    </w:rPr>
                  </w:pPr>
                </w:p>
              </w:tc>
              <w:tc>
                <w:tcPr>
                  <w:tcW w:w="2616" w:type="pct"/>
                  <w:shd w:val="clear" w:color="auto" w:fill="auto"/>
                  <w:vAlign w:val="center"/>
                </w:tcPr>
                <w:p w14:paraId="581D17CF">
                  <w:pPr>
                    <w:widowControl/>
                    <w:jc w:val="center"/>
                    <w:rPr>
                      <w:rFonts w:hint="eastAsia"/>
                      <w:lang w:bidi="ar"/>
                    </w:rPr>
                  </w:pPr>
                  <w:r>
                    <w:rPr>
                      <w:rFonts w:hint="eastAsia"/>
                      <w:lang w:bidi="ar"/>
                    </w:rPr>
                    <w:t>总有机碳、色度、动植物油</w:t>
                  </w:r>
                </w:p>
              </w:tc>
              <w:tc>
                <w:tcPr>
                  <w:tcW w:w="897" w:type="pct"/>
                  <w:shd w:val="clear" w:color="auto" w:fill="auto"/>
                  <w:vAlign w:val="center"/>
                </w:tcPr>
                <w:p w14:paraId="6F274FB1">
                  <w:pPr>
                    <w:widowControl/>
                    <w:jc w:val="center"/>
                    <w:rPr>
                      <w:rFonts w:hint="eastAsia"/>
                      <w:lang w:bidi="ar"/>
                    </w:rPr>
                  </w:pPr>
                  <w:r>
                    <w:rPr>
                      <w:rFonts w:hint="eastAsia"/>
                      <w:lang w:bidi="ar"/>
                    </w:rPr>
                    <w:t>1次/年</w:t>
                  </w:r>
                </w:p>
              </w:tc>
            </w:tr>
            <w:tr w14:paraId="7526D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Merge w:val="continue"/>
                  <w:shd w:val="clear" w:color="auto" w:fill="auto"/>
                  <w:vAlign w:val="center"/>
                </w:tcPr>
                <w:p w14:paraId="68817F48">
                  <w:pPr>
                    <w:widowControl/>
                    <w:jc w:val="center"/>
                    <w:rPr>
                      <w:rFonts w:hint="eastAsia"/>
                      <w:lang w:bidi="ar"/>
                    </w:rPr>
                  </w:pPr>
                </w:p>
              </w:tc>
              <w:tc>
                <w:tcPr>
                  <w:tcW w:w="1098" w:type="pct"/>
                  <w:shd w:val="clear" w:color="auto" w:fill="auto"/>
                  <w:vAlign w:val="center"/>
                </w:tcPr>
                <w:p w14:paraId="4AFCDA2E">
                  <w:pPr>
                    <w:widowControl/>
                    <w:jc w:val="center"/>
                    <w:rPr>
                      <w:rFonts w:hint="eastAsia"/>
                      <w:lang w:bidi="ar"/>
                    </w:rPr>
                  </w:pPr>
                  <w:r>
                    <w:rPr>
                      <w:rFonts w:hint="eastAsia"/>
                      <w:lang w:bidi="ar"/>
                    </w:rPr>
                    <w:t>项目污水处理站排口</w:t>
                  </w:r>
                </w:p>
              </w:tc>
              <w:tc>
                <w:tcPr>
                  <w:tcW w:w="2616" w:type="pct"/>
                  <w:shd w:val="clear" w:color="auto" w:fill="auto"/>
                  <w:vAlign w:val="center"/>
                </w:tcPr>
                <w:p w14:paraId="614AE0AA">
                  <w:pPr>
                    <w:widowControl/>
                    <w:jc w:val="center"/>
                    <w:rPr>
                      <w:rFonts w:hint="eastAsia"/>
                      <w:lang w:bidi="ar"/>
                    </w:rPr>
                  </w:pPr>
                  <w:r>
                    <w:rPr>
                      <w:rFonts w:hint="eastAsia"/>
                      <w:lang w:bidi="ar"/>
                    </w:rPr>
                    <w:t>流量、总汞、总砷</w:t>
                  </w:r>
                </w:p>
              </w:tc>
              <w:tc>
                <w:tcPr>
                  <w:tcW w:w="897" w:type="pct"/>
                  <w:shd w:val="clear" w:color="auto" w:fill="auto"/>
                  <w:vAlign w:val="center"/>
                </w:tcPr>
                <w:p w14:paraId="1099BE51">
                  <w:pPr>
                    <w:widowControl/>
                    <w:jc w:val="center"/>
                    <w:rPr>
                      <w:rFonts w:hint="eastAsia"/>
                      <w:lang w:bidi="ar"/>
                    </w:rPr>
                  </w:pPr>
                  <w:r>
                    <w:rPr>
                      <w:rFonts w:hint="eastAsia"/>
                      <w:lang w:bidi="ar"/>
                    </w:rPr>
                    <w:t>1次/季</w:t>
                  </w:r>
                </w:p>
              </w:tc>
            </w:tr>
          </w:tbl>
          <w:p w14:paraId="626AB77A">
            <w:pPr>
              <w:widowControl/>
              <w:spacing w:line="360" w:lineRule="auto"/>
              <w:ind w:firstLine="422" w:firstLineChars="200"/>
              <w:rPr>
                <w:b/>
                <w:bCs/>
                <w:lang w:bidi="ar"/>
              </w:rPr>
            </w:pPr>
            <w:r>
              <w:rPr>
                <w:rFonts w:hint="eastAsia"/>
                <w:b/>
                <w:bCs/>
                <w:lang w:bidi="ar"/>
              </w:rPr>
              <w:t>（六）废水处理可行性分析</w:t>
            </w:r>
          </w:p>
          <w:p w14:paraId="5947BED7">
            <w:pPr>
              <w:widowControl/>
              <w:spacing w:line="360" w:lineRule="auto"/>
              <w:ind w:firstLine="422" w:firstLineChars="200"/>
              <w:rPr>
                <w:b/>
                <w:bCs/>
                <w:lang w:bidi="ar"/>
              </w:rPr>
            </w:pPr>
            <w:r>
              <w:rPr>
                <w:rFonts w:hint="eastAsia"/>
                <w:b/>
                <w:bCs/>
                <w:lang w:bidi="ar"/>
              </w:rPr>
              <w:t>（1）生产废水处理可行性分析</w:t>
            </w:r>
          </w:p>
          <w:p w14:paraId="21AD1053">
            <w:pPr>
              <w:widowControl/>
              <w:spacing w:line="360" w:lineRule="auto"/>
              <w:ind w:firstLine="420" w:firstLineChars="200"/>
              <w:rPr>
                <w:lang w:bidi="ar"/>
              </w:rPr>
            </w:pPr>
            <w:r>
              <w:rPr>
                <w:rFonts w:hint="eastAsia"/>
                <w:lang w:bidi="ar"/>
              </w:rPr>
              <w:t>本项目生产废水采用“气浮+A/O+MBR+沉淀”处理工艺进行处理，主要流程为“格栅收集池+潜水泵+絮凝加药装置+一体化气浮装置+一体化生化反应处理设备”，根据建设单位提供资料，拟设置污水处理站设计处理负荷为1.5t/h，本项目生产废水排放量约</w:t>
            </w:r>
            <w:r>
              <w:rPr>
                <w:lang w:bidi="ar"/>
              </w:rPr>
              <w:t>5.599</w:t>
            </w:r>
            <w:r>
              <w:rPr>
                <w:rFonts w:hint="eastAsia"/>
                <w:lang w:bidi="ar"/>
              </w:rPr>
              <w:t>t/d，满足废水处理负荷。</w:t>
            </w:r>
          </w:p>
          <w:p w14:paraId="55552BB6">
            <w:pPr>
              <w:widowControl/>
              <w:spacing w:line="360" w:lineRule="auto"/>
              <w:ind w:firstLine="420" w:firstLineChars="200"/>
              <w:rPr>
                <w:lang w:bidi="ar"/>
              </w:rPr>
            </w:pPr>
            <w:r>
              <w:rPr>
                <w:rFonts w:hint="eastAsia"/>
                <w:lang w:bidi="ar"/>
              </w:rPr>
              <w:t>参照《排污许可证申请与核发技术规范制药工业—中成药生产》（HJ 1064—2019），中成药生产废水处理可行技术为“预处理系统：格栅、混凝、沉淀、中和调节、气浮； 生化处理系统：水解酸化、厌氧生物法、好氧生物法； 深度处理：活性炭吸附、曝气生物滤池、高级氧化、芬顿氧化、膜分离；”本项目采用的“气浮+A/O+MBR+沉淀”工艺为可行技术。</w:t>
            </w:r>
          </w:p>
          <w:p w14:paraId="65C8A513">
            <w:pPr>
              <w:widowControl/>
              <w:spacing w:line="360" w:lineRule="auto"/>
              <w:ind w:firstLine="422" w:firstLineChars="200"/>
              <w:rPr>
                <w:b/>
                <w:bCs/>
                <w:lang w:bidi="ar"/>
              </w:rPr>
            </w:pPr>
            <w:r>
              <w:rPr>
                <w:rFonts w:hint="eastAsia"/>
                <w:b/>
                <w:bCs/>
                <w:lang w:bidi="ar"/>
              </w:rPr>
              <w:t>（2）医药产业示范园废水情况</w:t>
            </w:r>
          </w:p>
          <w:p w14:paraId="30712A01">
            <w:pPr>
              <w:widowControl/>
              <w:spacing w:line="360" w:lineRule="auto"/>
              <w:ind w:firstLine="420" w:firstLineChars="200"/>
              <w:rPr>
                <w:lang w:bidi="ar"/>
              </w:rPr>
            </w:pPr>
            <w:r>
              <w:rPr>
                <w:rFonts w:hint="eastAsia"/>
                <w:lang w:bidi="ar"/>
              </w:rPr>
              <w:t>本项目位于通川区中医药产业示范园内，该园区东南侧设置了一座处理能力250m</w:t>
            </w:r>
            <w:r>
              <w:rPr>
                <w:rFonts w:hint="eastAsia"/>
                <w:vertAlign w:val="superscript"/>
                <w:lang w:bidi="ar"/>
              </w:rPr>
              <w:t>3</w:t>
            </w:r>
            <w:r>
              <w:rPr>
                <w:rFonts w:hint="eastAsia"/>
                <w:lang w:bidi="ar"/>
              </w:rPr>
              <w:t>/d的生化预处理池，位于本项目东侧约145m 处，目前实际处理量约45m</w:t>
            </w:r>
            <w:r>
              <w:rPr>
                <w:rFonts w:hint="eastAsia"/>
                <w:vertAlign w:val="superscript"/>
                <w:lang w:bidi="ar"/>
              </w:rPr>
              <w:t>3</w:t>
            </w:r>
            <w:r>
              <w:rPr>
                <w:rFonts w:hint="eastAsia"/>
                <w:lang w:bidi="ar"/>
              </w:rPr>
              <w:t>/d，剩余处理负荷约205m</w:t>
            </w:r>
            <w:r>
              <w:rPr>
                <w:rFonts w:hint="eastAsia"/>
                <w:vertAlign w:val="superscript"/>
                <w:lang w:bidi="ar"/>
              </w:rPr>
              <w:t>3</w:t>
            </w:r>
            <w:r>
              <w:rPr>
                <w:rFonts w:hint="eastAsia"/>
                <w:lang w:bidi="ar"/>
              </w:rPr>
              <w:t>/d。本项目废水产生量约为11.58m</w:t>
            </w:r>
            <w:r>
              <w:rPr>
                <w:rFonts w:hint="eastAsia"/>
                <w:vertAlign w:val="superscript"/>
                <w:lang w:bidi="ar"/>
              </w:rPr>
              <w:t>3</w:t>
            </w:r>
            <w:r>
              <w:rPr>
                <w:rFonts w:hint="eastAsia"/>
                <w:lang w:bidi="ar"/>
              </w:rPr>
              <w:t>/d，医药产业示范园内现有预处理池有足够的剩余处理负荷接纳本项目新增废水。现有医药产业示范园预处理池出水可实现达标排放，因此本项目废水进入医药产业示范园内预处理池处理后可确保达标排放。</w:t>
            </w:r>
          </w:p>
          <w:p w14:paraId="0065316C">
            <w:pPr>
              <w:widowControl/>
              <w:spacing w:line="360" w:lineRule="auto"/>
              <w:ind w:firstLine="422" w:firstLineChars="200"/>
              <w:rPr>
                <w:b/>
                <w:bCs/>
                <w:lang w:bidi="ar"/>
              </w:rPr>
            </w:pPr>
            <w:r>
              <w:rPr>
                <w:rFonts w:hint="eastAsia"/>
                <w:b/>
                <w:bCs/>
                <w:lang w:bidi="ar"/>
              </w:rPr>
              <w:t>（3）魏兴场镇污水处理厂</w:t>
            </w:r>
          </w:p>
          <w:p w14:paraId="52654432">
            <w:pPr>
              <w:widowControl/>
              <w:spacing w:line="360" w:lineRule="auto"/>
              <w:ind w:firstLine="420" w:firstLineChars="200"/>
              <w:rPr>
                <w:lang w:bidi="ar"/>
              </w:rPr>
            </w:pPr>
            <w:r>
              <w:rPr>
                <w:rFonts w:hint="eastAsia"/>
                <w:lang w:bidi="ar"/>
              </w:rPr>
              <w:t>魏兴场镇污水处理厂位于通川区魏兴镇中心社区四组，占地面积约20亩，设计处理能力为5000m</w:t>
            </w:r>
            <w:r>
              <w:rPr>
                <w:rFonts w:hint="eastAsia"/>
                <w:vertAlign w:val="superscript"/>
                <w:lang w:bidi="ar"/>
              </w:rPr>
              <w:t>3</w:t>
            </w:r>
            <w:r>
              <w:rPr>
                <w:rFonts w:hint="eastAsia"/>
                <w:lang w:bidi="ar"/>
              </w:rPr>
              <w:t>/d，处理工艺采用“水解酸化+改良Orbal氧化沟+滤布滤池+次氯酸钠、紫外消毒”，2021年魏兴场镇污水处理厂扩建了3000m3/d应急污水处理设施，目前，污水处理厂处理能力为8000m3/d。服务范围为蒲家镇及魏兴场镇生活污水、农产品加工集中区生产废水和生活污水，尾水经管道引至州河排放。污水处理厂接管标准为《污水综合排放标准》（GB8978-1996）三级标准，污水处理厂出水水质执行《城镇污水处理厂污染物排放标准》（GB18918-2002）一级A标准。</w:t>
            </w:r>
          </w:p>
          <w:p w14:paraId="17E64AA3">
            <w:pPr>
              <w:widowControl/>
              <w:spacing w:line="360" w:lineRule="auto"/>
              <w:ind w:firstLine="420" w:firstLineChars="200"/>
              <w:rPr>
                <w:rFonts w:hint="eastAsia"/>
                <w:lang w:bidi="ar"/>
              </w:rPr>
            </w:pPr>
            <w:r>
              <w:rPr>
                <w:rFonts w:hint="eastAsia"/>
                <w:lang w:bidi="ar"/>
              </w:rPr>
              <w:t>根据调查，魏兴场镇污水处理厂现处于正常运行状态。目前，魏兴场镇污水处理厂废水处理量平均约6000m</w:t>
            </w:r>
            <w:r>
              <w:rPr>
                <w:rFonts w:hint="eastAsia"/>
                <w:vertAlign w:val="superscript"/>
                <w:lang w:bidi="ar"/>
              </w:rPr>
              <w:t>3</w:t>
            </w:r>
            <w:r>
              <w:rPr>
                <w:rFonts w:hint="eastAsia"/>
                <w:lang w:bidi="ar"/>
              </w:rPr>
              <w:t>/d，富余2000m</w:t>
            </w:r>
            <w:r>
              <w:rPr>
                <w:rFonts w:hint="eastAsia"/>
                <w:vertAlign w:val="superscript"/>
                <w:lang w:bidi="ar"/>
              </w:rPr>
              <w:t>3</w:t>
            </w:r>
            <w:r>
              <w:rPr>
                <w:rFonts w:hint="eastAsia"/>
                <w:lang w:bidi="ar"/>
              </w:rPr>
              <w:t>/d。</w:t>
            </w:r>
          </w:p>
          <w:p w14:paraId="78CA047C">
            <w:pPr>
              <w:widowControl/>
              <w:spacing w:line="360" w:lineRule="auto"/>
              <w:ind w:firstLine="420" w:firstLineChars="200"/>
              <w:rPr>
                <w:rFonts w:hint="eastAsia"/>
                <w:lang w:bidi="ar"/>
              </w:rPr>
            </w:pPr>
            <w:r>
              <w:rPr>
                <w:rFonts w:hint="eastAsia"/>
                <w:lang w:bidi="ar"/>
              </w:rPr>
              <w:t>拟建项目位于达州市农产品加工集中区，属于魏兴场镇污水处理厂污水接纳范围内，区域污水管网已建好，项目污水能接入魏兴场镇污水处理厂。项目污水量11.58m</w:t>
            </w:r>
            <w:r>
              <w:rPr>
                <w:rFonts w:hint="eastAsia"/>
                <w:vertAlign w:val="superscript"/>
                <w:lang w:bidi="ar"/>
              </w:rPr>
              <w:t>3</w:t>
            </w:r>
            <w:r>
              <w:rPr>
                <w:rFonts w:hint="eastAsia"/>
                <w:lang w:bidi="ar"/>
              </w:rPr>
              <w:t>/d，污水处理厂有足够剩余容量容纳拟建项目产生的废水。拟建项目废水处理达《污水综合排放标准》（GB8978-1996）三级标准后经市政污水管网排入魏兴场镇污水处理厂，满足污水处理厂进水水质要求，符合其接管水质标准。</w:t>
            </w:r>
          </w:p>
          <w:p w14:paraId="2C281B24">
            <w:pPr>
              <w:widowControl/>
              <w:spacing w:line="360" w:lineRule="auto"/>
              <w:ind w:firstLine="420" w:firstLineChars="200"/>
              <w:rPr>
                <w:lang w:bidi="ar"/>
              </w:rPr>
            </w:pPr>
            <w:r>
              <w:rPr>
                <w:rFonts w:hint="eastAsia"/>
                <w:lang w:bidi="ar"/>
              </w:rPr>
              <w:t>因此，拟建项目废水排入魏兴场镇污水处理厂不会对其正常运行产生不利影响。</w:t>
            </w:r>
          </w:p>
          <w:p w14:paraId="19A6065A">
            <w:pPr>
              <w:widowControl/>
              <w:spacing w:line="360" w:lineRule="auto"/>
              <w:ind w:firstLine="420" w:firstLineChars="200"/>
              <w:rPr>
                <w:lang w:bidi="ar"/>
              </w:rPr>
            </w:pPr>
            <w:r>
              <w:rPr>
                <w:rFonts w:hint="eastAsia"/>
                <w:lang w:bidi="ar"/>
              </w:rPr>
              <w:t>综上分析，本项目运营期间产生的废水治理措施合理可行。</w:t>
            </w:r>
          </w:p>
          <w:p w14:paraId="114E6F1C">
            <w:pPr>
              <w:widowControl/>
              <w:spacing w:line="360" w:lineRule="auto"/>
              <w:ind w:firstLine="422" w:firstLineChars="200"/>
              <w:rPr>
                <w:b/>
                <w:bCs/>
                <w:lang w:bidi="ar"/>
              </w:rPr>
            </w:pPr>
            <w:r>
              <w:rPr>
                <w:rFonts w:hint="eastAsia"/>
                <w:b/>
                <w:bCs/>
                <w:lang w:bidi="ar"/>
              </w:rPr>
              <w:t>三、噪声</w:t>
            </w:r>
          </w:p>
          <w:p w14:paraId="0909326F">
            <w:pPr>
              <w:widowControl/>
              <w:spacing w:line="360" w:lineRule="auto"/>
              <w:ind w:firstLine="422" w:firstLineChars="200"/>
              <w:rPr>
                <w:b/>
                <w:bCs/>
                <w:lang w:bidi="ar"/>
              </w:rPr>
            </w:pPr>
            <w:r>
              <w:rPr>
                <w:rFonts w:hint="eastAsia"/>
                <w:b/>
                <w:bCs/>
                <w:lang w:bidi="ar"/>
              </w:rPr>
              <w:t>（一）噪声来源</w:t>
            </w:r>
          </w:p>
          <w:p w14:paraId="40E074B6">
            <w:pPr>
              <w:widowControl/>
              <w:spacing w:line="360" w:lineRule="auto"/>
              <w:ind w:firstLine="420" w:firstLineChars="200"/>
              <w:rPr>
                <w:lang w:bidi="ar"/>
              </w:rPr>
            </w:pPr>
            <w:r>
              <w:rPr>
                <w:rFonts w:hint="eastAsia"/>
                <w:lang w:bidi="ar"/>
              </w:rPr>
              <w:t>本项目营运期噪声来源主要为空压机、粉碎机、全自动包装机、自动调剂设备、风机等设备运行时产生的噪声，源强为65-85dB（A）。其源强值及治理效果，见下表</w:t>
            </w:r>
          </w:p>
          <w:p w14:paraId="7DEA4048">
            <w:pPr>
              <w:autoSpaceDE w:val="0"/>
              <w:autoSpaceDN w:val="0"/>
              <w:adjustRightInd w:val="0"/>
              <w:snapToGrid w:val="0"/>
              <w:jc w:val="center"/>
              <w:rPr>
                <w:b/>
              </w:rPr>
            </w:pPr>
            <w:r>
              <w:rPr>
                <w:rFonts w:hint="eastAsia"/>
                <w:b/>
              </w:rPr>
              <w:t>表4-19</w:t>
            </w:r>
            <w:r>
              <w:rPr>
                <w:b/>
              </w:rPr>
              <w:t xml:space="preserve">  </w:t>
            </w:r>
            <w:r>
              <w:rPr>
                <w:rFonts w:hint="eastAsia"/>
                <w:b/>
              </w:rPr>
              <w:t>项目运营期主要设备噪声及治理情况（室外声源）</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1"/>
              <w:gridCol w:w="1004"/>
              <w:gridCol w:w="433"/>
              <w:gridCol w:w="718"/>
              <w:gridCol w:w="716"/>
              <w:gridCol w:w="720"/>
              <w:gridCol w:w="1148"/>
              <w:gridCol w:w="721"/>
              <w:gridCol w:w="1576"/>
              <w:gridCol w:w="1090"/>
            </w:tblGrid>
            <w:tr w14:paraId="642FF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restart"/>
                  <w:tcBorders>
                    <w:top w:val="single" w:color="auto" w:sz="12" w:space="0"/>
                    <w:bottom w:val="single" w:color="auto" w:sz="12" w:space="0"/>
                    <w:insideH w:val="single" w:sz="12" w:space="0"/>
                  </w:tcBorders>
                  <w:shd w:val="clear" w:color="auto" w:fill="auto"/>
                  <w:vAlign w:val="center"/>
                </w:tcPr>
                <w:p w14:paraId="1EB10604">
                  <w:pPr>
                    <w:autoSpaceDE w:val="0"/>
                    <w:autoSpaceDN w:val="0"/>
                    <w:adjustRightInd w:val="0"/>
                    <w:snapToGrid w:val="0"/>
                    <w:jc w:val="center"/>
                    <w:rPr>
                      <w:b/>
                      <w:sz w:val="15"/>
                      <w:szCs w:val="15"/>
                    </w:rPr>
                  </w:pPr>
                  <w:r>
                    <w:rPr>
                      <w:rFonts w:hint="eastAsia"/>
                      <w:b/>
                      <w:sz w:val="15"/>
                      <w:szCs w:val="15"/>
                    </w:rPr>
                    <w:t>序号</w:t>
                  </w:r>
                </w:p>
              </w:tc>
              <w:tc>
                <w:tcPr>
                  <w:tcW w:w="589" w:type="pct"/>
                  <w:vMerge w:val="restart"/>
                  <w:tcBorders>
                    <w:top w:val="single" w:color="auto" w:sz="12" w:space="0"/>
                    <w:bottom w:val="single" w:color="auto" w:sz="12" w:space="0"/>
                    <w:insideH w:val="single" w:sz="12" w:space="0"/>
                  </w:tcBorders>
                  <w:shd w:val="clear" w:color="auto" w:fill="auto"/>
                  <w:vAlign w:val="center"/>
                </w:tcPr>
                <w:p w14:paraId="084084AC">
                  <w:pPr>
                    <w:autoSpaceDE w:val="0"/>
                    <w:autoSpaceDN w:val="0"/>
                    <w:adjustRightInd w:val="0"/>
                    <w:snapToGrid w:val="0"/>
                    <w:jc w:val="center"/>
                    <w:rPr>
                      <w:b/>
                      <w:sz w:val="15"/>
                      <w:szCs w:val="15"/>
                    </w:rPr>
                  </w:pPr>
                  <w:r>
                    <w:rPr>
                      <w:rFonts w:hint="eastAsia"/>
                      <w:b/>
                      <w:sz w:val="15"/>
                      <w:szCs w:val="15"/>
                    </w:rPr>
                    <w:t>声源名称</w:t>
                  </w:r>
                </w:p>
              </w:tc>
              <w:tc>
                <w:tcPr>
                  <w:tcW w:w="254" w:type="pct"/>
                  <w:vMerge w:val="restart"/>
                  <w:tcBorders>
                    <w:top w:val="single" w:color="auto" w:sz="12" w:space="0"/>
                    <w:bottom w:val="single" w:color="auto" w:sz="12" w:space="0"/>
                    <w:insideH w:val="single" w:sz="12" w:space="0"/>
                  </w:tcBorders>
                  <w:shd w:val="clear" w:color="auto" w:fill="auto"/>
                  <w:vAlign w:val="center"/>
                </w:tcPr>
                <w:p w14:paraId="2E2E7D52">
                  <w:pPr>
                    <w:autoSpaceDE w:val="0"/>
                    <w:autoSpaceDN w:val="0"/>
                    <w:adjustRightInd w:val="0"/>
                    <w:snapToGrid w:val="0"/>
                    <w:jc w:val="center"/>
                    <w:rPr>
                      <w:b/>
                      <w:sz w:val="15"/>
                      <w:szCs w:val="15"/>
                    </w:rPr>
                  </w:pPr>
                  <w:r>
                    <w:rPr>
                      <w:rFonts w:hint="eastAsia"/>
                      <w:b/>
                      <w:sz w:val="15"/>
                      <w:szCs w:val="15"/>
                    </w:rPr>
                    <w:t>型号</w:t>
                  </w:r>
                </w:p>
              </w:tc>
              <w:tc>
                <w:tcPr>
                  <w:tcW w:w="1263" w:type="pct"/>
                  <w:gridSpan w:val="3"/>
                  <w:tcBorders>
                    <w:top w:val="single" w:color="auto" w:sz="12" w:space="0"/>
                    <w:bottom w:val="single" w:color="auto" w:sz="12" w:space="0"/>
                    <w:insideH w:val="single" w:sz="12" w:space="0"/>
                  </w:tcBorders>
                  <w:shd w:val="clear" w:color="auto" w:fill="auto"/>
                  <w:vAlign w:val="center"/>
                </w:tcPr>
                <w:p w14:paraId="488A8D87">
                  <w:pPr>
                    <w:autoSpaceDE w:val="0"/>
                    <w:autoSpaceDN w:val="0"/>
                    <w:adjustRightInd w:val="0"/>
                    <w:snapToGrid w:val="0"/>
                    <w:jc w:val="center"/>
                    <w:rPr>
                      <w:b/>
                      <w:sz w:val="15"/>
                      <w:szCs w:val="15"/>
                    </w:rPr>
                  </w:pPr>
                  <w:r>
                    <w:rPr>
                      <w:rFonts w:hint="eastAsia"/>
                      <w:b/>
                      <w:sz w:val="15"/>
                      <w:szCs w:val="15"/>
                    </w:rPr>
                    <w:t>空间相对位置/m</w:t>
                  </w:r>
                </w:p>
              </w:tc>
              <w:tc>
                <w:tcPr>
                  <w:tcW w:w="1096" w:type="pct"/>
                  <w:gridSpan w:val="2"/>
                  <w:tcBorders>
                    <w:top w:val="single" w:color="auto" w:sz="12" w:space="0"/>
                    <w:bottom w:val="single" w:color="auto" w:sz="12" w:space="0"/>
                    <w:insideH w:val="single" w:sz="12" w:space="0"/>
                  </w:tcBorders>
                  <w:shd w:val="clear" w:color="auto" w:fill="auto"/>
                  <w:vAlign w:val="center"/>
                </w:tcPr>
                <w:p w14:paraId="06644C9D">
                  <w:pPr>
                    <w:autoSpaceDE w:val="0"/>
                    <w:autoSpaceDN w:val="0"/>
                    <w:adjustRightInd w:val="0"/>
                    <w:snapToGrid w:val="0"/>
                    <w:jc w:val="center"/>
                    <w:rPr>
                      <w:b/>
                      <w:sz w:val="15"/>
                      <w:szCs w:val="15"/>
                    </w:rPr>
                  </w:pPr>
                  <w:r>
                    <w:rPr>
                      <w:rFonts w:hint="eastAsia"/>
                      <w:b/>
                      <w:sz w:val="15"/>
                      <w:szCs w:val="15"/>
                    </w:rPr>
                    <w:t>声源源强</w:t>
                  </w:r>
                </w:p>
              </w:tc>
              <w:tc>
                <w:tcPr>
                  <w:tcW w:w="924" w:type="pct"/>
                  <w:vMerge w:val="restart"/>
                  <w:tcBorders>
                    <w:top w:val="single" w:color="auto" w:sz="12" w:space="0"/>
                    <w:bottom w:val="single" w:color="auto" w:sz="12" w:space="0"/>
                    <w:insideH w:val="single" w:sz="12" w:space="0"/>
                  </w:tcBorders>
                  <w:shd w:val="clear" w:color="auto" w:fill="auto"/>
                  <w:vAlign w:val="center"/>
                </w:tcPr>
                <w:p w14:paraId="50DBCAF9">
                  <w:pPr>
                    <w:autoSpaceDE w:val="0"/>
                    <w:autoSpaceDN w:val="0"/>
                    <w:adjustRightInd w:val="0"/>
                    <w:snapToGrid w:val="0"/>
                    <w:jc w:val="center"/>
                    <w:rPr>
                      <w:b/>
                      <w:sz w:val="15"/>
                      <w:szCs w:val="15"/>
                    </w:rPr>
                  </w:pPr>
                  <w:r>
                    <w:rPr>
                      <w:rFonts w:hint="eastAsia"/>
                      <w:b/>
                      <w:sz w:val="15"/>
                      <w:szCs w:val="15"/>
                    </w:rPr>
                    <w:t>声源控制措施</w:t>
                  </w:r>
                </w:p>
              </w:tc>
              <w:tc>
                <w:tcPr>
                  <w:tcW w:w="640" w:type="pct"/>
                  <w:vMerge w:val="restart"/>
                  <w:tcBorders>
                    <w:top w:val="single" w:color="auto" w:sz="12" w:space="0"/>
                    <w:bottom w:val="single" w:color="auto" w:sz="12" w:space="0"/>
                    <w:insideH w:val="single" w:sz="12" w:space="0"/>
                  </w:tcBorders>
                  <w:shd w:val="clear" w:color="auto" w:fill="auto"/>
                  <w:vAlign w:val="center"/>
                </w:tcPr>
                <w:p w14:paraId="1B06852E">
                  <w:pPr>
                    <w:autoSpaceDE w:val="0"/>
                    <w:autoSpaceDN w:val="0"/>
                    <w:adjustRightInd w:val="0"/>
                    <w:snapToGrid w:val="0"/>
                    <w:jc w:val="center"/>
                    <w:rPr>
                      <w:b/>
                      <w:sz w:val="15"/>
                      <w:szCs w:val="15"/>
                    </w:rPr>
                  </w:pPr>
                  <w:r>
                    <w:rPr>
                      <w:rFonts w:hint="eastAsia"/>
                      <w:b/>
                      <w:sz w:val="15"/>
                      <w:szCs w:val="15"/>
                    </w:rPr>
                    <w:t>运行时段</w:t>
                  </w:r>
                </w:p>
              </w:tc>
            </w:tr>
            <w:tr w14:paraId="09BA0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vMerge w:val="continue"/>
                  <w:shd w:val="clear" w:color="auto" w:fill="auto"/>
                  <w:vAlign w:val="center"/>
                </w:tcPr>
                <w:p w14:paraId="201F84EF">
                  <w:pPr>
                    <w:autoSpaceDE w:val="0"/>
                    <w:autoSpaceDN w:val="0"/>
                    <w:adjustRightInd w:val="0"/>
                    <w:snapToGrid w:val="0"/>
                    <w:jc w:val="center"/>
                    <w:rPr>
                      <w:b/>
                      <w:sz w:val="15"/>
                      <w:szCs w:val="15"/>
                    </w:rPr>
                  </w:pPr>
                </w:p>
              </w:tc>
              <w:tc>
                <w:tcPr>
                  <w:tcW w:w="589" w:type="pct"/>
                  <w:vMerge w:val="continue"/>
                  <w:shd w:val="clear" w:color="auto" w:fill="auto"/>
                  <w:vAlign w:val="center"/>
                </w:tcPr>
                <w:p w14:paraId="743B95D2">
                  <w:pPr>
                    <w:autoSpaceDE w:val="0"/>
                    <w:autoSpaceDN w:val="0"/>
                    <w:adjustRightInd w:val="0"/>
                    <w:snapToGrid w:val="0"/>
                    <w:jc w:val="center"/>
                    <w:rPr>
                      <w:b/>
                      <w:sz w:val="15"/>
                      <w:szCs w:val="15"/>
                    </w:rPr>
                  </w:pPr>
                </w:p>
              </w:tc>
              <w:tc>
                <w:tcPr>
                  <w:tcW w:w="254" w:type="pct"/>
                  <w:vMerge w:val="continue"/>
                  <w:shd w:val="clear" w:color="auto" w:fill="auto"/>
                  <w:vAlign w:val="center"/>
                </w:tcPr>
                <w:p w14:paraId="2CEF80B1">
                  <w:pPr>
                    <w:autoSpaceDE w:val="0"/>
                    <w:autoSpaceDN w:val="0"/>
                    <w:adjustRightInd w:val="0"/>
                    <w:snapToGrid w:val="0"/>
                    <w:jc w:val="center"/>
                    <w:rPr>
                      <w:b/>
                      <w:sz w:val="15"/>
                      <w:szCs w:val="15"/>
                    </w:rPr>
                  </w:pPr>
                </w:p>
              </w:tc>
              <w:tc>
                <w:tcPr>
                  <w:tcW w:w="421" w:type="pct"/>
                  <w:shd w:val="clear" w:color="auto" w:fill="auto"/>
                  <w:vAlign w:val="center"/>
                </w:tcPr>
                <w:p w14:paraId="7B28D340">
                  <w:pPr>
                    <w:autoSpaceDE w:val="0"/>
                    <w:autoSpaceDN w:val="0"/>
                    <w:adjustRightInd w:val="0"/>
                    <w:snapToGrid w:val="0"/>
                    <w:jc w:val="center"/>
                    <w:rPr>
                      <w:b/>
                      <w:sz w:val="15"/>
                      <w:szCs w:val="15"/>
                    </w:rPr>
                  </w:pPr>
                  <w:r>
                    <w:rPr>
                      <w:rFonts w:hint="eastAsia"/>
                      <w:b/>
                      <w:sz w:val="15"/>
                      <w:szCs w:val="15"/>
                    </w:rPr>
                    <w:t>X</w:t>
                  </w:r>
                </w:p>
              </w:tc>
              <w:tc>
                <w:tcPr>
                  <w:tcW w:w="420" w:type="pct"/>
                  <w:shd w:val="clear" w:color="auto" w:fill="auto"/>
                  <w:vAlign w:val="center"/>
                </w:tcPr>
                <w:p w14:paraId="683D2CFE">
                  <w:pPr>
                    <w:autoSpaceDE w:val="0"/>
                    <w:autoSpaceDN w:val="0"/>
                    <w:adjustRightInd w:val="0"/>
                    <w:snapToGrid w:val="0"/>
                    <w:jc w:val="center"/>
                    <w:rPr>
                      <w:b/>
                      <w:sz w:val="15"/>
                      <w:szCs w:val="15"/>
                    </w:rPr>
                  </w:pPr>
                  <w:r>
                    <w:rPr>
                      <w:rFonts w:hint="eastAsia"/>
                      <w:b/>
                      <w:sz w:val="15"/>
                      <w:szCs w:val="15"/>
                    </w:rPr>
                    <w:t>Y</w:t>
                  </w:r>
                </w:p>
              </w:tc>
              <w:tc>
                <w:tcPr>
                  <w:tcW w:w="422" w:type="pct"/>
                  <w:shd w:val="clear" w:color="auto" w:fill="auto"/>
                  <w:vAlign w:val="center"/>
                </w:tcPr>
                <w:p w14:paraId="0DF3F819">
                  <w:pPr>
                    <w:autoSpaceDE w:val="0"/>
                    <w:autoSpaceDN w:val="0"/>
                    <w:adjustRightInd w:val="0"/>
                    <w:snapToGrid w:val="0"/>
                    <w:jc w:val="center"/>
                    <w:rPr>
                      <w:b/>
                      <w:sz w:val="15"/>
                      <w:szCs w:val="15"/>
                    </w:rPr>
                  </w:pPr>
                  <w:r>
                    <w:rPr>
                      <w:rFonts w:hint="eastAsia"/>
                      <w:b/>
                      <w:sz w:val="15"/>
                      <w:szCs w:val="15"/>
                    </w:rPr>
                    <w:t>Z</w:t>
                  </w:r>
                </w:p>
              </w:tc>
              <w:tc>
                <w:tcPr>
                  <w:tcW w:w="673" w:type="pct"/>
                  <w:shd w:val="clear" w:color="auto" w:fill="auto"/>
                  <w:vAlign w:val="center"/>
                </w:tcPr>
                <w:p w14:paraId="6381992B">
                  <w:pPr>
                    <w:autoSpaceDE w:val="0"/>
                    <w:autoSpaceDN w:val="0"/>
                    <w:adjustRightInd w:val="0"/>
                    <w:snapToGrid w:val="0"/>
                    <w:jc w:val="center"/>
                    <w:rPr>
                      <w:b/>
                      <w:sz w:val="15"/>
                      <w:szCs w:val="15"/>
                    </w:rPr>
                  </w:pPr>
                  <w:r>
                    <w:rPr>
                      <w:rFonts w:hint="eastAsia"/>
                      <w:b/>
                      <w:sz w:val="15"/>
                      <w:szCs w:val="15"/>
                    </w:rPr>
                    <w:t>声压级/距声源距离（dB（A）/m）</w:t>
                  </w:r>
                </w:p>
              </w:tc>
              <w:tc>
                <w:tcPr>
                  <w:tcW w:w="423" w:type="pct"/>
                  <w:shd w:val="clear" w:color="auto" w:fill="auto"/>
                  <w:vAlign w:val="center"/>
                </w:tcPr>
                <w:p w14:paraId="7DDDE866">
                  <w:pPr>
                    <w:autoSpaceDE w:val="0"/>
                    <w:autoSpaceDN w:val="0"/>
                    <w:adjustRightInd w:val="0"/>
                    <w:snapToGrid w:val="0"/>
                    <w:jc w:val="center"/>
                    <w:rPr>
                      <w:b/>
                      <w:sz w:val="15"/>
                      <w:szCs w:val="15"/>
                    </w:rPr>
                  </w:pPr>
                  <w:r>
                    <w:rPr>
                      <w:rFonts w:hint="eastAsia"/>
                      <w:b/>
                      <w:sz w:val="15"/>
                      <w:szCs w:val="15"/>
                    </w:rPr>
                    <w:t>声功率/dB（A）</w:t>
                  </w:r>
                </w:p>
              </w:tc>
              <w:tc>
                <w:tcPr>
                  <w:tcW w:w="924" w:type="pct"/>
                  <w:vMerge w:val="continue"/>
                  <w:shd w:val="clear" w:color="auto" w:fill="auto"/>
                  <w:vAlign w:val="center"/>
                </w:tcPr>
                <w:p w14:paraId="452992D5">
                  <w:pPr>
                    <w:autoSpaceDE w:val="0"/>
                    <w:autoSpaceDN w:val="0"/>
                    <w:adjustRightInd w:val="0"/>
                    <w:snapToGrid w:val="0"/>
                    <w:jc w:val="center"/>
                    <w:rPr>
                      <w:b/>
                      <w:sz w:val="15"/>
                      <w:szCs w:val="15"/>
                    </w:rPr>
                  </w:pPr>
                </w:p>
              </w:tc>
              <w:tc>
                <w:tcPr>
                  <w:tcW w:w="640" w:type="pct"/>
                  <w:vMerge w:val="continue"/>
                  <w:shd w:val="clear" w:color="auto" w:fill="auto"/>
                  <w:vAlign w:val="center"/>
                </w:tcPr>
                <w:p w14:paraId="66F2BFEE">
                  <w:pPr>
                    <w:autoSpaceDE w:val="0"/>
                    <w:autoSpaceDN w:val="0"/>
                    <w:adjustRightInd w:val="0"/>
                    <w:snapToGrid w:val="0"/>
                    <w:jc w:val="center"/>
                    <w:rPr>
                      <w:b/>
                      <w:sz w:val="15"/>
                      <w:szCs w:val="15"/>
                    </w:rPr>
                  </w:pPr>
                </w:p>
              </w:tc>
            </w:tr>
            <w:tr w14:paraId="10BBC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shd w:val="clear" w:color="auto" w:fill="auto"/>
                  <w:vAlign w:val="center"/>
                </w:tcPr>
                <w:p w14:paraId="40213626">
                  <w:pPr>
                    <w:autoSpaceDE w:val="0"/>
                    <w:autoSpaceDN w:val="0"/>
                    <w:adjustRightInd w:val="0"/>
                    <w:snapToGrid w:val="0"/>
                    <w:jc w:val="center"/>
                    <w:rPr>
                      <w:bCs/>
                      <w:sz w:val="15"/>
                      <w:szCs w:val="15"/>
                    </w:rPr>
                  </w:pPr>
                  <w:r>
                    <w:rPr>
                      <w:rFonts w:hint="eastAsia"/>
                      <w:bCs/>
                      <w:sz w:val="15"/>
                      <w:szCs w:val="15"/>
                    </w:rPr>
                    <w:t>1</w:t>
                  </w:r>
                </w:p>
              </w:tc>
              <w:tc>
                <w:tcPr>
                  <w:tcW w:w="589" w:type="pct"/>
                  <w:shd w:val="clear" w:color="auto" w:fill="auto"/>
                  <w:vAlign w:val="center"/>
                </w:tcPr>
                <w:p w14:paraId="55271E54">
                  <w:pPr>
                    <w:autoSpaceDE w:val="0"/>
                    <w:autoSpaceDN w:val="0"/>
                    <w:adjustRightInd w:val="0"/>
                    <w:snapToGrid w:val="0"/>
                    <w:jc w:val="center"/>
                    <w:rPr>
                      <w:bCs/>
                      <w:sz w:val="15"/>
                      <w:szCs w:val="15"/>
                    </w:rPr>
                  </w:pPr>
                  <w:r>
                    <w:rPr>
                      <w:rFonts w:hint="eastAsia"/>
                      <w:bCs/>
                      <w:sz w:val="15"/>
                      <w:szCs w:val="15"/>
                    </w:rPr>
                    <w:t>布袋除尘器风机</w:t>
                  </w:r>
                </w:p>
              </w:tc>
              <w:tc>
                <w:tcPr>
                  <w:tcW w:w="254" w:type="pct"/>
                  <w:shd w:val="clear" w:color="auto" w:fill="auto"/>
                  <w:vAlign w:val="center"/>
                </w:tcPr>
                <w:p w14:paraId="58C36424">
                  <w:pPr>
                    <w:autoSpaceDE w:val="0"/>
                    <w:autoSpaceDN w:val="0"/>
                    <w:adjustRightInd w:val="0"/>
                    <w:snapToGrid w:val="0"/>
                    <w:jc w:val="center"/>
                    <w:rPr>
                      <w:bCs/>
                      <w:sz w:val="15"/>
                      <w:szCs w:val="15"/>
                    </w:rPr>
                  </w:pPr>
                  <w:r>
                    <w:rPr>
                      <w:rFonts w:hint="eastAsia"/>
                      <w:bCs/>
                      <w:sz w:val="15"/>
                      <w:szCs w:val="15"/>
                    </w:rPr>
                    <w:t>/</w:t>
                  </w:r>
                </w:p>
              </w:tc>
              <w:tc>
                <w:tcPr>
                  <w:tcW w:w="421" w:type="pct"/>
                  <w:shd w:val="clear" w:color="auto" w:fill="auto"/>
                  <w:vAlign w:val="center"/>
                </w:tcPr>
                <w:p w14:paraId="5AE59AEF">
                  <w:pPr>
                    <w:autoSpaceDE w:val="0"/>
                    <w:autoSpaceDN w:val="0"/>
                    <w:adjustRightInd w:val="0"/>
                    <w:snapToGrid w:val="0"/>
                    <w:jc w:val="center"/>
                    <w:rPr>
                      <w:rFonts w:hint="eastAsia"/>
                      <w:bCs/>
                      <w:sz w:val="15"/>
                      <w:szCs w:val="15"/>
                    </w:rPr>
                  </w:pPr>
                  <w:r>
                    <w:rPr>
                      <w:rFonts w:hint="eastAsia"/>
                      <w:bCs/>
                      <w:sz w:val="15"/>
                      <w:szCs w:val="15"/>
                    </w:rPr>
                    <w:t>44</w:t>
                  </w:r>
                </w:p>
              </w:tc>
              <w:tc>
                <w:tcPr>
                  <w:tcW w:w="420" w:type="pct"/>
                  <w:shd w:val="clear" w:color="auto" w:fill="auto"/>
                  <w:vAlign w:val="center"/>
                </w:tcPr>
                <w:p w14:paraId="3575A535">
                  <w:pPr>
                    <w:autoSpaceDE w:val="0"/>
                    <w:autoSpaceDN w:val="0"/>
                    <w:adjustRightInd w:val="0"/>
                    <w:snapToGrid w:val="0"/>
                    <w:jc w:val="center"/>
                    <w:rPr>
                      <w:rFonts w:hint="eastAsia"/>
                      <w:bCs/>
                      <w:sz w:val="15"/>
                      <w:szCs w:val="15"/>
                    </w:rPr>
                  </w:pPr>
                  <w:r>
                    <w:rPr>
                      <w:rFonts w:hint="eastAsia"/>
                      <w:bCs/>
                      <w:sz w:val="15"/>
                      <w:szCs w:val="15"/>
                    </w:rPr>
                    <w:t>11</w:t>
                  </w:r>
                </w:p>
              </w:tc>
              <w:tc>
                <w:tcPr>
                  <w:tcW w:w="422" w:type="pct"/>
                  <w:shd w:val="clear" w:color="auto" w:fill="auto"/>
                  <w:vAlign w:val="center"/>
                </w:tcPr>
                <w:p w14:paraId="7D4FA8AF">
                  <w:pPr>
                    <w:autoSpaceDE w:val="0"/>
                    <w:autoSpaceDN w:val="0"/>
                    <w:adjustRightInd w:val="0"/>
                    <w:snapToGrid w:val="0"/>
                    <w:jc w:val="center"/>
                    <w:rPr>
                      <w:bCs/>
                      <w:sz w:val="15"/>
                      <w:szCs w:val="15"/>
                    </w:rPr>
                  </w:pPr>
                  <w:r>
                    <w:rPr>
                      <w:rFonts w:hint="eastAsia"/>
                      <w:bCs/>
                      <w:sz w:val="15"/>
                      <w:szCs w:val="15"/>
                    </w:rPr>
                    <w:t>21</w:t>
                  </w:r>
                </w:p>
              </w:tc>
              <w:tc>
                <w:tcPr>
                  <w:tcW w:w="673" w:type="pct"/>
                  <w:shd w:val="clear" w:color="auto" w:fill="auto"/>
                  <w:vAlign w:val="center"/>
                </w:tcPr>
                <w:p w14:paraId="740737E2">
                  <w:pPr>
                    <w:autoSpaceDE w:val="0"/>
                    <w:autoSpaceDN w:val="0"/>
                    <w:adjustRightInd w:val="0"/>
                    <w:snapToGrid w:val="0"/>
                    <w:jc w:val="center"/>
                    <w:rPr>
                      <w:bCs/>
                      <w:sz w:val="15"/>
                      <w:szCs w:val="15"/>
                    </w:rPr>
                  </w:pPr>
                  <w:r>
                    <w:rPr>
                      <w:rFonts w:hint="eastAsia"/>
                      <w:bCs/>
                      <w:sz w:val="15"/>
                      <w:szCs w:val="15"/>
                    </w:rPr>
                    <w:t>80</w:t>
                  </w:r>
                </w:p>
              </w:tc>
              <w:tc>
                <w:tcPr>
                  <w:tcW w:w="423" w:type="pct"/>
                  <w:shd w:val="clear" w:color="auto" w:fill="auto"/>
                  <w:vAlign w:val="center"/>
                </w:tcPr>
                <w:p w14:paraId="53F7D21C">
                  <w:pPr>
                    <w:autoSpaceDE w:val="0"/>
                    <w:autoSpaceDN w:val="0"/>
                    <w:adjustRightInd w:val="0"/>
                    <w:snapToGrid w:val="0"/>
                    <w:jc w:val="center"/>
                    <w:rPr>
                      <w:bCs/>
                      <w:sz w:val="15"/>
                      <w:szCs w:val="15"/>
                    </w:rPr>
                  </w:pPr>
                  <w:r>
                    <w:rPr>
                      <w:rFonts w:hint="eastAsia"/>
                      <w:bCs/>
                      <w:sz w:val="15"/>
                      <w:szCs w:val="15"/>
                    </w:rPr>
                    <w:t>/</w:t>
                  </w:r>
                </w:p>
              </w:tc>
              <w:tc>
                <w:tcPr>
                  <w:tcW w:w="924" w:type="pct"/>
                  <w:vMerge w:val="restart"/>
                  <w:shd w:val="clear" w:color="auto" w:fill="auto"/>
                  <w:vAlign w:val="center"/>
                </w:tcPr>
                <w:p w14:paraId="6544637F">
                  <w:pPr>
                    <w:autoSpaceDE w:val="0"/>
                    <w:autoSpaceDN w:val="0"/>
                    <w:adjustRightInd w:val="0"/>
                    <w:snapToGrid w:val="0"/>
                    <w:jc w:val="center"/>
                    <w:rPr>
                      <w:bCs/>
                      <w:sz w:val="15"/>
                      <w:szCs w:val="15"/>
                    </w:rPr>
                  </w:pPr>
                  <w:r>
                    <w:rPr>
                      <w:rFonts w:hint="eastAsia"/>
                      <w:bCs/>
                      <w:sz w:val="15"/>
                      <w:szCs w:val="15"/>
                    </w:rPr>
                    <w:t>选用低噪声设备、基座减振、合理布局设备，定期进行设备维修与保养</w:t>
                  </w:r>
                </w:p>
              </w:tc>
              <w:tc>
                <w:tcPr>
                  <w:tcW w:w="640" w:type="pct"/>
                  <w:shd w:val="clear" w:color="auto" w:fill="auto"/>
                  <w:vAlign w:val="center"/>
                </w:tcPr>
                <w:p w14:paraId="0BA9EB7D">
                  <w:pPr>
                    <w:autoSpaceDE w:val="0"/>
                    <w:autoSpaceDN w:val="0"/>
                    <w:adjustRightInd w:val="0"/>
                    <w:snapToGrid w:val="0"/>
                    <w:jc w:val="center"/>
                    <w:rPr>
                      <w:bCs/>
                      <w:sz w:val="15"/>
                      <w:szCs w:val="15"/>
                    </w:rPr>
                  </w:pPr>
                  <w:r>
                    <w:rPr>
                      <w:rFonts w:hint="eastAsia"/>
                      <w:bCs/>
                      <w:sz w:val="15"/>
                      <w:szCs w:val="15"/>
                    </w:rPr>
                    <w:t>昼夜</w:t>
                  </w:r>
                </w:p>
              </w:tc>
            </w:tr>
            <w:tr w14:paraId="31C48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5" w:type="pct"/>
                  <w:shd w:val="clear" w:color="auto" w:fill="auto"/>
                  <w:vAlign w:val="center"/>
                </w:tcPr>
                <w:p w14:paraId="0DD6A629">
                  <w:pPr>
                    <w:autoSpaceDE w:val="0"/>
                    <w:autoSpaceDN w:val="0"/>
                    <w:adjustRightInd w:val="0"/>
                    <w:snapToGrid w:val="0"/>
                    <w:jc w:val="center"/>
                    <w:rPr>
                      <w:bCs/>
                      <w:sz w:val="15"/>
                      <w:szCs w:val="15"/>
                    </w:rPr>
                  </w:pPr>
                  <w:r>
                    <w:rPr>
                      <w:rFonts w:hint="eastAsia"/>
                      <w:bCs/>
                      <w:sz w:val="15"/>
                      <w:szCs w:val="15"/>
                    </w:rPr>
                    <w:t>2</w:t>
                  </w:r>
                </w:p>
              </w:tc>
              <w:tc>
                <w:tcPr>
                  <w:tcW w:w="589" w:type="pct"/>
                  <w:shd w:val="clear" w:color="auto" w:fill="auto"/>
                  <w:vAlign w:val="center"/>
                </w:tcPr>
                <w:p w14:paraId="7EB12A90">
                  <w:pPr>
                    <w:autoSpaceDE w:val="0"/>
                    <w:autoSpaceDN w:val="0"/>
                    <w:adjustRightInd w:val="0"/>
                    <w:snapToGrid w:val="0"/>
                    <w:jc w:val="center"/>
                    <w:rPr>
                      <w:bCs/>
                      <w:sz w:val="15"/>
                      <w:szCs w:val="15"/>
                    </w:rPr>
                  </w:pPr>
                  <w:r>
                    <w:rPr>
                      <w:rFonts w:hint="eastAsia"/>
                      <w:bCs/>
                      <w:sz w:val="15"/>
                      <w:szCs w:val="15"/>
                    </w:rPr>
                    <w:t>喷淋塔风机</w:t>
                  </w:r>
                </w:p>
              </w:tc>
              <w:tc>
                <w:tcPr>
                  <w:tcW w:w="254" w:type="pct"/>
                  <w:shd w:val="clear" w:color="auto" w:fill="auto"/>
                  <w:vAlign w:val="center"/>
                </w:tcPr>
                <w:p w14:paraId="6DBAD4F0">
                  <w:pPr>
                    <w:autoSpaceDE w:val="0"/>
                    <w:autoSpaceDN w:val="0"/>
                    <w:adjustRightInd w:val="0"/>
                    <w:snapToGrid w:val="0"/>
                    <w:jc w:val="center"/>
                    <w:rPr>
                      <w:bCs/>
                      <w:sz w:val="15"/>
                      <w:szCs w:val="15"/>
                    </w:rPr>
                  </w:pPr>
                  <w:r>
                    <w:rPr>
                      <w:rFonts w:hint="eastAsia"/>
                      <w:bCs/>
                      <w:sz w:val="15"/>
                      <w:szCs w:val="15"/>
                    </w:rPr>
                    <w:t>/</w:t>
                  </w:r>
                </w:p>
              </w:tc>
              <w:tc>
                <w:tcPr>
                  <w:tcW w:w="421" w:type="pct"/>
                  <w:shd w:val="clear" w:color="auto" w:fill="auto"/>
                  <w:vAlign w:val="center"/>
                </w:tcPr>
                <w:p w14:paraId="3387FA7E">
                  <w:pPr>
                    <w:autoSpaceDE w:val="0"/>
                    <w:autoSpaceDN w:val="0"/>
                    <w:adjustRightInd w:val="0"/>
                    <w:snapToGrid w:val="0"/>
                    <w:jc w:val="center"/>
                    <w:rPr>
                      <w:rFonts w:hint="eastAsia"/>
                      <w:bCs/>
                      <w:sz w:val="15"/>
                      <w:szCs w:val="15"/>
                    </w:rPr>
                  </w:pPr>
                  <w:r>
                    <w:rPr>
                      <w:rFonts w:hint="eastAsia"/>
                      <w:bCs/>
                      <w:sz w:val="15"/>
                      <w:szCs w:val="15"/>
                    </w:rPr>
                    <w:t>56</w:t>
                  </w:r>
                </w:p>
              </w:tc>
              <w:tc>
                <w:tcPr>
                  <w:tcW w:w="420" w:type="pct"/>
                  <w:shd w:val="clear" w:color="auto" w:fill="auto"/>
                  <w:vAlign w:val="center"/>
                </w:tcPr>
                <w:p w14:paraId="02A17EA2">
                  <w:pPr>
                    <w:autoSpaceDE w:val="0"/>
                    <w:autoSpaceDN w:val="0"/>
                    <w:adjustRightInd w:val="0"/>
                    <w:snapToGrid w:val="0"/>
                    <w:jc w:val="center"/>
                    <w:rPr>
                      <w:rFonts w:hint="eastAsia"/>
                      <w:bCs/>
                      <w:sz w:val="15"/>
                      <w:szCs w:val="15"/>
                    </w:rPr>
                  </w:pPr>
                  <w:r>
                    <w:rPr>
                      <w:rFonts w:hint="eastAsia"/>
                      <w:bCs/>
                      <w:sz w:val="15"/>
                      <w:szCs w:val="15"/>
                    </w:rPr>
                    <w:t>11</w:t>
                  </w:r>
                </w:p>
              </w:tc>
              <w:tc>
                <w:tcPr>
                  <w:tcW w:w="422" w:type="pct"/>
                  <w:shd w:val="clear" w:color="auto" w:fill="auto"/>
                  <w:vAlign w:val="center"/>
                </w:tcPr>
                <w:p w14:paraId="0883AB93">
                  <w:pPr>
                    <w:autoSpaceDE w:val="0"/>
                    <w:autoSpaceDN w:val="0"/>
                    <w:adjustRightInd w:val="0"/>
                    <w:snapToGrid w:val="0"/>
                    <w:jc w:val="center"/>
                    <w:rPr>
                      <w:bCs/>
                      <w:sz w:val="15"/>
                      <w:szCs w:val="15"/>
                    </w:rPr>
                  </w:pPr>
                  <w:r>
                    <w:rPr>
                      <w:rFonts w:hint="eastAsia"/>
                      <w:bCs/>
                      <w:sz w:val="15"/>
                      <w:szCs w:val="15"/>
                    </w:rPr>
                    <w:t>21</w:t>
                  </w:r>
                </w:p>
              </w:tc>
              <w:tc>
                <w:tcPr>
                  <w:tcW w:w="673" w:type="pct"/>
                  <w:shd w:val="clear" w:color="auto" w:fill="auto"/>
                  <w:vAlign w:val="center"/>
                </w:tcPr>
                <w:p w14:paraId="3E59EC03">
                  <w:pPr>
                    <w:autoSpaceDE w:val="0"/>
                    <w:autoSpaceDN w:val="0"/>
                    <w:adjustRightInd w:val="0"/>
                    <w:snapToGrid w:val="0"/>
                    <w:jc w:val="center"/>
                    <w:rPr>
                      <w:bCs/>
                      <w:sz w:val="15"/>
                      <w:szCs w:val="15"/>
                    </w:rPr>
                  </w:pPr>
                  <w:r>
                    <w:rPr>
                      <w:rFonts w:hint="eastAsia"/>
                      <w:bCs/>
                      <w:sz w:val="15"/>
                      <w:szCs w:val="15"/>
                    </w:rPr>
                    <w:t>80</w:t>
                  </w:r>
                </w:p>
              </w:tc>
              <w:tc>
                <w:tcPr>
                  <w:tcW w:w="423" w:type="pct"/>
                  <w:shd w:val="clear" w:color="auto" w:fill="auto"/>
                  <w:vAlign w:val="center"/>
                </w:tcPr>
                <w:p w14:paraId="1AC0161C">
                  <w:pPr>
                    <w:autoSpaceDE w:val="0"/>
                    <w:autoSpaceDN w:val="0"/>
                    <w:adjustRightInd w:val="0"/>
                    <w:snapToGrid w:val="0"/>
                    <w:jc w:val="center"/>
                    <w:rPr>
                      <w:bCs/>
                      <w:sz w:val="15"/>
                      <w:szCs w:val="15"/>
                    </w:rPr>
                  </w:pPr>
                  <w:r>
                    <w:rPr>
                      <w:rFonts w:hint="eastAsia"/>
                      <w:bCs/>
                      <w:sz w:val="15"/>
                      <w:szCs w:val="15"/>
                    </w:rPr>
                    <w:t>/</w:t>
                  </w:r>
                </w:p>
              </w:tc>
              <w:tc>
                <w:tcPr>
                  <w:tcW w:w="924" w:type="pct"/>
                  <w:vMerge w:val="continue"/>
                  <w:shd w:val="clear" w:color="auto" w:fill="auto"/>
                  <w:vAlign w:val="center"/>
                </w:tcPr>
                <w:p w14:paraId="561CF15C">
                  <w:pPr>
                    <w:autoSpaceDE w:val="0"/>
                    <w:autoSpaceDN w:val="0"/>
                    <w:adjustRightInd w:val="0"/>
                    <w:snapToGrid w:val="0"/>
                    <w:jc w:val="center"/>
                    <w:rPr>
                      <w:bCs/>
                      <w:sz w:val="15"/>
                      <w:szCs w:val="15"/>
                    </w:rPr>
                  </w:pPr>
                </w:p>
              </w:tc>
              <w:tc>
                <w:tcPr>
                  <w:tcW w:w="640" w:type="pct"/>
                  <w:shd w:val="clear" w:color="auto" w:fill="auto"/>
                  <w:vAlign w:val="center"/>
                </w:tcPr>
                <w:p w14:paraId="2F643150">
                  <w:pPr>
                    <w:autoSpaceDE w:val="0"/>
                    <w:autoSpaceDN w:val="0"/>
                    <w:adjustRightInd w:val="0"/>
                    <w:snapToGrid w:val="0"/>
                    <w:jc w:val="center"/>
                    <w:rPr>
                      <w:bCs/>
                      <w:sz w:val="15"/>
                      <w:szCs w:val="15"/>
                    </w:rPr>
                  </w:pPr>
                  <w:r>
                    <w:rPr>
                      <w:rFonts w:hint="eastAsia"/>
                      <w:bCs/>
                      <w:sz w:val="15"/>
                      <w:szCs w:val="15"/>
                    </w:rPr>
                    <w:t>昼夜</w:t>
                  </w:r>
                </w:p>
              </w:tc>
            </w:tr>
          </w:tbl>
          <w:p w14:paraId="5BF6B2F2">
            <w:pPr>
              <w:autoSpaceDE w:val="0"/>
              <w:autoSpaceDN w:val="0"/>
              <w:adjustRightInd w:val="0"/>
              <w:snapToGrid w:val="0"/>
              <w:jc w:val="center"/>
              <w:rPr>
                <w:b/>
              </w:rPr>
            </w:pPr>
            <w:r>
              <w:rPr>
                <w:rFonts w:hint="eastAsia"/>
                <w:b/>
              </w:rPr>
              <w:t>表4-20</w:t>
            </w:r>
            <w:r>
              <w:rPr>
                <w:b/>
              </w:rPr>
              <w:t xml:space="preserve">  </w:t>
            </w:r>
            <w:r>
              <w:rPr>
                <w:rFonts w:hint="eastAsia"/>
                <w:b/>
              </w:rPr>
              <w:t>项目运营期主要设备噪声及治理情况（室内声源）</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1"/>
              <w:gridCol w:w="841"/>
              <w:gridCol w:w="633"/>
              <w:gridCol w:w="431"/>
              <w:gridCol w:w="433"/>
              <w:gridCol w:w="433"/>
              <w:gridCol w:w="433"/>
              <w:gridCol w:w="433"/>
              <w:gridCol w:w="430"/>
              <w:gridCol w:w="431"/>
              <w:gridCol w:w="433"/>
              <w:gridCol w:w="431"/>
              <w:gridCol w:w="575"/>
              <w:gridCol w:w="288"/>
              <w:gridCol w:w="576"/>
              <w:gridCol w:w="866"/>
              <w:gridCol w:w="509"/>
            </w:tblGrid>
            <w:tr w14:paraId="5885A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vMerge w:val="restart"/>
                  <w:tcBorders>
                    <w:top w:val="single" w:color="auto" w:sz="12" w:space="0"/>
                    <w:bottom w:val="single" w:color="auto" w:sz="12" w:space="0"/>
                    <w:insideH w:val="single" w:sz="12" w:space="0"/>
                  </w:tcBorders>
                  <w:shd w:val="clear" w:color="auto" w:fill="auto"/>
                  <w:vAlign w:val="center"/>
                </w:tcPr>
                <w:p w14:paraId="223BE7C0">
                  <w:pPr>
                    <w:autoSpaceDE w:val="0"/>
                    <w:autoSpaceDN w:val="0"/>
                    <w:adjustRightInd w:val="0"/>
                    <w:snapToGrid w:val="0"/>
                    <w:ind w:left="-105" w:leftChars="-50" w:right="-105" w:rightChars="-50"/>
                    <w:jc w:val="center"/>
                    <w:rPr>
                      <w:b/>
                      <w:sz w:val="15"/>
                      <w:szCs w:val="15"/>
                    </w:rPr>
                  </w:pPr>
                  <w:r>
                    <w:rPr>
                      <w:rFonts w:hint="eastAsia"/>
                      <w:b/>
                      <w:sz w:val="15"/>
                      <w:szCs w:val="15"/>
                    </w:rPr>
                    <w:t>序号</w:t>
                  </w:r>
                </w:p>
              </w:tc>
              <w:tc>
                <w:tcPr>
                  <w:tcW w:w="493" w:type="pct"/>
                  <w:vMerge w:val="restart"/>
                  <w:tcBorders>
                    <w:top w:val="single" w:color="auto" w:sz="12" w:space="0"/>
                    <w:bottom w:val="single" w:color="auto" w:sz="12" w:space="0"/>
                    <w:insideH w:val="single" w:sz="12" w:space="0"/>
                  </w:tcBorders>
                  <w:shd w:val="clear" w:color="auto" w:fill="auto"/>
                  <w:vAlign w:val="center"/>
                </w:tcPr>
                <w:p w14:paraId="6F36718F">
                  <w:pPr>
                    <w:autoSpaceDE w:val="0"/>
                    <w:autoSpaceDN w:val="0"/>
                    <w:adjustRightInd w:val="0"/>
                    <w:snapToGrid w:val="0"/>
                    <w:ind w:left="-105" w:leftChars="-50" w:right="-105" w:rightChars="-50"/>
                    <w:jc w:val="center"/>
                    <w:rPr>
                      <w:b/>
                      <w:sz w:val="15"/>
                      <w:szCs w:val="15"/>
                    </w:rPr>
                  </w:pPr>
                  <w:r>
                    <w:rPr>
                      <w:rFonts w:hint="eastAsia"/>
                      <w:b/>
                      <w:sz w:val="15"/>
                      <w:szCs w:val="15"/>
                    </w:rPr>
                    <w:t>声源名称</w:t>
                  </w:r>
                </w:p>
              </w:tc>
              <w:tc>
                <w:tcPr>
                  <w:tcW w:w="371" w:type="pct"/>
                  <w:tcBorders>
                    <w:top w:val="single" w:color="auto" w:sz="12" w:space="0"/>
                    <w:bottom w:val="single" w:color="auto" w:sz="12" w:space="0"/>
                    <w:insideH w:val="single" w:sz="12" w:space="0"/>
                  </w:tcBorders>
                  <w:shd w:val="clear" w:color="auto" w:fill="auto"/>
                  <w:vAlign w:val="center"/>
                </w:tcPr>
                <w:p w14:paraId="05B6820B">
                  <w:pPr>
                    <w:autoSpaceDE w:val="0"/>
                    <w:autoSpaceDN w:val="0"/>
                    <w:adjustRightInd w:val="0"/>
                    <w:snapToGrid w:val="0"/>
                    <w:ind w:left="-105" w:leftChars="-50" w:right="-105" w:rightChars="-50"/>
                    <w:jc w:val="center"/>
                    <w:rPr>
                      <w:b/>
                      <w:sz w:val="15"/>
                      <w:szCs w:val="15"/>
                    </w:rPr>
                  </w:pPr>
                  <w:r>
                    <w:rPr>
                      <w:rFonts w:hint="eastAsia"/>
                      <w:b/>
                      <w:sz w:val="15"/>
                      <w:szCs w:val="15"/>
                    </w:rPr>
                    <w:t>声源源强</w:t>
                  </w:r>
                </w:p>
              </w:tc>
              <w:tc>
                <w:tcPr>
                  <w:tcW w:w="253" w:type="pct"/>
                  <w:vMerge w:val="restart"/>
                  <w:tcBorders>
                    <w:top w:val="single" w:color="auto" w:sz="12" w:space="0"/>
                    <w:bottom w:val="single" w:color="auto" w:sz="12" w:space="0"/>
                    <w:insideH w:val="single" w:sz="12" w:space="0"/>
                  </w:tcBorders>
                  <w:shd w:val="clear" w:color="auto" w:fill="auto"/>
                  <w:vAlign w:val="center"/>
                </w:tcPr>
                <w:p w14:paraId="65C3B0F3">
                  <w:pPr>
                    <w:autoSpaceDE w:val="0"/>
                    <w:autoSpaceDN w:val="0"/>
                    <w:adjustRightInd w:val="0"/>
                    <w:snapToGrid w:val="0"/>
                    <w:ind w:left="-105" w:leftChars="-50" w:right="-105" w:rightChars="-50"/>
                    <w:jc w:val="center"/>
                    <w:rPr>
                      <w:b/>
                      <w:sz w:val="15"/>
                      <w:szCs w:val="15"/>
                    </w:rPr>
                  </w:pPr>
                  <w:r>
                    <w:rPr>
                      <w:rFonts w:hint="eastAsia"/>
                      <w:b/>
                      <w:sz w:val="15"/>
                      <w:szCs w:val="15"/>
                    </w:rPr>
                    <w:t>设备数量</w:t>
                  </w:r>
                </w:p>
              </w:tc>
              <w:tc>
                <w:tcPr>
                  <w:tcW w:w="254" w:type="pct"/>
                  <w:vMerge w:val="restart"/>
                  <w:tcBorders>
                    <w:top w:val="single" w:color="auto" w:sz="12" w:space="0"/>
                    <w:bottom w:val="single" w:color="auto" w:sz="12" w:space="0"/>
                    <w:insideH w:val="single" w:sz="12" w:space="0"/>
                  </w:tcBorders>
                  <w:shd w:val="clear" w:color="auto" w:fill="auto"/>
                  <w:vAlign w:val="center"/>
                </w:tcPr>
                <w:p w14:paraId="1F6844D4">
                  <w:pPr>
                    <w:autoSpaceDE w:val="0"/>
                    <w:autoSpaceDN w:val="0"/>
                    <w:adjustRightInd w:val="0"/>
                    <w:snapToGrid w:val="0"/>
                    <w:ind w:left="-105" w:leftChars="-50" w:right="-105" w:rightChars="-50"/>
                    <w:jc w:val="center"/>
                    <w:rPr>
                      <w:b/>
                      <w:sz w:val="15"/>
                      <w:szCs w:val="15"/>
                    </w:rPr>
                  </w:pPr>
                  <w:r>
                    <w:rPr>
                      <w:rFonts w:hint="eastAsia"/>
                      <w:b/>
                      <w:sz w:val="15"/>
                      <w:szCs w:val="15"/>
                    </w:rPr>
                    <w:t>声源控制措施</w:t>
                  </w:r>
                </w:p>
              </w:tc>
              <w:tc>
                <w:tcPr>
                  <w:tcW w:w="761" w:type="pct"/>
                  <w:gridSpan w:val="3"/>
                  <w:tcBorders>
                    <w:top w:val="single" w:color="auto" w:sz="12" w:space="0"/>
                    <w:bottom w:val="single" w:color="auto" w:sz="12" w:space="0"/>
                    <w:insideH w:val="single" w:sz="12" w:space="0"/>
                  </w:tcBorders>
                  <w:shd w:val="clear" w:color="auto" w:fill="auto"/>
                  <w:vAlign w:val="center"/>
                </w:tcPr>
                <w:p w14:paraId="7E2537BA">
                  <w:pPr>
                    <w:autoSpaceDE w:val="0"/>
                    <w:autoSpaceDN w:val="0"/>
                    <w:adjustRightInd w:val="0"/>
                    <w:snapToGrid w:val="0"/>
                    <w:ind w:left="-105" w:leftChars="-50" w:right="-105" w:rightChars="-50"/>
                    <w:jc w:val="center"/>
                    <w:rPr>
                      <w:b/>
                      <w:sz w:val="15"/>
                      <w:szCs w:val="15"/>
                    </w:rPr>
                  </w:pPr>
                  <w:r>
                    <w:rPr>
                      <w:rFonts w:hint="eastAsia"/>
                      <w:b/>
                      <w:sz w:val="15"/>
                      <w:szCs w:val="15"/>
                    </w:rPr>
                    <w:t>空间相对位置/m</w:t>
                  </w:r>
                </w:p>
              </w:tc>
              <w:tc>
                <w:tcPr>
                  <w:tcW w:w="1012" w:type="pct"/>
                  <w:gridSpan w:val="4"/>
                  <w:tcBorders>
                    <w:top w:val="single" w:color="auto" w:sz="12" w:space="0"/>
                    <w:bottom w:val="single" w:color="auto" w:sz="12" w:space="0"/>
                    <w:insideH w:val="single" w:sz="12" w:space="0"/>
                  </w:tcBorders>
                  <w:shd w:val="clear" w:color="auto" w:fill="auto"/>
                  <w:vAlign w:val="center"/>
                </w:tcPr>
                <w:p w14:paraId="74D7DC0B">
                  <w:pPr>
                    <w:autoSpaceDE w:val="0"/>
                    <w:autoSpaceDN w:val="0"/>
                    <w:adjustRightInd w:val="0"/>
                    <w:snapToGrid w:val="0"/>
                    <w:ind w:left="-105" w:leftChars="-50" w:right="-105" w:rightChars="-50"/>
                    <w:jc w:val="center"/>
                    <w:rPr>
                      <w:b/>
                      <w:sz w:val="15"/>
                      <w:szCs w:val="15"/>
                    </w:rPr>
                  </w:pPr>
                  <w:r>
                    <w:rPr>
                      <w:rFonts w:hint="eastAsia"/>
                      <w:b/>
                      <w:sz w:val="15"/>
                      <w:szCs w:val="15"/>
                    </w:rPr>
                    <w:t>距室内边界距离</w:t>
                  </w:r>
                  <w:r>
                    <w:rPr>
                      <w:b/>
                      <w:sz w:val="15"/>
                      <w:szCs w:val="15"/>
                    </w:rPr>
                    <w:t>/m</w:t>
                  </w:r>
                </w:p>
              </w:tc>
              <w:tc>
                <w:tcPr>
                  <w:tcW w:w="337" w:type="pct"/>
                  <w:vMerge w:val="restart"/>
                  <w:tcBorders>
                    <w:top w:val="single" w:color="auto" w:sz="12" w:space="0"/>
                    <w:bottom w:val="single" w:color="auto" w:sz="12" w:space="0"/>
                    <w:insideH w:val="single" w:sz="12" w:space="0"/>
                  </w:tcBorders>
                  <w:shd w:val="clear" w:color="auto" w:fill="auto"/>
                  <w:vAlign w:val="center"/>
                </w:tcPr>
                <w:p w14:paraId="18218D68">
                  <w:pPr>
                    <w:autoSpaceDE w:val="0"/>
                    <w:autoSpaceDN w:val="0"/>
                    <w:adjustRightInd w:val="0"/>
                    <w:snapToGrid w:val="0"/>
                    <w:ind w:left="-105" w:leftChars="-50" w:right="-105" w:rightChars="-50"/>
                    <w:jc w:val="center"/>
                    <w:rPr>
                      <w:b/>
                      <w:sz w:val="15"/>
                      <w:szCs w:val="15"/>
                    </w:rPr>
                  </w:pPr>
                  <w:r>
                    <w:rPr>
                      <w:rFonts w:hint="eastAsia"/>
                      <w:b/>
                      <w:sz w:val="15"/>
                      <w:szCs w:val="15"/>
                    </w:rPr>
                    <w:t>室内边界声级</w:t>
                  </w:r>
                  <w:r>
                    <w:rPr>
                      <w:b/>
                      <w:sz w:val="15"/>
                      <w:szCs w:val="15"/>
                    </w:rPr>
                    <w:t>/dB（A）</w:t>
                  </w:r>
                </w:p>
              </w:tc>
              <w:tc>
                <w:tcPr>
                  <w:tcW w:w="169" w:type="pct"/>
                  <w:vMerge w:val="restart"/>
                  <w:tcBorders>
                    <w:top w:val="single" w:color="auto" w:sz="12" w:space="0"/>
                    <w:bottom w:val="single" w:color="auto" w:sz="12" w:space="0"/>
                    <w:insideH w:val="single" w:sz="12" w:space="0"/>
                  </w:tcBorders>
                  <w:shd w:val="clear" w:color="auto" w:fill="auto"/>
                  <w:vAlign w:val="center"/>
                </w:tcPr>
                <w:p w14:paraId="5A3A888D">
                  <w:pPr>
                    <w:autoSpaceDE w:val="0"/>
                    <w:autoSpaceDN w:val="0"/>
                    <w:adjustRightInd w:val="0"/>
                    <w:snapToGrid w:val="0"/>
                    <w:ind w:left="-105" w:leftChars="-50" w:right="-105" w:rightChars="-50"/>
                    <w:jc w:val="center"/>
                    <w:rPr>
                      <w:b/>
                      <w:sz w:val="15"/>
                      <w:szCs w:val="15"/>
                    </w:rPr>
                  </w:pPr>
                  <w:r>
                    <w:rPr>
                      <w:rFonts w:hint="eastAsia"/>
                      <w:b/>
                      <w:sz w:val="15"/>
                      <w:szCs w:val="15"/>
                    </w:rPr>
                    <w:t>运行时段</w:t>
                  </w:r>
                </w:p>
              </w:tc>
              <w:tc>
                <w:tcPr>
                  <w:tcW w:w="338" w:type="pct"/>
                  <w:vMerge w:val="restart"/>
                  <w:tcBorders>
                    <w:top w:val="single" w:color="auto" w:sz="12" w:space="0"/>
                    <w:bottom w:val="single" w:color="auto" w:sz="12" w:space="0"/>
                    <w:insideH w:val="single" w:sz="12" w:space="0"/>
                  </w:tcBorders>
                  <w:shd w:val="clear" w:color="auto" w:fill="auto"/>
                  <w:vAlign w:val="center"/>
                </w:tcPr>
                <w:p w14:paraId="129564CA">
                  <w:pPr>
                    <w:autoSpaceDE w:val="0"/>
                    <w:autoSpaceDN w:val="0"/>
                    <w:adjustRightInd w:val="0"/>
                    <w:snapToGrid w:val="0"/>
                    <w:ind w:left="-105" w:leftChars="-50" w:right="-105" w:rightChars="-50"/>
                    <w:jc w:val="center"/>
                    <w:rPr>
                      <w:b/>
                      <w:sz w:val="15"/>
                      <w:szCs w:val="15"/>
                    </w:rPr>
                  </w:pPr>
                  <w:r>
                    <w:rPr>
                      <w:rFonts w:hint="eastAsia"/>
                      <w:b/>
                      <w:sz w:val="15"/>
                      <w:szCs w:val="15"/>
                    </w:rPr>
                    <w:t>建筑物插入损失/</w:t>
                  </w:r>
                  <w:r>
                    <w:rPr>
                      <w:b/>
                      <w:sz w:val="15"/>
                      <w:szCs w:val="15"/>
                    </w:rPr>
                    <w:t>dB（A）</w:t>
                  </w:r>
                </w:p>
              </w:tc>
              <w:tc>
                <w:tcPr>
                  <w:tcW w:w="805" w:type="pct"/>
                  <w:gridSpan w:val="2"/>
                  <w:tcBorders>
                    <w:top w:val="single" w:color="auto" w:sz="12" w:space="0"/>
                    <w:bottom w:val="single" w:color="auto" w:sz="12" w:space="0"/>
                    <w:insideH w:val="single" w:sz="12" w:space="0"/>
                  </w:tcBorders>
                  <w:shd w:val="clear" w:color="auto" w:fill="auto"/>
                  <w:vAlign w:val="center"/>
                </w:tcPr>
                <w:p w14:paraId="08484B83">
                  <w:pPr>
                    <w:autoSpaceDE w:val="0"/>
                    <w:autoSpaceDN w:val="0"/>
                    <w:adjustRightInd w:val="0"/>
                    <w:snapToGrid w:val="0"/>
                    <w:ind w:left="-105" w:leftChars="-50" w:right="-105" w:rightChars="-50"/>
                    <w:jc w:val="center"/>
                    <w:rPr>
                      <w:b/>
                      <w:sz w:val="15"/>
                      <w:szCs w:val="15"/>
                    </w:rPr>
                  </w:pPr>
                  <w:r>
                    <w:rPr>
                      <w:rFonts w:hint="eastAsia"/>
                      <w:b/>
                      <w:sz w:val="15"/>
                      <w:szCs w:val="15"/>
                    </w:rPr>
                    <w:t>建筑物外噪声</w:t>
                  </w:r>
                </w:p>
              </w:tc>
            </w:tr>
            <w:tr w14:paraId="16993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vMerge w:val="continue"/>
                  <w:shd w:val="clear" w:color="auto" w:fill="auto"/>
                  <w:vAlign w:val="center"/>
                </w:tcPr>
                <w:p w14:paraId="1A87DF94">
                  <w:pPr>
                    <w:autoSpaceDE w:val="0"/>
                    <w:autoSpaceDN w:val="0"/>
                    <w:adjustRightInd w:val="0"/>
                    <w:snapToGrid w:val="0"/>
                    <w:ind w:left="-105" w:leftChars="-50" w:right="-105" w:rightChars="-50"/>
                    <w:jc w:val="center"/>
                    <w:rPr>
                      <w:b/>
                      <w:sz w:val="15"/>
                      <w:szCs w:val="15"/>
                    </w:rPr>
                  </w:pPr>
                </w:p>
              </w:tc>
              <w:tc>
                <w:tcPr>
                  <w:tcW w:w="493" w:type="pct"/>
                  <w:vMerge w:val="continue"/>
                  <w:shd w:val="clear" w:color="auto" w:fill="auto"/>
                  <w:vAlign w:val="center"/>
                </w:tcPr>
                <w:p w14:paraId="6998F83F">
                  <w:pPr>
                    <w:autoSpaceDE w:val="0"/>
                    <w:autoSpaceDN w:val="0"/>
                    <w:adjustRightInd w:val="0"/>
                    <w:snapToGrid w:val="0"/>
                    <w:ind w:left="-105" w:leftChars="-50" w:right="-105" w:rightChars="-50"/>
                    <w:jc w:val="center"/>
                    <w:rPr>
                      <w:b/>
                      <w:sz w:val="15"/>
                      <w:szCs w:val="15"/>
                    </w:rPr>
                  </w:pPr>
                </w:p>
              </w:tc>
              <w:tc>
                <w:tcPr>
                  <w:tcW w:w="371" w:type="pct"/>
                  <w:shd w:val="clear" w:color="auto" w:fill="auto"/>
                  <w:vAlign w:val="center"/>
                </w:tcPr>
                <w:p w14:paraId="2C786DAB">
                  <w:pPr>
                    <w:autoSpaceDE w:val="0"/>
                    <w:autoSpaceDN w:val="0"/>
                    <w:adjustRightInd w:val="0"/>
                    <w:snapToGrid w:val="0"/>
                    <w:ind w:left="-105" w:leftChars="-50" w:right="-105" w:rightChars="-50"/>
                    <w:jc w:val="center"/>
                    <w:rPr>
                      <w:b/>
                      <w:sz w:val="15"/>
                      <w:szCs w:val="15"/>
                    </w:rPr>
                  </w:pPr>
                  <w:r>
                    <w:rPr>
                      <w:rFonts w:hint="eastAsia"/>
                      <w:b/>
                      <w:sz w:val="15"/>
                      <w:szCs w:val="15"/>
                    </w:rPr>
                    <w:t>声功率级/dB（A）</w:t>
                  </w:r>
                </w:p>
              </w:tc>
              <w:tc>
                <w:tcPr>
                  <w:tcW w:w="253" w:type="pct"/>
                  <w:vMerge w:val="continue"/>
                  <w:shd w:val="clear" w:color="auto" w:fill="auto"/>
                  <w:vAlign w:val="center"/>
                </w:tcPr>
                <w:p w14:paraId="502BC6F3">
                  <w:pPr>
                    <w:autoSpaceDE w:val="0"/>
                    <w:autoSpaceDN w:val="0"/>
                    <w:adjustRightInd w:val="0"/>
                    <w:snapToGrid w:val="0"/>
                    <w:ind w:left="-105" w:leftChars="-50" w:right="-105" w:rightChars="-50"/>
                    <w:jc w:val="center"/>
                    <w:rPr>
                      <w:b/>
                      <w:sz w:val="15"/>
                      <w:szCs w:val="15"/>
                    </w:rPr>
                  </w:pPr>
                </w:p>
              </w:tc>
              <w:tc>
                <w:tcPr>
                  <w:tcW w:w="254" w:type="pct"/>
                  <w:vMerge w:val="continue"/>
                  <w:shd w:val="clear" w:color="auto" w:fill="auto"/>
                  <w:vAlign w:val="center"/>
                </w:tcPr>
                <w:p w14:paraId="3A7C36D6">
                  <w:pPr>
                    <w:autoSpaceDE w:val="0"/>
                    <w:autoSpaceDN w:val="0"/>
                    <w:adjustRightInd w:val="0"/>
                    <w:snapToGrid w:val="0"/>
                    <w:ind w:left="-105" w:leftChars="-50" w:right="-105" w:rightChars="-50"/>
                    <w:jc w:val="center"/>
                    <w:rPr>
                      <w:b/>
                      <w:sz w:val="15"/>
                      <w:szCs w:val="15"/>
                    </w:rPr>
                  </w:pPr>
                </w:p>
              </w:tc>
              <w:tc>
                <w:tcPr>
                  <w:tcW w:w="254" w:type="pct"/>
                  <w:shd w:val="clear" w:color="auto" w:fill="auto"/>
                  <w:vAlign w:val="center"/>
                </w:tcPr>
                <w:p w14:paraId="4A50926C">
                  <w:pPr>
                    <w:autoSpaceDE w:val="0"/>
                    <w:autoSpaceDN w:val="0"/>
                    <w:adjustRightInd w:val="0"/>
                    <w:snapToGrid w:val="0"/>
                    <w:ind w:left="-105" w:leftChars="-50" w:right="-105" w:rightChars="-50"/>
                    <w:jc w:val="center"/>
                    <w:rPr>
                      <w:b/>
                      <w:sz w:val="15"/>
                      <w:szCs w:val="15"/>
                    </w:rPr>
                  </w:pPr>
                  <w:r>
                    <w:rPr>
                      <w:rFonts w:hint="eastAsia"/>
                      <w:b/>
                      <w:sz w:val="15"/>
                      <w:szCs w:val="15"/>
                    </w:rPr>
                    <w:t>X</w:t>
                  </w:r>
                </w:p>
              </w:tc>
              <w:tc>
                <w:tcPr>
                  <w:tcW w:w="254" w:type="pct"/>
                  <w:shd w:val="clear" w:color="auto" w:fill="auto"/>
                  <w:vAlign w:val="center"/>
                </w:tcPr>
                <w:p w14:paraId="100E1B8B">
                  <w:pPr>
                    <w:autoSpaceDE w:val="0"/>
                    <w:autoSpaceDN w:val="0"/>
                    <w:adjustRightInd w:val="0"/>
                    <w:snapToGrid w:val="0"/>
                    <w:ind w:left="-105" w:leftChars="-50" w:right="-105" w:rightChars="-50"/>
                    <w:jc w:val="center"/>
                    <w:rPr>
                      <w:b/>
                      <w:sz w:val="15"/>
                      <w:szCs w:val="15"/>
                    </w:rPr>
                  </w:pPr>
                  <w:r>
                    <w:rPr>
                      <w:rFonts w:hint="eastAsia"/>
                      <w:b/>
                      <w:sz w:val="15"/>
                      <w:szCs w:val="15"/>
                    </w:rPr>
                    <w:t>Y</w:t>
                  </w:r>
                </w:p>
              </w:tc>
              <w:tc>
                <w:tcPr>
                  <w:tcW w:w="254" w:type="pct"/>
                  <w:shd w:val="clear" w:color="auto" w:fill="auto"/>
                  <w:vAlign w:val="center"/>
                </w:tcPr>
                <w:p w14:paraId="084362F7">
                  <w:pPr>
                    <w:autoSpaceDE w:val="0"/>
                    <w:autoSpaceDN w:val="0"/>
                    <w:adjustRightInd w:val="0"/>
                    <w:snapToGrid w:val="0"/>
                    <w:ind w:left="-105" w:leftChars="-50" w:right="-105" w:rightChars="-50"/>
                    <w:jc w:val="center"/>
                    <w:rPr>
                      <w:b/>
                      <w:sz w:val="15"/>
                      <w:szCs w:val="15"/>
                    </w:rPr>
                  </w:pPr>
                  <w:r>
                    <w:rPr>
                      <w:rFonts w:hint="eastAsia"/>
                      <w:b/>
                      <w:sz w:val="15"/>
                      <w:szCs w:val="15"/>
                    </w:rPr>
                    <w:t>Z</w:t>
                  </w:r>
                </w:p>
              </w:tc>
              <w:tc>
                <w:tcPr>
                  <w:tcW w:w="252" w:type="pct"/>
                  <w:shd w:val="clear" w:color="auto" w:fill="auto"/>
                  <w:vAlign w:val="center"/>
                </w:tcPr>
                <w:p w14:paraId="10FE83BC">
                  <w:pPr>
                    <w:autoSpaceDE w:val="0"/>
                    <w:autoSpaceDN w:val="0"/>
                    <w:adjustRightInd w:val="0"/>
                    <w:snapToGrid w:val="0"/>
                    <w:ind w:left="-105" w:leftChars="-50" w:right="-105" w:rightChars="-50"/>
                    <w:jc w:val="center"/>
                    <w:rPr>
                      <w:b/>
                      <w:sz w:val="15"/>
                      <w:szCs w:val="15"/>
                    </w:rPr>
                  </w:pPr>
                  <w:r>
                    <w:rPr>
                      <w:rFonts w:hint="eastAsia"/>
                      <w:b/>
                      <w:sz w:val="15"/>
                      <w:szCs w:val="15"/>
                    </w:rPr>
                    <w:t>东</w:t>
                  </w:r>
                </w:p>
              </w:tc>
              <w:tc>
                <w:tcPr>
                  <w:tcW w:w="253" w:type="pct"/>
                  <w:shd w:val="clear" w:color="auto" w:fill="auto"/>
                  <w:vAlign w:val="center"/>
                </w:tcPr>
                <w:p w14:paraId="38D613BB">
                  <w:pPr>
                    <w:autoSpaceDE w:val="0"/>
                    <w:autoSpaceDN w:val="0"/>
                    <w:adjustRightInd w:val="0"/>
                    <w:snapToGrid w:val="0"/>
                    <w:ind w:left="-105" w:leftChars="-50" w:right="-105" w:rightChars="-50"/>
                    <w:jc w:val="center"/>
                    <w:rPr>
                      <w:b/>
                      <w:sz w:val="15"/>
                      <w:szCs w:val="15"/>
                    </w:rPr>
                  </w:pPr>
                  <w:r>
                    <w:rPr>
                      <w:rFonts w:hint="eastAsia"/>
                      <w:b/>
                      <w:sz w:val="15"/>
                      <w:szCs w:val="15"/>
                    </w:rPr>
                    <w:t>南</w:t>
                  </w:r>
                </w:p>
              </w:tc>
              <w:tc>
                <w:tcPr>
                  <w:tcW w:w="254" w:type="pct"/>
                  <w:shd w:val="clear" w:color="auto" w:fill="auto"/>
                  <w:vAlign w:val="center"/>
                </w:tcPr>
                <w:p w14:paraId="0BB03B04">
                  <w:pPr>
                    <w:autoSpaceDE w:val="0"/>
                    <w:autoSpaceDN w:val="0"/>
                    <w:adjustRightInd w:val="0"/>
                    <w:snapToGrid w:val="0"/>
                    <w:ind w:left="-105" w:leftChars="-50" w:right="-105" w:rightChars="-50"/>
                    <w:jc w:val="center"/>
                    <w:rPr>
                      <w:b/>
                      <w:sz w:val="15"/>
                      <w:szCs w:val="15"/>
                    </w:rPr>
                  </w:pPr>
                  <w:r>
                    <w:rPr>
                      <w:rFonts w:hint="eastAsia"/>
                      <w:b/>
                      <w:sz w:val="15"/>
                      <w:szCs w:val="15"/>
                    </w:rPr>
                    <w:t>西</w:t>
                  </w:r>
                </w:p>
              </w:tc>
              <w:tc>
                <w:tcPr>
                  <w:tcW w:w="253" w:type="pct"/>
                  <w:shd w:val="clear" w:color="auto" w:fill="auto"/>
                  <w:vAlign w:val="center"/>
                </w:tcPr>
                <w:p w14:paraId="1C384B70">
                  <w:pPr>
                    <w:autoSpaceDE w:val="0"/>
                    <w:autoSpaceDN w:val="0"/>
                    <w:adjustRightInd w:val="0"/>
                    <w:snapToGrid w:val="0"/>
                    <w:ind w:left="-105" w:leftChars="-50" w:right="-105" w:rightChars="-50"/>
                    <w:jc w:val="center"/>
                    <w:rPr>
                      <w:rFonts w:hint="eastAsia"/>
                      <w:b/>
                      <w:sz w:val="15"/>
                      <w:szCs w:val="15"/>
                    </w:rPr>
                  </w:pPr>
                  <w:r>
                    <w:rPr>
                      <w:rFonts w:hint="eastAsia"/>
                      <w:b/>
                      <w:sz w:val="15"/>
                      <w:szCs w:val="15"/>
                    </w:rPr>
                    <w:t>北</w:t>
                  </w:r>
                </w:p>
              </w:tc>
              <w:tc>
                <w:tcPr>
                  <w:tcW w:w="337" w:type="pct"/>
                  <w:vMerge w:val="continue"/>
                  <w:shd w:val="clear" w:color="auto" w:fill="auto"/>
                  <w:vAlign w:val="center"/>
                </w:tcPr>
                <w:p w14:paraId="36B2D9E2">
                  <w:pPr>
                    <w:autoSpaceDE w:val="0"/>
                    <w:autoSpaceDN w:val="0"/>
                    <w:adjustRightInd w:val="0"/>
                    <w:snapToGrid w:val="0"/>
                    <w:ind w:left="-105" w:leftChars="-50" w:right="-105" w:rightChars="-50"/>
                    <w:jc w:val="center"/>
                    <w:rPr>
                      <w:b/>
                      <w:sz w:val="15"/>
                      <w:szCs w:val="15"/>
                    </w:rPr>
                  </w:pPr>
                </w:p>
              </w:tc>
              <w:tc>
                <w:tcPr>
                  <w:tcW w:w="169" w:type="pct"/>
                  <w:vMerge w:val="continue"/>
                  <w:shd w:val="clear" w:color="auto" w:fill="auto"/>
                  <w:vAlign w:val="center"/>
                </w:tcPr>
                <w:p w14:paraId="065D96E9">
                  <w:pPr>
                    <w:autoSpaceDE w:val="0"/>
                    <w:autoSpaceDN w:val="0"/>
                    <w:adjustRightInd w:val="0"/>
                    <w:snapToGrid w:val="0"/>
                    <w:ind w:left="-105" w:leftChars="-50" w:right="-105" w:rightChars="-50"/>
                    <w:jc w:val="center"/>
                    <w:rPr>
                      <w:b/>
                      <w:sz w:val="15"/>
                      <w:szCs w:val="15"/>
                    </w:rPr>
                  </w:pPr>
                </w:p>
              </w:tc>
              <w:tc>
                <w:tcPr>
                  <w:tcW w:w="338" w:type="pct"/>
                  <w:vMerge w:val="continue"/>
                  <w:shd w:val="clear" w:color="auto" w:fill="auto"/>
                  <w:vAlign w:val="center"/>
                </w:tcPr>
                <w:p w14:paraId="4F731A06">
                  <w:pPr>
                    <w:autoSpaceDE w:val="0"/>
                    <w:autoSpaceDN w:val="0"/>
                    <w:adjustRightInd w:val="0"/>
                    <w:snapToGrid w:val="0"/>
                    <w:ind w:left="-105" w:leftChars="-50" w:right="-105" w:rightChars="-50"/>
                    <w:jc w:val="center"/>
                    <w:rPr>
                      <w:b/>
                      <w:sz w:val="15"/>
                      <w:szCs w:val="15"/>
                    </w:rPr>
                  </w:pPr>
                </w:p>
              </w:tc>
              <w:tc>
                <w:tcPr>
                  <w:tcW w:w="507" w:type="pct"/>
                  <w:shd w:val="clear" w:color="auto" w:fill="auto"/>
                  <w:vAlign w:val="center"/>
                </w:tcPr>
                <w:p w14:paraId="0DBA268F">
                  <w:pPr>
                    <w:autoSpaceDE w:val="0"/>
                    <w:autoSpaceDN w:val="0"/>
                    <w:adjustRightInd w:val="0"/>
                    <w:snapToGrid w:val="0"/>
                    <w:ind w:left="-105" w:leftChars="-50" w:right="-105" w:rightChars="-50"/>
                    <w:jc w:val="center"/>
                    <w:rPr>
                      <w:b/>
                      <w:sz w:val="15"/>
                      <w:szCs w:val="15"/>
                    </w:rPr>
                  </w:pPr>
                  <w:r>
                    <w:rPr>
                      <w:rFonts w:hint="eastAsia"/>
                      <w:b/>
                      <w:sz w:val="15"/>
                      <w:szCs w:val="15"/>
                    </w:rPr>
                    <w:t>声压级</w:t>
                  </w:r>
                  <w:r>
                    <w:rPr>
                      <w:b/>
                      <w:sz w:val="15"/>
                      <w:szCs w:val="15"/>
                    </w:rPr>
                    <w:t>/dB（A）</w:t>
                  </w:r>
                </w:p>
              </w:tc>
              <w:tc>
                <w:tcPr>
                  <w:tcW w:w="298" w:type="pct"/>
                  <w:shd w:val="clear" w:color="auto" w:fill="auto"/>
                  <w:vAlign w:val="center"/>
                </w:tcPr>
                <w:p w14:paraId="3965EF47">
                  <w:pPr>
                    <w:autoSpaceDE w:val="0"/>
                    <w:autoSpaceDN w:val="0"/>
                    <w:adjustRightInd w:val="0"/>
                    <w:snapToGrid w:val="0"/>
                    <w:ind w:left="-105" w:leftChars="-50" w:right="-105" w:rightChars="-50"/>
                    <w:jc w:val="center"/>
                    <w:rPr>
                      <w:b/>
                      <w:sz w:val="15"/>
                      <w:szCs w:val="15"/>
                    </w:rPr>
                  </w:pPr>
                  <w:r>
                    <w:rPr>
                      <w:rFonts w:hint="eastAsia"/>
                      <w:b/>
                      <w:sz w:val="15"/>
                      <w:szCs w:val="15"/>
                    </w:rPr>
                    <w:t>建筑物外距离</w:t>
                  </w:r>
                </w:p>
              </w:tc>
            </w:tr>
            <w:tr w14:paraId="78554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0F672EAE">
                  <w:pPr>
                    <w:autoSpaceDE w:val="0"/>
                    <w:autoSpaceDN w:val="0"/>
                    <w:adjustRightInd w:val="0"/>
                    <w:snapToGrid w:val="0"/>
                    <w:ind w:left="-105" w:leftChars="-50" w:right="-105" w:rightChars="-50"/>
                    <w:jc w:val="center"/>
                    <w:rPr>
                      <w:bCs/>
                      <w:sz w:val="15"/>
                      <w:szCs w:val="15"/>
                    </w:rPr>
                  </w:pPr>
                  <w:r>
                    <w:rPr>
                      <w:rFonts w:hint="eastAsia"/>
                      <w:bCs/>
                      <w:sz w:val="15"/>
                      <w:szCs w:val="15"/>
                    </w:rPr>
                    <w:t>1</w:t>
                  </w:r>
                </w:p>
              </w:tc>
              <w:tc>
                <w:tcPr>
                  <w:tcW w:w="493" w:type="pct"/>
                  <w:shd w:val="clear" w:color="auto" w:fill="auto"/>
                  <w:vAlign w:val="center"/>
                </w:tcPr>
                <w:p w14:paraId="04767054">
                  <w:pPr>
                    <w:autoSpaceDE w:val="0"/>
                    <w:autoSpaceDN w:val="0"/>
                    <w:adjustRightInd w:val="0"/>
                    <w:snapToGrid w:val="0"/>
                    <w:ind w:left="-105" w:leftChars="-50" w:right="-105" w:rightChars="-50"/>
                    <w:jc w:val="center"/>
                    <w:rPr>
                      <w:bCs/>
                      <w:sz w:val="15"/>
                      <w:szCs w:val="15"/>
                    </w:rPr>
                  </w:pPr>
                  <w:r>
                    <w:rPr>
                      <w:rFonts w:hint="eastAsia"/>
                      <w:bCs/>
                      <w:sz w:val="15"/>
                      <w:szCs w:val="15"/>
                    </w:rPr>
                    <w:t>多功能煎药机（20L）</w:t>
                  </w:r>
                </w:p>
              </w:tc>
              <w:tc>
                <w:tcPr>
                  <w:tcW w:w="371" w:type="pct"/>
                  <w:shd w:val="clear" w:color="auto" w:fill="auto"/>
                  <w:vAlign w:val="center"/>
                </w:tcPr>
                <w:p w14:paraId="4EBFF2F3">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75</w:t>
                  </w:r>
                </w:p>
              </w:tc>
              <w:tc>
                <w:tcPr>
                  <w:tcW w:w="253" w:type="pct"/>
                  <w:shd w:val="clear" w:color="auto" w:fill="auto"/>
                  <w:vAlign w:val="center"/>
                </w:tcPr>
                <w:p w14:paraId="62C77994">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48</w:t>
                  </w:r>
                </w:p>
              </w:tc>
              <w:tc>
                <w:tcPr>
                  <w:tcW w:w="254" w:type="pct"/>
                  <w:vMerge w:val="restart"/>
                  <w:shd w:val="clear" w:color="auto" w:fill="auto"/>
                  <w:vAlign w:val="center"/>
                </w:tcPr>
                <w:p w14:paraId="19901A81">
                  <w:pPr>
                    <w:autoSpaceDE w:val="0"/>
                    <w:autoSpaceDN w:val="0"/>
                    <w:adjustRightInd w:val="0"/>
                    <w:snapToGrid w:val="0"/>
                    <w:ind w:left="-105" w:leftChars="-50" w:right="-105" w:rightChars="-50"/>
                    <w:jc w:val="center"/>
                    <w:rPr>
                      <w:bCs/>
                      <w:sz w:val="15"/>
                      <w:szCs w:val="15"/>
                    </w:rPr>
                  </w:pPr>
                  <w:r>
                    <w:rPr>
                      <w:rFonts w:hint="eastAsia"/>
                      <w:bCs/>
                      <w:sz w:val="15"/>
                      <w:szCs w:val="15"/>
                    </w:rPr>
                    <w:t>选用低噪声设备、加强设备保养维护、距离衰减、建筑隔声</w:t>
                  </w:r>
                </w:p>
              </w:tc>
              <w:tc>
                <w:tcPr>
                  <w:tcW w:w="254" w:type="pct"/>
                  <w:shd w:val="clear" w:color="auto" w:fill="auto"/>
                  <w:vAlign w:val="center"/>
                </w:tcPr>
                <w:p w14:paraId="48558461">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44</w:t>
                  </w:r>
                </w:p>
              </w:tc>
              <w:tc>
                <w:tcPr>
                  <w:tcW w:w="254" w:type="pct"/>
                  <w:shd w:val="clear" w:color="auto" w:fill="auto"/>
                  <w:vAlign w:val="center"/>
                </w:tcPr>
                <w:p w14:paraId="13C45BF3">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22</w:t>
                  </w:r>
                </w:p>
              </w:tc>
              <w:tc>
                <w:tcPr>
                  <w:tcW w:w="254" w:type="pct"/>
                  <w:shd w:val="clear" w:color="auto" w:fill="auto"/>
                  <w:vAlign w:val="center"/>
                </w:tcPr>
                <w:p w14:paraId="6F084387">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15</w:t>
                  </w:r>
                </w:p>
              </w:tc>
              <w:tc>
                <w:tcPr>
                  <w:tcW w:w="252" w:type="pct"/>
                  <w:shd w:val="clear" w:color="auto" w:fill="auto"/>
                  <w:vAlign w:val="center"/>
                </w:tcPr>
                <w:p w14:paraId="06B78F73">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36</w:t>
                  </w:r>
                </w:p>
              </w:tc>
              <w:tc>
                <w:tcPr>
                  <w:tcW w:w="253" w:type="pct"/>
                  <w:shd w:val="clear" w:color="auto" w:fill="auto"/>
                  <w:vAlign w:val="center"/>
                </w:tcPr>
                <w:p w14:paraId="6202F991">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18</w:t>
                  </w:r>
                </w:p>
              </w:tc>
              <w:tc>
                <w:tcPr>
                  <w:tcW w:w="254" w:type="pct"/>
                  <w:shd w:val="clear" w:color="auto" w:fill="auto"/>
                  <w:vAlign w:val="center"/>
                </w:tcPr>
                <w:p w14:paraId="368807A4">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36</w:t>
                  </w:r>
                </w:p>
              </w:tc>
              <w:tc>
                <w:tcPr>
                  <w:tcW w:w="253" w:type="pct"/>
                  <w:shd w:val="clear" w:color="auto" w:fill="auto"/>
                  <w:vAlign w:val="center"/>
                </w:tcPr>
                <w:p w14:paraId="2B139279">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34</w:t>
                  </w:r>
                </w:p>
              </w:tc>
              <w:tc>
                <w:tcPr>
                  <w:tcW w:w="337" w:type="pct"/>
                  <w:shd w:val="clear" w:color="auto" w:fill="auto"/>
                  <w:vAlign w:val="center"/>
                </w:tcPr>
                <w:p w14:paraId="28E6EC52">
                  <w:pPr>
                    <w:autoSpaceDE w:val="0"/>
                    <w:autoSpaceDN w:val="0"/>
                    <w:adjustRightInd w:val="0"/>
                    <w:snapToGrid w:val="0"/>
                    <w:ind w:left="-105" w:leftChars="-50" w:right="-105" w:rightChars="-50"/>
                    <w:jc w:val="center"/>
                    <w:rPr>
                      <w:bCs/>
                      <w:color w:val="FF0000"/>
                      <w:sz w:val="15"/>
                      <w:szCs w:val="15"/>
                    </w:rPr>
                  </w:pPr>
                  <w:r>
                    <w:rPr>
                      <w:rFonts w:hint="eastAsia" w:ascii="等线" w:hAnsi="等线" w:eastAsia="等线"/>
                      <w:color w:val="000000"/>
                      <w:sz w:val="15"/>
                      <w:szCs w:val="15"/>
                    </w:rPr>
                    <w:t>49.89</w:t>
                  </w:r>
                </w:p>
              </w:tc>
              <w:tc>
                <w:tcPr>
                  <w:tcW w:w="169" w:type="pct"/>
                  <w:vMerge w:val="restart"/>
                  <w:shd w:val="clear" w:color="auto" w:fill="auto"/>
                  <w:vAlign w:val="center"/>
                </w:tcPr>
                <w:p w14:paraId="3E04E0C1">
                  <w:pPr>
                    <w:autoSpaceDE w:val="0"/>
                    <w:autoSpaceDN w:val="0"/>
                    <w:adjustRightInd w:val="0"/>
                    <w:snapToGrid w:val="0"/>
                    <w:ind w:left="-105" w:leftChars="-50" w:right="-105" w:rightChars="-50"/>
                    <w:jc w:val="center"/>
                    <w:rPr>
                      <w:bCs/>
                      <w:sz w:val="15"/>
                      <w:szCs w:val="15"/>
                    </w:rPr>
                  </w:pPr>
                  <w:r>
                    <w:rPr>
                      <w:rFonts w:hint="eastAsia"/>
                      <w:bCs/>
                      <w:sz w:val="15"/>
                      <w:szCs w:val="15"/>
                    </w:rPr>
                    <w:t>昼夜</w:t>
                  </w:r>
                </w:p>
              </w:tc>
              <w:tc>
                <w:tcPr>
                  <w:tcW w:w="338" w:type="pct"/>
                  <w:shd w:val="clear" w:color="auto" w:fill="auto"/>
                  <w:vAlign w:val="center"/>
                </w:tcPr>
                <w:p w14:paraId="5C2F1338">
                  <w:pPr>
                    <w:autoSpaceDE w:val="0"/>
                    <w:autoSpaceDN w:val="0"/>
                    <w:adjustRightInd w:val="0"/>
                    <w:snapToGrid w:val="0"/>
                    <w:ind w:left="-105" w:leftChars="-50" w:right="-105" w:rightChars="-50"/>
                    <w:jc w:val="center"/>
                    <w:rPr>
                      <w:bCs/>
                      <w:sz w:val="15"/>
                      <w:szCs w:val="15"/>
                    </w:rPr>
                  </w:pPr>
                  <w:r>
                    <w:rPr>
                      <w:rFonts w:hint="eastAsia"/>
                      <w:bCs/>
                      <w:sz w:val="15"/>
                      <w:szCs w:val="15"/>
                    </w:rPr>
                    <w:t>20</w:t>
                  </w:r>
                </w:p>
              </w:tc>
              <w:tc>
                <w:tcPr>
                  <w:tcW w:w="507" w:type="pct"/>
                  <w:shd w:val="clear" w:color="auto" w:fill="auto"/>
                  <w:vAlign w:val="center"/>
                </w:tcPr>
                <w:p w14:paraId="150133A6">
                  <w:pPr>
                    <w:autoSpaceDE w:val="0"/>
                    <w:autoSpaceDN w:val="0"/>
                    <w:adjustRightInd w:val="0"/>
                    <w:snapToGrid w:val="0"/>
                    <w:ind w:left="-105" w:leftChars="-50" w:right="-105" w:rightChars="-50"/>
                    <w:jc w:val="center"/>
                    <w:rPr>
                      <w:bCs/>
                      <w:sz w:val="15"/>
                      <w:szCs w:val="15"/>
                    </w:rPr>
                  </w:pPr>
                  <w:r>
                    <w:rPr>
                      <w:rFonts w:hint="eastAsia" w:ascii="等线" w:hAnsi="等线" w:eastAsia="等线"/>
                      <w:color w:val="000000"/>
                      <w:sz w:val="15"/>
                      <w:szCs w:val="15"/>
                    </w:rPr>
                    <w:t>29.89</w:t>
                  </w:r>
                </w:p>
              </w:tc>
              <w:tc>
                <w:tcPr>
                  <w:tcW w:w="298" w:type="pct"/>
                  <w:shd w:val="clear" w:color="auto" w:fill="auto"/>
                  <w:vAlign w:val="center"/>
                </w:tcPr>
                <w:p w14:paraId="6A2714C9">
                  <w:pPr>
                    <w:autoSpaceDE w:val="0"/>
                    <w:autoSpaceDN w:val="0"/>
                    <w:adjustRightInd w:val="0"/>
                    <w:snapToGrid w:val="0"/>
                    <w:ind w:left="-105" w:leftChars="-50" w:right="-105" w:rightChars="-50"/>
                    <w:jc w:val="center"/>
                    <w:rPr>
                      <w:bCs/>
                      <w:sz w:val="15"/>
                      <w:szCs w:val="15"/>
                    </w:rPr>
                  </w:pPr>
                  <w:r>
                    <w:rPr>
                      <w:rFonts w:hint="eastAsia"/>
                      <w:bCs/>
                      <w:sz w:val="15"/>
                      <w:szCs w:val="15"/>
                    </w:rPr>
                    <w:t>1m</w:t>
                  </w:r>
                </w:p>
              </w:tc>
            </w:tr>
            <w:tr w14:paraId="2A665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7A8524A6">
                  <w:pPr>
                    <w:autoSpaceDE w:val="0"/>
                    <w:autoSpaceDN w:val="0"/>
                    <w:adjustRightInd w:val="0"/>
                    <w:snapToGrid w:val="0"/>
                    <w:ind w:left="-105" w:leftChars="-50" w:right="-105" w:rightChars="-50"/>
                    <w:jc w:val="center"/>
                    <w:rPr>
                      <w:bCs/>
                      <w:sz w:val="15"/>
                      <w:szCs w:val="15"/>
                    </w:rPr>
                  </w:pPr>
                  <w:r>
                    <w:rPr>
                      <w:rFonts w:hint="eastAsia"/>
                      <w:bCs/>
                      <w:sz w:val="15"/>
                      <w:szCs w:val="15"/>
                    </w:rPr>
                    <w:t>2</w:t>
                  </w:r>
                </w:p>
              </w:tc>
              <w:tc>
                <w:tcPr>
                  <w:tcW w:w="493" w:type="pct"/>
                  <w:shd w:val="clear" w:color="auto" w:fill="auto"/>
                  <w:vAlign w:val="center"/>
                </w:tcPr>
                <w:p w14:paraId="60DBF15C">
                  <w:pPr>
                    <w:autoSpaceDE w:val="0"/>
                    <w:autoSpaceDN w:val="0"/>
                    <w:adjustRightInd w:val="0"/>
                    <w:snapToGrid w:val="0"/>
                    <w:ind w:left="-105" w:leftChars="-50" w:right="-105" w:rightChars="-50"/>
                    <w:jc w:val="center"/>
                    <w:rPr>
                      <w:bCs/>
                      <w:sz w:val="15"/>
                      <w:szCs w:val="15"/>
                    </w:rPr>
                  </w:pPr>
                  <w:r>
                    <w:rPr>
                      <w:rFonts w:hint="eastAsia"/>
                      <w:bCs/>
                      <w:sz w:val="15"/>
                      <w:szCs w:val="15"/>
                    </w:rPr>
                    <w:t>多功能煎药机（40L）</w:t>
                  </w:r>
                </w:p>
              </w:tc>
              <w:tc>
                <w:tcPr>
                  <w:tcW w:w="371" w:type="pct"/>
                  <w:shd w:val="clear" w:color="auto" w:fill="auto"/>
                  <w:vAlign w:val="center"/>
                </w:tcPr>
                <w:p w14:paraId="70C73667">
                  <w:pPr>
                    <w:autoSpaceDE w:val="0"/>
                    <w:autoSpaceDN w:val="0"/>
                    <w:adjustRightInd w:val="0"/>
                    <w:snapToGrid w:val="0"/>
                    <w:ind w:left="-105" w:leftChars="-50" w:right="-105" w:rightChars="-50"/>
                    <w:jc w:val="center"/>
                    <w:rPr>
                      <w:bCs/>
                      <w:sz w:val="15"/>
                      <w:szCs w:val="15"/>
                    </w:rPr>
                  </w:pPr>
                  <w:r>
                    <w:rPr>
                      <w:rFonts w:hint="eastAsia"/>
                      <w:bCs/>
                      <w:sz w:val="15"/>
                      <w:szCs w:val="15"/>
                    </w:rPr>
                    <w:t>75</w:t>
                  </w:r>
                </w:p>
              </w:tc>
              <w:tc>
                <w:tcPr>
                  <w:tcW w:w="253" w:type="pct"/>
                  <w:shd w:val="clear" w:color="auto" w:fill="auto"/>
                  <w:vAlign w:val="center"/>
                </w:tcPr>
                <w:p w14:paraId="1465D384">
                  <w:pPr>
                    <w:autoSpaceDE w:val="0"/>
                    <w:autoSpaceDN w:val="0"/>
                    <w:adjustRightInd w:val="0"/>
                    <w:snapToGrid w:val="0"/>
                    <w:ind w:left="-105" w:leftChars="-50" w:right="-105" w:rightChars="-50"/>
                    <w:jc w:val="center"/>
                    <w:rPr>
                      <w:bCs/>
                      <w:sz w:val="15"/>
                      <w:szCs w:val="15"/>
                    </w:rPr>
                  </w:pPr>
                  <w:r>
                    <w:rPr>
                      <w:rFonts w:hint="eastAsia"/>
                      <w:sz w:val="15"/>
                      <w:szCs w:val="15"/>
                    </w:rPr>
                    <w:t>16</w:t>
                  </w:r>
                </w:p>
              </w:tc>
              <w:tc>
                <w:tcPr>
                  <w:tcW w:w="254" w:type="pct"/>
                  <w:vMerge w:val="continue"/>
                  <w:shd w:val="clear" w:color="auto" w:fill="auto"/>
                  <w:vAlign w:val="center"/>
                </w:tcPr>
                <w:p w14:paraId="2170358A">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68C2A6A7">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44</w:t>
                  </w:r>
                </w:p>
              </w:tc>
              <w:tc>
                <w:tcPr>
                  <w:tcW w:w="254" w:type="pct"/>
                  <w:shd w:val="clear" w:color="auto" w:fill="auto"/>
                  <w:vAlign w:val="center"/>
                </w:tcPr>
                <w:p w14:paraId="0E80455D">
                  <w:pPr>
                    <w:autoSpaceDE w:val="0"/>
                    <w:autoSpaceDN w:val="0"/>
                    <w:adjustRightInd w:val="0"/>
                    <w:snapToGrid w:val="0"/>
                    <w:ind w:left="-105" w:leftChars="-50" w:right="-105" w:rightChars="-50"/>
                    <w:jc w:val="center"/>
                    <w:rPr>
                      <w:bCs/>
                      <w:sz w:val="15"/>
                      <w:szCs w:val="15"/>
                    </w:rPr>
                  </w:pPr>
                  <w:r>
                    <w:rPr>
                      <w:rFonts w:hint="eastAsia"/>
                      <w:bCs/>
                      <w:sz w:val="15"/>
                      <w:szCs w:val="15"/>
                    </w:rPr>
                    <w:t>22</w:t>
                  </w:r>
                </w:p>
              </w:tc>
              <w:tc>
                <w:tcPr>
                  <w:tcW w:w="254" w:type="pct"/>
                  <w:shd w:val="clear" w:color="auto" w:fill="auto"/>
                  <w:vAlign w:val="center"/>
                </w:tcPr>
                <w:p w14:paraId="69F1BB74">
                  <w:pPr>
                    <w:autoSpaceDE w:val="0"/>
                    <w:autoSpaceDN w:val="0"/>
                    <w:adjustRightInd w:val="0"/>
                    <w:snapToGrid w:val="0"/>
                    <w:ind w:left="-105" w:leftChars="-50" w:right="-105" w:rightChars="-50"/>
                    <w:jc w:val="center"/>
                    <w:rPr>
                      <w:bCs/>
                      <w:sz w:val="15"/>
                      <w:szCs w:val="15"/>
                    </w:rPr>
                  </w:pPr>
                  <w:r>
                    <w:rPr>
                      <w:rFonts w:hint="eastAsia"/>
                      <w:bCs/>
                      <w:sz w:val="15"/>
                      <w:szCs w:val="15"/>
                    </w:rPr>
                    <w:t>15</w:t>
                  </w:r>
                </w:p>
              </w:tc>
              <w:tc>
                <w:tcPr>
                  <w:tcW w:w="252" w:type="pct"/>
                  <w:shd w:val="clear" w:color="auto" w:fill="auto"/>
                  <w:vAlign w:val="center"/>
                </w:tcPr>
                <w:p w14:paraId="6181B087">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36</w:t>
                  </w:r>
                </w:p>
              </w:tc>
              <w:tc>
                <w:tcPr>
                  <w:tcW w:w="253" w:type="pct"/>
                  <w:shd w:val="clear" w:color="auto" w:fill="auto"/>
                  <w:vAlign w:val="center"/>
                </w:tcPr>
                <w:p w14:paraId="0936F792">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18</w:t>
                  </w:r>
                </w:p>
              </w:tc>
              <w:tc>
                <w:tcPr>
                  <w:tcW w:w="254" w:type="pct"/>
                  <w:shd w:val="clear" w:color="auto" w:fill="auto"/>
                  <w:vAlign w:val="center"/>
                </w:tcPr>
                <w:p w14:paraId="7D5D63B9">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36</w:t>
                  </w:r>
                </w:p>
              </w:tc>
              <w:tc>
                <w:tcPr>
                  <w:tcW w:w="253" w:type="pct"/>
                  <w:shd w:val="clear" w:color="auto" w:fill="auto"/>
                  <w:vAlign w:val="center"/>
                </w:tcPr>
                <w:p w14:paraId="79B13398">
                  <w:pPr>
                    <w:autoSpaceDE w:val="0"/>
                    <w:autoSpaceDN w:val="0"/>
                    <w:adjustRightInd w:val="0"/>
                    <w:snapToGrid w:val="0"/>
                    <w:ind w:left="-105" w:leftChars="-50" w:right="-105" w:rightChars="-50"/>
                    <w:jc w:val="center"/>
                    <w:rPr>
                      <w:bCs/>
                      <w:sz w:val="15"/>
                      <w:szCs w:val="15"/>
                    </w:rPr>
                  </w:pPr>
                  <w:r>
                    <w:rPr>
                      <w:rFonts w:hint="eastAsia"/>
                      <w:bCs/>
                      <w:sz w:val="15"/>
                      <w:szCs w:val="15"/>
                    </w:rPr>
                    <w:t>34</w:t>
                  </w:r>
                </w:p>
              </w:tc>
              <w:tc>
                <w:tcPr>
                  <w:tcW w:w="337" w:type="pct"/>
                  <w:shd w:val="clear" w:color="auto" w:fill="auto"/>
                  <w:vAlign w:val="center"/>
                </w:tcPr>
                <w:p w14:paraId="1E1541FC">
                  <w:pPr>
                    <w:autoSpaceDE w:val="0"/>
                    <w:autoSpaceDN w:val="0"/>
                    <w:adjustRightInd w:val="0"/>
                    <w:snapToGrid w:val="0"/>
                    <w:ind w:left="-105" w:leftChars="-50" w:right="-105" w:rightChars="-50"/>
                    <w:jc w:val="center"/>
                    <w:rPr>
                      <w:bCs/>
                      <w:color w:val="FF0000"/>
                      <w:sz w:val="15"/>
                      <w:szCs w:val="15"/>
                    </w:rPr>
                  </w:pPr>
                  <w:r>
                    <w:rPr>
                      <w:rFonts w:hint="eastAsia" w:ascii="等线" w:hAnsi="等线" w:eastAsia="等线"/>
                      <w:color w:val="000000"/>
                      <w:sz w:val="15"/>
                      <w:szCs w:val="15"/>
                    </w:rPr>
                    <w:t>49.89</w:t>
                  </w:r>
                </w:p>
              </w:tc>
              <w:tc>
                <w:tcPr>
                  <w:tcW w:w="169" w:type="pct"/>
                  <w:vMerge w:val="continue"/>
                  <w:shd w:val="clear" w:color="auto" w:fill="auto"/>
                  <w:vAlign w:val="center"/>
                </w:tcPr>
                <w:p w14:paraId="30912C73">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4C6311B1">
                  <w:pPr>
                    <w:autoSpaceDE w:val="0"/>
                    <w:autoSpaceDN w:val="0"/>
                    <w:adjustRightInd w:val="0"/>
                    <w:snapToGrid w:val="0"/>
                    <w:ind w:left="-105" w:leftChars="-50" w:right="-105" w:rightChars="-50"/>
                    <w:jc w:val="center"/>
                    <w:rPr>
                      <w:bCs/>
                      <w:sz w:val="15"/>
                      <w:szCs w:val="15"/>
                    </w:rPr>
                  </w:pPr>
                  <w:r>
                    <w:rPr>
                      <w:rFonts w:hint="eastAsia"/>
                      <w:bCs/>
                      <w:sz w:val="15"/>
                      <w:szCs w:val="15"/>
                    </w:rPr>
                    <w:t>20</w:t>
                  </w:r>
                </w:p>
              </w:tc>
              <w:tc>
                <w:tcPr>
                  <w:tcW w:w="507" w:type="pct"/>
                  <w:shd w:val="clear" w:color="auto" w:fill="auto"/>
                  <w:vAlign w:val="center"/>
                </w:tcPr>
                <w:p w14:paraId="0FAA8BF2">
                  <w:pPr>
                    <w:autoSpaceDE w:val="0"/>
                    <w:autoSpaceDN w:val="0"/>
                    <w:adjustRightInd w:val="0"/>
                    <w:snapToGrid w:val="0"/>
                    <w:ind w:left="-105" w:leftChars="-50" w:right="-105" w:rightChars="-50"/>
                    <w:jc w:val="center"/>
                    <w:rPr>
                      <w:bCs/>
                      <w:sz w:val="15"/>
                      <w:szCs w:val="15"/>
                    </w:rPr>
                  </w:pPr>
                  <w:r>
                    <w:rPr>
                      <w:rFonts w:hint="eastAsia" w:ascii="等线" w:hAnsi="等线" w:eastAsia="等线"/>
                      <w:color w:val="000000"/>
                      <w:sz w:val="15"/>
                      <w:szCs w:val="15"/>
                    </w:rPr>
                    <w:t>29.89</w:t>
                  </w:r>
                </w:p>
              </w:tc>
              <w:tc>
                <w:tcPr>
                  <w:tcW w:w="298" w:type="pct"/>
                  <w:shd w:val="clear" w:color="auto" w:fill="auto"/>
                  <w:vAlign w:val="center"/>
                </w:tcPr>
                <w:p w14:paraId="1CC771D2">
                  <w:pPr>
                    <w:autoSpaceDE w:val="0"/>
                    <w:autoSpaceDN w:val="0"/>
                    <w:adjustRightInd w:val="0"/>
                    <w:snapToGrid w:val="0"/>
                    <w:ind w:left="-105" w:leftChars="-50" w:right="-105" w:rightChars="-50"/>
                    <w:jc w:val="center"/>
                    <w:rPr>
                      <w:bCs/>
                      <w:sz w:val="15"/>
                      <w:szCs w:val="15"/>
                    </w:rPr>
                  </w:pPr>
                  <w:r>
                    <w:rPr>
                      <w:rFonts w:hint="eastAsia"/>
                      <w:bCs/>
                      <w:sz w:val="15"/>
                      <w:szCs w:val="15"/>
                    </w:rPr>
                    <w:t>1m</w:t>
                  </w:r>
                </w:p>
              </w:tc>
            </w:tr>
            <w:tr w14:paraId="041DD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32AD1A0F">
                  <w:pPr>
                    <w:autoSpaceDE w:val="0"/>
                    <w:autoSpaceDN w:val="0"/>
                    <w:adjustRightInd w:val="0"/>
                    <w:snapToGrid w:val="0"/>
                    <w:ind w:left="-105" w:leftChars="-50" w:right="-105" w:rightChars="-50"/>
                    <w:jc w:val="center"/>
                    <w:rPr>
                      <w:bCs/>
                      <w:sz w:val="15"/>
                      <w:szCs w:val="15"/>
                    </w:rPr>
                  </w:pPr>
                  <w:r>
                    <w:rPr>
                      <w:rFonts w:hint="eastAsia"/>
                      <w:bCs/>
                      <w:sz w:val="15"/>
                      <w:szCs w:val="15"/>
                    </w:rPr>
                    <w:t>3</w:t>
                  </w:r>
                </w:p>
              </w:tc>
              <w:tc>
                <w:tcPr>
                  <w:tcW w:w="493" w:type="pct"/>
                  <w:shd w:val="clear" w:color="auto" w:fill="auto"/>
                  <w:vAlign w:val="center"/>
                </w:tcPr>
                <w:p w14:paraId="35CD8F2F">
                  <w:pPr>
                    <w:autoSpaceDE w:val="0"/>
                    <w:autoSpaceDN w:val="0"/>
                    <w:adjustRightInd w:val="0"/>
                    <w:snapToGrid w:val="0"/>
                    <w:ind w:left="-105" w:leftChars="-50" w:right="-105" w:rightChars="-50"/>
                    <w:jc w:val="center"/>
                    <w:rPr>
                      <w:bCs/>
                      <w:sz w:val="15"/>
                      <w:szCs w:val="15"/>
                    </w:rPr>
                  </w:pPr>
                  <w:r>
                    <w:rPr>
                      <w:rFonts w:hint="eastAsia"/>
                      <w:bCs/>
                      <w:sz w:val="15"/>
                      <w:szCs w:val="15"/>
                    </w:rPr>
                    <w:t>包装贴标一体机</w:t>
                  </w:r>
                </w:p>
              </w:tc>
              <w:tc>
                <w:tcPr>
                  <w:tcW w:w="371" w:type="pct"/>
                  <w:shd w:val="clear" w:color="auto" w:fill="auto"/>
                  <w:vAlign w:val="center"/>
                </w:tcPr>
                <w:p w14:paraId="29FAE0D5">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75</w:t>
                  </w:r>
                </w:p>
              </w:tc>
              <w:tc>
                <w:tcPr>
                  <w:tcW w:w="253" w:type="pct"/>
                  <w:shd w:val="clear" w:color="auto" w:fill="auto"/>
                  <w:vAlign w:val="center"/>
                </w:tcPr>
                <w:p w14:paraId="69810E96">
                  <w:pPr>
                    <w:autoSpaceDE w:val="0"/>
                    <w:autoSpaceDN w:val="0"/>
                    <w:adjustRightInd w:val="0"/>
                    <w:snapToGrid w:val="0"/>
                    <w:ind w:left="-105" w:leftChars="-50" w:right="-105" w:rightChars="-50"/>
                    <w:jc w:val="center"/>
                    <w:rPr>
                      <w:bCs/>
                      <w:sz w:val="15"/>
                      <w:szCs w:val="15"/>
                    </w:rPr>
                  </w:pPr>
                  <w:r>
                    <w:rPr>
                      <w:rFonts w:hint="eastAsia"/>
                      <w:sz w:val="15"/>
                      <w:szCs w:val="15"/>
                    </w:rPr>
                    <w:t>16</w:t>
                  </w:r>
                </w:p>
              </w:tc>
              <w:tc>
                <w:tcPr>
                  <w:tcW w:w="254" w:type="pct"/>
                  <w:vMerge w:val="continue"/>
                  <w:shd w:val="clear" w:color="auto" w:fill="auto"/>
                  <w:vAlign w:val="center"/>
                </w:tcPr>
                <w:p w14:paraId="17198B4D">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4A01D7A6">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44</w:t>
                  </w:r>
                </w:p>
              </w:tc>
              <w:tc>
                <w:tcPr>
                  <w:tcW w:w="254" w:type="pct"/>
                  <w:shd w:val="clear" w:color="auto" w:fill="auto"/>
                  <w:vAlign w:val="center"/>
                </w:tcPr>
                <w:p w14:paraId="43BACA81">
                  <w:pPr>
                    <w:autoSpaceDE w:val="0"/>
                    <w:autoSpaceDN w:val="0"/>
                    <w:adjustRightInd w:val="0"/>
                    <w:snapToGrid w:val="0"/>
                    <w:ind w:left="-105" w:leftChars="-50" w:right="-105" w:rightChars="-50"/>
                    <w:jc w:val="center"/>
                    <w:rPr>
                      <w:bCs/>
                      <w:sz w:val="15"/>
                      <w:szCs w:val="15"/>
                    </w:rPr>
                  </w:pPr>
                  <w:r>
                    <w:rPr>
                      <w:rFonts w:hint="eastAsia"/>
                      <w:bCs/>
                      <w:sz w:val="15"/>
                      <w:szCs w:val="15"/>
                    </w:rPr>
                    <w:t>22</w:t>
                  </w:r>
                </w:p>
              </w:tc>
              <w:tc>
                <w:tcPr>
                  <w:tcW w:w="254" w:type="pct"/>
                  <w:shd w:val="clear" w:color="auto" w:fill="auto"/>
                  <w:vAlign w:val="center"/>
                </w:tcPr>
                <w:p w14:paraId="6FF7907A">
                  <w:pPr>
                    <w:autoSpaceDE w:val="0"/>
                    <w:autoSpaceDN w:val="0"/>
                    <w:adjustRightInd w:val="0"/>
                    <w:snapToGrid w:val="0"/>
                    <w:ind w:left="-105" w:leftChars="-50" w:right="-105" w:rightChars="-50"/>
                    <w:jc w:val="center"/>
                    <w:rPr>
                      <w:bCs/>
                      <w:sz w:val="15"/>
                      <w:szCs w:val="15"/>
                    </w:rPr>
                  </w:pPr>
                  <w:r>
                    <w:rPr>
                      <w:rFonts w:hint="eastAsia"/>
                      <w:bCs/>
                      <w:sz w:val="15"/>
                      <w:szCs w:val="15"/>
                    </w:rPr>
                    <w:t>15</w:t>
                  </w:r>
                </w:p>
              </w:tc>
              <w:tc>
                <w:tcPr>
                  <w:tcW w:w="252" w:type="pct"/>
                  <w:shd w:val="clear" w:color="auto" w:fill="auto"/>
                  <w:vAlign w:val="center"/>
                </w:tcPr>
                <w:p w14:paraId="7CF3E383">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36</w:t>
                  </w:r>
                </w:p>
              </w:tc>
              <w:tc>
                <w:tcPr>
                  <w:tcW w:w="253" w:type="pct"/>
                  <w:shd w:val="clear" w:color="auto" w:fill="auto"/>
                  <w:vAlign w:val="center"/>
                </w:tcPr>
                <w:p w14:paraId="3550286A">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18</w:t>
                  </w:r>
                </w:p>
              </w:tc>
              <w:tc>
                <w:tcPr>
                  <w:tcW w:w="254" w:type="pct"/>
                  <w:shd w:val="clear" w:color="auto" w:fill="auto"/>
                  <w:vAlign w:val="center"/>
                </w:tcPr>
                <w:p w14:paraId="414EC353">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36</w:t>
                  </w:r>
                </w:p>
              </w:tc>
              <w:tc>
                <w:tcPr>
                  <w:tcW w:w="253" w:type="pct"/>
                  <w:shd w:val="clear" w:color="auto" w:fill="auto"/>
                  <w:vAlign w:val="center"/>
                </w:tcPr>
                <w:p w14:paraId="076E7B74">
                  <w:pPr>
                    <w:autoSpaceDE w:val="0"/>
                    <w:autoSpaceDN w:val="0"/>
                    <w:adjustRightInd w:val="0"/>
                    <w:snapToGrid w:val="0"/>
                    <w:ind w:left="-105" w:leftChars="-50" w:right="-105" w:rightChars="-50"/>
                    <w:jc w:val="center"/>
                    <w:rPr>
                      <w:bCs/>
                      <w:sz w:val="15"/>
                      <w:szCs w:val="15"/>
                    </w:rPr>
                  </w:pPr>
                  <w:r>
                    <w:rPr>
                      <w:rFonts w:hint="eastAsia"/>
                      <w:bCs/>
                      <w:sz w:val="15"/>
                      <w:szCs w:val="15"/>
                    </w:rPr>
                    <w:t>34</w:t>
                  </w:r>
                </w:p>
              </w:tc>
              <w:tc>
                <w:tcPr>
                  <w:tcW w:w="337" w:type="pct"/>
                  <w:shd w:val="clear" w:color="auto" w:fill="auto"/>
                  <w:vAlign w:val="center"/>
                </w:tcPr>
                <w:p w14:paraId="3482D09B">
                  <w:pPr>
                    <w:autoSpaceDE w:val="0"/>
                    <w:autoSpaceDN w:val="0"/>
                    <w:adjustRightInd w:val="0"/>
                    <w:snapToGrid w:val="0"/>
                    <w:ind w:left="-105" w:leftChars="-50" w:right="-105" w:rightChars="-50"/>
                    <w:jc w:val="center"/>
                    <w:rPr>
                      <w:bCs/>
                      <w:color w:val="FF0000"/>
                      <w:sz w:val="15"/>
                      <w:szCs w:val="15"/>
                    </w:rPr>
                  </w:pPr>
                  <w:r>
                    <w:rPr>
                      <w:rFonts w:hint="eastAsia" w:ascii="等线" w:hAnsi="等线" w:eastAsia="等线"/>
                      <w:color w:val="000000"/>
                      <w:sz w:val="15"/>
                      <w:szCs w:val="15"/>
                    </w:rPr>
                    <w:t>49.89</w:t>
                  </w:r>
                </w:p>
              </w:tc>
              <w:tc>
                <w:tcPr>
                  <w:tcW w:w="169" w:type="pct"/>
                  <w:vMerge w:val="continue"/>
                  <w:shd w:val="clear" w:color="auto" w:fill="auto"/>
                  <w:vAlign w:val="center"/>
                </w:tcPr>
                <w:p w14:paraId="19899E61">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4F8DC16F">
                  <w:pPr>
                    <w:autoSpaceDE w:val="0"/>
                    <w:autoSpaceDN w:val="0"/>
                    <w:adjustRightInd w:val="0"/>
                    <w:snapToGrid w:val="0"/>
                    <w:ind w:left="-105" w:leftChars="-50" w:right="-105" w:rightChars="-50"/>
                    <w:jc w:val="center"/>
                    <w:rPr>
                      <w:bCs/>
                      <w:sz w:val="15"/>
                      <w:szCs w:val="15"/>
                    </w:rPr>
                  </w:pPr>
                  <w:r>
                    <w:rPr>
                      <w:rFonts w:hint="eastAsia"/>
                      <w:bCs/>
                      <w:sz w:val="15"/>
                      <w:szCs w:val="15"/>
                    </w:rPr>
                    <w:t>20</w:t>
                  </w:r>
                </w:p>
              </w:tc>
              <w:tc>
                <w:tcPr>
                  <w:tcW w:w="507" w:type="pct"/>
                  <w:shd w:val="clear" w:color="auto" w:fill="auto"/>
                  <w:vAlign w:val="center"/>
                </w:tcPr>
                <w:p w14:paraId="0C42A322">
                  <w:pPr>
                    <w:autoSpaceDE w:val="0"/>
                    <w:autoSpaceDN w:val="0"/>
                    <w:adjustRightInd w:val="0"/>
                    <w:snapToGrid w:val="0"/>
                    <w:ind w:left="-105" w:leftChars="-50" w:right="-105" w:rightChars="-50"/>
                    <w:jc w:val="center"/>
                    <w:rPr>
                      <w:bCs/>
                      <w:sz w:val="15"/>
                      <w:szCs w:val="15"/>
                    </w:rPr>
                  </w:pPr>
                  <w:r>
                    <w:rPr>
                      <w:rFonts w:hint="eastAsia" w:ascii="等线" w:hAnsi="等线" w:eastAsia="等线"/>
                      <w:color w:val="000000"/>
                      <w:sz w:val="15"/>
                      <w:szCs w:val="15"/>
                    </w:rPr>
                    <w:t>29.89</w:t>
                  </w:r>
                </w:p>
              </w:tc>
              <w:tc>
                <w:tcPr>
                  <w:tcW w:w="298" w:type="pct"/>
                  <w:shd w:val="clear" w:color="auto" w:fill="auto"/>
                  <w:vAlign w:val="center"/>
                </w:tcPr>
                <w:p w14:paraId="737900BA">
                  <w:pPr>
                    <w:autoSpaceDE w:val="0"/>
                    <w:autoSpaceDN w:val="0"/>
                    <w:adjustRightInd w:val="0"/>
                    <w:snapToGrid w:val="0"/>
                    <w:ind w:left="-105" w:leftChars="-50" w:right="-105" w:rightChars="-50"/>
                    <w:jc w:val="center"/>
                    <w:rPr>
                      <w:bCs/>
                      <w:sz w:val="15"/>
                      <w:szCs w:val="15"/>
                    </w:rPr>
                  </w:pPr>
                  <w:r>
                    <w:rPr>
                      <w:rFonts w:hint="eastAsia"/>
                      <w:bCs/>
                      <w:sz w:val="15"/>
                      <w:szCs w:val="15"/>
                    </w:rPr>
                    <w:t>1m</w:t>
                  </w:r>
                </w:p>
              </w:tc>
            </w:tr>
            <w:tr w14:paraId="7E460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0766B48B">
                  <w:pPr>
                    <w:autoSpaceDE w:val="0"/>
                    <w:autoSpaceDN w:val="0"/>
                    <w:adjustRightInd w:val="0"/>
                    <w:snapToGrid w:val="0"/>
                    <w:ind w:left="-105" w:leftChars="-50" w:right="-105" w:rightChars="-50"/>
                    <w:jc w:val="center"/>
                    <w:rPr>
                      <w:bCs/>
                      <w:sz w:val="15"/>
                      <w:szCs w:val="15"/>
                    </w:rPr>
                  </w:pPr>
                  <w:r>
                    <w:rPr>
                      <w:rFonts w:hint="eastAsia"/>
                      <w:bCs/>
                      <w:sz w:val="15"/>
                      <w:szCs w:val="15"/>
                    </w:rPr>
                    <w:t>4</w:t>
                  </w:r>
                </w:p>
              </w:tc>
              <w:tc>
                <w:tcPr>
                  <w:tcW w:w="493" w:type="pct"/>
                  <w:shd w:val="clear" w:color="auto" w:fill="auto"/>
                  <w:vAlign w:val="center"/>
                </w:tcPr>
                <w:p w14:paraId="0A28E3CF">
                  <w:pPr>
                    <w:autoSpaceDE w:val="0"/>
                    <w:autoSpaceDN w:val="0"/>
                    <w:adjustRightInd w:val="0"/>
                    <w:snapToGrid w:val="0"/>
                    <w:ind w:left="-105" w:leftChars="-50" w:right="-105" w:rightChars="-50"/>
                    <w:jc w:val="center"/>
                    <w:rPr>
                      <w:bCs/>
                      <w:sz w:val="15"/>
                      <w:szCs w:val="15"/>
                    </w:rPr>
                  </w:pPr>
                  <w:r>
                    <w:rPr>
                      <w:rFonts w:hint="eastAsia"/>
                      <w:bCs/>
                      <w:sz w:val="15"/>
                      <w:szCs w:val="15"/>
                    </w:rPr>
                    <w:t>蒸汽发生器</w:t>
                  </w:r>
                </w:p>
              </w:tc>
              <w:tc>
                <w:tcPr>
                  <w:tcW w:w="371" w:type="pct"/>
                  <w:shd w:val="clear" w:color="auto" w:fill="auto"/>
                  <w:vAlign w:val="center"/>
                </w:tcPr>
                <w:p w14:paraId="5DB82F39">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80</w:t>
                  </w:r>
                </w:p>
              </w:tc>
              <w:tc>
                <w:tcPr>
                  <w:tcW w:w="253" w:type="pct"/>
                  <w:shd w:val="clear" w:color="auto" w:fill="auto"/>
                  <w:vAlign w:val="center"/>
                </w:tcPr>
                <w:p w14:paraId="4411395D">
                  <w:pPr>
                    <w:autoSpaceDE w:val="0"/>
                    <w:autoSpaceDN w:val="0"/>
                    <w:adjustRightInd w:val="0"/>
                    <w:snapToGrid w:val="0"/>
                    <w:ind w:left="-105" w:leftChars="-50" w:right="-105" w:rightChars="-50"/>
                    <w:jc w:val="center"/>
                    <w:rPr>
                      <w:bCs/>
                      <w:sz w:val="15"/>
                      <w:szCs w:val="15"/>
                    </w:rPr>
                  </w:pPr>
                  <w:r>
                    <w:rPr>
                      <w:rFonts w:hint="eastAsia"/>
                      <w:sz w:val="15"/>
                      <w:szCs w:val="15"/>
                    </w:rPr>
                    <w:t>1</w:t>
                  </w:r>
                </w:p>
              </w:tc>
              <w:tc>
                <w:tcPr>
                  <w:tcW w:w="254" w:type="pct"/>
                  <w:vMerge w:val="continue"/>
                  <w:shd w:val="clear" w:color="auto" w:fill="auto"/>
                  <w:vAlign w:val="center"/>
                </w:tcPr>
                <w:p w14:paraId="63D270D6">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1B3FA998">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33</w:t>
                  </w:r>
                </w:p>
              </w:tc>
              <w:tc>
                <w:tcPr>
                  <w:tcW w:w="254" w:type="pct"/>
                  <w:shd w:val="clear" w:color="auto" w:fill="auto"/>
                  <w:vAlign w:val="center"/>
                </w:tcPr>
                <w:p w14:paraId="7459FC9D">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17</w:t>
                  </w:r>
                </w:p>
              </w:tc>
              <w:tc>
                <w:tcPr>
                  <w:tcW w:w="254" w:type="pct"/>
                  <w:shd w:val="clear" w:color="auto" w:fill="auto"/>
                  <w:vAlign w:val="center"/>
                </w:tcPr>
                <w:p w14:paraId="3B3D0F6B">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15</w:t>
                  </w:r>
                </w:p>
              </w:tc>
              <w:tc>
                <w:tcPr>
                  <w:tcW w:w="252" w:type="pct"/>
                  <w:shd w:val="clear" w:color="auto" w:fill="auto"/>
                  <w:vAlign w:val="center"/>
                </w:tcPr>
                <w:p w14:paraId="53B2847E">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55</w:t>
                  </w:r>
                </w:p>
              </w:tc>
              <w:tc>
                <w:tcPr>
                  <w:tcW w:w="253" w:type="pct"/>
                  <w:shd w:val="clear" w:color="auto" w:fill="auto"/>
                  <w:vAlign w:val="center"/>
                </w:tcPr>
                <w:p w14:paraId="1965A1F5">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8</w:t>
                  </w:r>
                </w:p>
              </w:tc>
              <w:tc>
                <w:tcPr>
                  <w:tcW w:w="254" w:type="pct"/>
                  <w:shd w:val="clear" w:color="auto" w:fill="auto"/>
                  <w:vAlign w:val="center"/>
                </w:tcPr>
                <w:p w14:paraId="1C320E08">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33</w:t>
                  </w:r>
                </w:p>
              </w:tc>
              <w:tc>
                <w:tcPr>
                  <w:tcW w:w="253" w:type="pct"/>
                  <w:shd w:val="clear" w:color="auto" w:fill="auto"/>
                  <w:vAlign w:val="center"/>
                </w:tcPr>
                <w:p w14:paraId="3085436E">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47</w:t>
                  </w:r>
                </w:p>
              </w:tc>
              <w:tc>
                <w:tcPr>
                  <w:tcW w:w="337" w:type="pct"/>
                  <w:shd w:val="clear" w:color="auto" w:fill="auto"/>
                  <w:vAlign w:val="center"/>
                </w:tcPr>
                <w:p w14:paraId="03789859">
                  <w:pPr>
                    <w:autoSpaceDE w:val="0"/>
                    <w:autoSpaceDN w:val="0"/>
                    <w:adjustRightInd w:val="0"/>
                    <w:snapToGrid w:val="0"/>
                    <w:ind w:left="-105" w:leftChars="-50" w:right="-105" w:rightChars="-50"/>
                    <w:jc w:val="center"/>
                    <w:rPr>
                      <w:bCs/>
                      <w:color w:val="FF0000"/>
                      <w:sz w:val="15"/>
                      <w:szCs w:val="15"/>
                    </w:rPr>
                  </w:pPr>
                  <w:r>
                    <w:rPr>
                      <w:rFonts w:hint="eastAsia" w:ascii="等线" w:hAnsi="等线" w:eastAsia="等线"/>
                      <w:color w:val="000000"/>
                      <w:sz w:val="15"/>
                      <w:szCs w:val="15"/>
                    </w:rPr>
                    <w:t>61.94</w:t>
                  </w:r>
                </w:p>
              </w:tc>
              <w:tc>
                <w:tcPr>
                  <w:tcW w:w="169" w:type="pct"/>
                  <w:vMerge w:val="continue"/>
                  <w:shd w:val="clear" w:color="auto" w:fill="auto"/>
                  <w:vAlign w:val="center"/>
                </w:tcPr>
                <w:p w14:paraId="44794973">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7C03A6AD">
                  <w:pPr>
                    <w:autoSpaceDE w:val="0"/>
                    <w:autoSpaceDN w:val="0"/>
                    <w:adjustRightInd w:val="0"/>
                    <w:snapToGrid w:val="0"/>
                    <w:ind w:left="-105" w:leftChars="-50" w:right="-105" w:rightChars="-50"/>
                    <w:jc w:val="center"/>
                    <w:rPr>
                      <w:bCs/>
                      <w:sz w:val="15"/>
                      <w:szCs w:val="15"/>
                    </w:rPr>
                  </w:pPr>
                  <w:r>
                    <w:rPr>
                      <w:rFonts w:hint="eastAsia"/>
                      <w:bCs/>
                      <w:sz w:val="15"/>
                      <w:szCs w:val="15"/>
                    </w:rPr>
                    <w:t>20</w:t>
                  </w:r>
                </w:p>
              </w:tc>
              <w:tc>
                <w:tcPr>
                  <w:tcW w:w="507" w:type="pct"/>
                  <w:shd w:val="clear" w:color="auto" w:fill="auto"/>
                  <w:vAlign w:val="center"/>
                </w:tcPr>
                <w:p w14:paraId="331E3C40">
                  <w:pPr>
                    <w:autoSpaceDE w:val="0"/>
                    <w:autoSpaceDN w:val="0"/>
                    <w:adjustRightInd w:val="0"/>
                    <w:snapToGrid w:val="0"/>
                    <w:ind w:left="-105" w:leftChars="-50" w:right="-105" w:rightChars="-50"/>
                    <w:jc w:val="center"/>
                    <w:rPr>
                      <w:bCs/>
                      <w:sz w:val="15"/>
                      <w:szCs w:val="15"/>
                    </w:rPr>
                  </w:pPr>
                  <w:r>
                    <w:rPr>
                      <w:rFonts w:hint="eastAsia" w:ascii="等线" w:hAnsi="等线" w:eastAsia="等线"/>
                      <w:color w:val="000000"/>
                      <w:sz w:val="15"/>
                      <w:szCs w:val="15"/>
                    </w:rPr>
                    <w:t>41.94</w:t>
                  </w:r>
                </w:p>
              </w:tc>
              <w:tc>
                <w:tcPr>
                  <w:tcW w:w="298" w:type="pct"/>
                  <w:shd w:val="clear" w:color="auto" w:fill="auto"/>
                  <w:vAlign w:val="center"/>
                </w:tcPr>
                <w:p w14:paraId="29FA3167">
                  <w:pPr>
                    <w:autoSpaceDE w:val="0"/>
                    <w:autoSpaceDN w:val="0"/>
                    <w:adjustRightInd w:val="0"/>
                    <w:snapToGrid w:val="0"/>
                    <w:ind w:left="-105" w:leftChars="-50" w:right="-105" w:rightChars="-50"/>
                    <w:jc w:val="center"/>
                    <w:rPr>
                      <w:bCs/>
                      <w:sz w:val="15"/>
                      <w:szCs w:val="15"/>
                    </w:rPr>
                  </w:pPr>
                  <w:r>
                    <w:rPr>
                      <w:rFonts w:hint="eastAsia"/>
                      <w:bCs/>
                      <w:sz w:val="15"/>
                      <w:szCs w:val="15"/>
                    </w:rPr>
                    <w:t>1m</w:t>
                  </w:r>
                </w:p>
              </w:tc>
            </w:tr>
            <w:tr w14:paraId="3479C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5EA8F7FD">
                  <w:pPr>
                    <w:autoSpaceDE w:val="0"/>
                    <w:autoSpaceDN w:val="0"/>
                    <w:adjustRightInd w:val="0"/>
                    <w:snapToGrid w:val="0"/>
                    <w:ind w:left="-105" w:leftChars="-50" w:right="-105" w:rightChars="-50"/>
                    <w:jc w:val="center"/>
                    <w:rPr>
                      <w:bCs/>
                      <w:sz w:val="15"/>
                      <w:szCs w:val="15"/>
                    </w:rPr>
                  </w:pPr>
                  <w:r>
                    <w:rPr>
                      <w:rFonts w:hint="eastAsia"/>
                      <w:bCs/>
                      <w:sz w:val="15"/>
                      <w:szCs w:val="15"/>
                    </w:rPr>
                    <w:t>5</w:t>
                  </w:r>
                </w:p>
              </w:tc>
              <w:tc>
                <w:tcPr>
                  <w:tcW w:w="493" w:type="pct"/>
                  <w:shd w:val="clear" w:color="auto" w:fill="auto"/>
                  <w:vAlign w:val="center"/>
                </w:tcPr>
                <w:p w14:paraId="133E857F">
                  <w:pPr>
                    <w:autoSpaceDE w:val="0"/>
                    <w:autoSpaceDN w:val="0"/>
                    <w:adjustRightInd w:val="0"/>
                    <w:snapToGrid w:val="0"/>
                    <w:ind w:left="-105" w:leftChars="-50" w:right="-105" w:rightChars="-50"/>
                    <w:jc w:val="center"/>
                    <w:rPr>
                      <w:bCs/>
                      <w:sz w:val="15"/>
                      <w:szCs w:val="15"/>
                    </w:rPr>
                  </w:pPr>
                  <w:r>
                    <w:rPr>
                      <w:rFonts w:hint="eastAsia"/>
                      <w:bCs/>
                      <w:sz w:val="15"/>
                      <w:szCs w:val="15"/>
                    </w:rPr>
                    <w:t>夹层锅（40L）</w:t>
                  </w:r>
                </w:p>
              </w:tc>
              <w:tc>
                <w:tcPr>
                  <w:tcW w:w="371" w:type="pct"/>
                  <w:shd w:val="clear" w:color="auto" w:fill="auto"/>
                  <w:vAlign w:val="center"/>
                </w:tcPr>
                <w:p w14:paraId="609411C8">
                  <w:pPr>
                    <w:autoSpaceDE w:val="0"/>
                    <w:autoSpaceDN w:val="0"/>
                    <w:adjustRightInd w:val="0"/>
                    <w:snapToGrid w:val="0"/>
                    <w:ind w:left="-105" w:leftChars="-50" w:right="-105" w:rightChars="-50"/>
                    <w:jc w:val="center"/>
                    <w:rPr>
                      <w:bCs/>
                      <w:sz w:val="15"/>
                      <w:szCs w:val="15"/>
                    </w:rPr>
                  </w:pPr>
                  <w:r>
                    <w:rPr>
                      <w:rFonts w:hint="eastAsia"/>
                      <w:bCs/>
                      <w:sz w:val="15"/>
                      <w:szCs w:val="15"/>
                    </w:rPr>
                    <w:t>75</w:t>
                  </w:r>
                </w:p>
              </w:tc>
              <w:tc>
                <w:tcPr>
                  <w:tcW w:w="253" w:type="pct"/>
                  <w:shd w:val="clear" w:color="auto" w:fill="auto"/>
                  <w:vAlign w:val="center"/>
                </w:tcPr>
                <w:p w14:paraId="2A7FE79A">
                  <w:pPr>
                    <w:autoSpaceDE w:val="0"/>
                    <w:autoSpaceDN w:val="0"/>
                    <w:adjustRightInd w:val="0"/>
                    <w:snapToGrid w:val="0"/>
                    <w:ind w:left="-105" w:leftChars="-50" w:right="-105" w:rightChars="-50"/>
                    <w:jc w:val="center"/>
                    <w:rPr>
                      <w:bCs/>
                      <w:sz w:val="15"/>
                      <w:szCs w:val="15"/>
                    </w:rPr>
                  </w:pPr>
                  <w:r>
                    <w:rPr>
                      <w:rFonts w:hint="eastAsia"/>
                      <w:sz w:val="15"/>
                      <w:szCs w:val="15"/>
                    </w:rPr>
                    <w:t>2</w:t>
                  </w:r>
                </w:p>
              </w:tc>
              <w:tc>
                <w:tcPr>
                  <w:tcW w:w="254" w:type="pct"/>
                  <w:vMerge w:val="continue"/>
                  <w:shd w:val="clear" w:color="auto" w:fill="auto"/>
                  <w:vAlign w:val="center"/>
                </w:tcPr>
                <w:p w14:paraId="07E4C0A9">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6DBFD255">
                  <w:pPr>
                    <w:autoSpaceDE w:val="0"/>
                    <w:autoSpaceDN w:val="0"/>
                    <w:adjustRightInd w:val="0"/>
                    <w:snapToGrid w:val="0"/>
                    <w:ind w:left="-105" w:leftChars="-50" w:right="-105" w:rightChars="-50"/>
                    <w:jc w:val="center"/>
                    <w:rPr>
                      <w:bCs/>
                      <w:sz w:val="15"/>
                      <w:szCs w:val="15"/>
                    </w:rPr>
                  </w:pPr>
                  <w:r>
                    <w:rPr>
                      <w:rFonts w:hint="eastAsia"/>
                      <w:bCs/>
                      <w:sz w:val="15"/>
                      <w:szCs w:val="15"/>
                    </w:rPr>
                    <w:t>33</w:t>
                  </w:r>
                </w:p>
              </w:tc>
              <w:tc>
                <w:tcPr>
                  <w:tcW w:w="254" w:type="pct"/>
                  <w:shd w:val="clear" w:color="auto" w:fill="auto"/>
                  <w:vAlign w:val="center"/>
                </w:tcPr>
                <w:p w14:paraId="72F4F6E5">
                  <w:pPr>
                    <w:autoSpaceDE w:val="0"/>
                    <w:autoSpaceDN w:val="0"/>
                    <w:adjustRightInd w:val="0"/>
                    <w:snapToGrid w:val="0"/>
                    <w:ind w:left="-105" w:leftChars="-50" w:right="-105" w:rightChars="-50"/>
                    <w:jc w:val="center"/>
                    <w:rPr>
                      <w:bCs/>
                      <w:sz w:val="15"/>
                      <w:szCs w:val="15"/>
                    </w:rPr>
                  </w:pPr>
                  <w:r>
                    <w:rPr>
                      <w:rFonts w:hint="eastAsia"/>
                      <w:bCs/>
                      <w:sz w:val="15"/>
                      <w:szCs w:val="15"/>
                    </w:rPr>
                    <w:t>17</w:t>
                  </w:r>
                </w:p>
              </w:tc>
              <w:tc>
                <w:tcPr>
                  <w:tcW w:w="254" w:type="pct"/>
                  <w:shd w:val="clear" w:color="auto" w:fill="auto"/>
                  <w:vAlign w:val="center"/>
                </w:tcPr>
                <w:p w14:paraId="3AB09E50">
                  <w:pPr>
                    <w:autoSpaceDE w:val="0"/>
                    <w:autoSpaceDN w:val="0"/>
                    <w:adjustRightInd w:val="0"/>
                    <w:snapToGrid w:val="0"/>
                    <w:ind w:left="-105" w:leftChars="-50" w:right="-105" w:rightChars="-50"/>
                    <w:jc w:val="center"/>
                    <w:rPr>
                      <w:bCs/>
                      <w:sz w:val="15"/>
                      <w:szCs w:val="15"/>
                    </w:rPr>
                  </w:pPr>
                  <w:r>
                    <w:rPr>
                      <w:rFonts w:hint="eastAsia"/>
                      <w:bCs/>
                      <w:sz w:val="15"/>
                      <w:szCs w:val="15"/>
                    </w:rPr>
                    <w:t>15</w:t>
                  </w:r>
                </w:p>
              </w:tc>
              <w:tc>
                <w:tcPr>
                  <w:tcW w:w="252" w:type="pct"/>
                  <w:shd w:val="clear" w:color="auto" w:fill="auto"/>
                  <w:vAlign w:val="center"/>
                </w:tcPr>
                <w:p w14:paraId="2DAB61F0">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56</w:t>
                  </w:r>
                </w:p>
              </w:tc>
              <w:tc>
                <w:tcPr>
                  <w:tcW w:w="253" w:type="pct"/>
                  <w:shd w:val="clear" w:color="auto" w:fill="auto"/>
                  <w:vAlign w:val="center"/>
                </w:tcPr>
                <w:p w14:paraId="690FB002">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8</w:t>
                  </w:r>
                </w:p>
              </w:tc>
              <w:tc>
                <w:tcPr>
                  <w:tcW w:w="254" w:type="pct"/>
                  <w:shd w:val="clear" w:color="auto" w:fill="auto"/>
                  <w:vAlign w:val="center"/>
                </w:tcPr>
                <w:p w14:paraId="0A703BF3">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32</w:t>
                  </w:r>
                </w:p>
              </w:tc>
              <w:tc>
                <w:tcPr>
                  <w:tcW w:w="253" w:type="pct"/>
                  <w:shd w:val="clear" w:color="auto" w:fill="auto"/>
                  <w:vAlign w:val="center"/>
                </w:tcPr>
                <w:p w14:paraId="24B624ED">
                  <w:pPr>
                    <w:autoSpaceDE w:val="0"/>
                    <w:autoSpaceDN w:val="0"/>
                    <w:adjustRightInd w:val="0"/>
                    <w:snapToGrid w:val="0"/>
                    <w:ind w:left="-105" w:leftChars="-50" w:right="-105" w:rightChars="-50"/>
                    <w:jc w:val="center"/>
                    <w:rPr>
                      <w:bCs/>
                      <w:sz w:val="15"/>
                      <w:szCs w:val="15"/>
                    </w:rPr>
                  </w:pPr>
                  <w:r>
                    <w:rPr>
                      <w:rFonts w:hint="eastAsia"/>
                      <w:bCs/>
                      <w:sz w:val="15"/>
                      <w:szCs w:val="15"/>
                    </w:rPr>
                    <w:t>47</w:t>
                  </w:r>
                </w:p>
              </w:tc>
              <w:tc>
                <w:tcPr>
                  <w:tcW w:w="337" w:type="pct"/>
                  <w:shd w:val="clear" w:color="auto" w:fill="auto"/>
                  <w:vAlign w:val="center"/>
                </w:tcPr>
                <w:p w14:paraId="7AB364F9">
                  <w:pPr>
                    <w:autoSpaceDE w:val="0"/>
                    <w:autoSpaceDN w:val="0"/>
                    <w:adjustRightInd w:val="0"/>
                    <w:snapToGrid w:val="0"/>
                    <w:ind w:left="-105" w:leftChars="-50" w:right="-105" w:rightChars="-50"/>
                    <w:jc w:val="center"/>
                    <w:rPr>
                      <w:bCs/>
                      <w:color w:val="FF0000"/>
                      <w:sz w:val="15"/>
                      <w:szCs w:val="15"/>
                    </w:rPr>
                  </w:pPr>
                  <w:r>
                    <w:rPr>
                      <w:rFonts w:hint="eastAsia" w:ascii="等线" w:hAnsi="等线" w:eastAsia="等线"/>
                      <w:color w:val="000000"/>
                      <w:sz w:val="15"/>
                      <w:szCs w:val="15"/>
                    </w:rPr>
                    <w:t>56.94</w:t>
                  </w:r>
                </w:p>
              </w:tc>
              <w:tc>
                <w:tcPr>
                  <w:tcW w:w="169" w:type="pct"/>
                  <w:vMerge w:val="continue"/>
                  <w:shd w:val="clear" w:color="auto" w:fill="auto"/>
                  <w:vAlign w:val="center"/>
                </w:tcPr>
                <w:p w14:paraId="4F358C3B">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5451A34D">
                  <w:pPr>
                    <w:autoSpaceDE w:val="0"/>
                    <w:autoSpaceDN w:val="0"/>
                    <w:adjustRightInd w:val="0"/>
                    <w:snapToGrid w:val="0"/>
                    <w:ind w:left="-105" w:leftChars="-50" w:right="-105" w:rightChars="-50"/>
                    <w:jc w:val="center"/>
                    <w:rPr>
                      <w:bCs/>
                      <w:sz w:val="15"/>
                      <w:szCs w:val="15"/>
                    </w:rPr>
                  </w:pPr>
                  <w:r>
                    <w:rPr>
                      <w:rFonts w:hint="eastAsia"/>
                      <w:bCs/>
                      <w:sz w:val="15"/>
                      <w:szCs w:val="15"/>
                    </w:rPr>
                    <w:t>20</w:t>
                  </w:r>
                </w:p>
              </w:tc>
              <w:tc>
                <w:tcPr>
                  <w:tcW w:w="507" w:type="pct"/>
                  <w:shd w:val="clear" w:color="auto" w:fill="auto"/>
                  <w:vAlign w:val="center"/>
                </w:tcPr>
                <w:p w14:paraId="5AF2A214">
                  <w:pPr>
                    <w:autoSpaceDE w:val="0"/>
                    <w:autoSpaceDN w:val="0"/>
                    <w:adjustRightInd w:val="0"/>
                    <w:snapToGrid w:val="0"/>
                    <w:ind w:left="-105" w:leftChars="-50" w:right="-105" w:rightChars="-50"/>
                    <w:jc w:val="center"/>
                    <w:rPr>
                      <w:bCs/>
                      <w:sz w:val="15"/>
                      <w:szCs w:val="15"/>
                    </w:rPr>
                  </w:pPr>
                  <w:r>
                    <w:rPr>
                      <w:rFonts w:hint="eastAsia" w:ascii="等线" w:hAnsi="等线" w:eastAsia="等线"/>
                      <w:color w:val="000000"/>
                      <w:sz w:val="15"/>
                      <w:szCs w:val="15"/>
                    </w:rPr>
                    <w:t>36.94</w:t>
                  </w:r>
                </w:p>
              </w:tc>
              <w:tc>
                <w:tcPr>
                  <w:tcW w:w="298" w:type="pct"/>
                  <w:shd w:val="clear" w:color="auto" w:fill="auto"/>
                  <w:vAlign w:val="center"/>
                </w:tcPr>
                <w:p w14:paraId="2940C2B1">
                  <w:pPr>
                    <w:autoSpaceDE w:val="0"/>
                    <w:autoSpaceDN w:val="0"/>
                    <w:adjustRightInd w:val="0"/>
                    <w:snapToGrid w:val="0"/>
                    <w:ind w:left="-105" w:leftChars="-50" w:right="-105" w:rightChars="-50"/>
                    <w:jc w:val="center"/>
                    <w:rPr>
                      <w:bCs/>
                      <w:sz w:val="15"/>
                      <w:szCs w:val="15"/>
                    </w:rPr>
                  </w:pPr>
                  <w:r>
                    <w:rPr>
                      <w:rFonts w:hint="eastAsia"/>
                      <w:bCs/>
                      <w:sz w:val="15"/>
                      <w:szCs w:val="15"/>
                    </w:rPr>
                    <w:t>1m</w:t>
                  </w:r>
                </w:p>
              </w:tc>
            </w:tr>
            <w:tr w14:paraId="40057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3F372555">
                  <w:pPr>
                    <w:autoSpaceDE w:val="0"/>
                    <w:autoSpaceDN w:val="0"/>
                    <w:adjustRightInd w:val="0"/>
                    <w:snapToGrid w:val="0"/>
                    <w:ind w:left="-105" w:leftChars="-50" w:right="-105" w:rightChars="-50"/>
                    <w:jc w:val="center"/>
                    <w:rPr>
                      <w:bCs/>
                      <w:sz w:val="15"/>
                      <w:szCs w:val="15"/>
                    </w:rPr>
                  </w:pPr>
                  <w:r>
                    <w:rPr>
                      <w:rFonts w:hint="eastAsia"/>
                      <w:bCs/>
                      <w:sz w:val="15"/>
                      <w:szCs w:val="15"/>
                    </w:rPr>
                    <w:t>6</w:t>
                  </w:r>
                </w:p>
              </w:tc>
              <w:tc>
                <w:tcPr>
                  <w:tcW w:w="493" w:type="pct"/>
                  <w:shd w:val="clear" w:color="auto" w:fill="auto"/>
                  <w:vAlign w:val="center"/>
                </w:tcPr>
                <w:p w14:paraId="419FFD4E">
                  <w:pPr>
                    <w:autoSpaceDE w:val="0"/>
                    <w:autoSpaceDN w:val="0"/>
                    <w:adjustRightInd w:val="0"/>
                    <w:snapToGrid w:val="0"/>
                    <w:ind w:left="-105" w:leftChars="-50" w:right="-105" w:rightChars="-50"/>
                    <w:jc w:val="center"/>
                    <w:rPr>
                      <w:bCs/>
                      <w:sz w:val="15"/>
                      <w:szCs w:val="15"/>
                    </w:rPr>
                  </w:pPr>
                  <w:r>
                    <w:rPr>
                      <w:rFonts w:hint="eastAsia"/>
                      <w:bCs/>
                      <w:sz w:val="15"/>
                      <w:szCs w:val="15"/>
                    </w:rPr>
                    <w:t>膏方包装机</w:t>
                  </w:r>
                </w:p>
              </w:tc>
              <w:tc>
                <w:tcPr>
                  <w:tcW w:w="371" w:type="pct"/>
                  <w:shd w:val="clear" w:color="auto" w:fill="auto"/>
                  <w:vAlign w:val="center"/>
                </w:tcPr>
                <w:p w14:paraId="31C5617E">
                  <w:pPr>
                    <w:autoSpaceDE w:val="0"/>
                    <w:autoSpaceDN w:val="0"/>
                    <w:adjustRightInd w:val="0"/>
                    <w:snapToGrid w:val="0"/>
                    <w:ind w:left="-105" w:leftChars="-50" w:right="-105" w:rightChars="-50"/>
                    <w:jc w:val="center"/>
                    <w:rPr>
                      <w:bCs/>
                      <w:sz w:val="15"/>
                      <w:szCs w:val="15"/>
                    </w:rPr>
                  </w:pPr>
                  <w:r>
                    <w:rPr>
                      <w:rFonts w:hint="eastAsia"/>
                      <w:bCs/>
                      <w:sz w:val="15"/>
                      <w:szCs w:val="15"/>
                    </w:rPr>
                    <w:t>75</w:t>
                  </w:r>
                </w:p>
              </w:tc>
              <w:tc>
                <w:tcPr>
                  <w:tcW w:w="253" w:type="pct"/>
                  <w:shd w:val="clear" w:color="auto" w:fill="auto"/>
                  <w:vAlign w:val="center"/>
                </w:tcPr>
                <w:p w14:paraId="568D9602">
                  <w:pPr>
                    <w:autoSpaceDE w:val="0"/>
                    <w:autoSpaceDN w:val="0"/>
                    <w:adjustRightInd w:val="0"/>
                    <w:snapToGrid w:val="0"/>
                    <w:ind w:left="-105" w:leftChars="-50" w:right="-105" w:rightChars="-50"/>
                    <w:jc w:val="center"/>
                    <w:rPr>
                      <w:bCs/>
                      <w:sz w:val="15"/>
                      <w:szCs w:val="15"/>
                    </w:rPr>
                  </w:pPr>
                  <w:r>
                    <w:rPr>
                      <w:rFonts w:hint="eastAsia"/>
                      <w:sz w:val="15"/>
                      <w:szCs w:val="15"/>
                    </w:rPr>
                    <w:t>1</w:t>
                  </w:r>
                </w:p>
              </w:tc>
              <w:tc>
                <w:tcPr>
                  <w:tcW w:w="254" w:type="pct"/>
                  <w:vMerge w:val="continue"/>
                  <w:shd w:val="clear" w:color="auto" w:fill="auto"/>
                  <w:vAlign w:val="center"/>
                </w:tcPr>
                <w:p w14:paraId="10C0B3B4">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4BBAC639">
                  <w:pPr>
                    <w:autoSpaceDE w:val="0"/>
                    <w:autoSpaceDN w:val="0"/>
                    <w:adjustRightInd w:val="0"/>
                    <w:snapToGrid w:val="0"/>
                    <w:ind w:left="-105" w:leftChars="-50" w:right="-105" w:rightChars="-50"/>
                    <w:jc w:val="center"/>
                    <w:rPr>
                      <w:bCs/>
                      <w:sz w:val="15"/>
                      <w:szCs w:val="15"/>
                    </w:rPr>
                  </w:pPr>
                  <w:r>
                    <w:rPr>
                      <w:rFonts w:hint="eastAsia"/>
                      <w:bCs/>
                      <w:sz w:val="15"/>
                      <w:szCs w:val="15"/>
                    </w:rPr>
                    <w:t>31</w:t>
                  </w:r>
                </w:p>
              </w:tc>
              <w:tc>
                <w:tcPr>
                  <w:tcW w:w="254" w:type="pct"/>
                  <w:shd w:val="clear" w:color="auto" w:fill="auto"/>
                  <w:vAlign w:val="center"/>
                </w:tcPr>
                <w:p w14:paraId="57535DA2">
                  <w:pPr>
                    <w:autoSpaceDE w:val="0"/>
                    <w:autoSpaceDN w:val="0"/>
                    <w:adjustRightInd w:val="0"/>
                    <w:snapToGrid w:val="0"/>
                    <w:ind w:left="-105" w:leftChars="-50" w:right="-105" w:rightChars="-50"/>
                    <w:jc w:val="center"/>
                    <w:rPr>
                      <w:bCs/>
                      <w:sz w:val="15"/>
                      <w:szCs w:val="15"/>
                    </w:rPr>
                  </w:pPr>
                  <w:r>
                    <w:rPr>
                      <w:rFonts w:hint="eastAsia"/>
                      <w:bCs/>
                      <w:sz w:val="15"/>
                      <w:szCs w:val="15"/>
                    </w:rPr>
                    <w:t>17</w:t>
                  </w:r>
                </w:p>
              </w:tc>
              <w:tc>
                <w:tcPr>
                  <w:tcW w:w="254" w:type="pct"/>
                  <w:shd w:val="clear" w:color="auto" w:fill="auto"/>
                  <w:vAlign w:val="center"/>
                </w:tcPr>
                <w:p w14:paraId="343C0364">
                  <w:pPr>
                    <w:autoSpaceDE w:val="0"/>
                    <w:autoSpaceDN w:val="0"/>
                    <w:adjustRightInd w:val="0"/>
                    <w:snapToGrid w:val="0"/>
                    <w:ind w:left="-105" w:leftChars="-50" w:right="-105" w:rightChars="-50"/>
                    <w:jc w:val="center"/>
                    <w:rPr>
                      <w:bCs/>
                      <w:sz w:val="15"/>
                      <w:szCs w:val="15"/>
                    </w:rPr>
                  </w:pPr>
                  <w:r>
                    <w:rPr>
                      <w:rFonts w:hint="eastAsia"/>
                      <w:bCs/>
                      <w:sz w:val="15"/>
                      <w:szCs w:val="15"/>
                    </w:rPr>
                    <w:t>15</w:t>
                  </w:r>
                </w:p>
              </w:tc>
              <w:tc>
                <w:tcPr>
                  <w:tcW w:w="252" w:type="pct"/>
                  <w:shd w:val="clear" w:color="auto" w:fill="auto"/>
                  <w:vAlign w:val="center"/>
                </w:tcPr>
                <w:p w14:paraId="77E89A29">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57</w:t>
                  </w:r>
                </w:p>
              </w:tc>
              <w:tc>
                <w:tcPr>
                  <w:tcW w:w="253" w:type="pct"/>
                  <w:shd w:val="clear" w:color="auto" w:fill="auto"/>
                  <w:vAlign w:val="center"/>
                </w:tcPr>
                <w:p w14:paraId="49BF5172">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8</w:t>
                  </w:r>
                </w:p>
              </w:tc>
              <w:tc>
                <w:tcPr>
                  <w:tcW w:w="254" w:type="pct"/>
                  <w:shd w:val="clear" w:color="auto" w:fill="auto"/>
                  <w:vAlign w:val="center"/>
                </w:tcPr>
                <w:p w14:paraId="56A6B4AF">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31</w:t>
                  </w:r>
                </w:p>
              </w:tc>
              <w:tc>
                <w:tcPr>
                  <w:tcW w:w="253" w:type="pct"/>
                  <w:shd w:val="clear" w:color="auto" w:fill="auto"/>
                  <w:vAlign w:val="center"/>
                </w:tcPr>
                <w:p w14:paraId="7D5AF09C">
                  <w:pPr>
                    <w:autoSpaceDE w:val="0"/>
                    <w:autoSpaceDN w:val="0"/>
                    <w:adjustRightInd w:val="0"/>
                    <w:snapToGrid w:val="0"/>
                    <w:ind w:left="-105" w:leftChars="-50" w:right="-105" w:rightChars="-50"/>
                    <w:jc w:val="center"/>
                    <w:rPr>
                      <w:bCs/>
                      <w:sz w:val="15"/>
                      <w:szCs w:val="15"/>
                    </w:rPr>
                  </w:pPr>
                  <w:r>
                    <w:rPr>
                      <w:rFonts w:hint="eastAsia"/>
                      <w:bCs/>
                      <w:sz w:val="15"/>
                      <w:szCs w:val="15"/>
                    </w:rPr>
                    <w:t>47</w:t>
                  </w:r>
                </w:p>
              </w:tc>
              <w:tc>
                <w:tcPr>
                  <w:tcW w:w="337" w:type="pct"/>
                  <w:shd w:val="clear" w:color="auto" w:fill="auto"/>
                  <w:vAlign w:val="center"/>
                </w:tcPr>
                <w:p w14:paraId="24CD9659">
                  <w:pPr>
                    <w:autoSpaceDE w:val="0"/>
                    <w:autoSpaceDN w:val="0"/>
                    <w:adjustRightInd w:val="0"/>
                    <w:snapToGrid w:val="0"/>
                    <w:ind w:left="-105" w:leftChars="-50" w:right="-105" w:rightChars="-50"/>
                    <w:jc w:val="center"/>
                    <w:rPr>
                      <w:bCs/>
                      <w:color w:val="FF0000"/>
                      <w:sz w:val="15"/>
                      <w:szCs w:val="15"/>
                    </w:rPr>
                  </w:pPr>
                  <w:r>
                    <w:rPr>
                      <w:rFonts w:hint="eastAsia" w:ascii="等线" w:hAnsi="等线" w:eastAsia="等线"/>
                      <w:color w:val="000000"/>
                      <w:sz w:val="15"/>
                      <w:szCs w:val="15"/>
                    </w:rPr>
                    <w:t>56.94</w:t>
                  </w:r>
                </w:p>
              </w:tc>
              <w:tc>
                <w:tcPr>
                  <w:tcW w:w="169" w:type="pct"/>
                  <w:vMerge w:val="continue"/>
                  <w:shd w:val="clear" w:color="auto" w:fill="auto"/>
                  <w:vAlign w:val="center"/>
                </w:tcPr>
                <w:p w14:paraId="7E0D899A">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6864DEC4">
                  <w:pPr>
                    <w:autoSpaceDE w:val="0"/>
                    <w:autoSpaceDN w:val="0"/>
                    <w:adjustRightInd w:val="0"/>
                    <w:snapToGrid w:val="0"/>
                    <w:ind w:left="-105" w:leftChars="-50" w:right="-105" w:rightChars="-50"/>
                    <w:jc w:val="center"/>
                    <w:rPr>
                      <w:bCs/>
                      <w:sz w:val="15"/>
                      <w:szCs w:val="15"/>
                    </w:rPr>
                  </w:pPr>
                  <w:r>
                    <w:rPr>
                      <w:rFonts w:hint="eastAsia"/>
                      <w:bCs/>
                      <w:sz w:val="15"/>
                      <w:szCs w:val="15"/>
                    </w:rPr>
                    <w:t>20</w:t>
                  </w:r>
                </w:p>
              </w:tc>
              <w:tc>
                <w:tcPr>
                  <w:tcW w:w="507" w:type="pct"/>
                  <w:shd w:val="clear" w:color="auto" w:fill="auto"/>
                  <w:vAlign w:val="center"/>
                </w:tcPr>
                <w:p w14:paraId="00C2EEEE">
                  <w:pPr>
                    <w:autoSpaceDE w:val="0"/>
                    <w:autoSpaceDN w:val="0"/>
                    <w:adjustRightInd w:val="0"/>
                    <w:snapToGrid w:val="0"/>
                    <w:ind w:left="-105" w:leftChars="-50" w:right="-105" w:rightChars="-50"/>
                    <w:jc w:val="center"/>
                    <w:rPr>
                      <w:bCs/>
                      <w:sz w:val="15"/>
                      <w:szCs w:val="15"/>
                    </w:rPr>
                  </w:pPr>
                  <w:r>
                    <w:rPr>
                      <w:rFonts w:hint="eastAsia" w:ascii="等线" w:hAnsi="等线" w:eastAsia="等线"/>
                      <w:color w:val="000000"/>
                      <w:sz w:val="15"/>
                      <w:szCs w:val="15"/>
                    </w:rPr>
                    <w:t>36.94</w:t>
                  </w:r>
                </w:p>
              </w:tc>
              <w:tc>
                <w:tcPr>
                  <w:tcW w:w="298" w:type="pct"/>
                  <w:shd w:val="clear" w:color="auto" w:fill="auto"/>
                  <w:vAlign w:val="center"/>
                </w:tcPr>
                <w:p w14:paraId="5154DF40">
                  <w:pPr>
                    <w:autoSpaceDE w:val="0"/>
                    <w:autoSpaceDN w:val="0"/>
                    <w:adjustRightInd w:val="0"/>
                    <w:snapToGrid w:val="0"/>
                    <w:ind w:left="-105" w:leftChars="-50" w:right="-105" w:rightChars="-50"/>
                    <w:jc w:val="center"/>
                    <w:rPr>
                      <w:bCs/>
                      <w:sz w:val="15"/>
                      <w:szCs w:val="15"/>
                    </w:rPr>
                  </w:pPr>
                  <w:r>
                    <w:rPr>
                      <w:rFonts w:hint="eastAsia"/>
                      <w:bCs/>
                      <w:sz w:val="15"/>
                      <w:szCs w:val="15"/>
                    </w:rPr>
                    <w:t>1m</w:t>
                  </w:r>
                </w:p>
              </w:tc>
            </w:tr>
            <w:tr w14:paraId="42C76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2D7FA544">
                  <w:pPr>
                    <w:autoSpaceDE w:val="0"/>
                    <w:autoSpaceDN w:val="0"/>
                    <w:adjustRightInd w:val="0"/>
                    <w:snapToGrid w:val="0"/>
                    <w:ind w:left="-105" w:leftChars="-50" w:right="-105" w:rightChars="-50"/>
                    <w:jc w:val="center"/>
                    <w:rPr>
                      <w:bCs/>
                      <w:sz w:val="15"/>
                      <w:szCs w:val="15"/>
                    </w:rPr>
                  </w:pPr>
                  <w:r>
                    <w:rPr>
                      <w:rFonts w:hint="eastAsia"/>
                      <w:bCs/>
                      <w:sz w:val="15"/>
                      <w:szCs w:val="15"/>
                    </w:rPr>
                    <w:t>7</w:t>
                  </w:r>
                </w:p>
              </w:tc>
              <w:tc>
                <w:tcPr>
                  <w:tcW w:w="493" w:type="pct"/>
                  <w:shd w:val="clear" w:color="auto" w:fill="auto"/>
                  <w:vAlign w:val="center"/>
                </w:tcPr>
                <w:p w14:paraId="14F3FA1F">
                  <w:pPr>
                    <w:autoSpaceDE w:val="0"/>
                    <w:autoSpaceDN w:val="0"/>
                    <w:adjustRightInd w:val="0"/>
                    <w:snapToGrid w:val="0"/>
                    <w:ind w:left="-105" w:leftChars="-50" w:right="-105" w:rightChars="-50"/>
                    <w:jc w:val="center"/>
                    <w:rPr>
                      <w:bCs/>
                      <w:sz w:val="15"/>
                      <w:szCs w:val="15"/>
                    </w:rPr>
                  </w:pPr>
                  <w:r>
                    <w:rPr>
                      <w:rFonts w:hint="eastAsia"/>
                      <w:bCs/>
                      <w:sz w:val="15"/>
                      <w:szCs w:val="15"/>
                    </w:rPr>
                    <w:t>多功能煎药机（40L）</w:t>
                  </w:r>
                </w:p>
              </w:tc>
              <w:tc>
                <w:tcPr>
                  <w:tcW w:w="371" w:type="pct"/>
                  <w:shd w:val="clear" w:color="auto" w:fill="auto"/>
                  <w:vAlign w:val="center"/>
                </w:tcPr>
                <w:p w14:paraId="6ECF379F">
                  <w:pPr>
                    <w:autoSpaceDE w:val="0"/>
                    <w:autoSpaceDN w:val="0"/>
                    <w:adjustRightInd w:val="0"/>
                    <w:snapToGrid w:val="0"/>
                    <w:ind w:left="-105" w:leftChars="-50" w:right="-105" w:rightChars="-50"/>
                    <w:jc w:val="center"/>
                    <w:rPr>
                      <w:bCs/>
                      <w:sz w:val="15"/>
                      <w:szCs w:val="15"/>
                    </w:rPr>
                  </w:pPr>
                  <w:r>
                    <w:rPr>
                      <w:rFonts w:hint="eastAsia"/>
                      <w:bCs/>
                      <w:sz w:val="15"/>
                      <w:szCs w:val="15"/>
                    </w:rPr>
                    <w:t>75</w:t>
                  </w:r>
                </w:p>
              </w:tc>
              <w:tc>
                <w:tcPr>
                  <w:tcW w:w="253" w:type="pct"/>
                  <w:shd w:val="clear" w:color="auto" w:fill="auto"/>
                  <w:vAlign w:val="center"/>
                </w:tcPr>
                <w:p w14:paraId="745CC99C">
                  <w:pPr>
                    <w:autoSpaceDE w:val="0"/>
                    <w:autoSpaceDN w:val="0"/>
                    <w:adjustRightInd w:val="0"/>
                    <w:snapToGrid w:val="0"/>
                    <w:ind w:left="-105" w:leftChars="-50" w:right="-105" w:rightChars="-50"/>
                    <w:jc w:val="center"/>
                    <w:rPr>
                      <w:bCs/>
                      <w:sz w:val="15"/>
                      <w:szCs w:val="15"/>
                    </w:rPr>
                  </w:pPr>
                  <w:r>
                    <w:rPr>
                      <w:rFonts w:hint="eastAsia"/>
                      <w:sz w:val="15"/>
                      <w:szCs w:val="15"/>
                    </w:rPr>
                    <w:t>1</w:t>
                  </w:r>
                </w:p>
              </w:tc>
              <w:tc>
                <w:tcPr>
                  <w:tcW w:w="254" w:type="pct"/>
                  <w:vMerge w:val="continue"/>
                  <w:shd w:val="clear" w:color="auto" w:fill="auto"/>
                  <w:vAlign w:val="center"/>
                </w:tcPr>
                <w:p w14:paraId="26AF5BE9">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3065C566">
                  <w:pPr>
                    <w:autoSpaceDE w:val="0"/>
                    <w:autoSpaceDN w:val="0"/>
                    <w:adjustRightInd w:val="0"/>
                    <w:snapToGrid w:val="0"/>
                    <w:ind w:left="-105" w:leftChars="-50" w:right="-105" w:rightChars="-50"/>
                    <w:jc w:val="center"/>
                    <w:rPr>
                      <w:bCs/>
                      <w:sz w:val="15"/>
                      <w:szCs w:val="15"/>
                    </w:rPr>
                  </w:pPr>
                  <w:r>
                    <w:rPr>
                      <w:rFonts w:hint="eastAsia"/>
                      <w:bCs/>
                      <w:sz w:val="15"/>
                      <w:szCs w:val="15"/>
                    </w:rPr>
                    <w:t>31</w:t>
                  </w:r>
                </w:p>
              </w:tc>
              <w:tc>
                <w:tcPr>
                  <w:tcW w:w="254" w:type="pct"/>
                  <w:shd w:val="clear" w:color="auto" w:fill="auto"/>
                  <w:vAlign w:val="center"/>
                </w:tcPr>
                <w:p w14:paraId="4B52A608">
                  <w:pPr>
                    <w:autoSpaceDE w:val="0"/>
                    <w:autoSpaceDN w:val="0"/>
                    <w:adjustRightInd w:val="0"/>
                    <w:snapToGrid w:val="0"/>
                    <w:ind w:left="-105" w:leftChars="-50" w:right="-105" w:rightChars="-50"/>
                    <w:jc w:val="center"/>
                    <w:rPr>
                      <w:bCs/>
                      <w:sz w:val="15"/>
                      <w:szCs w:val="15"/>
                    </w:rPr>
                  </w:pPr>
                  <w:r>
                    <w:rPr>
                      <w:rFonts w:hint="eastAsia"/>
                      <w:bCs/>
                      <w:sz w:val="15"/>
                      <w:szCs w:val="15"/>
                    </w:rPr>
                    <w:t>17</w:t>
                  </w:r>
                </w:p>
              </w:tc>
              <w:tc>
                <w:tcPr>
                  <w:tcW w:w="254" w:type="pct"/>
                  <w:shd w:val="clear" w:color="auto" w:fill="auto"/>
                  <w:vAlign w:val="center"/>
                </w:tcPr>
                <w:p w14:paraId="3CB861CA">
                  <w:pPr>
                    <w:autoSpaceDE w:val="0"/>
                    <w:autoSpaceDN w:val="0"/>
                    <w:adjustRightInd w:val="0"/>
                    <w:snapToGrid w:val="0"/>
                    <w:ind w:left="-105" w:leftChars="-50" w:right="-105" w:rightChars="-50"/>
                    <w:jc w:val="center"/>
                    <w:rPr>
                      <w:bCs/>
                      <w:sz w:val="15"/>
                      <w:szCs w:val="15"/>
                    </w:rPr>
                  </w:pPr>
                  <w:r>
                    <w:rPr>
                      <w:rFonts w:hint="eastAsia"/>
                      <w:bCs/>
                      <w:sz w:val="15"/>
                      <w:szCs w:val="15"/>
                    </w:rPr>
                    <w:t>15</w:t>
                  </w:r>
                </w:p>
              </w:tc>
              <w:tc>
                <w:tcPr>
                  <w:tcW w:w="252" w:type="pct"/>
                  <w:shd w:val="clear" w:color="auto" w:fill="auto"/>
                  <w:vAlign w:val="center"/>
                </w:tcPr>
                <w:p w14:paraId="0C603CA5">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57</w:t>
                  </w:r>
                </w:p>
              </w:tc>
              <w:tc>
                <w:tcPr>
                  <w:tcW w:w="253" w:type="pct"/>
                  <w:shd w:val="clear" w:color="auto" w:fill="auto"/>
                  <w:vAlign w:val="center"/>
                </w:tcPr>
                <w:p w14:paraId="79DBCDA5">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8</w:t>
                  </w:r>
                </w:p>
              </w:tc>
              <w:tc>
                <w:tcPr>
                  <w:tcW w:w="254" w:type="pct"/>
                  <w:shd w:val="clear" w:color="auto" w:fill="auto"/>
                  <w:vAlign w:val="center"/>
                </w:tcPr>
                <w:p w14:paraId="2ED09932">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31</w:t>
                  </w:r>
                </w:p>
              </w:tc>
              <w:tc>
                <w:tcPr>
                  <w:tcW w:w="253" w:type="pct"/>
                  <w:shd w:val="clear" w:color="auto" w:fill="auto"/>
                  <w:vAlign w:val="center"/>
                </w:tcPr>
                <w:p w14:paraId="088C56E8">
                  <w:pPr>
                    <w:autoSpaceDE w:val="0"/>
                    <w:autoSpaceDN w:val="0"/>
                    <w:adjustRightInd w:val="0"/>
                    <w:snapToGrid w:val="0"/>
                    <w:ind w:left="-105" w:leftChars="-50" w:right="-105" w:rightChars="-50"/>
                    <w:jc w:val="center"/>
                    <w:rPr>
                      <w:bCs/>
                      <w:sz w:val="15"/>
                      <w:szCs w:val="15"/>
                    </w:rPr>
                  </w:pPr>
                  <w:r>
                    <w:rPr>
                      <w:rFonts w:hint="eastAsia"/>
                      <w:bCs/>
                      <w:sz w:val="15"/>
                      <w:szCs w:val="15"/>
                    </w:rPr>
                    <w:t>47</w:t>
                  </w:r>
                </w:p>
              </w:tc>
              <w:tc>
                <w:tcPr>
                  <w:tcW w:w="337" w:type="pct"/>
                  <w:shd w:val="clear" w:color="auto" w:fill="auto"/>
                  <w:vAlign w:val="center"/>
                </w:tcPr>
                <w:p w14:paraId="0AEEB191">
                  <w:pPr>
                    <w:autoSpaceDE w:val="0"/>
                    <w:autoSpaceDN w:val="0"/>
                    <w:adjustRightInd w:val="0"/>
                    <w:snapToGrid w:val="0"/>
                    <w:ind w:left="-105" w:leftChars="-50" w:right="-105" w:rightChars="-50"/>
                    <w:jc w:val="center"/>
                    <w:rPr>
                      <w:bCs/>
                      <w:color w:val="FF0000"/>
                      <w:sz w:val="15"/>
                      <w:szCs w:val="15"/>
                    </w:rPr>
                  </w:pPr>
                  <w:r>
                    <w:rPr>
                      <w:rFonts w:hint="eastAsia" w:ascii="等线" w:hAnsi="等线" w:eastAsia="等线"/>
                      <w:color w:val="000000"/>
                      <w:sz w:val="15"/>
                      <w:szCs w:val="15"/>
                    </w:rPr>
                    <w:t>56.94</w:t>
                  </w:r>
                </w:p>
              </w:tc>
              <w:tc>
                <w:tcPr>
                  <w:tcW w:w="169" w:type="pct"/>
                  <w:vMerge w:val="continue"/>
                  <w:shd w:val="clear" w:color="auto" w:fill="auto"/>
                  <w:vAlign w:val="center"/>
                </w:tcPr>
                <w:p w14:paraId="021EAC65">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6DC85251">
                  <w:pPr>
                    <w:autoSpaceDE w:val="0"/>
                    <w:autoSpaceDN w:val="0"/>
                    <w:adjustRightInd w:val="0"/>
                    <w:snapToGrid w:val="0"/>
                    <w:ind w:left="-105" w:leftChars="-50" w:right="-105" w:rightChars="-50"/>
                    <w:jc w:val="center"/>
                    <w:rPr>
                      <w:bCs/>
                      <w:sz w:val="15"/>
                      <w:szCs w:val="15"/>
                    </w:rPr>
                  </w:pPr>
                  <w:r>
                    <w:rPr>
                      <w:rFonts w:hint="eastAsia"/>
                      <w:bCs/>
                      <w:sz w:val="15"/>
                      <w:szCs w:val="15"/>
                    </w:rPr>
                    <w:t>20</w:t>
                  </w:r>
                </w:p>
              </w:tc>
              <w:tc>
                <w:tcPr>
                  <w:tcW w:w="507" w:type="pct"/>
                  <w:shd w:val="clear" w:color="auto" w:fill="auto"/>
                  <w:vAlign w:val="center"/>
                </w:tcPr>
                <w:p w14:paraId="390ACD0A">
                  <w:pPr>
                    <w:autoSpaceDE w:val="0"/>
                    <w:autoSpaceDN w:val="0"/>
                    <w:adjustRightInd w:val="0"/>
                    <w:snapToGrid w:val="0"/>
                    <w:ind w:left="-105" w:leftChars="-50" w:right="-105" w:rightChars="-50"/>
                    <w:jc w:val="center"/>
                    <w:rPr>
                      <w:bCs/>
                      <w:sz w:val="15"/>
                      <w:szCs w:val="15"/>
                    </w:rPr>
                  </w:pPr>
                  <w:r>
                    <w:rPr>
                      <w:rFonts w:hint="eastAsia" w:ascii="等线" w:hAnsi="等线" w:eastAsia="等线"/>
                      <w:color w:val="000000"/>
                      <w:sz w:val="15"/>
                      <w:szCs w:val="15"/>
                    </w:rPr>
                    <w:t>36.94</w:t>
                  </w:r>
                </w:p>
              </w:tc>
              <w:tc>
                <w:tcPr>
                  <w:tcW w:w="298" w:type="pct"/>
                  <w:shd w:val="clear" w:color="auto" w:fill="auto"/>
                  <w:vAlign w:val="center"/>
                </w:tcPr>
                <w:p w14:paraId="6E68BA7E">
                  <w:pPr>
                    <w:autoSpaceDE w:val="0"/>
                    <w:autoSpaceDN w:val="0"/>
                    <w:adjustRightInd w:val="0"/>
                    <w:snapToGrid w:val="0"/>
                    <w:ind w:left="-105" w:leftChars="-50" w:right="-105" w:rightChars="-50"/>
                    <w:jc w:val="center"/>
                    <w:rPr>
                      <w:bCs/>
                      <w:sz w:val="15"/>
                      <w:szCs w:val="15"/>
                    </w:rPr>
                  </w:pPr>
                  <w:r>
                    <w:rPr>
                      <w:rFonts w:hint="eastAsia"/>
                      <w:bCs/>
                      <w:sz w:val="15"/>
                      <w:szCs w:val="15"/>
                    </w:rPr>
                    <w:t>1m</w:t>
                  </w:r>
                </w:p>
              </w:tc>
            </w:tr>
            <w:tr w14:paraId="27258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76C7C603">
                  <w:pPr>
                    <w:autoSpaceDE w:val="0"/>
                    <w:autoSpaceDN w:val="0"/>
                    <w:adjustRightInd w:val="0"/>
                    <w:snapToGrid w:val="0"/>
                    <w:ind w:left="-105" w:leftChars="-50" w:right="-105" w:rightChars="-50"/>
                    <w:jc w:val="center"/>
                    <w:rPr>
                      <w:bCs/>
                      <w:sz w:val="15"/>
                      <w:szCs w:val="15"/>
                    </w:rPr>
                  </w:pPr>
                  <w:r>
                    <w:rPr>
                      <w:rFonts w:hint="eastAsia"/>
                      <w:bCs/>
                      <w:sz w:val="15"/>
                      <w:szCs w:val="15"/>
                    </w:rPr>
                    <w:t>8</w:t>
                  </w:r>
                </w:p>
              </w:tc>
              <w:tc>
                <w:tcPr>
                  <w:tcW w:w="493" w:type="pct"/>
                  <w:shd w:val="clear" w:color="auto" w:fill="auto"/>
                  <w:vAlign w:val="center"/>
                </w:tcPr>
                <w:p w14:paraId="69045ED1">
                  <w:pPr>
                    <w:autoSpaceDE w:val="0"/>
                    <w:autoSpaceDN w:val="0"/>
                    <w:adjustRightInd w:val="0"/>
                    <w:snapToGrid w:val="0"/>
                    <w:ind w:left="-105" w:leftChars="-50" w:right="-105" w:rightChars="-50"/>
                    <w:jc w:val="center"/>
                    <w:rPr>
                      <w:bCs/>
                      <w:sz w:val="15"/>
                      <w:szCs w:val="15"/>
                    </w:rPr>
                  </w:pPr>
                  <w:r>
                    <w:rPr>
                      <w:rFonts w:hint="eastAsia"/>
                      <w:bCs/>
                      <w:sz w:val="15"/>
                      <w:szCs w:val="15"/>
                    </w:rPr>
                    <w:t>电磁炉</w:t>
                  </w:r>
                </w:p>
              </w:tc>
              <w:tc>
                <w:tcPr>
                  <w:tcW w:w="371" w:type="pct"/>
                  <w:shd w:val="clear" w:color="auto" w:fill="auto"/>
                  <w:vAlign w:val="center"/>
                </w:tcPr>
                <w:p w14:paraId="67B67055">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70</w:t>
                  </w:r>
                </w:p>
              </w:tc>
              <w:tc>
                <w:tcPr>
                  <w:tcW w:w="253" w:type="pct"/>
                  <w:shd w:val="clear" w:color="auto" w:fill="auto"/>
                  <w:vAlign w:val="center"/>
                </w:tcPr>
                <w:p w14:paraId="73CD3727">
                  <w:pPr>
                    <w:autoSpaceDE w:val="0"/>
                    <w:autoSpaceDN w:val="0"/>
                    <w:adjustRightInd w:val="0"/>
                    <w:snapToGrid w:val="0"/>
                    <w:ind w:left="-105" w:leftChars="-50" w:right="-105" w:rightChars="-50"/>
                    <w:jc w:val="center"/>
                    <w:rPr>
                      <w:bCs/>
                      <w:sz w:val="15"/>
                      <w:szCs w:val="15"/>
                    </w:rPr>
                  </w:pPr>
                  <w:r>
                    <w:rPr>
                      <w:rFonts w:hint="eastAsia"/>
                      <w:sz w:val="15"/>
                      <w:szCs w:val="15"/>
                    </w:rPr>
                    <w:t>4</w:t>
                  </w:r>
                </w:p>
              </w:tc>
              <w:tc>
                <w:tcPr>
                  <w:tcW w:w="254" w:type="pct"/>
                  <w:vMerge w:val="continue"/>
                  <w:shd w:val="clear" w:color="auto" w:fill="auto"/>
                  <w:vAlign w:val="center"/>
                </w:tcPr>
                <w:p w14:paraId="22C9C729">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31EA2A44">
                  <w:pPr>
                    <w:autoSpaceDE w:val="0"/>
                    <w:autoSpaceDN w:val="0"/>
                    <w:adjustRightInd w:val="0"/>
                    <w:snapToGrid w:val="0"/>
                    <w:ind w:left="-105" w:leftChars="-50" w:right="-105" w:rightChars="-50"/>
                    <w:jc w:val="center"/>
                    <w:rPr>
                      <w:bCs/>
                      <w:sz w:val="15"/>
                      <w:szCs w:val="15"/>
                    </w:rPr>
                  </w:pPr>
                  <w:r>
                    <w:rPr>
                      <w:rFonts w:hint="eastAsia"/>
                      <w:bCs/>
                      <w:sz w:val="15"/>
                      <w:szCs w:val="15"/>
                    </w:rPr>
                    <w:t>33</w:t>
                  </w:r>
                </w:p>
              </w:tc>
              <w:tc>
                <w:tcPr>
                  <w:tcW w:w="254" w:type="pct"/>
                  <w:shd w:val="clear" w:color="auto" w:fill="auto"/>
                  <w:vAlign w:val="center"/>
                </w:tcPr>
                <w:p w14:paraId="7F643948">
                  <w:pPr>
                    <w:autoSpaceDE w:val="0"/>
                    <w:autoSpaceDN w:val="0"/>
                    <w:adjustRightInd w:val="0"/>
                    <w:snapToGrid w:val="0"/>
                    <w:ind w:left="-105" w:leftChars="-50" w:right="-105" w:rightChars="-50"/>
                    <w:jc w:val="center"/>
                    <w:rPr>
                      <w:bCs/>
                      <w:sz w:val="15"/>
                      <w:szCs w:val="15"/>
                    </w:rPr>
                  </w:pPr>
                  <w:r>
                    <w:rPr>
                      <w:rFonts w:hint="eastAsia"/>
                      <w:bCs/>
                      <w:sz w:val="15"/>
                      <w:szCs w:val="15"/>
                    </w:rPr>
                    <w:t>19</w:t>
                  </w:r>
                </w:p>
              </w:tc>
              <w:tc>
                <w:tcPr>
                  <w:tcW w:w="254" w:type="pct"/>
                  <w:shd w:val="clear" w:color="auto" w:fill="auto"/>
                  <w:vAlign w:val="center"/>
                </w:tcPr>
                <w:p w14:paraId="42F68368">
                  <w:pPr>
                    <w:autoSpaceDE w:val="0"/>
                    <w:autoSpaceDN w:val="0"/>
                    <w:adjustRightInd w:val="0"/>
                    <w:snapToGrid w:val="0"/>
                    <w:ind w:left="-105" w:leftChars="-50" w:right="-105" w:rightChars="-50"/>
                    <w:jc w:val="center"/>
                    <w:rPr>
                      <w:bCs/>
                      <w:sz w:val="15"/>
                      <w:szCs w:val="15"/>
                    </w:rPr>
                  </w:pPr>
                  <w:r>
                    <w:rPr>
                      <w:rFonts w:hint="eastAsia"/>
                      <w:bCs/>
                      <w:sz w:val="15"/>
                      <w:szCs w:val="15"/>
                    </w:rPr>
                    <w:t>15</w:t>
                  </w:r>
                </w:p>
              </w:tc>
              <w:tc>
                <w:tcPr>
                  <w:tcW w:w="252" w:type="pct"/>
                  <w:shd w:val="clear" w:color="auto" w:fill="auto"/>
                  <w:vAlign w:val="center"/>
                </w:tcPr>
                <w:p w14:paraId="0E84E69F">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55</w:t>
                  </w:r>
                </w:p>
              </w:tc>
              <w:tc>
                <w:tcPr>
                  <w:tcW w:w="253" w:type="pct"/>
                  <w:shd w:val="clear" w:color="auto" w:fill="auto"/>
                  <w:vAlign w:val="center"/>
                </w:tcPr>
                <w:p w14:paraId="79B45426">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8</w:t>
                  </w:r>
                </w:p>
              </w:tc>
              <w:tc>
                <w:tcPr>
                  <w:tcW w:w="254" w:type="pct"/>
                  <w:shd w:val="clear" w:color="auto" w:fill="auto"/>
                  <w:vAlign w:val="center"/>
                </w:tcPr>
                <w:p w14:paraId="5EABA324">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33</w:t>
                  </w:r>
                </w:p>
              </w:tc>
              <w:tc>
                <w:tcPr>
                  <w:tcW w:w="253" w:type="pct"/>
                  <w:shd w:val="clear" w:color="auto" w:fill="auto"/>
                  <w:vAlign w:val="center"/>
                </w:tcPr>
                <w:p w14:paraId="061BF730">
                  <w:pPr>
                    <w:autoSpaceDE w:val="0"/>
                    <w:autoSpaceDN w:val="0"/>
                    <w:adjustRightInd w:val="0"/>
                    <w:snapToGrid w:val="0"/>
                    <w:ind w:left="-105" w:leftChars="-50" w:right="-105" w:rightChars="-50"/>
                    <w:jc w:val="center"/>
                    <w:rPr>
                      <w:bCs/>
                      <w:sz w:val="15"/>
                      <w:szCs w:val="15"/>
                    </w:rPr>
                  </w:pPr>
                  <w:r>
                    <w:rPr>
                      <w:rFonts w:hint="eastAsia"/>
                      <w:bCs/>
                      <w:sz w:val="15"/>
                      <w:szCs w:val="15"/>
                    </w:rPr>
                    <w:t>43</w:t>
                  </w:r>
                </w:p>
              </w:tc>
              <w:tc>
                <w:tcPr>
                  <w:tcW w:w="337" w:type="pct"/>
                  <w:shd w:val="clear" w:color="auto" w:fill="auto"/>
                  <w:vAlign w:val="center"/>
                </w:tcPr>
                <w:p w14:paraId="79E6AE12">
                  <w:pPr>
                    <w:autoSpaceDE w:val="0"/>
                    <w:autoSpaceDN w:val="0"/>
                    <w:adjustRightInd w:val="0"/>
                    <w:snapToGrid w:val="0"/>
                    <w:ind w:left="-105" w:leftChars="-50" w:right="-105" w:rightChars="-50"/>
                    <w:jc w:val="center"/>
                    <w:rPr>
                      <w:bCs/>
                      <w:color w:val="FF0000"/>
                      <w:sz w:val="15"/>
                      <w:szCs w:val="15"/>
                    </w:rPr>
                  </w:pPr>
                  <w:r>
                    <w:rPr>
                      <w:rFonts w:hint="eastAsia" w:ascii="等线" w:hAnsi="等线" w:eastAsia="等线"/>
                      <w:color w:val="000000"/>
                      <w:sz w:val="15"/>
                      <w:szCs w:val="15"/>
                    </w:rPr>
                    <w:t>51.94</w:t>
                  </w:r>
                </w:p>
              </w:tc>
              <w:tc>
                <w:tcPr>
                  <w:tcW w:w="169" w:type="pct"/>
                  <w:vMerge w:val="continue"/>
                  <w:shd w:val="clear" w:color="auto" w:fill="auto"/>
                  <w:vAlign w:val="center"/>
                </w:tcPr>
                <w:p w14:paraId="21B0ED3D">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1B8A0B03">
                  <w:pPr>
                    <w:autoSpaceDE w:val="0"/>
                    <w:autoSpaceDN w:val="0"/>
                    <w:adjustRightInd w:val="0"/>
                    <w:snapToGrid w:val="0"/>
                    <w:ind w:left="-105" w:leftChars="-50" w:right="-105" w:rightChars="-50"/>
                    <w:jc w:val="center"/>
                    <w:rPr>
                      <w:bCs/>
                      <w:sz w:val="15"/>
                      <w:szCs w:val="15"/>
                    </w:rPr>
                  </w:pPr>
                  <w:r>
                    <w:rPr>
                      <w:rFonts w:hint="eastAsia"/>
                      <w:bCs/>
                      <w:sz w:val="15"/>
                      <w:szCs w:val="15"/>
                    </w:rPr>
                    <w:t>20</w:t>
                  </w:r>
                </w:p>
              </w:tc>
              <w:tc>
                <w:tcPr>
                  <w:tcW w:w="507" w:type="pct"/>
                  <w:shd w:val="clear" w:color="auto" w:fill="auto"/>
                  <w:vAlign w:val="center"/>
                </w:tcPr>
                <w:p w14:paraId="19D5415E">
                  <w:pPr>
                    <w:autoSpaceDE w:val="0"/>
                    <w:autoSpaceDN w:val="0"/>
                    <w:adjustRightInd w:val="0"/>
                    <w:snapToGrid w:val="0"/>
                    <w:ind w:left="-105" w:leftChars="-50" w:right="-105" w:rightChars="-50"/>
                    <w:jc w:val="center"/>
                    <w:rPr>
                      <w:bCs/>
                      <w:sz w:val="15"/>
                      <w:szCs w:val="15"/>
                    </w:rPr>
                  </w:pPr>
                  <w:r>
                    <w:rPr>
                      <w:rFonts w:hint="eastAsia" w:ascii="等线" w:hAnsi="等线" w:eastAsia="等线"/>
                      <w:color w:val="000000"/>
                      <w:sz w:val="15"/>
                      <w:szCs w:val="15"/>
                    </w:rPr>
                    <w:t>31.94</w:t>
                  </w:r>
                </w:p>
              </w:tc>
              <w:tc>
                <w:tcPr>
                  <w:tcW w:w="298" w:type="pct"/>
                  <w:shd w:val="clear" w:color="auto" w:fill="auto"/>
                  <w:vAlign w:val="center"/>
                </w:tcPr>
                <w:p w14:paraId="25396D5F">
                  <w:pPr>
                    <w:autoSpaceDE w:val="0"/>
                    <w:autoSpaceDN w:val="0"/>
                    <w:adjustRightInd w:val="0"/>
                    <w:snapToGrid w:val="0"/>
                    <w:ind w:left="-105" w:leftChars="-50" w:right="-105" w:rightChars="-50"/>
                    <w:jc w:val="center"/>
                    <w:rPr>
                      <w:bCs/>
                      <w:sz w:val="15"/>
                      <w:szCs w:val="15"/>
                    </w:rPr>
                  </w:pPr>
                  <w:r>
                    <w:rPr>
                      <w:rFonts w:hint="eastAsia"/>
                      <w:bCs/>
                      <w:sz w:val="15"/>
                      <w:szCs w:val="15"/>
                    </w:rPr>
                    <w:t>1m</w:t>
                  </w:r>
                </w:p>
              </w:tc>
            </w:tr>
            <w:tr w14:paraId="6521B7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045CE387">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9</w:t>
                  </w:r>
                </w:p>
              </w:tc>
              <w:tc>
                <w:tcPr>
                  <w:tcW w:w="493" w:type="pct"/>
                  <w:shd w:val="clear" w:color="auto" w:fill="auto"/>
                  <w:vAlign w:val="center"/>
                </w:tcPr>
                <w:p w14:paraId="7A916F55">
                  <w:pPr>
                    <w:autoSpaceDE w:val="0"/>
                    <w:autoSpaceDN w:val="0"/>
                    <w:adjustRightInd w:val="0"/>
                    <w:snapToGrid w:val="0"/>
                    <w:ind w:left="-105" w:leftChars="-50" w:right="-105" w:rightChars="-50"/>
                    <w:jc w:val="center"/>
                    <w:rPr>
                      <w:bCs/>
                      <w:sz w:val="15"/>
                      <w:szCs w:val="15"/>
                    </w:rPr>
                  </w:pPr>
                  <w:r>
                    <w:rPr>
                      <w:rFonts w:hint="eastAsia"/>
                      <w:bCs/>
                      <w:sz w:val="15"/>
                      <w:szCs w:val="15"/>
                    </w:rPr>
                    <w:t>粉碎机</w:t>
                  </w:r>
                </w:p>
              </w:tc>
              <w:tc>
                <w:tcPr>
                  <w:tcW w:w="371" w:type="pct"/>
                  <w:shd w:val="clear" w:color="auto" w:fill="auto"/>
                  <w:vAlign w:val="center"/>
                </w:tcPr>
                <w:p w14:paraId="3869000C">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85</w:t>
                  </w:r>
                </w:p>
              </w:tc>
              <w:tc>
                <w:tcPr>
                  <w:tcW w:w="253" w:type="pct"/>
                  <w:shd w:val="clear" w:color="auto" w:fill="auto"/>
                  <w:vAlign w:val="center"/>
                </w:tcPr>
                <w:p w14:paraId="6B0309A1">
                  <w:pPr>
                    <w:autoSpaceDE w:val="0"/>
                    <w:autoSpaceDN w:val="0"/>
                    <w:adjustRightInd w:val="0"/>
                    <w:snapToGrid w:val="0"/>
                    <w:ind w:left="-105" w:leftChars="-50" w:right="-105" w:rightChars="-50"/>
                    <w:jc w:val="center"/>
                    <w:rPr>
                      <w:rFonts w:hint="eastAsia"/>
                      <w:bCs/>
                      <w:sz w:val="15"/>
                      <w:szCs w:val="15"/>
                    </w:rPr>
                  </w:pPr>
                  <w:r>
                    <w:rPr>
                      <w:rFonts w:hint="eastAsia"/>
                      <w:sz w:val="15"/>
                      <w:szCs w:val="15"/>
                    </w:rPr>
                    <w:t>1</w:t>
                  </w:r>
                </w:p>
              </w:tc>
              <w:tc>
                <w:tcPr>
                  <w:tcW w:w="254" w:type="pct"/>
                  <w:vMerge w:val="continue"/>
                  <w:shd w:val="clear" w:color="auto" w:fill="auto"/>
                  <w:vAlign w:val="center"/>
                </w:tcPr>
                <w:p w14:paraId="6E955282">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718B2A27">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52</w:t>
                  </w:r>
                </w:p>
              </w:tc>
              <w:tc>
                <w:tcPr>
                  <w:tcW w:w="254" w:type="pct"/>
                  <w:shd w:val="clear" w:color="auto" w:fill="auto"/>
                  <w:vAlign w:val="center"/>
                </w:tcPr>
                <w:p w14:paraId="02DD0DC9">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19</w:t>
                  </w:r>
                </w:p>
              </w:tc>
              <w:tc>
                <w:tcPr>
                  <w:tcW w:w="254" w:type="pct"/>
                  <w:shd w:val="clear" w:color="auto" w:fill="auto"/>
                  <w:vAlign w:val="center"/>
                </w:tcPr>
                <w:p w14:paraId="756695FB">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15</w:t>
                  </w:r>
                </w:p>
              </w:tc>
              <w:tc>
                <w:tcPr>
                  <w:tcW w:w="252" w:type="pct"/>
                  <w:shd w:val="clear" w:color="auto" w:fill="auto"/>
                  <w:vAlign w:val="center"/>
                </w:tcPr>
                <w:p w14:paraId="04DB90AF">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36</w:t>
                  </w:r>
                </w:p>
              </w:tc>
              <w:tc>
                <w:tcPr>
                  <w:tcW w:w="253" w:type="pct"/>
                  <w:shd w:val="clear" w:color="auto" w:fill="auto"/>
                  <w:vAlign w:val="center"/>
                </w:tcPr>
                <w:p w14:paraId="130071E6">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12</w:t>
                  </w:r>
                </w:p>
              </w:tc>
              <w:tc>
                <w:tcPr>
                  <w:tcW w:w="254" w:type="pct"/>
                  <w:shd w:val="clear" w:color="auto" w:fill="auto"/>
                  <w:vAlign w:val="center"/>
                </w:tcPr>
                <w:p w14:paraId="4F46C83B">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52</w:t>
                  </w:r>
                </w:p>
              </w:tc>
              <w:tc>
                <w:tcPr>
                  <w:tcW w:w="253" w:type="pct"/>
                  <w:shd w:val="clear" w:color="auto" w:fill="auto"/>
                  <w:vAlign w:val="center"/>
                </w:tcPr>
                <w:p w14:paraId="7B94C6B4">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43</w:t>
                  </w:r>
                </w:p>
              </w:tc>
              <w:tc>
                <w:tcPr>
                  <w:tcW w:w="337" w:type="pct"/>
                  <w:shd w:val="clear" w:color="auto" w:fill="auto"/>
                  <w:vAlign w:val="center"/>
                </w:tcPr>
                <w:p w14:paraId="1597D65D">
                  <w:pPr>
                    <w:autoSpaceDE w:val="0"/>
                    <w:autoSpaceDN w:val="0"/>
                    <w:adjustRightInd w:val="0"/>
                    <w:snapToGrid w:val="0"/>
                    <w:ind w:left="-105" w:leftChars="-50" w:right="-105" w:rightChars="-50"/>
                    <w:jc w:val="center"/>
                    <w:rPr>
                      <w:rFonts w:hint="eastAsia"/>
                      <w:bCs/>
                      <w:color w:val="FF0000"/>
                      <w:sz w:val="15"/>
                      <w:szCs w:val="15"/>
                    </w:rPr>
                  </w:pPr>
                  <w:r>
                    <w:rPr>
                      <w:rFonts w:hint="eastAsia" w:ascii="等线" w:hAnsi="等线" w:eastAsia="等线"/>
                      <w:color w:val="000000"/>
                      <w:sz w:val="15"/>
                      <w:szCs w:val="15"/>
                    </w:rPr>
                    <w:t>63.42</w:t>
                  </w:r>
                </w:p>
              </w:tc>
              <w:tc>
                <w:tcPr>
                  <w:tcW w:w="169" w:type="pct"/>
                  <w:vMerge w:val="continue"/>
                  <w:shd w:val="clear" w:color="auto" w:fill="auto"/>
                  <w:vAlign w:val="center"/>
                </w:tcPr>
                <w:p w14:paraId="7D0761B5">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1F3C583D">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20</w:t>
                  </w:r>
                </w:p>
              </w:tc>
              <w:tc>
                <w:tcPr>
                  <w:tcW w:w="507" w:type="pct"/>
                  <w:shd w:val="clear" w:color="auto" w:fill="auto"/>
                  <w:vAlign w:val="center"/>
                </w:tcPr>
                <w:p w14:paraId="6911DCD2">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43.42</w:t>
                  </w:r>
                </w:p>
              </w:tc>
              <w:tc>
                <w:tcPr>
                  <w:tcW w:w="298" w:type="pct"/>
                  <w:shd w:val="clear" w:color="auto" w:fill="auto"/>
                  <w:vAlign w:val="center"/>
                </w:tcPr>
                <w:p w14:paraId="6D515B1F">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1m</w:t>
                  </w:r>
                </w:p>
              </w:tc>
            </w:tr>
            <w:tr w14:paraId="17254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2A6DC424">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10</w:t>
                  </w:r>
                </w:p>
              </w:tc>
              <w:tc>
                <w:tcPr>
                  <w:tcW w:w="493" w:type="pct"/>
                  <w:shd w:val="clear" w:color="auto" w:fill="auto"/>
                  <w:vAlign w:val="center"/>
                </w:tcPr>
                <w:p w14:paraId="500A6E6C">
                  <w:pPr>
                    <w:autoSpaceDE w:val="0"/>
                    <w:autoSpaceDN w:val="0"/>
                    <w:adjustRightInd w:val="0"/>
                    <w:snapToGrid w:val="0"/>
                    <w:ind w:left="-105" w:leftChars="-50" w:right="-105" w:rightChars="-50"/>
                    <w:jc w:val="center"/>
                    <w:rPr>
                      <w:bCs/>
                      <w:sz w:val="15"/>
                      <w:szCs w:val="15"/>
                    </w:rPr>
                  </w:pPr>
                  <w:r>
                    <w:rPr>
                      <w:rFonts w:hint="eastAsia"/>
                      <w:bCs/>
                      <w:sz w:val="15"/>
                      <w:szCs w:val="15"/>
                    </w:rPr>
                    <w:t>制丸机</w:t>
                  </w:r>
                </w:p>
              </w:tc>
              <w:tc>
                <w:tcPr>
                  <w:tcW w:w="371" w:type="pct"/>
                  <w:shd w:val="clear" w:color="auto" w:fill="auto"/>
                  <w:vAlign w:val="center"/>
                </w:tcPr>
                <w:p w14:paraId="3B3B11CE">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80</w:t>
                  </w:r>
                </w:p>
              </w:tc>
              <w:tc>
                <w:tcPr>
                  <w:tcW w:w="253" w:type="pct"/>
                  <w:shd w:val="clear" w:color="auto" w:fill="auto"/>
                  <w:vAlign w:val="center"/>
                </w:tcPr>
                <w:p w14:paraId="44684275">
                  <w:pPr>
                    <w:autoSpaceDE w:val="0"/>
                    <w:autoSpaceDN w:val="0"/>
                    <w:adjustRightInd w:val="0"/>
                    <w:snapToGrid w:val="0"/>
                    <w:ind w:left="-105" w:leftChars="-50" w:right="-105" w:rightChars="-50"/>
                    <w:jc w:val="center"/>
                    <w:rPr>
                      <w:rFonts w:hint="eastAsia"/>
                      <w:bCs/>
                      <w:sz w:val="15"/>
                      <w:szCs w:val="15"/>
                    </w:rPr>
                  </w:pPr>
                  <w:r>
                    <w:rPr>
                      <w:rFonts w:hint="eastAsia"/>
                      <w:sz w:val="15"/>
                      <w:szCs w:val="15"/>
                    </w:rPr>
                    <w:t>1</w:t>
                  </w:r>
                </w:p>
              </w:tc>
              <w:tc>
                <w:tcPr>
                  <w:tcW w:w="254" w:type="pct"/>
                  <w:vMerge w:val="continue"/>
                  <w:shd w:val="clear" w:color="auto" w:fill="auto"/>
                  <w:vAlign w:val="center"/>
                </w:tcPr>
                <w:p w14:paraId="6ECA61A9">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65118475">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55</w:t>
                  </w:r>
                </w:p>
              </w:tc>
              <w:tc>
                <w:tcPr>
                  <w:tcW w:w="254" w:type="pct"/>
                  <w:shd w:val="clear" w:color="auto" w:fill="auto"/>
                  <w:vAlign w:val="center"/>
                </w:tcPr>
                <w:p w14:paraId="6C136447">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17</w:t>
                  </w:r>
                </w:p>
              </w:tc>
              <w:tc>
                <w:tcPr>
                  <w:tcW w:w="254" w:type="pct"/>
                  <w:shd w:val="clear" w:color="auto" w:fill="auto"/>
                  <w:vAlign w:val="center"/>
                </w:tcPr>
                <w:p w14:paraId="3EFAE796">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15</w:t>
                  </w:r>
                </w:p>
              </w:tc>
              <w:tc>
                <w:tcPr>
                  <w:tcW w:w="252" w:type="pct"/>
                  <w:shd w:val="clear" w:color="auto" w:fill="auto"/>
                  <w:vAlign w:val="center"/>
                </w:tcPr>
                <w:p w14:paraId="1ACCB99C">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33</w:t>
                  </w:r>
                </w:p>
              </w:tc>
              <w:tc>
                <w:tcPr>
                  <w:tcW w:w="253" w:type="pct"/>
                  <w:shd w:val="clear" w:color="auto" w:fill="auto"/>
                  <w:vAlign w:val="center"/>
                </w:tcPr>
                <w:p w14:paraId="0AAE6D31">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8</w:t>
                  </w:r>
                </w:p>
              </w:tc>
              <w:tc>
                <w:tcPr>
                  <w:tcW w:w="254" w:type="pct"/>
                  <w:shd w:val="clear" w:color="auto" w:fill="auto"/>
                  <w:vAlign w:val="center"/>
                </w:tcPr>
                <w:p w14:paraId="65428407">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55</w:t>
                  </w:r>
                </w:p>
              </w:tc>
              <w:tc>
                <w:tcPr>
                  <w:tcW w:w="253" w:type="pct"/>
                  <w:shd w:val="clear" w:color="auto" w:fill="auto"/>
                  <w:vAlign w:val="center"/>
                </w:tcPr>
                <w:p w14:paraId="3A933FA2">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47</w:t>
                  </w:r>
                </w:p>
              </w:tc>
              <w:tc>
                <w:tcPr>
                  <w:tcW w:w="337" w:type="pct"/>
                  <w:shd w:val="clear" w:color="auto" w:fill="auto"/>
                  <w:vAlign w:val="center"/>
                </w:tcPr>
                <w:p w14:paraId="3DFCF109">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61.94</w:t>
                  </w:r>
                </w:p>
              </w:tc>
              <w:tc>
                <w:tcPr>
                  <w:tcW w:w="169" w:type="pct"/>
                  <w:vMerge w:val="continue"/>
                  <w:shd w:val="clear" w:color="auto" w:fill="auto"/>
                  <w:vAlign w:val="center"/>
                </w:tcPr>
                <w:p w14:paraId="2BB7AF2D">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40C82112">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20</w:t>
                  </w:r>
                </w:p>
              </w:tc>
              <w:tc>
                <w:tcPr>
                  <w:tcW w:w="507" w:type="pct"/>
                  <w:shd w:val="clear" w:color="auto" w:fill="auto"/>
                  <w:vAlign w:val="center"/>
                </w:tcPr>
                <w:p w14:paraId="58A99391">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41.94</w:t>
                  </w:r>
                </w:p>
              </w:tc>
              <w:tc>
                <w:tcPr>
                  <w:tcW w:w="298" w:type="pct"/>
                  <w:shd w:val="clear" w:color="auto" w:fill="auto"/>
                  <w:vAlign w:val="center"/>
                </w:tcPr>
                <w:p w14:paraId="7C8F0E52">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1m</w:t>
                  </w:r>
                </w:p>
              </w:tc>
            </w:tr>
            <w:tr w14:paraId="5A3EC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259CDE50">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11</w:t>
                  </w:r>
                </w:p>
              </w:tc>
              <w:tc>
                <w:tcPr>
                  <w:tcW w:w="493" w:type="pct"/>
                  <w:shd w:val="clear" w:color="auto" w:fill="auto"/>
                  <w:vAlign w:val="center"/>
                </w:tcPr>
                <w:p w14:paraId="0E096228">
                  <w:pPr>
                    <w:autoSpaceDE w:val="0"/>
                    <w:autoSpaceDN w:val="0"/>
                    <w:adjustRightInd w:val="0"/>
                    <w:snapToGrid w:val="0"/>
                    <w:ind w:left="-105" w:leftChars="-50" w:right="-105" w:rightChars="-50"/>
                    <w:jc w:val="center"/>
                    <w:rPr>
                      <w:bCs/>
                      <w:sz w:val="15"/>
                      <w:szCs w:val="15"/>
                    </w:rPr>
                  </w:pPr>
                  <w:r>
                    <w:rPr>
                      <w:rFonts w:hint="eastAsia"/>
                      <w:sz w:val="15"/>
                      <w:szCs w:val="15"/>
                    </w:rPr>
                    <w:t>抛光机</w:t>
                  </w:r>
                </w:p>
              </w:tc>
              <w:tc>
                <w:tcPr>
                  <w:tcW w:w="371" w:type="pct"/>
                  <w:shd w:val="clear" w:color="auto" w:fill="auto"/>
                  <w:vAlign w:val="center"/>
                </w:tcPr>
                <w:p w14:paraId="190749C3">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80</w:t>
                  </w:r>
                </w:p>
              </w:tc>
              <w:tc>
                <w:tcPr>
                  <w:tcW w:w="253" w:type="pct"/>
                  <w:shd w:val="clear" w:color="auto" w:fill="auto"/>
                  <w:vAlign w:val="center"/>
                </w:tcPr>
                <w:p w14:paraId="32EA4BBA">
                  <w:pPr>
                    <w:autoSpaceDE w:val="0"/>
                    <w:autoSpaceDN w:val="0"/>
                    <w:adjustRightInd w:val="0"/>
                    <w:snapToGrid w:val="0"/>
                    <w:ind w:left="-105" w:leftChars="-50" w:right="-105" w:rightChars="-50"/>
                    <w:jc w:val="center"/>
                    <w:rPr>
                      <w:rFonts w:hint="eastAsia"/>
                      <w:bCs/>
                      <w:sz w:val="15"/>
                      <w:szCs w:val="15"/>
                    </w:rPr>
                  </w:pPr>
                  <w:r>
                    <w:rPr>
                      <w:rFonts w:hint="eastAsia"/>
                      <w:sz w:val="15"/>
                      <w:szCs w:val="15"/>
                    </w:rPr>
                    <w:t>1</w:t>
                  </w:r>
                </w:p>
              </w:tc>
              <w:tc>
                <w:tcPr>
                  <w:tcW w:w="254" w:type="pct"/>
                  <w:vMerge w:val="continue"/>
                  <w:shd w:val="clear" w:color="auto" w:fill="auto"/>
                  <w:vAlign w:val="center"/>
                </w:tcPr>
                <w:p w14:paraId="6167E18E">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6944ED42">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56</w:t>
                  </w:r>
                </w:p>
              </w:tc>
              <w:tc>
                <w:tcPr>
                  <w:tcW w:w="254" w:type="pct"/>
                  <w:shd w:val="clear" w:color="auto" w:fill="auto"/>
                  <w:vAlign w:val="center"/>
                </w:tcPr>
                <w:p w14:paraId="144EF3AA">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17</w:t>
                  </w:r>
                </w:p>
              </w:tc>
              <w:tc>
                <w:tcPr>
                  <w:tcW w:w="254" w:type="pct"/>
                  <w:shd w:val="clear" w:color="auto" w:fill="auto"/>
                  <w:vAlign w:val="center"/>
                </w:tcPr>
                <w:p w14:paraId="33E68FCF">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15</w:t>
                  </w:r>
                </w:p>
              </w:tc>
              <w:tc>
                <w:tcPr>
                  <w:tcW w:w="252" w:type="pct"/>
                  <w:shd w:val="clear" w:color="auto" w:fill="auto"/>
                  <w:vAlign w:val="center"/>
                </w:tcPr>
                <w:p w14:paraId="0BA863C0">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32</w:t>
                  </w:r>
                </w:p>
              </w:tc>
              <w:tc>
                <w:tcPr>
                  <w:tcW w:w="253" w:type="pct"/>
                  <w:shd w:val="clear" w:color="auto" w:fill="auto"/>
                  <w:vAlign w:val="center"/>
                </w:tcPr>
                <w:p w14:paraId="689BDBE2">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8</w:t>
                  </w:r>
                </w:p>
              </w:tc>
              <w:tc>
                <w:tcPr>
                  <w:tcW w:w="254" w:type="pct"/>
                  <w:shd w:val="clear" w:color="auto" w:fill="auto"/>
                  <w:vAlign w:val="center"/>
                </w:tcPr>
                <w:p w14:paraId="19F95C42">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56</w:t>
                  </w:r>
                </w:p>
              </w:tc>
              <w:tc>
                <w:tcPr>
                  <w:tcW w:w="253" w:type="pct"/>
                  <w:shd w:val="clear" w:color="auto" w:fill="auto"/>
                  <w:vAlign w:val="center"/>
                </w:tcPr>
                <w:p w14:paraId="2F27C3E1">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47</w:t>
                  </w:r>
                </w:p>
              </w:tc>
              <w:tc>
                <w:tcPr>
                  <w:tcW w:w="337" w:type="pct"/>
                  <w:shd w:val="clear" w:color="auto" w:fill="auto"/>
                  <w:vAlign w:val="center"/>
                </w:tcPr>
                <w:p w14:paraId="239253C0">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61.94</w:t>
                  </w:r>
                </w:p>
              </w:tc>
              <w:tc>
                <w:tcPr>
                  <w:tcW w:w="169" w:type="pct"/>
                  <w:vMerge w:val="continue"/>
                  <w:shd w:val="clear" w:color="auto" w:fill="auto"/>
                  <w:vAlign w:val="center"/>
                </w:tcPr>
                <w:p w14:paraId="3FA3AB64">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04F2EF7A">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20</w:t>
                  </w:r>
                </w:p>
              </w:tc>
              <w:tc>
                <w:tcPr>
                  <w:tcW w:w="507" w:type="pct"/>
                  <w:shd w:val="clear" w:color="auto" w:fill="auto"/>
                  <w:vAlign w:val="center"/>
                </w:tcPr>
                <w:p w14:paraId="76D9CE1E">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41.94</w:t>
                  </w:r>
                </w:p>
              </w:tc>
              <w:tc>
                <w:tcPr>
                  <w:tcW w:w="298" w:type="pct"/>
                  <w:shd w:val="clear" w:color="auto" w:fill="auto"/>
                  <w:vAlign w:val="center"/>
                </w:tcPr>
                <w:p w14:paraId="1CC55AF3">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1m</w:t>
                  </w:r>
                </w:p>
              </w:tc>
            </w:tr>
            <w:tr w14:paraId="560AC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0FE705D9">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12</w:t>
                  </w:r>
                </w:p>
              </w:tc>
              <w:tc>
                <w:tcPr>
                  <w:tcW w:w="493" w:type="pct"/>
                  <w:shd w:val="clear" w:color="auto" w:fill="auto"/>
                  <w:vAlign w:val="center"/>
                </w:tcPr>
                <w:p w14:paraId="2CD80437">
                  <w:pPr>
                    <w:autoSpaceDE w:val="0"/>
                    <w:autoSpaceDN w:val="0"/>
                    <w:adjustRightInd w:val="0"/>
                    <w:snapToGrid w:val="0"/>
                    <w:ind w:left="-105" w:leftChars="-50" w:right="-105" w:rightChars="-50"/>
                    <w:jc w:val="center"/>
                    <w:rPr>
                      <w:bCs/>
                      <w:sz w:val="15"/>
                      <w:szCs w:val="15"/>
                    </w:rPr>
                  </w:pPr>
                  <w:r>
                    <w:rPr>
                      <w:rFonts w:hint="eastAsia"/>
                      <w:sz w:val="15"/>
                      <w:szCs w:val="15"/>
                    </w:rPr>
                    <w:t>烘箱</w:t>
                  </w:r>
                </w:p>
              </w:tc>
              <w:tc>
                <w:tcPr>
                  <w:tcW w:w="371" w:type="pct"/>
                  <w:shd w:val="clear" w:color="auto" w:fill="auto"/>
                  <w:vAlign w:val="center"/>
                </w:tcPr>
                <w:p w14:paraId="7626762A">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75</w:t>
                  </w:r>
                </w:p>
              </w:tc>
              <w:tc>
                <w:tcPr>
                  <w:tcW w:w="253" w:type="pct"/>
                  <w:shd w:val="clear" w:color="auto" w:fill="auto"/>
                  <w:vAlign w:val="center"/>
                </w:tcPr>
                <w:p w14:paraId="7D82D46D">
                  <w:pPr>
                    <w:autoSpaceDE w:val="0"/>
                    <w:autoSpaceDN w:val="0"/>
                    <w:adjustRightInd w:val="0"/>
                    <w:snapToGrid w:val="0"/>
                    <w:ind w:left="-105" w:leftChars="-50" w:right="-105" w:rightChars="-50"/>
                    <w:jc w:val="center"/>
                    <w:rPr>
                      <w:rFonts w:hint="eastAsia"/>
                      <w:bCs/>
                      <w:sz w:val="15"/>
                      <w:szCs w:val="15"/>
                    </w:rPr>
                  </w:pPr>
                  <w:r>
                    <w:rPr>
                      <w:rFonts w:hint="eastAsia"/>
                      <w:sz w:val="15"/>
                      <w:szCs w:val="15"/>
                    </w:rPr>
                    <w:t>1</w:t>
                  </w:r>
                </w:p>
              </w:tc>
              <w:tc>
                <w:tcPr>
                  <w:tcW w:w="254" w:type="pct"/>
                  <w:vMerge w:val="continue"/>
                  <w:shd w:val="clear" w:color="auto" w:fill="auto"/>
                  <w:vAlign w:val="center"/>
                </w:tcPr>
                <w:p w14:paraId="1F1C5BFA">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1E013B65">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57</w:t>
                  </w:r>
                </w:p>
              </w:tc>
              <w:tc>
                <w:tcPr>
                  <w:tcW w:w="254" w:type="pct"/>
                  <w:shd w:val="clear" w:color="auto" w:fill="auto"/>
                  <w:vAlign w:val="center"/>
                </w:tcPr>
                <w:p w14:paraId="305066A9">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17</w:t>
                  </w:r>
                </w:p>
              </w:tc>
              <w:tc>
                <w:tcPr>
                  <w:tcW w:w="254" w:type="pct"/>
                  <w:shd w:val="clear" w:color="auto" w:fill="auto"/>
                  <w:vAlign w:val="center"/>
                </w:tcPr>
                <w:p w14:paraId="177F3A7D">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15</w:t>
                  </w:r>
                </w:p>
              </w:tc>
              <w:tc>
                <w:tcPr>
                  <w:tcW w:w="252" w:type="pct"/>
                  <w:shd w:val="clear" w:color="auto" w:fill="auto"/>
                  <w:vAlign w:val="center"/>
                </w:tcPr>
                <w:p w14:paraId="792C52ED">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31</w:t>
                  </w:r>
                </w:p>
              </w:tc>
              <w:tc>
                <w:tcPr>
                  <w:tcW w:w="253" w:type="pct"/>
                  <w:shd w:val="clear" w:color="auto" w:fill="auto"/>
                  <w:vAlign w:val="center"/>
                </w:tcPr>
                <w:p w14:paraId="0674CE48">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8</w:t>
                  </w:r>
                </w:p>
              </w:tc>
              <w:tc>
                <w:tcPr>
                  <w:tcW w:w="254" w:type="pct"/>
                  <w:shd w:val="clear" w:color="auto" w:fill="auto"/>
                  <w:vAlign w:val="center"/>
                </w:tcPr>
                <w:p w14:paraId="6DAED39B">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57</w:t>
                  </w:r>
                </w:p>
              </w:tc>
              <w:tc>
                <w:tcPr>
                  <w:tcW w:w="253" w:type="pct"/>
                  <w:shd w:val="clear" w:color="auto" w:fill="auto"/>
                  <w:vAlign w:val="center"/>
                </w:tcPr>
                <w:p w14:paraId="06F37FC4">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47</w:t>
                  </w:r>
                </w:p>
              </w:tc>
              <w:tc>
                <w:tcPr>
                  <w:tcW w:w="337" w:type="pct"/>
                  <w:shd w:val="clear" w:color="auto" w:fill="auto"/>
                  <w:vAlign w:val="center"/>
                </w:tcPr>
                <w:p w14:paraId="46793814">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56.94</w:t>
                  </w:r>
                </w:p>
              </w:tc>
              <w:tc>
                <w:tcPr>
                  <w:tcW w:w="169" w:type="pct"/>
                  <w:vMerge w:val="continue"/>
                  <w:shd w:val="clear" w:color="auto" w:fill="auto"/>
                  <w:vAlign w:val="center"/>
                </w:tcPr>
                <w:p w14:paraId="336921BF">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634064FE">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20</w:t>
                  </w:r>
                </w:p>
              </w:tc>
              <w:tc>
                <w:tcPr>
                  <w:tcW w:w="507" w:type="pct"/>
                  <w:shd w:val="clear" w:color="auto" w:fill="auto"/>
                  <w:vAlign w:val="center"/>
                </w:tcPr>
                <w:p w14:paraId="386F3E7D">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36.94</w:t>
                  </w:r>
                </w:p>
              </w:tc>
              <w:tc>
                <w:tcPr>
                  <w:tcW w:w="298" w:type="pct"/>
                  <w:shd w:val="clear" w:color="auto" w:fill="auto"/>
                  <w:vAlign w:val="center"/>
                </w:tcPr>
                <w:p w14:paraId="1EBD0F90">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1m</w:t>
                  </w:r>
                </w:p>
              </w:tc>
            </w:tr>
            <w:tr w14:paraId="1E28F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03141D3F">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13</w:t>
                  </w:r>
                </w:p>
              </w:tc>
              <w:tc>
                <w:tcPr>
                  <w:tcW w:w="493" w:type="pct"/>
                  <w:shd w:val="clear" w:color="auto" w:fill="auto"/>
                  <w:vAlign w:val="center"/>
                </w:tcPr>
                <w:p w14:paraId="35B2B575">
                  <w:pPr>
                    <w:autoSpaceDE w:val="0"/>
                    <w:autoSpaceDN w:val="0"/>
                    <w:adjustRightInd w:val="0"/>
                    <w:snapToGrid w:val="0"/>
                    <w:ind w:left="-105" w:leftChars="-50" w:right="-105" w:rightChars="-50"/>
                    <w:jc w:val="center"/>
                    <w:rPr>
                      <w:bCs/>
                      <w:sz w:val="15"/>
                      <w:szCs w:val="15"/>
                    </w:rPr>
                  </w:pPr>
                  <w:r>
                    <w:rPr>
                      <w:rFonts w:hint="eastAsia"/>
                      <w:sz w:val="15"/>
                      <w:szCs w:val="15"/>
                    </w:rPr>
                    <w:t>空气能热水器</w:t>
                  </w:r>
                </w:p>
              </w:tc>
              <w:tc>
                <w:tcPr>
                  <w:tcW w:w="371" w:type="pct"/>
                  <w:shd w:val="clear" w:color="auto" w:fill="auto"/>
                  <w:vAlign w:val="center"/>
                </w:tcPr>
                <w:p w14:paraId="23E80C7F">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60</w:t>
                  </w:r>
                </w:p>
              </w:tc>
              <w:tc>
                <w:tcPr>
                  <w:tcW w:w="253" w:type="pct"/>
                  <w:shd w:val="clear" w:color="auto" w:fill="auto"/>
                  <w:vAlign w:val="center"/>
                </w:tcPr>
                <w:p w14:paraId="2166949D">
                  <w:pPr>
                    <w:autoSpaceDE w:val="0"/>
                    <w:autoSpaceDN w:val="0"/>
                    <w:adjustRightInd w:val="0"/>
                    <w:snapToGrid w:val="0"/>
                    <w:ind w:left="-105" w:leftChars="-50" w:right="-105" w:rightChars="-50"/>
                    <w:jc w:val="center"/>
                    <w:rPr>
                      <w:rFonts w:hint="eastAsia"/>
                      <w:bCs/>
                      <w:sz w:val="15"/>
                      <w:szCs w:val="15"/>
                    </w:rPr>
                  </w:pPr>
                  <w:r>
                    <w:rPr>
                      <w:rFonts w:hint="eastAsia"/>
                      <w:sz w:val="15"/>
                      <w:szCs w:val="15"/>
                    </w:rPr>
                    <w:t>1</w:t>
                  </w:r>
                </w:p>
              </w:tc>
              <w:tc>
                <w:tcPr>
                  <w:tcW w:w="254" w:type="pct"/>
                  <w:vMerge w:val="continue"/>
                  <w:shd w:val="clear" w:color="auto" w:fill="auto"/>
                  <w:vAlign w:val="center"/>
                </w:tcPr>
                <w:p w14:paraId="77601AE8">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3CF5283F">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56</w:t>
                  </w:r>
                </w:p>
              </w:tc>
              <w:tc>
                <w:tcPr>
                  <w:tcW w:w="254" w:type="pct"/>
                  <w:shd w:val="clear" w:color="auto" w:fill="auto"/>
                  <w:vAlign w:val="center"/>
                </w:tcPr>
                <w:p w14:paraId="2415DD5E">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21</w:t>
                  </w:r>
                </w:p>
              </w:tc>
              <w:tc>
                <w:tcPr>
                  <w:tcW w:w="254" w:type="pct"/>
                  <w:shd w:val="clear" w:color="auto" w:fill="auto"/>
                  <w:vAlign w:val="center"/>
                </w:tcPr>
                <w:p w14:paraId="75DA28E0">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15</w:t>
                  </w:r>
                </w:p>
              </w:tc>
              <w:tc>
                <w:tcPr>
                  <w:tcW w:w="252" w:type="pct"/>
                  <w:shd w:val="clear" w:color="auto" w:fill="auto"/>
                  <w:vAlign w:val="center"/>
                </w:tcPr>
                <w:p w14:paraId="3722CEB0">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32</w:t>
                  </w:r>
                </w:p>
              </w:tc>
              <w:tc>
                <w:tcPr>
                  <w:tcW w:w="253" w:type="pct"/>
                  <w:shd w:val="clear" w:color="auto" w:fill="auto"/>
                  <w:vAlign w:val="center"/>
                </w:tcPr>
                <w:p w14:paraId="6EFE9FE9">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12</w:t>
                  </w:r>
                </w:p>
              </w:tc>
              <w:tc>
                <w:tcPr>
                  <w:tcW w:w="254" w:type="pct"/>
                  <w:shd w:val="clear" w:color="auto" w:fill="auto"/>
                  <w:vAlign w:val="center"/>
                </w:tcPr>
                <w:p w14:paraId="70DF9F26">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56</w:t>
                  </w:r>
                </w:p>
              </w:tc>
              <w:tc>
                <w:tcPr>
                  <w:tcW w:w="253" w:type="pct"/>
                  <w:shd w:val="clear" w:color="auto" w:fill="auto"/>
                  <w:vAlign w:val="center"/>
                </w:tcPr>
                <w:p w14:paraId="4D5F0F63">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43</w:t>
                  </w:r>
                </w:p>
              </w:tc>
              <w:tc>
                <w:tcPr>
                  <w:tcW w:w="337" w:type="pct"/>
                  <w:shd w:val="clear" w:color="auto" w:fill="auto"/>
                  <w:vAlign w:val="center"/>
                </w:tcPr>
                <w:p w14:paraId="52DE261A">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38.42</w:t>
                  </w:r>
                </w:p>
              </w:tc>
              <w:tc>
                <w:tcPr>
                  <w:tcW w:w="169" w:type="pct"/>
                  <w:vMerge w:val="continue"/>
                  <w:shd w:val="clear" w:color="auto" w:fill="auto"/>
                  <w:vAlign w:val="center"/>
                </w:tcPr>
                <w:p w14:paraId="2F6884D2">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57BC29CE">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20</w:t>
                  </w:r>
                </w:p>
              </w:tc>
              <w:tc>
                <w:tcPr>
                  <w:tcW w:w="507" w:type="pct"/>
                  <w:shd w:val="clear" w:color="auto" w:fill="auto"/>
                  <w:vAlign w:val="center"/>
                </w:tcPr>
                <w:p w14:paraId="689CA28B">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18.42</w:t>
                  </w:r>
                </w:p>
              </w:tc>
              <w:tc>
                <w:tcPr>
                  <w:tcW w:w="298" w:type="pct"/>
                  <w:shd w:val="clear" w:color="auto" w:fill="auto"/>
                  <w:vAlign w:val="center"/>
                </w:tcPr>
                <w:p w14:paraId="5C149F1D">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1m</w:t>
                  </w:r>
                </w:p>
              </w:tc>
            </w:tr>
            <w:tr w14:paraId="40B65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4274C63E">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14</w:t>
                  </w:r>
                </w:p>
              </w:tc>
              <w:tc>
                <w:tcPr>
                  <w:tcW w:w="493" w:type="pct"/>
                  <w:shd w:val="clear" w:color="auto" w:fill="auto"/>
                  <w:vAlign w:val="center"/>
                </w:tcPr>
                <w:p w14:paraId="14E607E0">
                  <w:pPr>
                    <w:autoSpaceDE w:val="0"/>
                    <w:autoSpaceDN w:val="0"/>
                    <w:adjustRightInd w:val="0"/>
                    <w:snapToGrid w:val="0"/>
                    <w:ind w:left="-105" w:leftChars="-50" w:right="-105" w:rightChars="-50"/>
                    <w:jc w:val="center"/>
                    <w:rPr>
                      <w:bCs/>
                      <w:sz w:val="15"/>
                      <w:szCs w:val="15"/>
                    </w:rPr>
                  </w:pPr>
                  <w:r>
                    <w:rPr>
                      <w:rFonts w:hint="eastAsia"/>
                      <w:sz w:val="15"/>
                      <w:szCs w:val="15"/>
                    </w:rPr>
                    <w:t>净水器</w:t>
                  </w:r>
                </w:p>
              </w:tc>
              <w:tc>
                <w:tcPr>
                  <w:tcW w:w="371" w:type="pct"/>
                  <w:shd w:val="clear" w:color="auto" w:fill="auto"/>
                  <w:vAlign w:val="center"/>
                </w:tcPr>
                <w:p w14:paraId="57C8DD90">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65</w:t>
                  </w:r>
                </w:p>
              </w:tc>
              <w:tc>
                <w:tcPr>
                  <w:tcW w:w="253" w:type="pct"/>
                  <w:shd w:val="clear" w:color="auto" w:fill="auto"/>
                  <w:vAlign w:val="center"/>
                </w:tcPr>
                <w:p w14:paraId="2DEF6308">
                  <w:pPr>
                    <w:autoSpaceDE w:val="0"/>
                    <w:autoSpaceDN w:val="0"/>
                    <w:adjustRightInd w:val="0"/>
                    <w:snapToGrid w:val="0"/>
                    <w:ind w:left="-105" w:leftChars="-50" w:right="-105" w:rightChars="-50"/>
                    <w:jc w:val="center"/>
                    <w:rPr>
                      <w:rFonts w:hint="eastAsia"/>
                      <w:bCs/>
                      <w:sz w:val="15"/>
                      <w:szCs w:val="15"/>
                    </w:rPr>
                  </w:pPr>
                  <w:r>
                    <w:rPr>
                      <w:rFonts w:hint="eastAsia"/>
                      <w:sz w:val="15"/>
                      <w:szCs w:val="15"/>
                    </w:rPr>
                    <w:t>1</w:t>
                  </w:r>
                </w:p>
              </w:tc>
              <w:tc>
                <w:tcPr>
                  <w:tcW w:w="254" w:type="pct"/>
                  <w:vMerge w:val="continue"/>
                  <w:shd w:val="clear" w:color="auto" w:fill="auto"/>
                  <w:vAlign w:val="center"/>
                </w:tcPr>
                <w:p w14:paraId="53B6EFF7">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2C20AA34">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58</w:t>
                  </w:r>
                </w:p>
              </w:tc>
              <w:tc>
                <w:tcPr>
                  <w:tcW w:w="254" w:type="pct"/>
                  <w:shd w:val="clear" w:color="auto" w:fill="auto"/>
                  <w:vAlign w:val="center"/>
                </w:tcPr>
                <w:p w14:paraId="7C2E4DB3">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22</w:t>
                  </w:r>
                </w:p>
              </w:tc>
              <w:tc>
                <w:tcPr>
                  <w:tcW w:w="254" w:type="pct"/>
                  <w:shd w:val="clear" w:color="auto" w:fill="auto"/>
                  <w:vAlign w:val="center"/>
                </w:tcPr>
                <w:p w14:paraId="1767D0CE">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15</w:t>
                  </w:r>
                </w:p>
              </w:tc>
              <w:tc>
                <w:tcPr>
                  <w:tcW w:w="252" w:type="pct"/>
                  <w:shd w:val="clear" w:color="auto" w:fill="auto"/>
                  <w:vAlign w:val="center"/>
                </w:tcPr>
                <w:p w14:paraId="7AA02792">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30</w:t>
                  </w:r>
                </w:p>
              </w:tc>
              <w:tc>
                <w:tcPr>
                  <w:tcW w:w="253" w:type="pct"/>
                  <w:shd w:val="clear" w:color="auto" w:fill="auto"/>
                  <w:vAlign w:val="center"/>
                </w:tcPr>
                <w:p w14:paraId="56A87D4E">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13</w:t>
                  </w:r>
                </w:p>
              </w:tc>
              <w:tc>
                <w:tcPr>
                  <w:tcW w:w="254" w:type="pct"/>
                  <w:shd w:val="clear" w:color="auto" w:fill="auto"/>
                  <w:vAlign w:val="center"/>
                </w:tcPr>
                <w:p w14:paraId="108DFBA7">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58</w:t>
                  </w:r>
                </w:p>
              </w:tc>
              <w:tc>
                <w:tcPr>
                  <w:tcW w:w="253" w:type="pct"/>
                  <w:shd w:val="clear" w:color="auto" w:fill="auto"/>
                  <w:vAlign w:val="center"/>
                </w:tcPr>
                <w:p w14:paraId="04C21D38">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42</w:t>
                  </w:r>
                </w:p>
              </w:tc>
              <w:tc>
                <w:tcPr>
                  <w:tcW w:w="337" w:type="pct"/>
                  <w:shd w:val="clear" w:color="auto" w:fill="auto"/>
                  <w:vAlign w:val="center"/>
                </w:tcPr>
                <w:p w14:paraId="25E7B188">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42.72</w:t>
                  </w:r>
                </w:p>
              </w:tc>
              <w:tc>
                <w:tcPr>
                  <w:tcW w:w="169" w:type="pct"/>
                  <w:vMerge w:val="continue"/>
                  <w:shd w:val="clear" w:color="auto" w:fill="auto"/>
                  <w:vAlign w:val="center"/>
                </w:tcPr>
                <w:p w14:paraId="44926D1F">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40711960">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20</w:t>
                  </w:r>
                </w:p>
              </w:tc>
              <w:tc>
                <w:tcPr>
                  <w:tcW w:w="507" w:type="pct"/>
                  <w:shd w:val="clear" w:color="auto" w:fill="auto"/>
                  <w:vAlign w:val="center"/>
                </w:tcPr>
                <w:p w14:paraId="4DE74CEB">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22.72</w:t>
                  </w:r>
                </w:p>
              </w:tc>
              <w:tc>
                <w:tcPr>
                  <w:tcW w:w="298" w:type="pct"/>
                  <w:shd w:val="clear" w:color="auto" w:fill="auto"/>
                  <w:vAlign w:val="center"/>
                </w:tcPr>
                <w:p w14:paraId="3D7EB36E">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1m</w:t>
                  </w:r>
                </w:p>
              </w:tc>
            </w:tr>
            <w:tr w14:paraId="265197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0B0B5ACA">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15</w:t>
                  </w:r>
                </w:p>
              </w:tc>
              <w:tc>
                <w:tcPr>
                  <w:tcW w:w="493" w:type="pct"/>
                  <w:shd w:val="clear" w:color="auto" w:fill="auto"/>
                  <w:vAlign w:val="center"/>
                </w:tcPr>
                <w:p w14:paraId="4DA6A71D">
                  <w:pPr>
                    <w:autoSpaceDE w:val="0"/>
                    <w:autoSpaceDN w:val="0"/>
                    <w:adjustRightInd w:val="0"/>
                    <w:snapToGrid w:val="0"/>
                    <w:ind w:left="-105" w:leftChars="-50" w:right="-105" w:rightChars="-50"/>
                    <w:jc w:val="center"/>
                    <w:rPr>
                      <w:bCs/>
                      <w:sz w:val="15"/>
                      <w:szCs w:val="15"/>
                    </w:rPr>
                  </w:pPr>
                  <w:r>
                    <w:rPr>
                      <w:rFonts w:hint="eastAsia"/>
                      <w:sz w:val="15"/>
                      <w:szCs w:val="15"/>
                    </w:rPr>
                    <w:t>全自动包装机组</w:t>
                  </w:r>
                </w:p>
              </w:tc>
              <w:tc>
                <w:tcPr>
                  <w:tcW w:w="371" w:type="pct"/>
                  <w:shd w:val="clear" w:color="auto" w:fill="auto"/>
                  <w:vAlign w:val="center"/>
                </w:tcPr>
                <w:p w14:paraId="0D65D210">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75</w:t>
                  </w:r>
                </w:p>
              </w:tc>
              <w:tc>
                <w:tcPr>
                  <w:tcW w:w="253" w:type="pct"/>
                  <w:shd w:val="clear" w:color="auto" w:fill="auto"/>
                  <w:vAlign w:val="center"/>
                </w:tcPr>
                <w:p w14:paraId="0E56C7C3">
                  <w:pPr>
                    <w:autoSpaceDE w:val="0"/>
                    <w:autoSpaceDN w:val="0"/>
                    <w:adjustRightInd w:val="0"/>
                    <w:snapToGrid w:val="0"/>
                    <w:ind w:left="-105" w:leftChars="-50" w:right="-105" w:rightChars="-50"/>
                    <w:jc w:val="center"/>
                    <w:rPr>
                      <w:rFonts w:hint="eastAsia"/>
                      <w:bCs/>
                      <w:sz w:val="15"/>
                      <w:szCs w:val="15"/>
                    </w:rPr>
                  </w:pPr>
                  <w:r>
                    <w:rPr>
                      <w:rFonts w:hint="eastAsia"/>
                      <w:sz w:val="15"/>
                      <w:szCs w:val="15"/>
                    </w:rPr>
                    <w:t>1</w:t>
                  </w:r>
                </w:p>
              </w:tc>
              <w:tc>
                <w:tcPr>
                  <w:tcW w:w="254" w:type="pct"/>
                  <w:vMerge w:val="continue"/>
                  <w:shd w:val="clear" w:color="auto" w:fill="auto"/>
                  <w:vAlign w:val="center"/>
                </w:tcPr>
                <w:p w14:paraId="323A3FDC">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7FB0A15A">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30</w:t>
                  </w:r>
                </w:p>
              </w:tc>
              <w:tc>
                <w:tcPr>
                  <w:tcW w:w="254" w:type="pct"/>
                  <w:shd w:val="clear" w:color="auto" w:fill="auto"/>
                  <w:vAlign w:val="center"/>
                </w:tcPr>
                <w:p w14:paraId="362AF002">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26</w:t>
                  </w:r>
                </w:p>
              </w:tc>
              <w:tc>
                <w:tcPr>
                  <w:tcW w:w="254" w:type="pct"/>
                  <w:shd w:val="clear" w:color="auto" w:fill="auto"/>
                  <w:vAlign w:val="center"/>
                </w:tcPr>
                <w:p w14:paraId="28464F60">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15</w:t>
                  </w:r>
                </w:p>
              </w:tc>
              <w:tc>
                <w:tcPr>
                  <w:tcW w:w="252" w:type="pct"/>
                  <w:shd w:val="clear" w:color="auto" w:fill="auto"/>
                  <w:vAlign w:val="center"/>
                </w:tcPr>
                <w:p w14:paraId="42DF4A9E">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58</w:t>
                  </w:r>
                </w:p>
              </w:tc>
              <w:tc>
                <w:tcPr>
                  <w:tcW w:w="253" w:type="pct"/>
                  <w:shd w:val="clear" w:color="auto" w:fill="auto"/>
                  <w:vAlign w:val="center"/>
                </w:tcPr>
                <w:p w14:paraId="4A9C650B">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18</w:t>
                  </w:r>
                </w:p>
              </w:tc>
              <w:tc>
                <w:tcPr>
                  <w:tcW w:w="254" w:type="pct"/>
                  <w:shd w:val="clear" w:color="auto" w:fill="auto"/>
                  <w:vAlign w:val="center"/>
                </w:tcPr>
                <w:p w14:paraId="27712A85">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30</w:t>
                  </w:r>
                </w:p>
              </w:tc>
              <w:tc>
                <w:tcPr>
                  <w:tcW w:w="253" w:type="pct"/>
                  <w:shd w:val="clear" w:color="auto" w:fill="auto"/>
                  <w:vAlign w:val="center"/>
                </w:tcPr>
                <w:p w14:paraId="2C5FD6C4">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32</w:t>
                  </w:r>
                </w:p>
              </w:tc>
              <w:tc>
                <w:tcPr>
                  <w:tcW w:w="337" w:type="pct"/>
                  <w:shd w:val="clear" w:color="auto" w:fill="auto"/>
                  <w:vAlign w:val="center"/>
                </w:tcPr>
                <w:p w14:paraId="73BEDC37">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49.89</w:t>
                  </w:r>
                </w:p>
              </w:tc>
              <w:tc>
                <w:tcPr>
                  <w:tcW w:w="169" w:type="pct"/>
                  <w:vMerge w:val="continue"/>
                  <w:shd w:val="clear" w:color="auto" w:fill="auto"/>
                  <w:vAlign w:val="center"/>
                </w:tcPr>
                <w:p w14:paraId="7C1320F7">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04E48EA8">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20</w:t>
                  </w:r>
                </w:p>
              </w:tc>
              <w:tc>
                <w:tcPr>
                  <w:tcW w:w="507" w:type="pct"/>
                  <w:shd w:val="clear" w:color="auto" w:fill="auto"/>
                  <w:vAlign w:val="center"/>
                </w:tcPr>
                <w:p w14:paraId="4F417E4D">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29.89</w:t>
                  </w:r>
                </w:p>
              </w:tc>
              <w:tc>
                <w:tcPr>
                  <w:tcW w:w="298" w:type="pct"/>
                  <w:shd w:val="clear" w:color="auto" w:fill="auto"/>
                  <w:vAlign w:val="center"/>
                </w:tcPr>
                <w:p w14:paraId="1E971D73">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1m</w:t>
                  </w:r>
                </w:p>
              </w:tc>
            </w:tr>
            <w:tr w14:paraId="1A1E0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7FC6777C">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16</w:t>
                  </w:r>
                </w:p>
              </w:tc>
              <w:tc>
                <w:tcPr>
                  <w:tcW w:w="493" w:type="pct"/>
                  <w:shd w:val="clear" w:color="auto" w:fill="auto"/>
                  <w:vAlign w:val="center"/>
                </w:tcPr>
                <w:p w14:paraId="7BE2D4D1">
                  <w:pPr>
                    <w:autoSpaceDE w:val="0"/>
                    <w:autoSpaceDN w:val="0"/>
                    <w:adjustRightInd w:val="0"/>
                    <w:snapToGrid w:val="0"/>
                    <w:ind w:left="-105" w:leftChars="-50" w:right="-105" w:rightChars="-50"/>
                    <w:jc w:val="center"/>
                    <w:rPr>
                      <w:bCs/>
                      <w:sz w:val="15"/>
                      <w:szCs w:val="15"/>
                    </w:rPr>
                  </w:pPr>
                  <w:r>
                    <w:rPr>
                      <w:rFonts w:hint="eastAsia"/>
                      <w:sz w:val="15"/>
                      <w:szCs w:val="15"/>
                    </w:rPr>
                    <w:t>空压机</w:t>
                  </w:r>
                </w:p>
              </w:tc>
              <w:tc>
                <w:tcPr>
                  <w:tcW w:w="371" w:type="pct"/>
                  <w:shd w:val="clear" w:color="auto" w:fill="auto"/>
                  <w:vAlign w:val="center"/>
                </w:tcPr>
                <w:p w14:paraId="480B5108">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90</w:t>
                  </w:r>
                </w:p>
              </w:tc>
              <w:tc>
                <w:tcPr>
                  <w:tcW w:w="253" w:type="pct"/>
                  <w:shd w:val="clear" w:color="auto" w:fill="auto"/>
                  <w:vAlign w:val="center"/>
                </w:tcPr>
                <w:p w14:paraId="623F4916">
                  <w:pPr>
                    <w:autoSpaceDE w:val="0"/>
                    <w:autoSpaceDN w:val="0"/>
                    <w:adjustRightInd w:val="0"/>
                    <w:snapToGrid w:val="0"/>
                    <w:ind w:left="-105" w:leftChars="-50" w:right="-105" w:rightChars="-50"/>
                    <w:jc w:val="center"/>
                    <w:rPr>
                      <w:rFonts w:hint="eastAsia"/>
                      <w:bCs/>
                      <w:sz w:val="15"/>
                      <w:szCs w:val="15"/>
                    </w:rPr>
                  </w:pPr>
                  <w:r>
                    <w:rPr>
                      <w:rFonts w:hint="eastAsia"/>
                      <w:sz w:val="15"/>
                      <w:szCs w:val="15"/>
                    </w:rPr>
                    <w:t>1</w:t>
                  </w:r>
                </w:p>
              </w:tc>
              <w:tc>
                <w:tcPr>
                  <w:tcW w:w="254" w:type="pct"/>
                  <w:vMerge w:val="continue"/>
                  <w:shd w:val="clear" w:color="auto" w:fill="auto"/>
                  <w:vAlign w:val="center"/>
                </w:tcPr>
                <w:p w14:paraId="30E3CE80">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2E75C17E">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79</w:t>
                  </w:r>
                </w:p>
              </w:tc>
              <w:tc>
                <w:tcPr>
                  <w:tcW w:w="254" w:type="pct"/>
                  <w:shd w:val="clear" w:color="auto" w:fill="auto"/>
                  <w:vAlign w:val="center"/>
                </w:tcPr>
                <w:p w14:paraId="768CD311">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19</w:t>
                  </w:r>
                </w:p>
              </w:tc>
              <w:tc>
                <w:tcPr>
                  <w:tcW w:w="254" w:type="pct"/>
                  <w:shd w:val="clear" w:color="auto" w:fill="auto"/>
                  <w:vAlign w:val="center"/>
                </w:tcPr>
                <w:p w14:paraId="138A1A48">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15</w:t>
                  </w:r>
                </w:p>
              </w:tc>
              <w:tc>
                <w:tcPr>
                  <w:tcW w:w="252" w:type="pct"/>
                  <w:shd w:val="clear" w:color="auto" w:fill="auto"/>
                  <w:vAlign w:val="center"/>
                </w:tcPr>
                <w:p w14:paraId="72AEADF8">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9</w:t>
                  </w:r>
                </w:p>
              </w:tc>
              <w:tc>
                <w:tcPr>
                  <w:tcW w:w="253" w:type="pct"/>
                  <w:shd w:val="clear" w:color="auto" w:fill="auto"/>
                  <w:vAlign w:val="center"/>
                </w:tcPr>
                <w:p w14:paraId="7CFAAFA9">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9</w:t>
                  </w:r>
                </w:p>
              </w:tc>
              <w:tc>
                <w:tcPr>
                  <w:tcW w:w="254" w:type="pct"/>
                  <w:shd w:val="clear" w:color="auto" w:fill="auto"/>
                  <w:vAlign w:val="center"/>
                </w:tcPr>
                <w:p w14:paraId="2D5C5425">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79</w:t>
                  </w:r>
                </w:p>
              </w:tc>
              <w:tc>
                <w:tcPr>
                  <w:tcW w:w="253" w:type="pct"/>
                  <w:shd w:val="clear" w:color="auto" w:fill="auto"/>
                  <w:vAlign w:val="center"/>
                </w:tcPr>
                <w:p w14:paraId="341EED3C">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45</w:t>
                  </w:r>
                </w:p>
              </w:tc>
              <w:tc>
                <w:tcPr>
                  <w:tcW w:w="337" w:type="pct"/>
                  <w:shd w:val="clear" w:color="auto" w:fill="auto"/>
                  <w:vAlign w:val="center"/>
                </w:tcPr>
                <w:p w14:paraId="217FEFAA">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70.92</w:t>
                  </w:r>
                </w:p>
              </w:tc>
              <w:tc>
                <w:tcPr>
                  <w:tcW w:w="169" w:type="pct"/>
                  <w:vMerge w:val="continue"/>
                  <w:shd w:val="clear" w:color="auto" w:fill="auto"/>
                  <w:vAlign w:val="center"/>
                </w:tcPr>
                <w:p w14:paraId="441A1091">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36FA7347">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30</w:t>
                  </w:r>
                </w:p>
              </w:tc>
              <w:tc>
                <w:tcPr>
                  <w:tcW w:w="507" w:type="pct"/>
                  <w:shd w:val="clear" w:color="auto" w:fill="auto"/>
                  <w:vAlign w:val="center"/>
                </w:tcPr>
                <w:p w14:paraId="41253426">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40.92</w:t>
                  </w:r>
                </w:p>
              </w:tc>
              <w:tc>
                <w:tcPr>
                  <w:tcW w:w="298" w:type="pct"/>
                  <w:shd w:val="clear" w:color="auto" w:fill="auto"/>
                  <w:vAlign w:val="center"/>
                </w:tcPr>
                <w:p w14:paraId="4B4E68FA">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1m</w:t>
                  </w:r>
                </w:p>
              </w:tc>
            </w:tr>
            <w:tr w14:paraId="05035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7B947D2A">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17</w:t>
                  </w:r>
                </w:p>
              </w:tc>
              <w:tc>
                <w:tcPr>
                  <w:tcW w:w="493" w:type="pct"/>
                  <w:shd w:val="clear" w:color="auto" w:fill="auto"/>
                  <w:vAlign w:val="center"/>
                </w:tcPr>
                <w:p w14:paraId="0A92BAFC">
                  <w:pPr>
                    <w:autoSpaceDE w:val="0"/>
                    <w:autoSpaceDN w:val="0"/>
                    <w:adjustRightInd w:val="0"/>
                    <w:snapToGrid w:val="0"/>
                    <w:ind w:left="-105" w:leftChars="-50" w:right="-105" w:rightChars="-50"/>
                    <w:jc w:val="center"/>
                    <w:rPr>
                      <w:bCs/>
                      <w:sz w:val="15"/>
                      <w:szCs w:val="15"/>
                    </w:rPr>
                  </w:pPr>
                  <w:r>
                    <w:rPr>
                      <w:rFonts w:hint="eastAsia"/>
                      <w:sz w:val="15"/>
                      <w:szCs w:val="15"/>
                    </w:rPr>
                    <w:t>输送线设备</w:t>
                  </w:r>
                </w:p>
              </w:tc>
              <w:tc>
                <w:tcPr>
                  <w:tcW w:w="371" w:type="pct"/>
                  <w:shd w:val="clear" w:color="auto" w:fill="auto"/>
                  <w:vAlign w:val="center"/>
                </w:tcPr>
                <w:p w14:paraId="3A1BF970">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65</w:t>
                  </w:r>
                </w:p>
              </w:tc>
              <w:tc>
                <w:tcPr>
                  <w:tcW w:w="253" w:type="pct"/>
                  <w:shd w:val="clear" w:color="auto" w:fill="auto"/>
                  <w:vAlign w:val="center"/>
                </w:tcPr>
                <w:p w14:paraId="68C50753">
                  <w:pPr>
                    <w:autoSpaceDE w:val="0"/>
                    <w:autoSpaceDN w:val="0"/>
                    <w:adjustRightInd w:val="0"/>
                    <w:snapToGrid w:val="0"/>
                    <w:ind w:left="-105" w:leftChars="-50" w:right="-105" w:rightChars="-50"/>
                    <w:jc w:val="center"/>
                    <w:rPr>
                      <w:rFonts w:hint="eastAsia"/>
                      <w:bCs/>
                      <w:sz w:val="15"/>
                      <w:szCs w:val="15"/>
                    </w:rPr>
                  </w:pPr>
                  <w:r>
                    <w:rPr>
                      <w:rFonts w:hint="eastAsia"/>
                      <w:sz w:val="15"/>
                      <w:szCs w:val="15"/>
                    </w:rPr>
                    <w:t>1</w:t>
                  </w:r>
                </w:p>
              </w:tc>
              <w:tc>
                <w:tcPr>
                  <w:tcW w:w="254" w:type="pct"/>
                  <w:vMerge w:val="continue"/>
                  <w:shd w:val="clear" w:color="auto" w:fill="auto"/>
                  <w:vAlign w:val="center"/>
                </w:tcPr>
                <w:p w14:paraId="69B6EE8A">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29EA19D9">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48</w:t>
                  </w:r>
                </w:p>
              </w:tc>
              <w:tc>
                <w:tcPr>
                  <w:tcW w:w="254" w:type="pct"/>
                  <w:shd w:val="clear" w:color="auto" w:fill="auto"/>
                  <w:vAlign w:val="center"/>
                </w:tcPr>
                <w:p w14:paraId="14EE5B06">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30</w:t>
                  </w:r>
                </w:p>
              </w:tc>
              <w:tc>
                <w:tcPr>
                  <w:tcW w:w="254" w:type="pct"/>
                  <w:shd w:val="clear" w:color="auto" w:fill="auto"/>
                  <w:vAlign w:val="center"/>
                </w:tcPr>
                <w:p w14:paraId="1726A9B5">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15</w:t>
                  </w:r>
                </w:p>
              </w:tc>
              <w:tc>
                <w:tcPr>
                  <w:tcW w:w="252" w:type="pct"/>
                  <w:shd w:val="clear" w:color="auto" w:fill="auto"/>
                  <w:vAlign w:val="center"/>
                </w:tcPr>
                <w:p w14:paraId="01C593DC">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20</w:t>
                  </w:r>
                </w:p>
              </w:tc>
              <w:tc>
                <w:tcPr>
                  <w:tcW w:w="253" w:type="pct"/>
                  <w:shd w:val="clear" w:color="auto" w:fill="auto"/>
                  <w:vAlign w:val="center"/>
                </w:tcPr>
                <w:p w14:paraId="6CB0559A">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26</w:t>
                  </w:r>
                </w:p>
              </w:tc>
              <w:tc>
                <w:tcPr>
                  <w:tcW w:w="254" w:type="pct"/>
                  <w:shd w:val="clear" w:color="auto" w:fill="auto"/>
                  <w:vAlign w:val="center"/>
                </w:tcPr>
                <w:p w14:paraId="1CF8FB58">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32</w:t>
                  </w:r>
                </w:p>
              </w:tc>
              <w:tc>
                <w:tcPr>
                  <w:tcW w:w="253" w:type="pct"/>
                  <w:shd w:val="clear" w:color="auto" w:fill="auto"/>
                  <w:vAlign w:val="center"/>
                </w:tcPr>
                <w:p w14:paraId="414944E5">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34</w:t>
                  </w:r>
                </w:p>
              </w:tc>
              <w:tc>
                <w:tcPr>
                  <w:tcW w:w="337" w:type="pct"/>
                  <w:shd w:val="clear" w:color="auto" w:fill="auto"/>
                  <w:vAlign w:val="center"/>
                </w:tcPr>
                <w:p w14:paraId="32E4CB40">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38.98</w:t>
                  </w:r>
                </w:p>
              </w:tc>
              <w:tc>
                <w:tcPr>
                  <w:tcW w:w="169" w:type="pct"/>
                  <w:vMerge w:val="continue"/>
                  <w:shd w:val="clear" w:color="auto" w:fill="auto"/>
                  <w:vAlign w:val="center"/>
                </w:tcPr>
                <w:p w14:paraId="0E5629B9">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1A8B5F06">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20</w:t>
                  </w:r>
                </w:p>
              </w:tc>
              <w:tc>
                <w:tcPr>
                  <w:tcW w:w="507" w:type="pct"/>
                  <w:shd w:val="clear" w:color="auto" w:fill="auto"/>
                  <w:vAlign w:val="center"/>
                </w:tcPr>
                <w:p w14:paraId="6FC92139">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18.98</w:t>
                  </w:r>
                </w:p>
              </w:tc>
              <w:tc>
                <w:tcPr>
                  <w:tcW w:w="298" w:type="pct"/>
                  <w:shd w:val="clear" w:color="auto" w:fill="auto"/>
                  <w:vAlign w:val="center"/>
                </w:tcPr>
                <w:p w14:paraId="120C82D1">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1m</w:t>
                  </w:r>
                </w:p>
              </w:tc>
            </w:tr>
            <w:tr w14:paraId="6B8E3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6" w:type="pct"/>
                  <w:shd w:val="clear" w:color="auto" w:fill="auto"/>
                  <w:vAlign w:val="center"/>
                </w:tcPr>
                <w:p w14:paraId="1191C16D">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18</w:t>
                  </w:r>
                </w:p>
              </w:tc>
              <w:tc>
                <w:tcPr>
                  <w:tcW w:w="493" w:type="pct"/>
                  <w:shd w:val="clear" w:color="auto" w:fill="auto"/>
                  <w:vAlign w:val="center"/>
                </w:tcPr>
                <w:p w14:paraId="1FB61AB0">
                  <w:pPr>
                    <w:autoSpaceDE w:val="0"/>
                    <w:autoSpaceDN w:val="0"/>
                    <w:adjustRightInd w:val="0"/>
                    <w:snapToGrid w:val="0"/>
                    <w:ind w:left="-105" w:leftChars="-50" w:right="-105" w:rightChars="-50"/>
                    <w:jc w:val="center"/>
                    <w:rPr>
                      <w:bCs/>
                      <w:sz w:val="15"/>
                      <w:szCs w:val="15"/>
                    </w:rPr>
                  </w:pPr>
                  <w:r>
                    <w:rPr>
                      <w:rFonts w:hint="eastAsia"/>
                      <w:sz w:val="15"/>
                      <w:szCs w:val="15"/>
                    </w:rPr>
                    <w:t>自动调剂设备</w:t>
                  </w:r>
                </w:p>
              </w:tc>
              <w:tc>
                <w:tcPr>
                  <w:tcW w:w="371" w:type="pct"/>
                  <w:shd w:val="clear" w:color="auto" w:fill="auto"/>
                  <w:vAlign w:val="center"/>
                </w:tcPr>
                <w:p w14:paraId="282A8C3C">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75</w:t>
                  </w:r>
                </w:p>
              </w:tc>
              <w:tc>
                <w:tcPr>
                  <w:tcW w:w="253" w:type="pct"/>
                  <w:shd w:val="clear" w:color="auto" w:fill="auto"/>
                  <w:vAlign w:val="center"/>
                </w:tcPr>
                <w:p w14:paraId="12D43327">
                  <w:pPr>
                    <w:autoSpaceDE w:val="0"/>
                    <w:autoSpaceDN w:val="0"/>
                    <w:adjustRightInd w:val="0"/>
                    <w:snapToGrid w:val="0"/>
                    <w:ind w:left="-105" w:leftChars="-50" w:right="-105" w:rightChars="-50"/>
                    <w:jc w:val="center"/>
                    <w:rPr>
                      <w:rFonts w:hint="eastAsia"/>
                      <w:bCs/>
                      <w:sz w:val="15"/>
                      <w:szCs w:val="15"/>
                    </w:rPr>
                  </w:pPr>
                  <w:r>
                    <w:rPr>
                      <w:rFonts w:hint="eastAsia"/>
                      <w:sz w:val="15"/>
                      <w:szCs w:val="15"/>
                    </w:rPr>
                    <w:t>1</w:t>
                  </w:r>
                </w:p>
              </w:tc>
              <w:tc>
                <w:tcPr>
                  <w:tcW w:w="254" w:type="pct"/>
                  <w:vMerge w:val="continue"/>
                  <w:shd w:val="clear" w:color="auto" w:fill="auto"/>
                  <w:vAlign w:val="center"/>
                </w:tcPr>
                <w:p w14:paraId="71BB291F">
                  <w:pPr>
                    <w:autoSpaceDE w:val="0"/>
                    <w:autoSpaceDN w:val="0"/>
                    <w:adjustRightInd w:val="0"/>
                    <w:snapToGrid w:val="0"/>
                    <w:ind w:left="-105" w:leftChars="-50" w:right="-105" w:rightChars="-50"/>
                    <w:jc w:val="center"/>
                    <w:rPr>
                      <w:bCs/>
                      <w:sz w:val="15"/>
                      <w:szCs w:val="15"/>
                    </w:rPr>
                  </w:pPr>
                </w:p>
              </w:tc>
              <w:tc>
                <w:tcPr>
                  <w:tcW w:w="254" w:type="pct"/>
                  <w:shd w:val="clear" w:color="auto" w:fill="auto"/>
                  <w:vAlign w:val="center"/>
                </w:tcPr>
                <w:p w14:paraId="342585D2">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64</w:t>
                  </w:r>
                </w:p>
              </w:tc>
              <w:tc>
                <w:tcPr>
                  <w:tcW w:w="254" w:type="pct"/>
                  <w:shd w:val="clear" w:color="auto" w:fill="auto"/>
                  <w:vAlign w:val="center"/>
                </w:tcPr>
                <w:p w14:paraId="1E8B90FF">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28</w:t>
                  </w:r>
                </w:p>
              </w:tc>
              <w:tc>
                <w:tcPr>
                  <w:tcW w:w="254" w:type="pct"/>
                  <w:shd w:val="clear" w:color="auto" w:fill="auto"/>
                  <w:vAlign w:val="center"/>
                </w:tcPr>
                <w:p w14:paraId="6B4659F4">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15</w:t>
                  </w:r>
                </w:p>
              </w:tc>
              <w:tc>
                <w:tcPr>
                  <w:tcW w:w="252" w:type="pct"/>
                  <w:shd w:val="clear" w:color="auto" w:fill="auto"/>
                  <w:vAlign w:val="center"/>
                </w:tcPr>
                <w:p w14:paraId="3309EA38">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20</w:t>
                  </w:r>
                </w:p>
              </w:tc>
              <w:tc>
                <w:tcPr>
                  <w:tcW w:w="253" w:type="pct"/>
                  <w:shd w:val="clear" w:color="auto" w:fill="auto"/>
                  <w:vAlign w:val="center"/>
                </w:tcPr>
                <w:p w14:paraId="429BA1A7">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20</w:t>
                  </w:r>
                </w:p>
              </w:tc>
              <w:tc>
                <w:tcPr>
                  <w:tcW w:w="254" w:type="pct"/>
                  <w:shd w:val="clear" w:color="auto" w:fill="auto"/>
                  <w:vAlign w:val="center"/>
                </w:tcPr>
                <w:p w14:paraId="2111D071">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60</w:t>
                  </w:r>
                </w:p>
              </w:tc>
              <w:tc>
                <w:tcPr>
                  <w:tcW w:w="253" w:type="pct"/>
                  <w:shd w:val="clear" w:color="auto" w:fill="auto"/>
                  <w:vAlign w:val="center"/>
                </w:tcPr>
                <w:p w14:paraId="04F5E53F">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34</w:t>
                  </w:r>
                </w:p>
              </w:tc>
              <w:tc>
                <w:tcPr>
                  <w:tcW w:w="337" w:type="pct"/>
                  <w:shd w:val="clear" w:color="auto" w:fill="auto"/>
                  <w:vAlign w:val="center"/>
                </w:tcPr>
                <w:p w14:paraId="6868623F">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48.98</w:t>
                  </w:r>
                </w:p>
              </w:tc>
              <w:tc>
                <w:tcPr>
                  <w:tcW w:w="169" w:type="pct"/>
                  <w:vMerge w:val="continue"/>
                  <w:shd w:val="clear" w:color="auto" w:fill="auto"/>
                  <w:vAlign w:val="center"/>
                </w:tcPr>
                <w:p w14:paraId="078E0C37">
                  <w:pPr>
                    <w:autoSpaceDE w:val="0"/>
                    <w:autoSpaceDN w:val="0"/>
                    <w:adjustRightInd w:val="0"/>
                    <w:snapToGrid w:val="0"/>
                    <w:ind w:left="-105" w:leftChars="-50" w:right="-105" w:rightChars="-50"/>
                    <w:jc w:val="center"/>
                    <w:rPr>
                      <w:bCs/>
                      <w:sz w:val="15"/>
                      <w:szCs w:val="15"/>
                    </w:rPr>
                  </w:pPr>
                </w:p>
              </w:tc>
              <w:tc>
                <w:tcPr>
                  <w:tcW w:w="338" w:type="pct"/>
                  <w:shd w:val="clear" w:color="auto" w:fill="auto"/>
                  <w:vAlign w:val="center"/>
                </w:tcPr>
                <w:p w14:paraId="6F776116">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20</w:t>
                  </w:r>
                </w:p>
              </w:tc>
              <w:tc>
                <w:tcPr>
                  <w:tcW w:w="507" w:type="pct"/>
                  <w:shd w:val="clear" w:color="auto" w:fill="auto"/>
                  <w:vAlign w:val="center"/>
                </w:tcPr>
                <w:p w14:paraId="51D4714B">
                  <w:pPr>
                    <w:autoSpaceDE w:val="0"/>
                    <w:autoSpaceDN w:val="0"/>
                    <w:adjustRightInd w:val="0"/>
                    <w:snapToGrid w:val="0"/>
                    <w:ind w:left="-105" w:leftChars="-50" w:right="-105" w:rightChars="-50"/>
                    <w:jc w:val="center"/>
                    <w:rPr>
                      <w:rFonts w:hint="eastAsia"/>
                      <w:bCs/>
                      <w:sz w:val="15"/>
                      <w:szCs w:val="15"/>
                    </w:rPr>
                  </w:pPr>
                  <w:r>
                    <w:rPr>
                      <w:rFonts w:hint="eastAsia" w:ascii="等线" w:hAnsi="等线" w:eastAsia="等线"/>
                      <w:color w:val="000000"/>
                      <w:sz w:val="15"/>
                      <w:szCs w:val="15"/>
                    </w:rPr>
                    <w:t>28.98</w:t>
                  </w:r>
                </w:p>
              </w:tc>
              <w:tc>
                <w:tcPr>
                  <w:tcW w:w="298" w:type="pct"/>
                  <w:shd w:val="clear" w:color="auto" w:fill="auto"/>
                  <w:vAlign w:val="center"/>
                </w:tcPr>
                <w:p w14:paraId="5E0B1E17">
                  <w:pPr>
                    <w:autoSpaceDE w:val="0"/>
                    <w:autoSpaceDN w:val="0"/>
                    <w:adjustRightInd w:val="0"/>
                    <w:snapToGrid w:val="0"/>
                    <w:ind w:left="-105" w:leftChars="-50" w:right="-105" w:rightChars="-50"/>
                    <w:jc w:val="center"/>
                    <w:rPr>
                      <w:rFonts w:hint="eastAsia"/>
                      <w:bCs/>
                      <w:sz w:val="15"/>
                      <w:szCs w:val="15"/>
                    </w:rPr>
                  </w:pPr>
                  <w:r>
                    <w:rPr>
                      <w:rFonts w:hint="eastAsia"/>
                      <w:bCs/>
                      <w:sz w:val="15"/>
                      <w:szCs w:val="15"/>
                    </w:rPr>
                    <w:t>1m</w:t>
                  </w:r>
                </w:p>
              </w:tc>
            </w:tr>
          </w:tbl>
          <w:p w14:paraId="66CB7AA8">
            <w:pPr>
              <w:widowControl/>
              <w:spacing w:line="360" w:lineRule="auto"/>
              <w:ind w:firstLine="422" w:firstLineChars="200"/>
              <w:rPr>
                <w:b/>
                <w:bCs/>
                <w:lang w:bidi="ar"/>
              </w:rPr>
            </w:pPr>
            <w:r>
              <w:rPr>
                <w:rFonts w:hint="eastAsia"/>
                <w:b/>
                <w:bCs/>
                <w:lang w:bidi="ar"/>
              </w:rPr>
              <w:t xml:space="preserve">（二）降噪措施及效果 </w:t>
            </w:r>
          </w:p>
          <w:p w14:paraId="272D6EFA">
            <w:pPr>
              <w:widowControl/>
              <w:spacing w:line="360" w:lineRule="auto"/>
              <w:ind w:firstLine="422" w:firstLineChars="200"/>
              <w:rPr>
                <w:b/>
                <w:bCs/>
                <w:lang w:bidi="ar"/>
              </w:rPr>
            </w:pPr>
            <w:r>
              <w:rPr>
                <w:b/>
                <w:bCs/>
                <w:lang w:bidi="ar"/>
              </w:rPr>
              <w:t>1</w:t>
            </w:r>
            <w:r>
              <w:rPr>
                <w:rFonts w:hint="eastAsia"/>
                <w:b/>
                <w:bCs/>
                <w:lang w:bidi="ar"/>
              </w:rPr>
              <w:t>）本项目拟采用的噪声防治措施如下：</w:t>
            </w:r>
          </w:p>
          <w:p w14:paraId="15072E89">
            <w:pPr>
              <w:widowControl/>
              <w:spacing w:line="360" w:lineRule="auto"/>
              <w:ind w:firstLine="422" w:firstLineChars="200"/>
              <w:rPr>
                <w:b/>
                <w:bCs/>
                <w:lang w:bidi="ar"/>
              </w:rPr>
            </w:pPr>
            <w:r>
              <w:rPr>
                <w:rFonts w:hint="eastAsia"/>
                <w:b/>
                <w:bCs/>
                <w:lang w:bidi="ar"/>
              </w:rPr>
              <w:t>设备选型：</w:t>
            </w:r>
          </w:p>
          <w:p w14:paraId="4F90FCB5">
            <w:pPr>
              <w:widowControl/>
              <w:spacing w:line="360" w:lineRule="auto"/>
              <w:ind w:firstLine="420" w:firstLineChars="200"/>
              <w:rPr>
                <w:lang w:bidi="ar"/>
              </w:rPr>
            </w:pPr>
            <w:r>
              <w:rPr>
                <w:rFonts w:hint="eastAsia"/>
                <w:lang w:bidi="ar"/>
              </w:rPr>
              <w:t>①项目选用了噪声值相对较低的先进、环保型加工设备，在设备安装时增设降噪减振设施，从根本上降低噪声源强。</w:t>
            </w:r>
          </w:p>
          <w:p w14:paraId="083B9BC7">
            <w:pPr>
              <w:widowControl/>
              <w:spacing w:line="360" w:lineRule="auto"/>
              <w:ind w:firstLine="420" w:firstLineChars="200"/>
              <w:rPr>
                <w:lang w:bidi="ar"/>
              </w:rPr>
            </w:pPr>
            <w:r>
              <w:rPr>
                <w:rFonts w:hint="eastAsia"/>
                <w:lang w:bidi="ar"/>
              </w:rPr>
              <w:t>②对主要的声源设备，根据其产生的性质和机理不同分别采用减振等方式进行降噪处理。</w:t>
            </w:r>
          </w:p>
          <w:p w14:paraId="71D3C39B">
            <w:pPr>
              <w:widowControl/>
              <w:spacing w:line="360" w:lineRule="auto"/>
              <w:ind w:firstLine="422" w:firstLineChars="200"/>
              <w:rPr>
                <w:b/>
                <w:bCs/>
                <w:lang w:bidi="ar"/>
              </w:rPr>
            </w:pPr>
            <w:r>
              <w:rPr>
                <w:rFonts w:hint="eastAsia"/>
                <w:b/>
                <w:bCs/>
                <w:lang w:bidi="ar"/>
              </w:rPr>
              <w:t>厂区整体布置：</w:t>
            </w:r>
          </w:p>
          <w:p w14:paraId="640418DA">
            <w:pPr>
              <w:widowControl/>
              <w:spacing w:line="360" w:lineRule="auto"/>
              <w:ind w:firstLine="420" w:firstLineChars="200"/>
              <w:rPr>
                <w:lang w:bidi="ar"/>
              </w:rPr>
            </w:pPr>
            <w:r>
              <w:rPr>
                <w:rFonts w:hint="eastAsia"/>
                <w:lang w:bidi="ar"/>
              </w:rPr>
              <w:t>在厂区的布局上，本项目生产设备均布置在密闭厂房内，产噪设备布置主要布设厂区东部，东侧外为园区绿化带，距声环境敏感点较远。</w:t>
            </w:r>
          </w:p>
          <w:p w14:paraId="0C3A53AB">
            <w:pPr>
              <w:widowControl/>
              <w:spacing w:line="360" w:lineRule="auto"/>
              <w:ind w:firstLine="422" w:firstLineChars="200"/>
              <w:rPr>
                <w:b/>
                <w:bCs/>
                <w:lang w:bidi="ar"/>
              </w:rPr>
            </w:pPr>
            <w:r>
              <w:rPr>
                <w:rFonts w:hint="eastAsia"/>
                <w:b/>
                <w:bCs/>
                <w:lang w:bidi="ar"/>
              </w:rPr>
              <w:t>管理上控制：</w:t>
            </w:r>
          </w:p>
          <w:p w14:paraId="34A86CE3">
            <w:pPr>
              <w:widowControl/>
              <w:spacing w:line="360" w:lineRule="auto"/>
              <w:ind w:firstLine="420" w:firstLineChars="200"/>
              <w:rPr>
                <w:lang w:bidi="ar"/>
              </w:rPr>
            </w:pPr>
            <w:r>
              <w:rPr>
                <w:rFonts w:hint="eastAsia"/>
                <w:lang w:bidi="ar"/>
              </w:rPr>
              <w:t>①项目工艺自动化水平高，减少工人直接接触高噪声设备时间。</w:t>
            </w:r>
          </w:p>
          <w:p w14:paraId="3C6608EC">
            <w:pPr>
              <w:widowControl/>
              <w:spacing w:line="360" w:lineRule="auto"/>
              <w:ind w:firstLine="420" w:firstLineChars="200"/>
              <w:rPr>
                <w:lang w:bidi="ar"/>
              </w:rPr>
            </w:pPr>
            <w:r>
              <w:rPr>
                <w:rFonts w:hint="eastAsia"/>
                <w:lang w:bidi="ar"/>
              </w:rPr>
              <w:t>②建立设备定期维护、保养的管理制度，以防止设备故障形成的非正常生产噪声，同时确保环保措施发挥最有效的功能。</w:t>
            </w:r>
          </w:p>
          <w:p w14:paraId="31711203">
            <w:pPr>
              <w:widowControl/>
              <w:spacing w:line="360" w:lineRule="auto"/>
              <w:ind w:firstLine="420" w:firstLineChars="200"/>
              <w:rPr>
                <w:lang w:bidi="ar"/>
              </w:rPr>
            </w:pPr>
            <w:r>
              <w:rPr>
                <w:rFonts w:hint="eastAsia"/>
                <w:lang w:bidi="ar"/>
              </w:rPr>
              <w:t>③加强管理：建立设备定期维护，保养的管理制度，以防止设备故障形成的非正常生产噪声，同时确保环保措施发挥最佳有效的功能；加强职工环保意识教育，提倡文明生产，防止人为噪声。</w:t>
            </w:r>
          </w:p>
          <w:p w14:paraId="59CCD37B">
            <w:pPr>
              <w:widowControl/>
              <w:spacing w:line="360" w:lineRule="auto"/>
              <w:ind w:firstLine="422" w:firstLineChars="200"/>
              <w:rPr>
                <w:b/>
                <w:bCs/>
                <w:lang w:bidi="ar"/>
              </w:rPr>
            </w:pPr>
            <w:r>
              <w:rPr>
                <w:rFonts w:hint="eastAsia"/>
                <w:b/>
                <w:bCs/>
                <w:lang w:bidi="ar"/>
              </w:rPr>
              <w:t>2）厂界及环境敏感目标达标情况分析：</w:t>
            </w:r>
          </w:p>
          <w:p w14:paraId="21DA0015">
            <w:pPr>
              <w:adjustRightInd w:val="0"/>
              <w:snapToGrid w:val="0"/>
              <w:spacing w:line="360" w:lineRule="auto"/>
              <w:ind w:firstLine="420" w:firstLineChars="200"/>
              <w:jc w:val="left"/>
            </w:pPr>
            <w:r>
              <w:rPr>
                <w:rFonts w:hint="eastAsia"/>
              </w:rPr>
              <w:t>本项目厂界外50m范围内无声环境保护目标，因此，仅进行厂界达标分析。</w:t>
            </w:r>
          </w:p>
          <w:p w14:paraId="4341FCC5">
            <w:pPr>
              <w:adjustRightInd w:val="0"/>
              <w:snapToGrid w:val="0"/>
              <w:spacing w:line="360" w:lineRule="auto"/>
              <w:ind w:firstLine="420" w:firstLineChars="200"/>
              <w:jc w:val="left"/>
            </w:pPr>
            <w:r>
              <w:rPr>
                <w:rFonts w:hint="eastAsia"/>
              </w:rPr>
              <w:t>（1）预测模式</w:t>
            </w:r>
          </w:p>
          <w:p w14:paraId="558AF4EC">
            <w:pPr>
              <w:adjustRightInd w:val="0"/>
              <w:snapToGrid w:val="0"/>
              <w:spacing w:line="360" w:lineRule="auto"/>
              <w:ind w:firstLine="420" w:firstLineChars="200"/>
              <w:jc w:val="left"/>
            </w:pPr>
            <w:r>
              <w:rPr>
                <w:rFonts w:hint="eastAsia"/>
              </w:rPr>
              <w:t>以厂界预测点为原点，选择一个坐标系，确定各噪声源位置，并测量各噪声源到预测点的距离，将各噪声源视为半自由状态噪声源，按声能量在空气传播中衰减模式可计算出某噪声源在预测点的声压级，预测模式如下：</w:t>
            </w:r>
          </w:p>
          <w:p w14:paraId="4EE2D607">
            <w:pPr>
              <w:adjustRightInd w:val="0"/>
              <w:snapToGrid w:val="0"/>
              <w:spacing w:line="360" w:lineRule="auto"/>
              <w:ind w:firstLine="420" w:firstLineChars="200"/>
              <w:jc w:val="left"/>
            </w:pPr>
            <w:r>
              <w:rPr>
                <w:rFonts w:hint="eastAsia"/>
              </w:rPr>
              <w:t>①室外声源</w:t>
            </w:r>
          </w:p>
          <w:p w14:paraId="6F39B1A4">
            <w:pPr>
              <w:adjustRightInd w:val="0"/>
              <w:snapToGrid w:val="0"/>
              <w:spacing w:line="360" w:lineRule="auto"/>
              <w:ind w:firstLine="420" w:firstLineChars="200"/>
              <w:jc w:val="left"/>
            </w:pPr>
            <w:r>
              <w:rPr>
                <w:rFonts w:hint="eastAsia"/>
              </w:rPr>
              <w:t>计算某个声源在预测点的倍频带声压级</w:t>
            </w:r>
          </w:p>
          <w:p w14:paraId="1360DE63">
            <w:pPr>
              <w:adjustRightInd w:val="0"/>
              <w:snapToGrid w:val="0"/>
              <w:spacing w:line="360" w:lineRule="auto"/>
              <w:ind w:firstLine="420" w:firstLineChars="200"/>
              <w:jc w:val="center"/>
            </w:pPr>
            <w:r>
              <w:drawing>
                <wp:inline distT="0" distB="0" distL="0" distR="0">
                  <wp:extent cx="2794000" cy="623570"/>
                  <wp:effectExtent l="0" t="0" r="6350" b="5080"/>
                  <wp:docPr id="6228294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29406"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27196" cy="631148"/>
                          </a:xfrm>
                          <a:prstGeom prst="rect">
                            <a:avLst/>
                          </a:prstGeom>
                          <a:noFill/>
                          <a:ln>
                            <a:noFill/>
                          </a:ln>
                        </pic:spPr>
                      </pic:pic>
                    </a:graphicData>
                  </a:graphic>
                </wp:inline>
              </w:drawing>
            </w:r>
          </w:p>
          <w:p w14:paraId="06402E8C">
            <w:pPr>
              <w:adjustRightInd w:val="0"/>
              <w:snapToGrid w:val="0"/>
              <w:spacing w:line="360" w:lineRule="auto"/>
              <w:ind w:firstLine="420" w:firstLineChars="200"/>
              <w:jc w:val="left"/>
            </w:pPr>
            <w:r>
              <w:rPr>
                <w:rFonts w:hint="eastAsia"/>
              </w:rPr>
              <w:t>式中：L</w:t>
            </w:r>
            <w:r>
              <w:rPr>
                <w:rFonts w:hint="eastAsia"/>
                <w:vertAlign w:val="subscript"/>
              </w:rPr>
              <w:t>oct （r）</w:t>
            </w:r>
            <w:r>
              <w:rPr>
                <w:rFonts w:hint="eastAsia"/>
              </w:rPr>
              <w:t xml:space="preserve"> —— 点声源在预测点产生的倍频带声压级；</w:t>
            </w:r>
          </w:p>
          <w:p w14:paraId="67465546">
            <w:pPr>
              <w:adjustRightInd w:val="0"/>
              <w:snapToGrid w:val="0"/>
              <w:spacing w:line="360" w:lineRule="auto"/>
              <w:ind w:firstLine="1050" w:firstLineChars="500"/>
              <w:jc w:val="left"/>
            </w:pPr>
            <w:r>
              <w:rPr>
                <w:rFonts w:hint="eastAsia"/>
              </w:rPr>
              <w:t>L</w:t>
            </w:r>
            <w:r>
              <w:rPr>
                <w:rFonts w:hint="eastAsia"/>
                <w:vertAlign w:val="subscript"/>
              </w:rPr>
              <w:t>oct （r0）</w:t>
            </w:r>
            <w:r>
              <w:rPr>
                <w:rFonts w:hint="eastAsia"/>
              </w:rPr>
              <w:t xml:space="preserve"> ——参考位置 r</w:t>
            </w:r>
            <w:r>
              <w:rPr>
                <w:rFonts w:hint="eastAsia"/>
                <w:vertAlign w:val="subscript"/>
              </w:rPr>
              <w:t>0</w:t>
            </w:r>
            <w:r>
              <w:rPr>
                <w:rFonts w:hint="eastAsia"/>
              </w:rPr>
              <w:t>处的倍频带声压级；</w:t>
            </w:r>
          </w:p>
          <w:p w14:paraId="104242E9">
            <w:pPr>
              <w:adjustRightInd w:val="0"/>
              <w:snapToGrid w:val="0"/>
              <w:spacing w:line="360" w:lineRule="auto"/>
              <w:ind w:firstLine="1050" w:firstLineChars="500"/>
              <w:jc w:val="left"/>
            </w:pPr>
            <w:r>
              <w:rPr>
                <w:rFonts w:hint="eastAsia"/>
              </w:rPr>
              <w:t>r——预测点距声源的距离，m；</w:t>
            </w:r>
          </w:p>
          <w:p w14:paraId="590DAE5F">
            <w:pPr>
              <w:adjustRightInd w:val="0"/>
              <w:snapToGrid w:val="0"/>
              <w:spacing w:line="360" w:lineRule="auto"/>
              <w:ind w:firstLine="1050" w:firstLineChars="500"/>
              <w:jc w:val="left"/>
            </w:pPr>
            <w:r>
              <w:rPr>
                <w:rFonts w:hint="eastAsia"/>
              </w:rPr>
              <w:t>r</w:t>
            </w:r>
            <w:r>
              <w:rPr>
                <w:rFonts w:hint="eastAsia"/>
                <w:vertAlign w:val="subscript"/>
              </w:rPr>
              <w:t>0</w:t>
            </w:r>
            <w:r>
              <w:rPr>
                <w:rFonts w:hint="eastAsia"/>
              </w:rPr>
              <w:t>——参考位置距声源的距离，m；</w:t>
            </w:r>
          </w:p>
          <w:p w14:paraId="7CE76885">
            <w:pPr>
              <w:adjustRightInd w:val="0"/>
              <w:snapToGrid w:val="0"/>
              <w:spacing w:line="360" w:lineRule="auto"/>
              <w:ind w:firstLine="1050" w:firstLineChars="500"/>
              <w:jc w:val="left"/>
            </w:pPr>
            <w:r>
              <w:rPr>
                <w:rFonts w:hint="eastAsia"/>
              </w:rPr>
              <w:t>ΔL</w:t>
            </w:r>
            <w:r>
              <w:rPr>
                <w:rFonts w:hint="eastAsia"/>
                <w:vertAlign w:val="subscript"/>
              </w:rPr>
              <w:t>oct</w:t>
            </w:r>
            <w:r>
              <w:rPr>
                <w:rFonts w:hint="eastAsia"/>
              </w:rPr>
              <w:t>——各种因素引起的衰减量（包括声屏障、遮挡物、空气吸收、地面效应等 引起的衰减量） 。</w:t>
            </w:r>
          </w:p>
          <w:p w14:paraId="54A1B9BD">
            <w:pPr>
              <w:adjustRightInd w:val="0"/>
              <w:snapToGrid w:val="0"/>
              <w:spacing w:line="360" w:lineRule="auto"/>
              <w:ind w:firstLine="420" w:firstLineChars="200"/>
              <w:jc w:val="left"/>
            </w:pPr>
            <w:r>
              <w:rPr>
                <w:rFonts w:hint="eastAsia"/>
              </w:rPr>
              <w:t>如果已知声源的倍频带声功率级 L</w:t>
            </w:r>
            <w:r>
              <w:rPr>
                <w:rFonts w:hint="eastAsia"/>
                <w:vertAlign w:val="subscript"/>
              </w:rPr>
              <w:t>w oct</w:t>
            </w:r>
            <w:r>
              <w:rPr>
                <w:rFonts w:hint="eastAsia"/>
              </w:rPr>
              <w:t>，且声源可看作是位于地面上的，则</w:t>
            </w:r>
          </w:p>
          <w:p w14:paraId="5B5F7893">
            <w:pPr>
              <w:adjustRightInd w:val="0"/>
              <w:snapToGrid w:val="0"/>
              <w:spacing w:line="360" w:lineRule="auto"/>
              <w:ind w:firstLine="420" w:firstLineChars="200"/>
              <w:jc w:val="center"/>
            </w:pPr>
            <w:r>
              <w:drawing>
                <wp:inline distT="0" distB="0" distL="0" distR="0">
                  <wp:extent cx="2390775" cy="447675"/>
                  <wp:effectExtent l="0" t="0" r="9525" b="9525"/>
                  <wp:docPr id="13640749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74935"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90775" cy="447675"/>
                          </a:xfrm>
                          <a:prstGeom prst="rect">
                            <a:avLst/>
                          </a:prstGeom>
                          <a:noFill/>
                          <a:ln>
                            <a:noFill/>
                          </a:ln>
                        </pic:spPr>
                      </pic:pic>
                    </a:graphicData>
                  </a:graphic>
                </wp:inline>
              </w:drawing>
            </w:r>
          </w:p>
          <w:p w14:paraId="78A19556">
            <w:pPr>
              <w:adjustRightInd w:val="0"/>
              <w:snapToGrid w:val="0"/>
              <w:spacing w:line="360" w:lineRule="auto"/>
              <w:ind w:firstLine="420" w:firstLineChars="200"/>
              <w:jc w:val="left"/>
            </w:pPr>
            <w:r>
              <w:rPr>
                <w:rFonts w:hint="eastAsia"/>
              </w:rPr>
              <w:t>由各倍频带声压级合成计算出该声源产生的声级 L</w:t>
            </w:r>
            <w:r>
              <w:rPr>
                <w:rFonts w:hint="eastAsia"/>
                <w:vertAlign w:val="subscript"/>
              </w:rPr>
              <w:t>A</w:t>
            </w:r>
            <w:r>
              <w:rPr>
                <w:rFonts w:hint="eastAsia"/>
              </w:rPr>
              <w:t>。</w:t>
            </w:r>
          </w:p>
          <w:p w14:paraId="69EB00B2">
            <w:pPr>
              <w:adjustRightInd w:val="0"/>
              <w:snapToGrid w:val="0"/>
              <w:spacing w:line="360" w:lineRule="auto"/>
              <w:ind w:firstLine="420" w:firstLineChars="200"/>
              <w:jc w:val="left"/>
            </w:pPr>
            <w:r>
              <w:rPr>
                <w:rFonts w:hint="eastAsia"/>
              </w:rPr>
              <w:t>②室内声源</w:t>
            </w:r>
          </w:p>
          <w:p w14:paraId="7786A1A0">
            <w:pPr>
              <w:adjustRightInd w:val="0"/>
              <w:snapToGrid w:val="0"/>
              <w:spacing w:line="360" w:lineRule="auto"/>
              <w:ind w:firstLine="420" w:firstLineChars="200"/>
              <w:jc w:val="left"/>
            </w:pPr>
            <w:r>
              <w:rPr>
                <w:rFonts w:hint="eastAsia"/>
              </w:rPr>
              <w:t>在室内声源采用等效室外声源声功率级法进行计算。先计算出某个室内靠近围护结构处产生的倍频带声压级：</w:t>
            </w:r>
            <w:r>
              <w:t xml:space="preserve"> </w:t>
            </w:r>
          </w:p>
          <w:p w14:paraId="02F365B9">
            <w:pPr>
              <w:adjustRightInd w:val="0"/>
              <w:snapToGrid w:val="0"/>
              <w:spacing w:line="360" w:lineRule="auto"/>
              <w:ind w:firstLine="420" w:firstLineChars="200"/>
              <w:jc w:val="center"/>
            </w:pPr>
            <w:r>
              <w:drawing>
                <wp:inline distT="0" distB="0" distL="0" distR="0">
                  <wp:extent cx="1746250" cy="423545"/>
                  <wp:effectExtent l="0" t="0" r="6350" b="0"/>
                  <wp:docPr id="16951937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93792"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5247" cy="430654"/>
                          </a:xfrm>
                          <a:prstGeom prst="rect">
                            <a:avLst/>
                          </a:prstGeom>
                        </pic:spPr>
                      </pic:pic>
                    </a:graphicData>
                  </a:graphic>
                </wp:inline>
              </w:drawing>
            </w:r>
          </w:p>
          <w:p w14:paraId="4E922194">
            <w:pPr>
              <w:adjustRightInd w:val="0"/>
              <w:snapToGrid w:val="0"/>
              <w:spacing w:line="360" w:lineRule="auto"/>
              <w:ind w:firstLine="420" w:firstLineChars="200"/>
              <w:jc w:val="left"/>
            </w:pPr>
            <w:r>
              <w:rPr>
                <w:rFonts w:hint="eastAsia"/>
              </w:rPr>
              <w:t>然后计算出所有室内声源在围护结构处产生的i倍频带叠加声压级：</w:t>
            </w:r>
          </w:p>
          <w:p w14:paraId="571F0D86">
            <w:pPr>
              <w:adjustRightInd w:val="0"/>
              <w:snapToGrid w:val="0"/>
              <w:spacing w:line="360" w:lineRule="auto"/>
              <w:ind w:firstLine="420" w:firstLineChars="200"/>
              <w:jc w:val="center"/>
            </w:pPr>
            <w:r>
              <w:drawing>
                <wp:inline distT="0" distB="0" distL="0" distR="0">
                  <wp:extent cx="1708150" cy="478790"/>
                  <wp:effectExtent l="0" t="0" r="6350" b="0"/>
                  <wp:docPr id="1774247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4757" name="图片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0466" cy="490804"/>
                          </a:xfrm>
                          <a:prstGeom prst="rect">
                            <a:avLst/>
                          </a:prstGeom>
                        </pic:spPr>
                      </pic:pic>
                    </a:graphicData>
                  </a:graphic>
                </wp:inline>
              </w:drawing>
            </w:r>
          </w:p>
          <w:p w14:paraId="5D56A798">
            <w:pPr>
              <w:adjustRightInd w:val="0"/>
              <w:snapToGrid w:val="0"/>
              <w:spacing w:line="360" w:lineRule="auto"/>
              <w:ind w:firstLine="420" w:firstLineChars="200"/>
              <w:jc w:val="left"/>
            </w:pPr>
            <w:r>
              <w:rPr>
                <w:rFonts w:hint="eastAsia"/>
              </w:rPr>
              <w:t>在室内近似为扩散声场时，按下式计算出靠近室外围护结构处的声压级：</w:t>
            </w:r>
          </w:p>
          <w:p w14:paraId="60684ADB">
            <w:pPr>
              <w:adjustRightInd w:val="0"/>
              <w:snapToGrid w:val="0"/>
              <w:spacing w:line="360" w:lineRule="auto"/>
              <w:ind w:firstLine="420" w:firstLineChars="200"/>
              <w:jc w:val="center"/>
            </w:pPr>
            <w:r>
              <w:drawing>
                <wp:inline distT="0" distB="0" distL="0" distR="0">
                  <wp:extent cx="1739900" cy="244475"/>
                  <wp:effectExtent l="0" t="0" r="0" b="3175"/>
                  <wp:docPr id="8934525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52519" name="图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0613" cy="256265"/>
                          </a:xfrm>
                          <a:prstGeom prst="rect">
                            <a:avLst/>
                          </a:prstGeom>
                        </pic:spPr>
                      </pic:pic>
                    </a:graphicData>
                  </a:graphic>
                </wp:inline>
              </w:drawing>
            </w:r>
          </w:p>
          <w:p w14:paraId="1C0CAF31">
            <w:pPr>
              <w:adjustRightInd w:val="0"/>
              <w:snapToGrid w:val="0"/>
              <w:spacing w:line="360" w:lineRule="auto"/>
              <w:ind w:firstLine="420" w:firstLineChars="200"/>
              <w:jc w:val="left"/>
            </w:pPr>
            <w:r>
              <w:rPr>
                <w:rFonts w:hint="eastAsia"/>
              </w:rPr>
              <w:t>将室外声源的声压级和透过面积换算成等效的室外声源，计算出中心位置位于透声面积处的等效声源的倍频带声功率级：</w:t>
            </w:r>
          </w:p>
          <w:p w14:paraId="2DA9B967">
            <w:pPr>
              <w:adjustRightInd w:val="0"/>
              <w:snapToGrid w:val="0"/>
              <w:spacing w:line="360" w:lineRule="auto"/>
              <w:ind w:firstLine="420" w:firstLineChars="200"/>
              <w:jc w:val="center"/>
            </w:pPr>
            <w:r>
              <w:drawing>
                <wp:inline distT="0" distB="0" distL="0" distR="0">
                  <wp:extent cx="1441450" cy="221615"/>
                  <wp:effectExtent l="0" t="0" r="6350" b="6985"/>
                  <wp:docPr id="271473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73422" name="图片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5211" cy="242341"/>
                          </a:xfrm>
                          <a:prstGeom prst="rect">
                            <a:avLst/>
                          </a:prstGeom>
                        </pic:spPr>
                      </pic:pic>
                    </a:graphicData>
                  </a:graphic>
                </wp:inline>
              </w:drawing>
            </w:r>
          </w:p>
          <w:p w14:paraId="633A6CA6">
            <w:pPr>
              <w:adjustRightInd w:val="0"/>
              <w:snapToGrid w:val="0"/>
              <w:spacing w:line="360" w:lineRule="auto"/>
              <w:ind w:firstLine="420" w:firstLineChars="200"/>
              <w:jc w:val="left"/>
            </w:pPr>
            <w:r>
              <w:rPr>
                <w:rFonts w:hint="eastAsia"/>
              </w:rPr>
              <w:t>然后按室外声源预测方法计算预测点处的A声级。</w:t>
            </w:r>
          </w:p>
          <w:p w14:paraId="5366FA0A">
            <w:pPr>
              <w:adjustRightInd w:val="0"/>
              <w:snapToGrid w:val="0"/>
              <w:spacing w:line="360" w:lineRule="auto"/>
              <w:ind w:firstLine="420" w:firstLineChars="200"/>
              <w:jc w:val="left"/>
            </w:pPr>
            <w:r>
              <w:rPr>
                <w:rFonts w:hint="eastAsia"/>
              </w:rPr>
              <w:t>③噪声贡献值计算</w:t>
            </w:r>
          </w:p>
          <w:p w14:paraId="30933464">
            <w:pPr>
              <w:adjustRightInd w:val="0"/>
              <w:snapToGrid w:val="0"/>
              <w:spacing w:line="360" w:lineRule="auto"/>
              <w:ind w:firstLine="420" w:firstLineChars="200"/>
              <w:jc w:val="left"/>
            </w:pPr>
            <w:r>
              <w:rPr>
                <w:rFonts w:hint="eastAsia"/>
              </w:rPr>
              <w:t>设第i个室外声源在预测点产生的A声级为LAi，在T时间内该声源工作时间为ti；第j个等效室外声源在预测点产生的A声级为LAj，在T时间内该声源工作时间为tj，则拟建工程声源对预测点产生的贡献值为：</w:t>
            </w:r>
          </w:p>
          <w:p w14:paraId="1A4DA33E">
            <w:pPr>
              <w:adjustRightInd w:val="0"/>
              <w:snapToGrid w:val="0"/>
              <w:spacing w:line="360" w:lineRule="auto"/>
              <w:ind w:firstLine="420" w:firstLineChars="200"/>
              <w:jc w:val="center"/>
            </w:pPr>
            <w:r>
              <w:drawing>
                <wp:inline distT="0" distB="0" distL="0" distR="0">
                  <wp:extent cx="2995930" cy="527050"/>
                  <wp:effectExtent l="0" t="0" r="0" b="6350"/>
                  <wp:docPr id="1259852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5251" name="图片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9939" cy="541818"/>
                          </a:xfrm>
                          <a:prstGeom prst="rect">
                            <a:avLst/>
                          </a:prstGeom>
                        </pic:spPr>
                      </pic:pic>
                    </a:graphicData>
                  </a:graphic>
                </wp:inline>
              </w:drawing>
            </w:r>
          </w:p>
          <w:p w14:paraId="2F7C3CDE">
            <w:pPr>
              <w:adjustRightInd w:val="0"/>
              <w:snapToGrid w:val="0"/>
              <w:spacing w:line="360" w:lineRule="auto"/>
              <w:ind w:firstLine="420" w:firstLineChars="200"/>
              <w:jc w:val="left"/>
            </w:pPr>
            <w:r>
              <w:rPr>
                <w:rFonts w:hint="eastAsia"/>
              </w:rPr>
              <w:t>④预测值计算</w:t>
            </w:r>
          </w:p>
          <w:p w14:paraId="4C37E518">
            <w:pPr>
              <w:adjustRightInd w:val="0"/>
              <w:snapToGrid w:val="0"/>
              <w:spacing w:line="360" w:lineRule="auto"/>
              <w:ind w:firstLine="420" w:firstLineChars="200"/>
              <w:jc w:val="left"/>
            </w:pPr>
            <w:r>
              <w:rPr>
                <w:rFonts w:hint="eastAsia"/>
              </w:rPr>
              <w:t>测点的预测等效声级为：</w:t>
            </w:r>
          </w:p>
          <w:p w14:paraId="175C9865">
            <w:pPr>
              <w:adjustRightInd w:val="0"/>
              <w:snapToGrid w:val="0"/>
              <w:spacing w:line="360" w:lineRule="auto"/>
              <w:ind w:firstLine="420" w:firstLineChars="200"/>
              <w:jc w:val="center"/>
            </w:pPr>
            <w:r>
              <w:drawing>
                <wp:inline distT="0" distB="0" distL="0" distR="0">
                  <wp:extent cx="1828800" cy="296545"/>
                  <wp:effectExtent l="0" t="0" r="0" b="8255"/>
                  <wp:docPr id="163214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42306"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0099" cy="316381"/>
                          </a:xfrm>
                          <a:prstGeom prst="rect">
                            <a:avLst/>
                          </a:prstGeom>
                        </pic:spPr>
                      </pic:pic>
                    </a:graphicData>
                  </a:graphic>
                </wp:inline>
              </w:drawing>
            </w:r>
          </w:p>
          <w:p w14:paraId="564F29E4">
            <w:pPr>
              <w:adjustRightInd w:val="0"/>
              <w:snapToGrid w:val="0"/>
              <w:spacing w:line="360" w:lineRule="auto"/>
              <w:ind w:firstLine="420" w:firstLineChars="200"/>
              <w:jc w:val="left"/>
            </w:pPr>
            <w:r>
              <w:rPr>
                <w:rFonts w:hint="eastAsia"/>
              </w:rPr>
              <w:t>A．预测模型</w:t>
            </w:r>
          </w:p>
          <w:p w14:paraId="3606E971">
            <w:pPr>
              <w:adjustRightInd w:val="0"/>
              <w:snapToGrid w:val="0"/>
              <w:spacing w:line="360" w:lineRule="auto"/>
              <w:ind w:firstLine="420" w:firstLineChars="200"/>
              <w:jc w:val="center"/>
            </w:pPr>
            <w:r>
              <w:drawing>
                <wp:inline distT="0" distB="0" distL="0" distR="0">
                  <wp:extent cx="2246630" cy="209550"/>
                  <wp:effectExtent l="0" t="0" r="1270" b="0"/>
                  <wp:docPr id="436898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98211" name="图片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7888" cy="224591"/>
                          </a:xfrm>
                          <a:prstGeom prst="rect">
                            <a:avLst/>
                          </a:prstGeom>
                        </pic:spPr>
                      </pic:pic>
                    </a:graphicData>
                  </a:graphic>
                </wp:inline>
              </w:drawing>
            </w:r>
          </w:p>
          <w:p w14:paraId="4236772E">
            <w:pPr>
              <w:adjustRightInd w:val="0"/>
              <w:snapToGrid w:val="0"/>
              <w:spacing w:line="360" w:lineRule="auto"/>
              <w:ind w:firstLine="420" w:firstLineChars="200"/>
              <w:jc w:val="left"/>
            </w:pPr>
            <w:r>
              <w:rPr>
                <w:rFonts w:hint="eastAsia"/>
              </w:rPr>
              <w:t>式中：L</w:t>
            </w:r>
            <w:r>
              <w:rPr>
                <w:rFonts w:hint="eastAsia"/>
                <w:vertAlign w:val="subscript"/>
              </w:rPr>
              <w:t>1</w:t>
            </w:r>
            <w:r>
              <w:rPr>
                <w:rFonts w:hint="eastAsia"/>
              </w:rPr>
              <w:t>、L</w:t>
            </w:r>
            <w:r>
              <w:rPr>
                <w:rFonts w:hint="eastAsia"/>
                <w:vertAlign w:val="subscript"/>
              </w:rPr>
              <w:t>2</w:t>
            </w:r>
            <w:r>
              <w:rPr>
                <w:rFonts w:hint="eastAsia"/>
              </w:rPr>
              <w:t>分别为距声源r</w:t>
            </w:r>
            <w:r>
              <w:rPr>
                <w:rFonts w:hint="eastAsia"/>
                <w:vertAlign w:val="subscript"/>
              </w:rPr>
              <w:t>1</w:t>
            </w:r>
            <w:r>
              <w:rPr>
                <w:rFonts w:hint="eastAsia"/>
              </w:rPr>
              <w:t>、r</w:t>
            </w:r>
            <w:r>
              <w:rPr>
                <w:rFonts w:hint="eastAsia"/>
                <w:vertAlign w:val="subscript"/>
              </w:rPr>
              <w:t>2</w:t>
            </w:r>
            <w:r>
              <w:rPr>
                <w:rFonts w:hint="eastAsia"/>
              </w:rPr>
              <w:t>处的等效A声级[dB（A）]；</w:t>
            </w:r>
          </w:p>
          <w:p w14:paraId="3E870577">
            <w:pPr>
              <w:adjustRightInd w:val="0"/>
              <w:snapToGrid w:val="0"/>
              <w:spacing w:line="360" w:lineRule="auto"/>
              <w:ind w:firstLine="1050" w:firstLineChars="500"/>
              <w:jc w:val="left"/>
            </w:pPr>
            <w:r>
              <w:rPr>
                <w:rFonts w:hint="eastAsia"/>
              </w:rPr>
              <w:t>r</w:t>
            </w:r>
            <w:r>
              <w:rPr>
                <w:rFonts w:hint="eastAsia"/>
                <w:vertAlign w:val="subscript"/>
              </w:rPr>
              <w:t>1</w:t>
            </w:r>
            <w:r>
              <w:rPr>
                <w:rFonts w:hint="eastAsia"/>
              </w:rPr>
              <w:t>、r</w:t>
            </w:r>
            <w:r>
              <w:rPr>
                <w:rFonts w:hint="eastAsia"/>
                <w:vertAlign w:val="subscript"/>
              </w:rPr>
              <w:t>2</w:t>
            </w:r>
            <w:r>
              <w:rPr>
                <w:rFonts w:hint="eastAsia"/>
              </w:rPr>
              <w:t>为接受点距声源的距离（m）。</w:t>
            </w:r>
          </w:p>
          <w:p w14:paraId="5CE97355">
            <w:pPr>
              <w:adjustRightInd w:val="0"/>
              <w:snapToGrid w:val="0"/>
              <w:spacing w:line="360" w:lineRule="auto"/>
              <w:ind w:firstLine="420" w:firstLineChars="200"/>
              <w:jc w:val="left"/>
            </w:pPr>
            <w:r>
              <w:rPr>
                <w:rFonts w:hint="eastAsia"/>
              </w:rPr>
              <w:t>B．预测结果</w:t>
            </w:r>
          </w:p>
          <w:p w14:paraId="02FA5A33">
            <w:pPr>
              <w:adjustRightInd w:val="0"/>
              <w:snapToGrid w:val="0"/>
              <w:spacing w:line="360" w:lineRule="auto"/>
              <w:ind w:firstLine="420" w:firstLineChars="200"/>
              <w:jc w:val="left"/>
            </w:pPr>
            <w:r>
              <w:rPr>
                <w:rFonts w:hint="eastAsia"/>
              </w:rPr>
              <w:t>根据厂区设备布局情况，对各个作业区域噪声因距离衰减后的贡献值进行分析。</w:t>
            </w:r>
          </w:p>
          <w:p w14:paraId="59631398">
            <w:pPr>
              <w:adjustRightInd w:val="0"/>
              <w:snapToGrid w:val="0"/>
              <w:spacing w:line="360" w:lineRule="auto"/>
              <w:ind w:firstLine="420" w:firstLineChars="200"/>
              <w:jc w:val="left"/>
            </w:pPr>
            <w:r>
              <w:rPr>
                <w:rFonts w:hint="eastAsia"/>
              </w:rPr>
              <w:t>（2）预测参数</w:t>
            </w:r>
          </w:p>
          <w:p w14:paraId="48F3897C">
            <w:pPr>
              <w:adjustRightInd w:val="0"/>
              <w:snapToGrid w:val="0"/>
              <w:spacing w:line="360" w:lineRule="auto"/>
              <w:ind w:firstLine="420" w:firstLineChars="200"/>
              <w:jc w:val="left"/>
            </w:pPr>
            <w:r>
              <w:rPr>
                <w:rFonts w:hint="eastAsia"/>
              </w:rPr>
              <w:t>经对现有资料整理分析，拟选用如下参数和条件进行计算：</w:t>
            </w:r>
          </w:p>
          <w:p w14:paraId="41EE2DAB">
            <w:pPr>
              <w:adjustRightInd w:val="0"/>
              <w:snapToGrid w:val="0"/>
              <w:spacing w:line="360" w:lineRule="auto"/>
              <w:ind w:firstLine="420" w:firstLineChars="200"/>
              <w:jc w:val="left"/>
            </w:pPr>
            <w:r>
              <w:rPr>
                <w:rFonts w:hint="eastAsia"/>
              </w:rPr>
              <w:t>①一般属性</w:t>
            </w:r>
          </w:p>
          <w:p w14:paraId="695AC7DE">
            <w:pPr>
              <w:adjustRightInd w:val="0"/>
              <w:snapToGrid w:val="0"/>
              <w:spacing w:line="360" w:lineRule="auto"/>
              <w:ind w:firstLine="420" w:firstLineChars="200"/>
              <w:jc w:val="left"/>
            </w:pPr>
            <w:r>
              <w:rPr>
                <w:rFonts w:hint="eastAsia"/>
              </w:rPr>
              <w:t>声源离地面高度为 0，室内点源位置为地面，声源所在房间内壁的吸声系数 0.01。</w:t>
            </w:r>
          </w:p>
          <w:p w14:paraId="5AB28C2E">
            <w:pPr>
              <w:adjustRightInd w:val="0"/>
              <w:snapToGrid w:val="0"/>
              <w:spacing w:line="360" w:lineRule="auto"/>
              <w:ind w:firstLine="420" w:firstLineChars="200"/>
              <w:jc w:val="left"/>
            </w:pPr>
            <w:r>
              <w:rPr>
                <w:rFonts w:hint="eastAsia"/>
              </w:rPr>
              <w:t>②发声特性</w:t>
            </w:r>
          </w:p>
          <w:p w14:paraId="0EB89635">
            <w:pPr>
              <w:adjustRightInd w:val="0"/>
              <w:snapToGrid w:val="0"/>
              <w:spacing w:line="360" w:lineRule="auto"/>
              <w:ind w:firstLine="420" w:firstLineChars="200"/>
              <w:jc w:val="left"/>
            </w:pPr>
            <w:r>
              <w:rPr>
                <w:rFonts w:hint="eastAsia"/>
              </w:rPr>
              <w:t>稳态发声，不分频。厂房的隔声量由墙、门、窗等综合而成，一般在10~25dB；消声百叶窗的隔声量约10dB，框架结构楼层隔声量取20~30dB。</w:t>
            </w:r>
          </w:p>
          <w:p w14:paraId="5A672C65">
            <w:pPr>
              <w:adjustRightInd w:val="0"/>
              <w:snapToGrid w:val="0"/>
              <w:spacing w:line="360" w:lineRule="auto"/>
              <w:ind w:firstLine="420" w:firstLineChars="200"/>
              <w:jc w:val="left"/>
            </w:pPr>
            <w:r>
              <w:rPr>
                <w:rFonts w:hint="eastAsia"/>
              </w:rPr>
              <w:t>室内声源：生产设备均放置于生产区域内，钢混、砖混结构厂房，门窗密闭，综合隔声量可达20dB以上；</w:t>
            </w:r>
          </w:p>
          <w:p w14:paraId="431F00EC">
            <w:pPr>
              <w:adjustRightInd w:val="0"/>
              <w:snapToGrid w:val="0"/>
              <w:spacing w:line="360" w:lineRule="auto"/>
              <w:ind w:firstLine="420" w:firstLineChars="200"/>
              <w:jc w:val="left"/>
            </w:pPr>
            <w:r>
              <w:rPr>
                <w:rFonts w:hint="eastAsia"/>
              </w:rPr>
              <w:t>室外声源：排风风机位于屋顶平台，风机安装隔声房，风机底部安装减振器，进出风口安装消音器，降噪量可达20dB。</w:t>
            </w:r>
          </w:p>
          <w:p w14:paraId="17733C99">
            <w:pPr>
              <w:adjustRightInd w:val="0"/>
              <w:snapToGrid w:val="0"/>
              <w:spacing w:line="360" w:lineRule="auto"/>
              <w:ind w:firstLine="420" w:firstLineChars="200"/>
              <w:jc w:val="left"/>
            </w:pPr>
            <w:r>
              <w:rPr>
                <w:rFonts w:hint="eastAsia"/>
              </w:rPr>
              <w:t>本项目仅在昼间生产，项目噪声源对厂界噪声的影响预测见下表所示。</w:t>
            </w:r>
          </w:p>
          <w:p w14:paraId="3AE86B69">
            <w:pPr>
              <w:adjustRightInd w:val="0"/>
              <w:snapToGrid w:val="0"/>
              <w:spacing w:line="360" w:lineRule="auto"/>
              <w:ind w:firstLine="420" w:firstLineChars="200"/>
              <w:jc w:val="left"/>
            </w:pPr>
            <w:r>
              <w:rPr>
                <w:rFonts w:hint="eastAsia"/>
              </w:rPr>
              <w:t>（3）预测结果</w:t>
            </w:r>
          </w:p>
          <w:p w14:paraId="016D6CF8">
            <w:pPr>
              <w:autoSpaceDE w:val="0"/>
              <w:autoSpaceDN w:val="0"/>
              <w:adjustRightInd w:val="0"/>
              <w:snapToGrid w:val="0"/>
              <w:jc w:val="center"/>
              <w:rPr>
                <w:b/>
              </w:rPr>
            </w:pPr>
            <w:r>
              <w:rPr>
                <w:rFonts w:hint="eastAsia"/>
                <w:b/>
              </w:rPr>
              <w:t>表4-21</w:t>
            </w:r>
            <w:r>
              <w:rPr>
                <w:b/>
              </w:rPr>
              <w:t xml:space="preserve">  </w:t>
            </w:r>
            <w:r>
              <w:rPr>
                <w:rFonts w:hint="eastAsia"/>
                <w:b/>
              </w:rPr>
              <w:t>厂界噪声预测结果分析表    （单位：dB（A））</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829"/>
              <w:gridCol w:w="713"/>
              <w:gridCol w:w="829"/>
              <w:gridCol w:w="713"/>
              <w:gridCol w:w="831"/>
              <w:gridCol w:w="713"/>
              <w:gridCol w:w="827"/>
              <w:gridCol w:w="660"/>
              <w:gridCol w:w="744"/>
              <w:gridCol w:w="744"/>
            </w:tblGrid>
            <w:tr w14:paraId="5C6BD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2" w:type="pct"/>
                  <w:vMerge w:val="restart"/>
                  <w:tcBorders>
                    <w:top w:val="single" w:color="auto" w:sz="12" w:space="0"/>
                    <w:bottom w:val="single" w:color="auto" w:sz="12" w:space="0"/>
                    <w:insideH w:val="single" w:sz="12" w:space="0"/>
                  </w:tcBorders>
                  <w:shd w:val="clear" w:color="auto" w:fill="auto"/>
                  <w:vAlign w:val="center"/>
                </w:tcPr>
                <w:p w14:paraId="5DFA270E">
                  <w:pPr>
                    <w:autoSpaceDE w:val="0"/>
                    <w:autoSpaceDN w:val="0"/>
                    <w:adjustRightInd w:val="0"/>
                    <w:snapToGrid w:val="0"/>
                    <w:jc w:val="center"/>
                    <w:rPr>
                      <w:b/>
                      <w:sz w:val="15"/>
                      <w:szCs w:val="15"/>
                    </w:rPr>
                  </w:pPr>
                  <w:r>
                    <w:rPr>
                      <w:rFonts w:hint="eastAsia"/>
                      <w:b/>
                      <w:sz w:val="15"/>
                      <w:szCs w:val="15"/>
                    </w:rPr>
                    <w:t>项目</w:t>
                  </w:r>
                </w:p>
              </w:tc>
              <w:tc>
                <w:tcPr>
                  <w:tcW w:w="904" w:type="pct"/>
                  <w:gridSpan w:val="2"/>
                  <w:tcBorders>
                    <w:top w:val="single" w:color="auto" w:sz="12" w:space="0"/>
                    <w:bottom w:val="single" w:color="auto" w:sz="12" w:space="0"/>
                    <w:insideH w:val="single" w:sz="12" w:space="0"/>
                  </w:tcBorders>
                  <w:shd w:val="clear" w:color="auto" w:fill="auto"/>
                  <w:vAlign w:val="center"/>
                </w:tcPr>
                <w:p w14:paraId="60B9306F">
                  <w:pPr>
                    <w:autoSpaceDE w:val="0"/>
                    <w:autoSpaceDN w:val="0"/>
                    <w:adjustRightInd w:val="0"/>
                    <w:snapToGrid w:val="0"/>
                    <w:jc w:val="center"/>
                    <w:rPr>
                      <w:b/>
                      <w:sz w:val="15"/>
                      <w:szCs w:val="15"/>
                    </w:rPr>
                  </w:pPr>
                  <w:r>
                    <w:rPr>
                      <w:rFonts w:hint="eastAsia"/>
                      <w:b/>
                      <w:sz w:val="15"/>
                      <w:szCs w:val="15"/>
                    </w:rPr>
                    <w:t>东厂界</w:t>
                  </w:r>
                </w:p>
              </w:tc>
              <w:tc>
                <w:tcPr>
                  <w:tcW w:w="904" w:type="pct"/>
                  <w:gridSpan w:val="2"/>
                  <w:tcBorders>
                    <w:top w:val="single" w:color="auto" w:sz="12" w:space="0"/>
                    <w:bottom w:val="single" w:color="auto" w:sz="12" w:space="0"/>
                    <w:insideH w:val="single" w:sz="12" w:space="0"/>
                  </w:tcBorders>
                  <w:shd w:val="clear" w:color="auto" w:fill="auto"/>
                  <w:vAlign w:val="center"/>
                </w:tcPr>
                <w:p w14:paraId="3B83EA4A">
                  <w:pPr>
                    <w:autoSpaceDE w:val="0"/>
                    <w:autoSpaceDN w:val="0"/>
                    <w:adjustRightInd w:val="0"/>
                    <w:snapToGrid w:val="0"/>
                    <w:jc w:val="center"/>
                    <w:rPr>
                      <w:b/>
                      <w:sz w:val="15"/>
                      <w:szCs w:val="15"/>
                    </w:rPr>
                  </w:pPr>
                  <w:r>
                    <w:rPr>
                      <w:rFonts w:hint="eastAsia"/>
                      <w:b/>
                      <w:sz w:val="15"/>
                      <w:szCs w:val="15"/>
                    </w:rPr>
                    <w:t>南厂界</w:t>
                  </w:r>
                </w:p>
              </w:tc>
              <w:tc>
                <w:tcPr>
                  <w:tcW w:w="905" w:type="pct"/>
                  <w:gridSpan w:val="2"/>
                  <w:tcBorders>
                    <w:top w:val="single" w:color="auto" w:sz="12" w:space="0"/>
                    <w:bottom w:val="single" w:color="auto" w:sz="12" w:space="0"/>
                    <w:insideH w:val="single" w:sz="12" w:space="0"/>
                  </w:tcBorders>
                  <w:shd w:val="clear" w:color="auto" w:fill="auto"/>
                  <w:vAlign w:val="center"/>
                </w:tcPr>
                <w:p w14:paraId="4EBFFC2A">
                  <w:pPr>
                    <w:autoSpaceDE w:val="0"/>
                    <w:autoSpaceDN w:val="0"/>
                    <w:adjustRightInd w:val="0"/>
                    <w:snapToGrid w:val="0"/>
                    <w:jc w:val="center"/>
                    <w:rPr>
                      <w:b/>
                      <w:sz w:val="15"/>
                      <w:szCs w:val="15"/>
                    </w:rPr>
                  </w:pPr>
                  <w:r>
                    <w:rPr>
                      <w:rFonts w:hint="eastAsia"/>
                      <w:b/>
                      <w:sz w:val="15"/>
                      <w:szCs w:val="15"/>
                    </w:rPr>
                    <w:t>西厂界</w:t>
                  </w:r>
                </w:p>
              </w:tc>
              <w:tc>
                <w:tcPr>
                  <w:tcW w:w="872" w:type="pct"/>
                  <w:gridSpan w:val="2"/>
                  <w:tcBorders>
                    <w:top w:val="single" w:color="auto" w:sz="12" w:space="0"/>
                    <w:bottom w:val="single" w:color="auto" w:sz="12" w:space="0"/>
                    <w:insideH w:val="single" w:sz="12" w:space="0"/>
                  </w:tcBorders>
                  <w:shd w:val="clear" w:color="auto" w:fill="auto"/>
                  <w:vAlign w:val="center"/>
                </w:tcPr>
                <w:p w14:paraId="3639A496">
                  <w:pPr>
                    <w:autoSpaceDE w:val="0"/>
                    <w:autoSpaceDN w:val="0"/>
                    <w:adjustRightInd w:val="0"/>
                    <w:snapToGrid w:val="0"/>
                    <w:jc w:val="center"/>
                    <w:rPr>
                      <w:b/>
                      <w:sz w:val="15"/>
                      <w:szCs w:val="15"/>
                    </w:rPr>
                  </w:pPr>
                  <w:r>
                    <w:rPr>
                      <w:rFonts w:hint="eastAsia"/>
                      <w:b/>
                      <w:sz w:val="15"/>
                      <w:szCs w:val="15"/>
                    </w:rPr>
                    <w:t>北厂界</w:t>
                  </w:r>
                </w:p>
              </w:tc>
              <w:tc>
                <w:tcPr>
                  <w:tcW w:w="872" w:type="pct"/>
                  <w:gridSpan w:val="2"/>
                  <w:tcBorders>
                    <w:top w:val="single" w:color="auto" w:sz="12" w:space="0"/>
                    <w:bottom w:val="single" w:color="auto" w:sz="12" w:space="0"/>
                    <w:insideH w:val="single" w:sz="12" w:space="0"/>
                  </w:tcBorders>
                  <w:shd w:val="clear" w:color="auto" w:fill="auto"/>
                  <w:vAlign w:val="center"/>
                </w:tcPr>
                <w:p w14:paraId="4F939EF8">
                  <w:pPr>
                    <w:autoSpaceDE w:val="0"/>
                    <w:autoSpaceDN w:val="0"/>
                    <w:adjustRightInd w:val="0"/>
                    <w:snapToGrid w:val="0"/>
                    <w:jc w:val="center"/>
                    <w:rPr>
                      <w:rFonts w:hint="eastAsia"/>
                      <w:b/>
                      <w:sz w:val="15"/>
                      <w:szCs w:val="15"/>
                    </w:rPr>
                  </w:pPr>
                  <w:r>
                    <w:rPr>
                      <w:rFonts w:hint="eastAsia"/>
                      <w:b/>
                      <w:sz w:val="15"/>
                      <w:szCs w:val="15"/>
                    </w:rPr>
                    <w:t>达标情况</w:t>
                  </w:r>
                </w:p>
              </w:tc>
            </w:tr>
            <w:tr w14:paraId="184AE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2" w:type="pct"/>
                  <w:vMerge w:val="continue"/>
                  <w:shd w:val="clear" w:color="auto" w:fill="auto"/>
                  <w:vAlign w:val="center"/>
                </w:tcPr>
                <w:p w14:paraId="2F97FAC3">
                  <w:pPr>
                    <w:autoSpaceDE w:val="0"/>
                    <w:autoSpaceDN w:val="0"/>
                    <w:adjustRightInd w:val="0"/>
                    <w:snapToGrid w:val="0"/>
                    <w:jc w:val="center"/>
                    <w:rPr>
                      <w:b/>
                      <w:sz w:val="15"/>
                      <w:szCs w:val="15"/>
                    </w:rPr>
                  </w:pPr>
                </w:p>
              </w:tc>
              <w:tc>
                <w:tcPr>
                  <w:tcW w:w="486" w:type="pct"/>
                  <w:shd w:val="clear" w:color="auto" w:fill="auto"/>
                  <w:vAlign w:val="center"/>
                </w:tcPr>
                <w:p w14:paraId="747BE739">
                  <w:pPr>
                    <w:autoSpaceDE w:val="0"/>
                    <w:autoSpaceDN w:val="0"/>
                    <w:adjustRightInd w:val="0"/>
                    <w:snapToGrid w:val="0"/>
                    <w:jc w:val="center"/>
                    <w:rPr>
                      <w:b/>
                      <w:sz w:val="15"/>
                      <w:szCs w:val="15"/>
                    </w:rPr>
                  </w:pPr>
                  <w:r>
                    <w:rPr>
                      <w:rFonts w:hint="eastAsia"/>
                      <w:b/>
                      <w:sz w:val="15"/>
                      <w:szCs w:val="15"/>
                    </w:rPr>
                    <w:t>距离</w:t>
                  </w:r>
                  <w:r>
                    <w:rPr>
                      <w:b/>
                      <w:sz w:val="15"/>
                      <w:szCs w:val="15"/>
                    </w:rPr>
                    <w:t>（m）</w:t>
                  </w:r>
                </w:p>
              </w:tc>
              <w:tc>
                <w:tcPr>
                  <w:tcW w:w="418" w:type="pct"/>
                  <w:shd w:val="clear" w:color="auto" w:fill="auto"/>
                  <w:vAlign w:val="center"/>
                </w:tcPr>
                <w:p w14:paraId="5062747C">
                  <w:pPr>
                    <w:autoSpaceDE w:val="0"/>
                    <w:autoSpaceDN w:val="0"/>
                    <w:adjustRightInd w:val="0"/>
                    <w:snapToGrid w:val="0"/>
                    <w:jc w:val="center"/>
                    <w:rPr>
                      <w:b/>
                      <w:sz w:val="15"/>
                      <w:szCs w:val="15"/>
                    </w:rPr>
                  </w:pPr>
                  <w:r>
                    <w:rPr>
                      <w:rFonts w:hint="eastAsia"/>
                      <w:b/>
                      <w:sz w:val="15"/>
                      <w:szCs w:val="15"/>
                    </w:rPr>
                    <w:t>贡献值</w:t>
                  </w:r>
                </w:p>
              </w:tc>
              <w:tc>
                <w:tcPr>
                  <w:tcW w:w="486" w:type="pct"/>
                  <w:shd w:val="clear" w:color="auto" w:fill="auto"/>
                  <w:vAlign w:val="center"/>
                </w:tcPr>
                <w:p w14:paraId="6C1B9FC5">
                  <w:pPr>
                    <w:autoSpaceDE w:val="0"/>
                    <w:autoSpaceDN w:val="0"/>
                    <w:adjustRightInd w:val="0"/>
                    <w:snapToGrid w:val="0"/>
                    <w:jc w:val="center"/>
                    <w:rPr>
                      <w:b/>
                      <w:sz w:val="15"/>
                      <w:szCs w:val="15"/>
                    </w:rPr>
                  </w:pPr>
                  <w:r>
                    <w:rPr>
                      <w:rFonts w:hint="eastAsia"/>
                      <w:b/>
                      <w:sz w:val="15"/>
                      <w:szCs w:val="15"/>
                    </w:rPr>
                    <w:t>距离</w:t>
                  </w:r>
                  <w:r>
                    <w:rPr>
                      <w:b/>
                      <w:sz w:val="15"/>
                      <w:szCs w:val="15"/>
                    </w:rPr>
                    <w:t>（m）</w:t>
                  </w:r>
                </w:p>
              </w:tc>
              <w:tc>
                <w:tcPr>
                  <w:tcW w:w="418" w:type="pct"/>
                  <w:shd w:val="clear" w:color="auto" w:fill="auto"/>
                  <w:vAlign w:val="center"/>
                </w:tcPr>
                <w:p w14:paraId="7ACD49E4">
                  <w:pPr>
                    <w:autoSpaceDE w:val="0"/>
                    <w:autoSpaceDN w:val="0"/>
                    <w:adjustRightInd w:val="0"/>
                    <w:snapToGrid w:val="0"/>
                    <w:jc w:val="center"/>
                    <w:rPr>
                      <w:b/>
                      <w:sz w:val="15"/>
                      <w:szCs w:val="15"/>
                    </w:rPr>
                  </w:pPr>
                  <w:r>
                    <w:rPr>
                      <w:rFonts w:hint="eastAsia"/>
                      <w:b/>
                      <w:sz w:val="15"/>
                      <w:szCs w:val="15"/>
                    </w:rPr>
                    <w:t>贡献值</w:t>
                  </w:r>
                </w:p>
              </w:tc>
              <w:tc>
                <w:tcPr>
                  <w:tcW w:w="487" w:type="pct"/>
                  <w:shd w:val="clear" w:color="auto" w:fill="auto"/>
                  <w:vAlign w:val="center"/>
                </w:tcPr>
                <w:p w14:paraId="30989D73">
                  <w:pPr>
                    <w:autoSpaceDE w:val="0"/>
                    <w:autoSpaceDN w:val="0"/>
                    <w:adjustRightInd w:val="0"/>
                    <w:snapToGrid w:val="0"/>
                    <w:jc w:val="center"/>
                    <w:rPr>
                      <w:b/>
                      <w:sz w:val="15"/>
                      <w:szCs w:val="15"/>
                    </w:rPr>
                  </w:pPr>
                  <w:r>
                    <w:rPr>
                      <w:rFonts w:hint="eastAsia"/>
                      <w:b/>
                      <w:sz w:val="15"/>
                      <w:szCs w:val="15"/>
                    </w:rPr>
                    <w:t>距离</w:t>
                  </w:r>
                  <w:r>
                    <w:rPr>
                      <w:b/>
                      <w:sz w:val="15"/>
                      <w:szCs w:val="15"/>
                    </w:rPr>
                    <w:t>（m）</w:t>
                  </w:r>
                </w:p>
              </w:tc>
              <w:tc>
                <w:tcPr>
                  <w:tcW w:w="418" w:type="pct"/>
                  <w:shd w:val="clear" w:color="auto" w:fill="auto"/>
                  <w:vAlign w:val="center"/>
                </w:tcPr>
                <w:p w14:paraId="69DD14B9">
                  <w:pPr>
                    <w:autoSpaceDE w:val="0"/>
                    <w:autoSpaceDN w:val="0"/>
                    <w:adjustRightInd w:val="0"/>
                    <w:snapToGrid w:val="0"/>
                    <w:jc w:val="center"/>
                    <w:rPr>
                      <w:b/>
                      <w:sz w:val="15"/>
                      <w:szCs w:val="15"/>
                    </w:rPr>
                  </w:pPr>
                  <w:r>
                    <w:rPr>
                      <w:rFonts w:hint="eastAsia"/>
                      <w:b/>
                      <w:sz w:val="15"/>
                      <w:szCs w:val="15"/>
                    </w:rPr>
                    <w:t>贡献值</w:t>
                  </w:r>
                </w:p>
              </w:tc>
              <w:tc>
                <w:tcPr>
                  <w:tcW w:w="485" w:type="pct"/>
                  <w:shd w:val="clear" w:color="auto" w:fill="auto"/>
                  <w:vAlign w:val="center"/>
                </w:tcPr>
                <w:p w14:paraId="6170F624">
                  <w:pPr>
                    <w:autoSpaceDE w:val="0"/>
                    <w:autoSpaceDN w:val="0"/>
                    <w:adjustRightInd w:val="0"/>
                    <w:snapToGrid w:val="0"/>
                    <w:jc w:val="center"/>
                    <w:rPr>
                      <w:b/>
                      <w:sz w:val="15"/>
                      <w:szCs w:val="15"/>
                    </w:rPr>
                  </w:pPr>
                  <w:r>
                    <w:rPr>
                      <w:rFonts w:hint="eastAsia"/>
                      <w:b/>
                      <w:sz w:val="15"/>
                      <w:szCs w:val="15"/>
                    </w:rPr>
                    <w:t>距离</w:t>
                  </w:r>
                  <w:r>
                    <w:rPr>
                      <w:b/>
                      <w:sz w:val="15"/>
                      <w:szCs w:val="15"/>
                    </w:rPr>
                    <w:t>（m）</w:t>
                  </w:r>
                </w:p>
              </w:tc>
              <w:tc>
                <w:tcPr>
                  <w:tcW w:w="387" w:type="pct"/>
                  <w:shd w:val="clear" w:color="auto" w:fill="auto"/>
                  <w:vAlign w:val="center"/>
                </w:tcPr>
                <w:p w14:paraId="459FA35C">
                  <w:pPr>
                    <w:autoSpaceDE w:val="0"/>
                    <w:autoSpaceDN w:val="0"/>
                    <w:adjustRightInd w:val="0"/>
                    <w:snapToGrid w:val="0"/>
                    <w:jc w:val="center"/>
                    <w:rPr>
                      <w:b/>
                      <w:sz w:val="15"/>
                      <w:szCs w:val="15"/>
                    </w:rPr>
                  </w:pPr>
                  <w:r>
                    <w:rPr>
                      <w:rFonts w:hint="eastAsia"/>
                      <w:b/>
                      <w:sz w:val="15"/>
                      <w:szCs w:val="15"/>
                    </w:rPr>
                    <w:t>贡献值</w:t>
                  </w:r>
                </w:p>
              </w:tc>
              <w:tc>
                <w:tcPr>
                  <w:tcW w:w="436" w:type="pct"/>
                  <w:shd w:val="clear" w:color="auto" w:fill="auto"/>
                  <w:vAlign w:val="center"/>
                </w:tcPr>
                <w:p w14:paraId="4F8F2303">
                  <w:pPr>
                    <w:autoSpaceDE w:val="0"/>
                    <w:autoSpaceDN w:val="0"/>
                    <w:adjustRightInd w:val="0"/>
                    <w:snapToGrid w:val="0"/>
                    <w:jc w:val="center"/>
                    <w:rPr>
                      <w:rFonts w:hint="eastAsia"/>
                      <w:b/>
                      <w:sz w:val="15"/>
                      <w:szCs w:val="15"/>
                    </w:rPr>
                  </w:pPr>
                  <w:r>
                    <w:rPr>
                      <w:rFonts w:hint="eastAsia"/>
                      <w:b/>
                      <w:sz w:val="15"/>
                      <w:szCs w:val="15"/>
                    </w:rPr>
                    <w:t>标准限值</w:t>
                  </w:r>
                </w:p>
              </w:tc>
              <w:tc>
                <w:tcPr>
                  <w:tcW w:w="436" w:type="pct"/>
                  <w:shd w:val="clear" w:color="auto" w:fill="auto"/>
                  <w:vAlign w:val="center"/>
                </w:tcPr>
                <w:p w14:paraId="4097504A">
                  <w:pPr>
                    <w:autoSpaceDE w:val="0"/>
                    <w:autoSpaceDN w:val="0"/>
                    <w:adjustRightInd w:val="0"/>
                    <w:snapToGrid w:val="0"/>
                    <w:jc w:val="center"/>
                    <w:rPr>
                      <w:rFonts w:hint="eastAsia"/>
                      <w:b/>
                      <w:sz w:val="15"/>
                      <w:szCs w:val="15"/>
                    </w:rPr>
                  </w:pPr>
                  <w:r>
                    <w:rPr>
                      <w:rFonts w:hint="eastAsia"/>
                      <w:b/>
                      <w:sz w:val="15"/>
                      <w:szCs w:val="15"/>
                    </w:rPr>
                    <w:t>达标情况</w:t>
                  </w:r>
                </w:p>
              </w:tc>
            </w:tr>
            <w:tr w14:paraId="5E381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shd w:val="clear" w:color="auto" w:fill="auto"/>
                  <w:vAlign w:val="center"/>
                </w:tcPr>
                <w:p w14:paraId="0CFCD2FC">
                  <w:pPr>
                    <w:autoSpaceDE w:val="0"/>
                    <w:autoSpaceDN w:val="0"/>
                    <w:adjustRightInd w:val="0"/>
                    <w:snapToGrid w:val="0"/>
                    <w:jc w:val="center"/>
                    <w:rPr>
                      <w:bCs/>
                      <w:sz w:val="15"/>
                      <w:szCs w:val="15"/>
                    </w:rPr>
                  </w:pPr>
                  <w:r>
                    <w:rPr>
                      <w:rFonts w:hint="eastAsia"/>
                      <w:bCs/>
                      <w:sz w:val="15"/>
                      <w:szCs w:val="15"/>
                    </w:rPr>
                    <w:t>昼间</w:t>
                  </w:r>
                </w:p>
              </w:tc>
              <w:tc>
                <w:tcPr>
                  <w:tcW w:w="486" w:type="pct"/>
                  <w:shd w:val="clear" w:color="auto" w:fill="auto"/>
                  <w:vAlign w:val="center"/>
                </w:tcPr>
                <w:p w14:paraId="5A36D5A0">
                  <w:pPr>
                    <w:autoSpaceDE w:val="0"/>
                    <w:autoSpaceDN w:val="0"/>
                    <w:adjustRightInd w:val="0"/>
                    <w:snapToGrid w:val="0"/>
                    <w:jc w:val="center"/>
                    <w:rPr>
                      <w:bCs/>
                      <w:sz w:val="15"/>
                      <w:szCs w:val="15"/>
                    </w:rPr>
                  </w:pPr>
                  <w:r>
                    <w:rPr>
                      <w:rFonts w:hint="eastAsia"/>
                      <w:bCs/>
                      <w:sz w:val="15"/>
                      <w:szCs w:val="15"/>
                    </w:rPr>
                    <w:t>1</w:t>
                  </w:r>
                </w:p>
              </w:tc>
              <w:tc>
                <w:tcPr>
                  <w:tcW w:w="418" w:type="pct"/>
                  <w:shd w:val="clear" w:color="auto" w:fill="auto"/>
                  <w:vAlign w:val="center"/>
                </w:tcPr>
                <w:p w14:paraId="04AE514A">
                  <w:pPr>
                    <w:autoSpaceDE w:val="0"/>
                    <w:autoSpaceDN w:val="0"/>
                    <w:adjustRightInd w:val="0"/>
                    <w:snapToGrid w:val="0"/>
                    <w:jc w:val="center"/>
                    <w:rPr>
                      <w:rFonts w:hint="eastAsia"/>
                      <w:bCs/>
                      <w:sz w:val="15"/>
                      <w:szCs w:val="15"/>
                    </w:rPr>
                  </w:pPr>
                  <w:r>
                    <w:rPr>
                      <w:rFonts w:hint="eastAsia"/>
                      <w:bCs/>
                      <w:sz w:val="15"/>
                      <w:szCs w:val="15"/>
                    </w:rPr>
                    <w:t>42.9</w:t>
                  </w:r>
                </w:p>
              </w:tc>
              <w:tc>
                <w:tcPr>
                  <w:tcW w:w="486" w:type="pct"/>
                  <w:shd w:val="clear" w:color="auto" w:fill="auto"/>
                  <w:vAlign w:val="center"/>
                </w:tcPr>
                <w:p w14:paraId="2E714885">
                  <w:pPr>
                    <w:autoSpaceDE w:val="0"/>
                    <w:autoSpaceDN w:val="0"/>
                    <w:adjustRightInd w:val="0"/>
                    <w:snapToGrid w:val="0"/>
                    <w:jc w:val="center"/>
                    <w:rPr>
                      <w:bCs/>
                      <w:sz w:val="15"/>
                      <w:szCs w:val="15"/>
                    </w:rPr>
                  </w:pPr>
                  <w:r>
                    <w:rPr>
                      <w:rFonts w:hint="eastAsia"/>
                      <w:bCs/>
                      <w:sz w:val="15"/>
                      <w:szCs w:val="15"/>
                    </w:rPr>
                    <w:t>1</w:t>
                  </w:r>
                </w:p>
              </w:tc>
              <w:tc>
                <w:tcPr>
                  <w:tcW w:w="418" w:type="pct"/>
                  <w:shd w:val="clear" w:color="auto" w:fill="auto"/>
                  <w:vAlign w:val="center"/>
                </w:tcPr>
                <w:p w14:paraId="4AF7D87A">
                  <w:pPr>
                    <w:autoSpaceDE w:val="0"/>
                    <w:autoSpaceDN w:val="0"/>
                    <w:adjustRightInd w:val="0"/>
                    <w:snapToGrid w:val="0"/>
                    <w:jc w:val="center"/>
                    <w:rPr>
                      <w:rFonts w:hint="eastAsia"/>
                      <w:bCs/>
                      <w:sz w:val="15"/>
                      <w:szCs w:val="15"/>
                    </w:rPr>
                  </w:pPr>
                  <w:r>
                    <w:rPr>
                      <w:rFonts w:hint="eastAsia"/>
                      <w:bCs/>
                      <w:sz w:val="15"/>
                      <w:szCs w:val="15"/>
                    </w:rPr>
                    <w:t>50.3</w:t>
                  </w:r>
                </w:p>
              </w:tc>
              <w:tc>
                <w:tcPr>
                  <w:tcW w:w="487" w:type="pct"/>
                  <w:shd w:val="clear" w:color="auto" w:fill="auto"/>
                  <w:vAlign w:val="center"/>
                </w:tcPr>
                <w:p w14:paraId="2138A913">
                  <w:pPr>
                    <w:autoSpaceDE w:val="0"/>
                    <w:autoSpaceDN w:val="0"/>
                    <w:adjustRightInd w:val="0"/>
                    <w:snapToGrid w:val="0"/>
                    <w:jc w:val="center"/>
                    <w:rPr>
                      <w:bCs/>
                      <w:sz w:val="15"/>
                      <w:szCs w:val="15"/>
                    </w:rPr>
                  </w:pPr>
                  <w:r>
                    <w:rPr>
                      <w:rFonts w:hint="eastAsia"/>
                      <w:bCs/>
                      <w:sz w:val="15"/>
                      <w:szCs w:val="15"/>
                    </w:rPr>
                    <w:t>1</w:t>
                  </w:r>
                </w:p>
              </w:tc>
              <w:tc>
                <w:tcPr>
                  <w:tcW w:w="418" w:type="pct"/>
                  <w:shd w:val="clear" w:color="auto" w:fill="auto"/>
                  <w:vAlign w:val="center"/>
                </w:tcPr>
                <w:p w14:paraId="15BAEED5">
                  <w:pPr>
                    <w:autoSpaceDE w:val="0"/>
                    <w:autoSpaceDN w:val="0"/>
                    <w:adjustRightInd w:val="0"/>
                    <w:snapToGrid w:val="0"/>
                    <w:jc w:val="center"/>
                    <w:rPr>
                      <w:rFonts w:hint="eastAsia"/>
                      <w:bCs/>
                      <w:sz w:val="15"/>
                      <w:szCs w:val="15"/>
                    </w:rPr>
                  </w:pPr>
                  <w:r>
                    <w:rPr>
                      <w:rFonts w:hint="eastAsia"/>
                      <w:bCs/>
                      <w:sz w:val="15"/>
                      <w:szCs w:val="15"/>
                    </w:rPr>
                    <w:t>37.2</w:t>
                  </w:r>
                </w:p>
              </w:tc>
              <w:tc>
                <w:tcPr>
                  <w:tcW w:w="485" w:type="pct"/>
                  <w:shd w:val="clear" w:color="auto" w:fill="auto"/>
                  <w:vAlign w:val="center"/>
                </w:tcPr>
                <w:p w14:paraId="3F692C4F">
                  <w:pPr>
                    <w:autoSpaceDE w:val="0"/>
                    <w:autoSpaceDN w:val="0"/>
                    <w:adjustRightInd w:val="0"/>
                    <w:snapToGrid w:val="0"/>
                    <w:jc w:val="center"/>
                    <w:rPr>
                      <w:bCs/>
                      <w:sz w:val="15"/>
                      <w:szCs w:val="15"/>
                    </w:rPr>
                  </w:pPr>
                  <w:r>
                    <w:rPr>
                      <w:rFonts w:hint="eastAsia"/>
                      <w:bCs/>
                      <w:sz w:val="15"/>
                      <w:szCs w:val="15"/>
                    </w:rPr>
                    <w:t>1</w:t>
                  </w:r>
                </w:p>
              </w:tc>
              <w:tc>
                <w:tcPr>
                  <w:tcW w:w="387" w:type="pct"/>
                  <w:shd w:val="clear" w:color="auto" w:fill="auto"/>
                  <w:vAlign w:val="center"/>
                </w:tcPr>
                <w:p w14:paraId="40D59EC0">
                  <w:pPr>
                    <w:autoSpaceDE w:val="0"/>
                    <w:autoSpaceDN w:val="0"/>
                    <w:adjustRightInd w:val="0"/>
                    <w:snapToGrid w:val="0"/>
                    <w:jc w:val="center"/>
                    <w:rPr>
                      <w:rFonts w:hint="eastAsia"/>
                      <w:bCs/>
                      <w:sz w:val="15"/>
                      <w:szCs w:val="15"/>
                    </w:rPr>
                  </w:pPr>
                  <w:r>
                    <w:rPr>
                      <w:rFonts w:hint="eastAsia"/>
                      <w:bCs/>
                      <w:sz w:val="15"/>
                      <w:szCs w:val="15"/>
                    </w:rPr>
                    <w:t>37.5</w:t>
                  </w:r>
                </w:p>
              </w:tc>
              <w:tc>
                <w:tcPr>
                  <w:tcW w:w="436" w:type="pct"/>
                  <w:shd w:val="clear" w:color="auto" w:fill="auto"/>
                  <w:vAlign w:val="center"/>
                </w:tcPr>
                <w:p w14:paraId="1D8BE5A9">
                  <w:pPr>
                    <w:autoSpaceDE w:val="0"/>
                    <w:autoSpaceDN w:val="0"/>
                    <w:adjustRightInd w:val="0"/>
                    <w:snapToGrid w:val="0"/>
                    <w:jc w:val="center"/>
                    <w:rPr>
                      <w:rFonts w:hint="eastAsia"/>
                      <w:bCs/>
                      <w:sz w:val="15"/>
                      <w:szCs w:val="15"/>
                    </w:rPr>
                  </w:pPr>
                  <w:r>
                    <w:rPr>
                      <w:rFonts w:hint="eastAsia"/>
                      <w:bCs/>
                      <w:sz w:val="15"/>
                      <w:szCs w:val="15"/>
                    </w:rPr>
                    <w:t>65</w:t>
                  </w:r>
                </w:p>
              </w:tc>
              <w:tc>
                <w:tcPr>
                  <w:tcW w:w="436" w:type="pct"/>
                  <w:shd w:val="clear" w:color="auto" w:fill="auto"/>
                  <w:vAlign w:val="center"/>
                </w:tcPr>
                <w:p w14:paraId="1F0D7739">
                  <w:pPr>
                    <w:autoSpaceDE w:val="0"/>
                    <w:autoSpaceDN w:val="0"/>
                    <w:adjustRightInd w:val="0"/>
                    <w:snapToGrid w:val="0"/>
                    <w:jc w:val="center"/>
                    <w:rPr>
                      <w:rFonts w:hint="eastAsia"/>
                      <w:bCs/>
                      <w:sz w:val="15"/>
                      <w:szCs w:val="15"/>
                    </w:rPr>
                  </w:pPr>
                  <w:r>
                    <w:rPr>
                      <w:rFonts w:hint="eastAsia"/>
                      <w:bCs/>
                      <w:sz w:val="15"/>
                      <w:szCs w:val="15"/>
                    </w:rPr>
                    <w:t>达标</w:t>
                  </w:r>
                </w:p>
              </w:tc>
            </w:tr>
            <w:tr w14:paraId="0F3E6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2" w:type="pct"/>
                  <w:shd w:val="clear" w:color="auto" w:fill="auto"/>
                  <w:vAlign w:val="center"/>
                </w:tcPr>
                <w:p w14:paraId="33EAB5A0">
                  <w:pPr>
                    <w:autoSpaceDE w:val="0"/>
                    <w:autoSpaceDN w:val="0"/>
                    <w:adjustRightInd w:val="0"/>
                    <w:snapToGrid w:val="0"/>
                    <w:jc w:val="center"/>
                    <w:rPr>
                      <w:rFonts w:hint="eastAsia"/>
                      <w:bCs/>
                      <w:sz w:val="15"/>
                      <w:szCs w:val="15"/>
                    </w:rPr>
                  </w:pPr>
                  <w:r>
                    <w:rPr>
                      <w:rFonts w:hint="eastAsia"/>
                      <w:bCs/>
                      <w:sz w:val="15"/>
                      <w:szCs w:val="15"/>
                    </w:rPr>
                    <w:t>夜间</w:t>
                  </w:r>
                </w:p>
              </w:tc>
              <w:tc>
                <w:tcPr>
                  <w:tcW w:w="486" w:type="pct"/>
                  <w:shd w:val="clear" w:color="auto" w:fill="auto"/>
                  <w:vAlign w:val="center"/>
                </w:tcPr>
                <w:p w14:paraId="4E468DFF">
                  <w:pPr>
                    <w:autoSpaceDE w:val="0"/>
                    <w:autoSpaceDN w:val="0"/>
                    <w:adjustRightInd w:val="0"/>
                    <w:snapToGrid w:val="0"/>
                    <w:jc w:val="center"/>
                    <w:rPr>
                      <w:rFonts w:hint="eastAsia"/>
                      <w:bCs/>
                      <w:sz w:val="15"/>
                      <w:szCs w:val="15"/>
                    </w:rPr>
                  </w:pPr>
                  <w:r>
                    <w:rPr>
                      <w:rFonts w:hint="eastAsia"/>
                      <w:bCs/>
                      <w:sz w:val="15"/>
                      <w:szCs w:val="15"/>
                    </w:rPr>
                    <w:t>1</w:t>
                  </w:r>
                </w:p>
              </w:tc>
              <w:tc>
                <w:tcPr>
                  <w:tcW w:w="418" w:type="pct"/>
                  <w:shd w:val="clear" w:color="auto" w:fill="auto"/>
                  <w:vAlign w:val="center"/>
                </w:tcPr>
                <w:p w14:paraId="03C2456F">
                  <w:pPr>
                    <w:autoSpaceDE w:val="0"/>
                    <w:autoSpaceDN w:val="0"/>
                    <w:adjustRightInd w:val="0"/>
                    <w:snapToGrid w:val="0"/>
                    <w:jc w:val="center"/>
                    <w:rPr>
                      <w:rFonts w:hint="eastAsia"/>
                      <w:bCs/>
                      <w:sz w:val="15"/>
                      <w:szCs w:val="15"/>
                    </w:rPr>
                  </w:pPr>
                  <w:r>
                    <w:rPr>
                      <w:rFonts w:hint="eastAsia"/>
                      <w:bCs/>
                      <w:sz w:val="15"/>
                      <w:szCs w:val="15"/>
                    </w:rPr>
                    <w:t>42.9</w:t>
                  </w:r>
                </w:p>
              </w:tc>
              <w:tc>
                <w:tcPr>
                  <w:tcW w:w="486" w:type="pct"/>
                  <w:shd w:val="clear" w:color="auto" w:fill="auto"/>
                  <w:vAlign w:val="center"/>
                </w:tcPr>
                <w:p w14:paraId="4EEE65FA">
                  <w:pPr>
                    <w:autoSpaceDE w:val="0"/>
                    <w:autoSpaceDN w:val="0"/>
                    <w:adjustRightInd w:val="0"/>
                    <w:snapToGrid w:val="0"/>
                    <w:jc w:val="center"/>
                    <w:rPr>
                      <w:rFonts w:hint="eastAsia"/>
                      <w:bCs/>
                      <w:sz w:val="15"/>
                      <w:szCs w:val="15"/>
                    </w:rPr>
                  </w:pPr>
                  <w:r>
                    <w:rPr>
                      <w:rFonts w:hint="eastAsia"/>
                      <w:bCs/>
                      <w:sz w:val="15"/>
                      <w:szCs w:val="15"/>
                    </w:rPr>
                    <w:t>1</w:t>
                  </w:r>
                </w:p>
              </w:tc>
              <w:tc>
                <w:tcPr>
                  <w:tcW w:w="418" w:type="pct"/>
                  <w:shd w:val="clear" w:color="auto" w:fill="auto"/>
                  <w:vAlign w:val="center"/>
                </w:tcPr>
                <w:p w14:paraId="2ACAF992">
                  <w:pPr>
                    <w:autoSpaceDE w:val="0"/>
                    <w:autoSpaceDN w:val="0"/>
                    <w:adjustRightInd w:val="0"/>
                    <w:snapToGrid w:val="0"/>
                    <w:jc w:val="center"/>
                    <w:rPr>
                      <w:rFonts w:hint="eastAsia"/>
                      <w:bCs/>
                      <w:sz w:val="15"/>
                      <w:szCs w:val="15"/>
                    </w:rPr>
                  </w:pPr>
                  <w:r>
                    <w:rPr>
                      <w:rFonts w:hint="eastAsia"/>
                      <w:bCs/>
                      <w:sz w:val="15"/>
                      <w:szCs w:val="15"/>
                    </w:rPr>
                    <w:t>50.3</w:t>
                  </w:r>
                </w:p>
              </w:tc>
              <w:tc>
                <w:tcPr>
                  <w:tcW w:w="487" w:type="pct"/>
                  <w:shd w:val="clear" w:color="auto" w:fill="auto"/>
                  <w:vAlign w:val="center"/>
                </w:tcPr>
                <w:p w14:paraId="47D51009">
                  <w:pPr>
                    <w:autoSpaceDE w:val="0"/>
                    <w:autoSpaceDN w:val="0"/>
                    <w:adjustRightInd w:val="0"/>
                    <w:snapToGrid w:val="0"/>
                    <w:jc w:val="center"/>
                    <w:rPr>
                      <w:rFonts w:hint="eastAsia"/>
                      <w:bCs/>
                      <w:sz w:val="15"/>
                      <w:szCs w:val="15"/>
                    </w:rPr>
                  </w:pPr>
                  <w:r>
                    <w:rPr>
                      <w:rFonts w:hint="eastAsia"/>
                      <w:bCs/>
                      <w:sz w:val="15"/>
                      <w:szCs w:val="15"/>
                    </w:rPr>
                    <w:t>1</w:t>
                  </w:r>
                </w:p>
              </w:tc>
              <w:tc>
                <w:tcPr>
                  <w:tcW w:w="418" w:type="pct"/>
                  <w:shd w:val="clear" w:color="auto" w:fill="auto"/>
                  <w:vAlign w:val="center"/>
                </w:tcPr>
                <w:p w14:paraId="53D4F35F">
                  <w:pPr>
                    <w:autoSpaceDE w:val="0"/>
                    <w:autoSpaceDN w:val="0"/>
                    <w:adjustRightInd w:val="0"/>
                    <w:snapToGrid w:val="0"/>
                    <w:jc w:val="center"/>
                    <w:rPr>
                      <w:rFonts w:hint="eastAsia"/>
                      <w:bCs/>
                      <w:sz w:val="15"/>
                      <w:szCs w:val="15"/>
                    </w:rPr>
                  </w:pPr>
                  <w:r>
                    <w:rPr>
                      <w:rFonts w:hint="eastAsia"/>
                      <w:bCs/>
                      <w:sz w:val="15"/>
                      <w:szCs w:val="15"/>
                    </w:rPr>
                    <w:t>37.2</w:t>
                  </w:r>
                </w:p>
              </w:tc>
              <w:tc>
                <w:tcPr>
                  <w:tcW w:w="485" w:type="pct"/>
                  <w:shd w:val="clear" w:color="auto" w:fill="auto"/>
                  <w:vAlign w:val="center"/>
                </w:tcPr>
                <w:p w14:paraId="2B897601">
                  <w:pPr>
                    <w:autoSpaceDE w:val="0"/>
                    <w:autoSpaceDN w:val="0"/>
                    <w:adjustRightInd w:val="0"/>
                    <w:snapToGrid w:val="0"/>
                    <w:jc w:val="center"/>
                    <w:rPr>
                      <w:rFonts w:hint="eastAsia"/>
                      <w:bCs/>
                      <w:sz w:val="15"/>
                      <w:szCs w:val="15"/>
                    </w:rPr>
                  </w:pPr>
                  <w:r>
                    <w:rPr>
                      <w:rFonts w:hint="eastAsia"/>
                      <w:bCs/>
                      <w:sz w:val="15"/>
                      <w:szCs w:val="15"/>
                    </w:rPr>
                    <w:t>1</w:t>
                  </w:r>
                </w:p>
              </w:tc>
              <w:tc>
                <w:tcPr>
                  <w:tcW w:w="387" w:type="pct"/>
                  <w:shd w:val="clear" w:color="auto" w:fill="auto"/>
                  <w:vAlign w:val="center"/>
                </w:tcPr>
                <w:p w14:paraId="5380CCD1">
                  <w:pPr>
                    <w:autoSpaceDE w:val="0"/>
                    <w:autoSpaceDN w:val="0"/>
                    <w:adjustRightInd w:val="0"/>
                    <w:snapToGrid w:val="0"/>
                    <w:jc w:val="center"/>
                    <w:rPr>
                      <w:rFonts w:hint="eastAsia"/>
                      <w:bCs/>
                      <w:sz w:val="15"/>
                      <w:szCs w:val="15"/>
                    </w:rPr>
                  </w:pPr>
                  <w:r>
                    <w:rPr>
                      <w:rFonts w:hint="eastAsia"/>
                      <w:bCs/>
                      <w:sz w:val="15"/>
                      <w:szCs w:val="15"/>
                    </w:rPr>
                    <w:t>37.5</w:t>
                  </w:r>
                </w:p>
              </w:tc>
              <w:tc>
                <w:tcPr>
                  <w:tcW w:w="436" w:type="pct"/>
                  <w:shd w:val="clear" w:color="auto" w:fill="auto"/>
                  <w:vAlign w:val="center"/>
                </w:tcPr>
                <w:p w14:paraId="12992163">
                  <w:pPr>
                    <w:autoSpaceDE w:val="0"/>
                    <w:autoSpaceDN w:val="0"/>
                    <w:adjustRightInd w:val="0"/>
                    <w:snapToGrid w:val="0"/>
                    <w:jc w:val="center"/>
                    <w:rPr>
                      <w:rFonts w:hint="eastAsia"/>
                      <w:bCs/>
                      <w:sz w:val="15"/>
                      <w:szCs w:val="15"/>
                    </w:rPr>
                  </w:pPr>
                  <w:r>
                    <w:rPr>
                      <w:rFonts w:hint="eastAsia"/>
                      <w:bCs/>
                      <w:sz w:val="15"/>
                      <w:szCs w:val="15"/>
                    </w:rPr>
                    <w:t>55</w:t>
                  </w:r>
                </w:p>
              </w:tc>
              <w:tc>
                <w:tcPr>
                  <w:tcW w:w="436" w:type="pct"/>
                  <w:shd w:val="clear" w:color="auto" w:fill="auto"/>
                  <w:vAlign w:val="center"/>
                </w:tcPr>
                <w:p w14:paraId="38386609">
                  <w:pPr>
                    <w:autoSpaceDE w:val="0"/>
                    <w:autoSpaceDN w:val="0"/>
                    <w:adjustRightInd w:val="0"/>
                    <w:snapToGrid w:val="0"/>
                    <w:jc w:val="center"/>
                    <w:rPr>
                      <w:rFonts w:hint="eastAsia"/>
                      <w:bCs/>
                      <w:sz w:val="15"/>
                      <w:szCs w:val="15"/>
                    </w:rPr>
                  </w:pPr>
                  <w:r>
                    <w:rPr>
                      <w:rFonts w:hint="eastAsia"/>
                      <w:bCs/>
                      <w:sz w:val="15"/>
                      <w:szCs w:val="15"/>
                    </w:rPr>
                    <w:t>达标</w:t>
                  </w:r>
                </w:p>
              </w:tc>
            </w:tr>
          </w:tbl>
          <w:p w14:paraId="287E6D60">
            <w:pPr>
              <w:adjustRightInd w:val="0"/>
              <w:snapToGrid w:val="0"/>
              <w:spacing w:line="360" w:lineRule="auto"/>
              <w:ind w:firstLine="420" w:firstLineChars="200"/>
              <w:jc w:val="left"/>
            </w:pPr>
            <w:r>
              <w:rPr>
                <w:rFonts w:hint="eastAsia"/>
              </w:rPr>
              <w:t>通过上表预测结果可知：本项目厂界昼、夜间噪声贡献值可以达到《工业企业厂界环境噪声排放标准》（</w:t>
            </w:r>
            <w:r>
              <w:t>GB12348-2008</w:t>
            </w:r>
            <w:r>
              <w:rPr>
                <w:rFonts w:hint="eastAsia"/>
              </w:rPr>
              <w:t>）</w:t>
            </w:r>
            <w:r>
              <w:t xml:space="preserve">3 </w:t>
            </w:r>
            <w:r>
              <w:rPr>
                <w:rFonts w:hint="eastAsia"/>
              </w:rPr>
              <w:t>类标准昼、夜间要求，可实现达标排放。</w:t>
            </w:r>
          </w:p>
          <w:p w14:paraId="1536D352">
            <w:pPr>
              <w:adjustRightInd w:val="0"/>
              <w:snapToGrid w:val="0"/>
              <w:spacing w:line="360" w:lineRule="auto"/>
              <w:ind w:firstLine="422" w:firstLineChars="200"/>
              <w:jc w:val="left"/>
            </w:pPr>
            <w:r>
              <w:rPr>
                <w:rFonts w:hint="eastAsia"/>
                <w:b/>
                <w:bCs/>
                <w:lang w:bidi="ar"/>
              </w:rPr>
              <w:t>（三）噪声环境影响分析</w:t>
            </w:r>
          </w:p>
          <w:p w14:paraId="7355A34A">
            <w:pPr>
              <w:adjustRightInd w:val="0"/>
              <w:snapToGrid w:val="0"/>
              <w:spacing w:line="360" w:lineRule="auto"/>
              <w:ind w:firstLine="420" w:firstLineChars="200"/>
              <w:jc w:val="left"/>
            </w:pPr>
            <w:r>
              <w:rPr>
                <w:rFonts w:hint="eastAsia"/>
              </w:rPr>
              <w:t>综上分析，根据项目正常工况情景下的噪声预测，本项目建成运营后西侧、北侧、南侧、东侧厂界噪声均满足《工业企业厂界环境噪声排放标准》（GB12348-2008）中的3类标准。因此，项目噪声对环境无明显影响。</w:t>
            </w:r>
          </w:p>
          <w:p w14:paraId="3766380F">
            <w:pPr>
              <w:adjustRightInd w:val="0"/>
              <w:snapToGrid w:val="0"/>
              <w:spacing w:line="360" w:lineRule="auto"/>
              <w:ind w:firstLine="422" w:firstLineChars="200"/>
              <w:jc w:val="left"/>
            </w:pPr>
            <w:r>
              <w:rPr>
                <w:rFonts w:hint="eastAsia"/>
                <w:b/>
                <w:bCs/>
                <w:lang w:bidi="ar"/>
              </w:rPr>
              <w:t>（四）监测要求</w:t>
            </w:r>
          </w:p>
          <w:p w14:paraId="678159C2">
            <w:pPr>
              <w:widowControl/>
              <w:spacing w:line="360" w:lineRule="auto"/>
              <w:ind w:firstLine="420" w:firstLineChars="200"/>
              <w:rPr>
                <w:lang w:bidi="ar"/>
              </w:rPr>
            </w:pPr>
            <w:r>
              <w:rPr>
                <w:rFonts w:hint="eastAsia"/>
                <w:lang w:bidi="ar"/>
              </w:rPr>
              <w:t>根据《排污单位自行监测技术指南总则》（HJ819-2017），本项目运营期噪声监测见下表。</w:t>
            </w:r>
          </w:p>
          <w:p w14:paraId="685D5E29">
            <w:pPr>
              <w:autoSpaceDE w:val="0"/>
              <w:autoSpaceDN w:val="0"/>
              <w:adjustRightInd w:val="0"/>
              <w:snapToGrid w:val="0"/>
              <w:jc w:val="center"/>
              <w:rPr>
                <w:b/>
              </w:rPr>
            </w:pPr>
            <w:r>
              <w:rPr>
                <w:rFonts w:hint="eastAsia"/>
                <w:b/>
              </w:rPr>
              <w:t>表 4-</w:t>
            </w:r>
            <w:r>
              <w:rPr>
                <w:b/>
              </w:rPr>
              <w:t>2</w:t>
            </w:r>
            <w:r>
              <w:rPr>
                <w:rFonts w:hint="eastAsia"/>
                <w:b/>
              </w:rPr>
              <w:t>2</w:t>
            </w:r>
            <w:r>
              <w:rPr>
                <w:b/>
              </w:rPr>
              <w:t xml:space="preserve"> </w:t>
            </w:r>
            <w:r>
              <w:rPr>
                <w:rFonts w:hint="eastAsia"/>
                <w:b/>
              </w:rPr>
              <w:t xml:space="preserve">  噪声监测要求</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184"/>
              <w:gridCol w:w="744"/>
              <w:gridCol w:w="1330"/>
              <w:gridCol w:w="1184"/>
              <w:gridCol w:w="3409"/>
            </w:tblGrid>
            <w:tr w14:paraId="34D19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shd w:val="clear" w:color="auto" w:fill="auto"/>
                  <w:vAlign w:val="center"/>
                </w:tcPr>
                <w:p w14:paraId="60F2404E">
                  <w:pPr>
                    <w:widowControl/>
                    <w:jc w:val="center"/>
                    <w:rPr>
                      <w:b/>
                      <w:bCs/>
                      <w:lang w:bidi="ar"/>
                    </w:rPr>
                  </w:pPr>
                  <w:r>
                    <w:rPr>
                      <w:rFonts w:hint="eastAsia"/>
                      <w:b/>
                      <w:bCs/>
                      <w:lang w:bidi="ar"/>
                    </w:rPr>
                    <w:t>类别</w:t>
                  </w:r>
                </w:p>
              </w:tc>
              <w:tc>
                <w:tcPr>
                  <w:tcW w:w="694" w:type="pct"/>
                  <w:shd w:val="clear" w:color="auto" w:fill="auto"/>
                  <w:vAlign w:val="center"/>
                </w:tcPr>
                <w:p w14:paraId="4899E260">
                  <w:pPr>
                    <w:widowControl/>
                    <w:jc w:val="center"/>
                    <w:rPr>
                      <w:b/>
                      <w:bCs/>
                      <w:lang w:bidi="ar"/>
                    </w:rPr>
                  </w:pPr>
                  <w:r>
                    <w:rPr>
                      <w:rFonts w:hint="eastAsia"/>
                      <w:b/>
                      <w:bCs/>
                      <w:lang w:bidi="ar"/>
                    </w:rPr>
                    <w:t>监测位置</w:t>
                  </w:r>
                </w:p>
              </w:tc>
              <w:tc>
                <w:tcPr>
                  <w:tcW w:w="436" w:type="pct"/>
                  <w:shd w:val="clear" w:color="auto" w:fill="auto"/>
                  <w:vAlign w:val="center"/>
                </w:tcPr>
                <w:p w14:paraId="528E683F">
                  <w:pPr>
                    <w:widowControl/>
                    <w:jc w:val="center"/>
                    <w:rPr>
                      <w:b/>
                      <w:bCs/>
                      <w:lang w:bidi="ar"/>
                    </w:rPr>
                  </w:pPr>
                  <w:r>
                    <w:rPr>
                      <w:rFonts w:hint="eastAsia"/>
                      <w:b/>
                      <w:bCs/>
                      <w:lang w:bidi="ar"/>
                    </w:rPr>
                    <w:t>点数</w:t>
                  </w:r>
                </w:p>
              </w:tc>
              <w:tc>
                <w:tcPr>
                  <w:tcW w:w="780" w:type="pct"/>
                  <w:shd w:val="clear" w:color="auto" w:fill="auto"/>
                  <w:vAlign w:val="center"/>
                </w:tcPr>
                <w:p w14:paraId="3C421DE4">
                  <w:pPr>
                    <w:widowControl/>
                    <w:jc w:val="center"/>
                    <w:rPr>
                      <w:b/>
                      <w:bCs/>
                      <w:lang w:bidi="ar"/>
                    </w:rPr>
                  </w:pPr>
                  <w:r>
                    <w:rPr>
                      <w:rFonts w:hint="eastAsia"/>
                      <w:b/>
                      <w:bCs/>
                      <w:lang w:bidi="ar"/>
                    </w:rPr>
                    <w:t>监测项目</w:t>
                  </w:r>
                </w:p>
              </w:tc>
              <w:tc>
                <w:tcPr>
                  <w:tcW w:w="694" w:type="pct"/>
                  <w:shd w:val="clear" w:color="auto" w:fill="auto"/>
                  <w:vAlign w:val="center"/>
                </w:tcPr>
                <w:p w14:paraId="4F8187F9">
                  <w:pPr>
                    <w:widowControl/>
                    <w:jc w:val="center"/>
                    <w:rPr>
                      <w:b/>
                      <w:bCs/>
                      <w:lang w:bidi="ar"/>
                    </w:rPr>
                  </w:pPr>
                  <w:r>
                    <w:rPr>
                      <w:rFonts w:hint="eastAsia"/>
                      <w:b/>
                      <w:bCs/>
                      <w:lang w:bidi="ar"/>
                    </w:rPr>
                    <w:t>监测频率</w:t>
                  </w:r>
                </w:p>
              </w:tc>
              <w:tc>
                <w:tcPr>
                  <w:tcW w:w="2000" w:type="pct"/>
                  <w:shd w:val="clear" w:color="auto" w:fill="auto"/>
                  <w:vAlign w:val="center"/>
                </w:tcPr>
                <w:p w14:paraId="374A349F">
                  <w:pPr>
                    <w:widowControl/>
                    <w:jc w:val="center"/>
                    <w:rPr>
                      <w:b/>
                      <w:bCs/>
                      <w:lang w:bidi="ar"/>
                    </w:rPr>
                  </w:pPr>
                  <w:r>
                    <w:rPr>
                      <w:rFonts w:hint="eastAsia"/>
                      <w:b/>
                      <w:bCs/>
                      <w:lang w:bidi="ar"/>
                    </w:rPr>
                    <w:t>执行标准</w:t>
                  </w:r>
                </w:p>
              </w:tc>
            </w:tr>
            <w:tr w14:paraId="30D65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shd w:val="clear" w:color="auto" w:fill="auto"/>
                  <w:vAlign w:val="center"/>
                </w:tcPr>
                <w:p w14:paraId="67ABC887">
                  <w:pPr>
                    <w:widowControl/>
                    <w:jc w:val="center"/>
                    <w:rPr>
                      <w:lang w:bidi="ar"/>
                    </w:rPr>
                  </w:pPr>
                  <w:r>
                    <w:rPr>
                      <w:rFonts w:hint="eastAsia"/>
                      <w:lang w:bidi="ar"/>
                    </w:rPr>
                    <w:t>噪声</w:t>
                  </w:r>
                </w:p>
              </w:tc>
              <w:tc>
                <w:tcPr>
                  <w:tcW w:w="694" w:type="pct"/>
                  <w:shd w:val="clear" w:color="auto" w:fill="auto"/>
                  <w:vAlign w:val="center"/>
                </w:tcPr>
                <w:p w14:paraId="4438D442">
                  <w:pPr>
                    <w:widowControl/>
                    <w:jc w:val="center"/>
                    <w:rPr>
                      <w:lang w:bidi="ar"/>
                    </w:rPr>
                  </w:pPr>
                  <w:r>
                    <w:rPr>
                      <w:rFonts w:hint="eastAsia"/>
                      <w:lang w:bidi="ar"/>
                    </w:rPr>
                    <w:t>项目厂界外1米</w:t>
                  </w:r>
                </w:p>
              </w:tc>
              <w:tc>
                <w:tcPr>
                  <w:tcW w:w="436" w:type="pct"/>
                  <w:shd w:val="clear" w:color="auto" w:fill="auto"/>
                  <w:vAlign w:val="center"/>
                </w:tcPr>
                <w:p w14:paraId="5333D36C">
                  <w:pPr>
                    <w:widowControl/>
                    <w:jc w:val="center"/>
                    <w:rPr>
                      <w:lang w:bidi="ar"/>
                    </w:rPr>
                  </w:pPr>
                  <w:r>
                    <w:rPr>
                      <w:rFonts w:hint="eastAsia"/>
                      <w:lang w:bidi="ar"/>
                    </w:rPr>
                    <w:t>4</w:t>
                  </w:r>
                </w:p>
              </w:tc>
              <w:tc>
                <w:tcPr>
                  <w:tcW w:w="780" w:type="pct"/>
                  <w:shd w:val="clear" w:color="auto" w:fill="auto"/>
                  <w:vAlign w:val="center"/>
                </w:tcPr>
                <w:p w14:paraId="0642C236">
                  <w:pPr>
                    <w:widowControl/>
                    <w:jc w:val="center"/>
                    <w:rPr>
                      <w:lang w:bidi="ar"/>
                    </w:rPr>
                  </w:pPr>
                  <w:r>
                    <w:rPr>
                      <w:rFonts w:hint="eastAsia"/>
                      <w:lang w:bidi="ar"/>
                    </w:rPr>
                    <w:t>厂界噪声</w:t>
                  </w:r>
                </w:p>
              </w:tc>
              <w:tc>
                <w:tcPr>
                  <w:tcW w:w="694" w:type="pct"/>
                  <w:shd w:val="clear" w:color="auto" w:fill="auto"/>
                  <w:vAlign w:val="center"/>
                </w:tcPr>
                <w:p w14:paraId="4A213B47">
                  <w:pPr>
                    <w:widowControl/>
                    <w:jc w:val="center"/>
                    <w:rPr>
                      <w:lang w:bidi="ar"/>
                    </w:rPr>
                  </w:pPr>
                  <w:r>
                    <w:rPr>
                      <w:rFonts w:hint="eastAsia"/>
                      <w:lang w:bidi="ar"/>
                    </w:rPr>
                    <w:t>1次/季度</w:t>
                  </w:r>
                </w:p>
              </w:tc>
              <w:tc>
                <w:tcPr>
                  <w:tcW w:w="2000" w:type="pct"/>
                  <w:shd w:val="clear" w:color="auto" w:fill="auto"/>
                  <w:vAlign w:val="center"/>
                </w:tcPr>
                <w:p w14:paraId="77EBEC54">
                  <w:pPr>
                    <w:widowControl/>
                    <w:jc w:val="center"/>
                    <w:rPr>
                      <w:lang w:bidi="ar"/>
                    </w:rPr>
                  </w:pPr>
                  <w:r>
                    <w:rPr>
                      <w:rFonts w:hint="eastAsia"/>
                      <w:lang w:bidi="ar"/>
                    </w:rPr>
                    <w:t>《工业企业厂界环境噪声排放标准》（GB12348-2008）3类</w:t>
                  </w:r>
                </w:p>
              </w:tc>
            </w:tr>
          </w:tbl>
          <w:p w14:paraId="29894AA8">
            <w:pPr>
              <w:widowControl/>
              <w:spacing w:line="360" w:lineRule="auto"/>
              <w:ind w:firstLine="422" w:firstLineChars="200"/>
              <w:rPr>
                <w:b/>
                <w:bCs/>
                <w:lang w:bidi="ar"/>
              </w:rPr>
            </w:pPr>
            <w:r>
              <w:rPr>
                <w:rFonts w:hint="eastAsia"/>
                <w:b/>
                <w:bCs/>
                <w:lang w:bidi="ar"/>
              </w:rPr>
              <w:t>四、固体废物</w:t>
            </w:r>
          </w:p>
          <w:p w14:paraId="1301E9B3">
            <w:pPr>
              <w:widowControl/>
              <w:spacing w:line="360" w:lineRule="auto"/>
              <w:ind w:firstLine="422" w:firstLineChars="200"/>
              <w:rPr>
                <w:b/>
                <w:bCs/>
                <w:lang w:bidi="ar"/>
              </w:rPr>
            </w:pPr>
            <w:r>
              <w:rPr>
                <w:rFonts w:hint="eastAsia"/>
                <w:b/>
                <w:bCs/>
                <w:lang w:bidi="ar"/>
              </w:rPr>
              <w:t>（一）固体废物的产生及处置方式</w:t>
            </w:r>
          </w:p>
          <w:p w14:paraId="4B6F2343">
            <w:pPr>
              <w:widowControl/>
              <w:spacing w:line="360" w:lineRule="auto"/>
              <w:ind w:firstLine="420" w:firstLineChars="200"/>
              <w:rPr>
                <w:lang w:bidi="ar"/>
              </w:rPr>
            </w:pPr>
            <w:r>
              <w:rPr>
                <w:rFonts w:hint="eastAsia"/>
                <w:lang w:bidi="ar"/>
              </w:rPr>
              <w:t>本项目产生的固体废物主要为药渣、废药渣袋、包装垃圾、废滤水材料、生产废水处理设施污泥、收集的粉尘及生活垃圾。</w:t>
            </w:r>
          </w:p>
          <w:p w14:paraId="3B397230">
            <w:pPr>
              <w:widowControl/>
              <w:spacing w:line="360" w:lineRule="auto"/>
              <w:ind w:firstLine="422" w:firstLineChars="200"/>
              <w:rPr>
                <w:b/>
                <w:bCs/>
                <w:lang w:bidi="ar"/>
              </w:rPr>
            </w:pPr>
            <w:r>
              <w:rPr>
                <w:rFonts w:hint="eastAsia"/>
                <w:b/>
                <w:bCs/>
                <w:lang w:bidi="ar"/>
              </w:rPr>
              <w:t>1、一般固废</w:t>
            </w:r>
          </w:p>
          <w:p w14:paraId="25DE66D2">
            <w:pPr>
              <w:widowControl/>
              <w:spacing w:line="360" w:lineRule="auto"/>
              <w:ind w:firstLine="422" w:firstLineChars="200"/>
              <w:rPr>
                <w:lang w:bidi="ar"/>
              </w:rPr>
            </w:pPr>
            <w:r>
              <w:rPr>
                <w:rFonts w:hint="eastAsia"/>
                <w:b/>
                <w:bCs/>
                <w:lang w:bidi="ar"/>
              </w:rPr>
              <w:t>（1）药渣</w:t>
            </w:r>
            <w:r>
              <w:rPr>
                <w:rFonts w:hint="eastAsia"/>
                <w:lang w:bidi="ar"/>
              </w:rPr>
              <w:t>：中药煎煮后会产生一定量的药渣，中药饮片吸水量约为自身重量的1.5~2倍，因此改扩建后项目药渣产生量约为72t/a，交由相关单位处理。</w:t>
            </w:r>
          </w:p>
          <w:p w14:paraId="601B3AE3">
            <w:pPr>
              <w:widowControl/>
              <w:spacing w:line="360" w:lineRule="auto"/>
              <w:ind w:firstLine="422" w:firstLineChars="200"/>
              <w:rPr>
                <w:b/>
                <w:bCs/>
                <w:lang w:bidi="ar"/>
              </w:rPr>
            </w:pPr>
            <w:r>
              <w:rPr>
                <w:rFonts w:hint="eastAsia"/>
                <w:b/>
                <w:bCs/>
                <w:lang w:bidi="ar"/>
              </w:rPr>
              <w:t>（2）废药渣袋：</w:t>
            </w:r>
          </w:p>
          <w:p w14:paraId="0FAF03F0">
            <w:pPr>
              <w:widowControl/>
              <w:spacing w:line="360" w:lineRule="auto"/>
              <w:ind w:firstLine="420" w:firstLineChars="200"/>
              <w:rPr>
                <w:lang w:bidi="ar"/>
              </w:rPr>
            </w:pPr>
            <w:r>
              <w:rPr>
                <w:rFonts w:hint="eastAsia"/>
                <w:lang w:bidi="ar"/>
              </w:rPr>
              <w:t>项目使用一次性药渣袋进行中药煎煮，完成煎煮后产生废药渣袋，根据生产统计，约每4剂煎煮药需使用1个药渣袋。则项目共产生约39075个药渣袋。单个重量约5g，则废药渣袋产生量约为0.2t/a。交由相关单位处理。</w:t>
            </w:r>
          </w:p>
          <w:p w14:paraId="4836D020">
            <w:pPr>
              <w:widowControl/>
              <w:spacing w:line="360" w:lineRule="auto"/>
              <w:ind w:firstLine="422" w:firstLineChars="200"/>
              <w:rPr>
                <w:b/>
                <w:bCs/>
                <w:lang w:bidi="ar"/>
              </w:rPr>
            </w:pPr>
            <w:r>
              <w:rPr>
                <w:rFonts w:hint="eastAsia"/>
                <w:b/>
                <w:bCs/>
                <w:lang w:bidi="ar"/>
              </w:rPr>
              <w:t>（3）包装垃圾：</w:t>
            </w:r>
          </w:p>
          <w:p w14:paraId="79DB2F77">
            <w:pPr>
              <w:widowControl/>
              <w:spacing w:line="360" w:lineRule="auto"/>
              <w:ind w:firstLine="420" w:firstLineChars="200"/>
              <w:rPr>
                <w:lang w:bidi="ar"/>
              </w:rPr>
            </w:pPr>
            <w:r>
              <w:rPr>
                <w:rFonts w:hint="eastAsia"/>
                <w:lang w:bidi="ar"/>
              </w:rPr>
              <w:t>项目原料拆包和包装过程会产生一定量的包装垃圾，包装垃圾主要为塑料袋、塑料带、纸皮等，均交由相关单位处理。根据实际生产统计，项目包装垃圾的产生量约为0.5t/a。</w:t>
            </w:r>
          </w:p>
          <w:p w14:paraId="68B8F23F">
            <w:pPr>
              <w:widowControl/>
              <w:spacing w:line="360" w:lineRule="auto"/>
              <w:ind w:firstLine="422" w:firstLineChars="200"/>
              <w:rPr>
                <w:b/>
                <w:bCs/>
                <w:lang w:bidi="ar"/>
              </w:rPr>
            </w:pPr>
            <w:r>
              <w:rPr>
                <w:rFonts w:hint="eastAsia"/>
                <w:b/>
                <w:bCs/>
                <w:lang w:bidi="ar"/>
              </w:rPr>
              <w:t>（4）废滤水材料：</w:t>
            </w:r>
          </w:p>
          <w:p w14:paraId="1A324B35">
            <w:pPr>
              <w:widowControl/>
              <w:spacing w:line="360" w:lineRule="auto"/>
              <w:ind w:firstLine="420" w:firstLineChars="200"/>
              <w:rPr>
                <w:lang w:bidi="ar"/>
              </w:rPr>
            </w:pPr>
            <w:r>
              <w:rPr>
                <w:rFonts w:hint="eastAsia"/>
                <w:lang w:bidi="ar"/>
              </w:rPr>
              <w:t>项目采用“石英砂+活性炭+软化树脂”工艺对自来水进行过滤处理，每年更换1次滤水材料，更换过程产生废滤水材料，包括石英砂、活性炭和树脂膜，每年产生量约为1.5t/a。由于原水为自来水，故废滤水材料不含有毒有害物质，属于一般工业固废，交由相关单位处理。</w:t>
            </w:r>
          </w:p>
          <w:p w14:paraId="167BEE72">
            <w:pPr>
              <w:widowControl/>
              <w:spacing w:line="360" w:lineRule="auto"/>
              <w:ind w:firstLine="422" w:firstLineChars="200"/>
              <w:rPr>
                <w:b/>
                <w:bCs/>
                <w:lang w:bidi="ar"/>
              </w:rPr>
            </w:pPr>
            <w:r>
              <w:rPr>
                <w:rFonts w:hint="eastAsia"/>
                <w:b/>
                <w:bCs/>
                <w:lang w:bidi="ar"/>
              </w:rPr>
              <w:t>（5）生产废水处理设施污泥：</w:t>
            </w:r>
          </w:p>
          <w:p w14:paraId="2B775C1D">
            <w:pPr>
              <w:widowControl/>
              <w:spacing w:line="360" w:lineRule="auto"/>
              <w:ind w:firstLine="420" w:firstLineChars="200"/>
              <w:rPr>
                <w:lang w:bidi="ar"/>
              </w:rPr>
            </w:pPr>
            <w:r>
              <w:rPr>
                <w:rFonts w:hint="eastAsia"/>
                <w:lang w:bidi="ar"/>
              </w:rPr>
              <w:t>项目的生产废水经自建生产废水处理设施处理，项目的生产废水主要为设备清洗废水，根据前文分析，项目使用的原材料主要为无毒无害的中药饮片，因此生产过程中产生的清洗废水中也不含有毒有害物质，生产废水中主要含有悬浮物、COD、BOD、氨氮等污染物。项目生产废水采用“气浮+A/O+MBR+沉淀”工艺进行处理，由于生产废水不含有毒有害物质，因此产生的污泥也不含有毒有害物质，不属于《国家危险废物名录（2021版）》中的危险废物。参考《集中式污染治理设施产排污系数手册》（环境保护部华南环境科学研究所，2010年修订）中表4工业废水集中处理设施的物化与生化污泥综合产生系数，医药工业的80%含水率污泥产生系数为8.4～25.1t/万t-废水处理量，结合实际运行情况，项目污泥产生系数取25.1 t/万t-废水处理量，改扩建后项目生产废水处理量为</w:t>
            </w:r>
            <w:r>
              <w:rPr>
                <w:lang w:bidi="ar"/>
              </w:rPr>
              <w:t>1679.81</w:t>
            </w:r>
            <w:r>
              <w:rPr>
                <w:rFonts w:hint="eastAsia"/>
                <w:lang w:bidi="ar"/>
              </w:rPr>
              <w:t>t/a，则污泥产生量约为4.22t/a，交由相关单位处理。</w:t>
            </w:r>
          </w:p>
          <w:p w14:paraId="1D159011">
            <w:pPr>
              <w:widowControl/>
              <w:spacing w:line="360" w:lineRule="auto"/>
              <w:ind w:firstLine="422" w:firstLineChars="200"/>
              <w:rPr>
                <w:b/>
                <w:bCs/>
                <w:lang w:bidi="ar"/>
              </w:rPr>
            </w:pPr>
            <w:r>
              <w:rPr>
                <w:rFonts w:hint="eastAsia"/>
                <w:b/>
                <w:bCs/>
                <w:lang w:bidi="ar"/>
              </w:rPr>
              <w:t>（6）除尘器收集粉尘：</w:t>
            </w:r>
          </w:p>
          <w:p w14:paraId="5F44933F">
            <w:pPr>
              <w:widowControl/>
              <w:spacing w:line="360" w:lineRule="auto"/>
              <w:ind w:firstLine="420" w:firstLineChars="200"/>
              <w:rPr>
                <w:b/>
                <w:bCs/>
                <w:lang w:bidi="ar"/>
              </w:rPr>
            </w:pPr>
            <w:r>
              <w:rPr>
                <w:rFonts w:hint="eastAsia"/>
                <w:lang w:bidi="ar"/>
              </w:rPr>
              <w:t>根据上文分析可知，项目在粉碎时产生的粉尘废气通过集气罩收集后经布袋除尘器处理后排放，收集的粉尘量为0.0063t/a，项目定期对布袋除尘器进行清理，清理出来的粉尘交由相关单位处理。</w:t>
            </w:r>
          </w:p>
          <w:p w14:paraId="7F774E1C">
            <w:pPr>
              <w:widowControl/>
              <w:spacing w:line="360" w:lineRule="auto"/>
              <w:ind w:firstLine="422" w:firstLineChars="200"/>
              <w:rPr>
                <w:b/>
                <w:bCs/>
                <w:lang w:bidi="ar"/>
              </w:rPr>
            </w:pPr>
            <w:r>
              <w:rPr>
                <w:rFonts w:hint="eastAsia"/>
                <w:b/>
                <w:bCs/>
                <w:lang w:bidi="ar"/>
              </w:rPr>
              <w:t>2、生活垃圾</w:t>
            </w:r>
          </w:p>
          <w:p w14:paraId="1EFC97D0">
            <w:pPr>
              <w:widowControl/>
              <w:spacing w:line="360" w:lineRule="auto"/>
              <w:ind w:firstLine="420" w:firstLineChars="200"/>
              <w:rPr>
                <w:lang w:bidi="ar"/>
              </w:rPr>
            </w:pPr>
            <w:r>
              <w:rPr>
                <w:rFonts w:hint="eastAsia"/>
                <w:lang w:bidi="ar"/>
              </w:rPr>
              <w:t>项目劳动定员60人，员工仅在项目区办公，不在项目区食宿。生活垃圾按0.5kg/（人·d）计算，产生的办公生活垃圾为30kg/d、9t/a，垃圾分类装袋后放入楼层垃圾收集箱内，由环卫部门统一清运处理。</w:t>
            </w:r>
          </w:p>
          <w:p w14:paraId="77169598">
            <w:pPr>
              <w:widowControl/>
              <w:spacing w:line="360" w:lineRule="auto"/>
              <w:ind w:firstLine="420" w:firstLineChars="200"/>
            </w:pPr>
            <w:r>
              <w:rPr>
                <w:rFonts w:hint="eastAsia"/>
              </w:rPr>
              <w:t>综上，本项目产生的一般工业固废由交有资格单位回收处置，生活垃圾交环卫部门清运。项目建成后预计全厂固体废物产生及治理情况如下表。</w:t>
            </w:r>
          </w:p>
          <w:p w14:paraId="3875D923">
            <w:pPr>
              <w:autoSpaceDE w:val="0"/>
              <w:autoSpaceDN w:val="0"/>
              <w:adjustRightInd w:val="0"/>
              <w:snapToGrid w:val="0"/>
              <w:jc w:val="center"/>
              <w:rPr>
                <w:b/>
              </w:rPr>
            </w:pPr>
            <w:r>
              <w:rPr>
                <w:rFonts w:hint="eastAsia"/>
                <w:b/>
              </w:rPr>
              <w:t>表4</w:t>
            </w:r>
            <w:r>
              <w:rPr>
                <w:b/>
              </w:rPr>
              <w:t>-2</w:t>
            </w:r>
            <w:r>
              <w:rPr>
                <w:rFonts w:hint="eastAsia"/>
                <w:b/>
              </w:rPr>
              <w:t>3</w:t>
            </w:r>
            <w:r>
              <w:rPr>
                <w:b/>
              </w:rPr>
              <w:t xml:space="preserve">  </w:t>
            </w:r>
            <w:r>
              <w:rPr>
                <w:rFonts w:hint="eastAsia"/>
                <w:b/>
              </w:rPr>
              <w:t>运营期固废产生及治理措施情况一览表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915"/>
              <w:gridCol w:w="1201"/>
              <w:gridCol w:w="1201"/>
              <w:gridCol w:w="3539"/>
            </w:tblGrid>
            <w:tr w14:paraId="00279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394" w:type="pct"/>
                  <w:shd w:val="clear" w:color="auto" w:fill="auto"/>
                  <w:vAlign w:val="center"/>
                </w:tcPr>
                <w:p w14:paraId="1C17E35E">
                  <w:pPr>
                    <w:widowControl/>
                    <w:jc w:val="center"/>
                    <w:rPr>
                      <w:b/>
                      <w:bCs/>
                      <w:lang w:bidi="ar"/>
                    </w:rPr>
                  </w:pPr>
                  <w:r>
                    <w:rPr>
                      <w:rFonts w:hint="eastAsia"/>
                      <w:b/>
                      <w:bCs/>
                      <w:lang w:bidi="ar"/>
                    </w:rPr>
                    <w:t>序号</w:t>
                  </w:r>
                </w:p>
              </w:tc>
              <w:tc>
                <w:tcPr>
                  <w:tcW w:w="1123" w:type="pct"/>
                  <w:shd w:val="clear" w:color="auto" w:fill="auto"/>
                  <w:vAlign w:val="center"/>
                </w:tcPr>
                <w:p w14:paraId="5B7A43D8">
                  <w:pPr>
                    <w:widowControl/>
                    <w:jc w:val="center"/>
                    <w:rPr>
                      <w:b/>
                      <w:bCs/>
                      <w:lang w:bidi="ar"/>
                    </w:rPr>
                  </w:pPr>
                  <w:r>
                    <w:rPr>
                      <w:rFonts w:hint="eastAsia"/>
                      <w:b/>
                      <w:bCs/>
                      <w:lang w:bidi="ar"/>
                    </w:rPr>
                    <w:t>名称</w:t>
                  </w:r>
                </w:p>
              </w:tc>
              <w:tc>
                <w:tcPr>
                  <w:tcW w:w="704" w:type="pct"/>
                  <w:shd w:val="clear" w:color="auto" w:fill="auto"/>
                  <w:vAlign w:val="center"/>
                </w:tcPr>
                <w:p w14:paraId="7C89A63C">
                  <w:pPr>
                    <w:widowControl/>
                    <w:jc w:val="center"/>
                    <w:rPr>
                      <w:b/>
                      <w:bCs/>
                      <w:lang w:bidi="ar"/>
                    </w:rPr>
                  </w:pPr>
                  <w:r>
                    <w:rPr>
                      <w:rFonts w:hint="eastAsia"/>
                      <w:b/>
                      <w:bCs/>
                      <w:lang w:bidi="ar"/>
                    </w:rPr>
                    <w:t>产生量（</w:t>
                  </w:r>
                  <w:r>
                    <w:rPr>
                      <w:b/>
                      <w:bCs/>
                      <w:lang w:bidi="ar"/>
                    </w:rPr>
                    <w:t>t/a</w:t>
                  </w:r>
                  <w:r>
                    <w:rPr>
                      <w:rFonts w:hint="eastAsia"/>
                      <w:b/>
                      <w:bCs/>
                      <w:lang w:bidi="ar"/>
                    </w:rPr>
                    <w:t>）</w:t>
                  </w:r>
                </w:p>
              </w:tc>
              <w:tc>
                <w:tcPr>
                  <w:tcW w:w="704" w:type="pct"/>
                  <w:shd w:val="clear" w:color="auto" w:fill="auto"/>
                  <w:vAlign w:val="center"/>
                </w:tcPr>
                <w:p w14:paraId="47BB33CC">
                  <w:pPr>
                    <w:widowControl/>
                    <w:jc w:val="center"/>
                    <w:rPr>
                      <w:b/>
                      <w:bCs/>
                      <w:lang w:bidi="ar"/>
                    </w:rPr>
                  </w:pPr>
                  <w:r>
                    <w:rPr>
                      <w:rFonts w:hint="eastAsia"/>
                      <w:b/>
                      <w:bCs/>
                      <w:lang w:bidi="ar"/>
                    </w:rPr>
                    <w:t>固废种类</w:t>
                  </w:r>
                </w:p>
              </w:tc>
              <w:tc>
                <w:tcPr>
                  <w:tcW w:w="2075" w:type="pct"/>
                  <w:shd w:val="clear" w:color="auto" w:fill="auto"/>
                  <w:vAlign w:val="center"/>
                </w:tcPr>
                <w:p w14:paraId="73BEF771">
                  <w:pPr>
                    <w:widowControl/>
                    <w:jc w:val="center"/>
                    <w:rPr>
                      <w:b/>
                      <w:bCs/>
                      <w:lang w:bidi="ar"/>
                    </w:rPr>
                  </w:pPr>
                  <w:r>
                    <w:rPr>
                      <w:rFonts w:hint="eastAsia"/>
                      <w:b/>
                      <w:bCs/>
                      <w:lang w:bidi="ar"/>
                    </w:rPr>
                    <w:t>处置措施</w:t>
                  </w:r>
                </w:p>
              </w:tc>
            </w:tr>
            <w:tr w14:paraId="092BD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94" w:type="pct"/>
                  <w:shd w:val="clear" w:color="auto" w:fill="auto"/>
                  <w:vAlign w:val="center"/>
                </w:tcPr>
                <w:p w14:paraId="0AEC8643">
                  <w:pPr>
                    <w:widowControl/>
                    <w:jc w:val="center"/>
                    <w:rPr>
                      <w:lang w:bidi="ar"/>
                    </w:rPr>
                  </w:pPr>
                  <w:r>
                    <w:rPr>
                      <w:lang w:bidi="ar"/>
                    </w:rPr>
                    <w:t>1</w:t>
                  </w:r>
                </w:p>
              </w:tc>
              <w:tc>
                <w:tcPr>
                  <w:tcW w:w="1123" w:type="pct"/>
                  <w:shd w:val="clear" w:color="auto" w:fill="auto"/>
                  <w:vAlign w:val="center"/>
                </w:tcPr>
                <w:p w14:paraId="2EE75E42">
                  <w:pPr>
                    <w:widowControl/>
                    <w:jc w:val="center"/>
                    <w:rPr>
                      <w:lang w:bidi="ar"/>
                    </w:rPr>
                  </w:pPr>
                  <w:r>
                    <w:rPr>
                      <w:rFonts w:hint="eastAsia"/>
                      <w:lang w:bidi="ar"/>
                    </w:rPr>
                    <w:t>药渣</w:t>
                  </w:r>
                </w:p>
              </w:tc>
              <w:tc>
                <w:tcPr>
                  <w:tcW w:w="704" w:type="pct"/>
                  <w:shd w:val="clear" w:color="auto" w:fill="auto"/>
                  <w:vAlign w:val="center"/>
                </w:tcPr>
                <w:p w14:paraId="7D17C861">
                  <w:pPr>
                    <w:widowControl/>
                    <w:jc w:val="center"/>
                    <w:rPr>
                      <w:rFonts w:hint="eastAsia"/>
                      <w:lang w:bidi="ar"/>
                    </w:rPr>
                  </w:pPr>
                  <w:r>
                    <w:rPr>
                      <w:rFonts w:hint="eastAsia"/>
                      <w:lang w:bidi="ar"/>
                    </w:rPr>
                    <w:t>72</w:t>
                  </w:r>
                </w:p>
              </w:tc>
              <w:tc>
                <w:tcPr>
                  <w:tcW w:w="704" w:type="pct"/>
                  <w:vMerge w:val="restart"/>
                  <w:shd w:val="clear" w:color="auto" w:fill="auto"/>
                  <w:vAlign w:val="center"/>
                </w:tcPr>
                <w:p w14:paraId="146F2DF6">
                  <w:pPr>
                    <w:widowControl/>
                    <w:jc w:val="center"/>
                    <w:rPr>
                      <w:lang w:bidi="ar"/>
                    </w:rPr>
                  </w:pPr>
                  <w:r>
                    <w:rPr>
                      <w:rFonts w:hint="eastAsia"/>
                      <w:lang w:bidi="ar"/>
                    </w:rPr>
                    <w:t>一般固废</w:t>
                  </w:r>
                </w:p>
              </w:tc>
              <w:tc>
                <w:tcPr>
                  <w:tcW w:w="2075" w:type="pct"/>
                  <w:shd w:val="clear" w:color="auto" w:fill="auto"/>
                  <w:vAlign w:val="center"/>
                </w:tcPr>
                <w:p w14:paraId="0842E3DA">
                  <w:pPr>
                    <w:widowControl/>
                    <w:jc w:val="center"/>
                    <w:rPr>
                      <w:lang w:bidi="ar"/>
                    </w:rPr>
                  </w:pPr>
                  <w:r>
                    <w:rPr>
                      <w:rFonts w:hint="eastAsia"/>
                      <w:lang w:bidi="ar"/>
                    </w:rPr>
                    <w:t>收集后暂存于药渣暂存间，定期交资源回收公司处置</w:t>
                  </w:r>
                </w:p>
              </w:tc>
            </w:tr>
            <w:tr w14:paraId="3CB0FA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94" w:type="pct"/>
                  <w:shd w:val="clear" w:color="auto" w:fill="auto"/>
                  <w:vAlign w:val="center"/>
                </w:tcPr>
                <w:p w14:paraId="73298836">
                  <w:pPr>
                    <w:widowControl/>
                    <w:jc w:val="center"/>
                    <w:rPr>
                      <w:lang w:bidi="ar"/>
                    </w:rPr>
                  </w:pPr>
                  <w:r>
                    <w:rPr>
                      <w:rFonts w:hint="eastAsia"/>
                      <w:lang w:bidi="ar"/>
                    </w:rPr>
                    <w:t>2</w:t>
                  </w:r>
                </w:p>
              </w:tc>
              <w:tc>
                <w:tcPr>
                  <w:tcW w:w="1123" w:type="pct"/>
                  <w:shd w:val="clear" w:color="auto" w:fill="auto"/>
                  <w:vAlign w:val="center"/>
                </w:tcPr>
                <w:p w14:paraId="1B5B7C9A">
                  <w:pPr>
                    <w:widowControl/>
                    <w:jc w:val="center"/>
                    <w:rPr>
                      <w:lang w:bidi="ar"/>
                    </w:rPr>
                  </w:pPr>
                  <w:r>
                    <w:rPr>
                      <w:rFonts w:hint="eastAsia"/>
                      <w:lang w:bidi="ar"/>
                    </w:rPr>
                    <w:t>废药渣袋</w:t>
                  </w:r>
                </w:p>
              </w:tc>
              <w:tc>
                <w:tcPr>
                  <w:tcW w:w="704" w:type="pct"/>
                  <w:shd w:val="clear" w:color="auto" w:fill="auto"/>
                  <w:vAlign w:val="center"/>
                </w:tcPr>
                <w:p w14:paraId="1FC7D286">
                  <w:pPr>
                    <w:widowControl/>
                    <w:jc w:val="center"/>
                    <w:rPr>
                      <w:lang w:bidi="ar"/>
                    </w:rPr>
                  </w:pPr>
                  <w:r>
                    <w:rPr>
                      <w:rFonts w:hint="eastAsia"/>
                      <w:lang w:bidi="ar"/>
                    </w:rPr>
                    <w:t>0.2</w:t>
                  </w:r>
                </w:p>
              </w:tc>
              <w:tc>
                <w:tcPr>
                  <w:tcW w:w="704" w:type="pct"/>
                  <w:vMerge w:val="continue"/>
                  <w:shd w:val="clear" w:color="auto" w:fill="auto"/>
                  <w:vAlign w:val="center"/>
                </w:tcPr>
                <w:p w14:paraId="4FE42975">
                  <w:pPr>
                    <w:widowControl/>
                    <w:jc w:val="center"/>
                    <w:rPr>
                      <w:lang w:bidi="ar"/>
                    </w:rPr>
                  </w:pPr>
                </w:p>
              </w:tc>
              <w:tc>
                <w:tcPr>
                  <w:tcW w:w="2075" w:type="pct"/>
                  <w:shd w:val="clear" w:color="auto" w:fill="auto"/>
                  <w:vAlign w:val="center"/>
                </w:tcPr>
                <w:p w14:paraId="7F1751FB">
                  <w:pPr>
                    <w:widowControl/>
                    <w:jc w:val="center"/>
                    <w:rPr>
                      <w:lang w:bidi="ar"/>
                    </w:rPr>
                  </w:pPr>
                  <w:r>
                    <w:rPr>
                      <w:rFonts w:hint="eastAsia"/>
                      <w:lang w:bidi="ar"/>
                    </w:rPr>
                    <w:t>收集后暂存于药渣暂存间，定期交资源回收公司处置</w:t>
                  </w:r>
                </w:p>
              </w:tc>
            </w:tr>
            <w:tr w14:paraId="6327BB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94" w:type="pct"/>
                  <w:shd w:val="clear" w:color="auto" w:fill="auto"/>
                  <w:vAlign w:val="center"/>
                </w:tcPr>
                <w:p w14:paraId="6C7E4570">
                  <w:pPr>
                    <w:widowControl/>
                    <w:jc w:val="center"/>
                    <w:rPr>
                      <w:lang w:bidi="ar"/>
                    </w:rPr>
                  </w:pPr>
                  <w:r>
                    <w:rPr>
                      <w:rFonts w:hint="eastAsia"/>
                      <w:lang w:bidi="ar"/>
                    </w:rPr>
                    <w:t>3</w:t>
                  </w:r>
                </w:p>
              </w:tc>
              <w:tc>
                <w:tcPr>
                  <w:tcW w:w="1123" w:type="pct"/>
                  <w:shd w:val="clear" w:color="auto" w:fill="auto"/>
                  <w:vAlign w:val="center"/>
                </w:tcPr>
                <w:p w14:paraId="433ADD1D">
                  <w:pPr>
                    <w:widowControl/>
                    <w:jc w:val="center"/>
                    <w:rPr>
                      <w:lang w:bidi="ar"/>
                    </w:rPr>
                  </w:pPr>
                  <w:r>
                    <w:rPr>
                      <w:rFonts w:hint="eastAsia"/>
                      <w:lang w:bidi="ar"/>
                    </w:rPr>
                    <w:t>包装垃圾</w:t>
                  </w:r>
                </w:p>
              </w:tc>
              <w:tc>
                <w:tcPr>
                  <w:tcW w:w="704" w:type="pct"/>
                  <w:shd w:val="clear" w:color="auto" w:fill="auto"/>
                  <w:vAlign w:val="center"/>
                </w:tcPr>
                <w:p w14:paraId="44416C17">
                  <w:pPr>
                    <w:widowControl/>
                    <w:jc w:val="center"/>
                    <w:rPr>
                      <w:rFonts w:hint="eastAsia"/>
                      <w:lang w:bidi="ar"/>
                    </w:rPr>
                  </w:pPr>
                  <w:r>
                    <w:rPr>
                      <w:rFonts w:hint="eastAsia"/>
                      <w:lang w:bidi="ar"/>
                    </w:rPr>
                    <w:t>0.5</w:t>
                  </w:r>
                </w:p>
              </w:tc>
              <w:tc>
                <w:tcPr>
                  <w:tcW w:w="704" w:type="pct"/>
                  <w:vMerge w:val="continue"/>
                  <w:shd w:val="clear" w:color="auto" w:fill="auto"/>
                  <w:vAlign w:val="center"/>
                </w:tcPr>
                <w:p w14:paraId="1CDC7DEF">
                  <w:pPr>
                    <w:widowControl/>
                    <w:jc w:val="center"/>
                    <w:rPr>
                      <w:lang w:bidi="ar"/>
                    </w:rPr>
                  </w:pPr>
                </w:p>
              </w:tc>
              <w:tc>
                <w:tcPr>
                  <w:tcW w:w="2075" w:type="pct"/>
                  <w:shd w:val="clear" w:color="auto" w:fill="auto"/>
                  <w:vAlign w:val="center"/>
                </w:tcPr>
                <w:p w14:paraId="51D7E98E">
                  <w:pPr>
                    <w:widowControl/>
                    <w:jc w:val="center"/>
                    <w:rPr>
                      <w:lang w:bidi="ar"/>
                    </w:rPr>
                  </w:pPr>
                  <w:r>
                    <w:rPr>
                      <w:rFonts w:hint="eastAsia"/>
                      <w:lang w:bidi="ar"/>
                    </w:rPr>
                    <w:t>环卫部门统一清运处理</w:t>
                  </w:r>
                </w:p>
              </w:tc>
            </w:tr>
            <w:tr w14:paraId="0551A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94" w:type="pct"/>
                  <w:shd w:val="clear" w:color="auto" w:fill="auto"/>
                  <w:vAlign w:val="center"/>
                </w:tcPr>
                <w:p w14:paraId="064208CD">
                  <w:pPr>
                    <w:widowControl/>
                    <w:jc w:val="center"/>
                    <w:rPr>
                      <w:lang w:bidi="ar"/>
                    </w:rPr>
                  </w:pPr>
                  <w:r>
                    <w:rPr>
                      <w:rFonts w:hint="eastAsia"/>
                      <w:lang w:bidi="ar"/>
                    </w:rPr>
                    <w:t>4</w:t>
                  </w:r>
                </w:p>
              </w:tc>
              <w:tc>
                <w:tcPr>
                  <w:tcW w:w="1123" w:type="pct"/>
                  <w:shd w:val="clear" w:color="auto" w:fill="auto"/>
                  <w:vAlign w:val="center"/>
                </w:tcPr>
                <w:p w14:paraId="2E585BF8">
                  <w:pPr>
                    <w:widowControl/>
                    <w:jc w:val="center"/>
                    <w:rPr>
                      <w:lang w:bidi="ar"/>
                    </w:rPr>
                  </w:pPr>
                  <w:r>
                    <w:rPr>
                      <w:rFonts w:hint="eastAsia"/>
                      <w:lang w:bidi="ar"/>
                    </w:rPr>
                    <w:t>废滤水材料</w:t>
                  </w:r>
                </w:p>
              </w:tc>
              <w:tc>
                <w:tcPr>
                  <w:tcW w:w="704" w:type="pct"/>
                  <w:shd w:val="clear" w:color="auto" w:fill="auto"/>
                  <w:vAlign w:val="center"/>
                </w:tcPr>
                <w:p w14:paraId="0ECCF51D">
                  <w:pPr>
                    <w:widowControl/>
                    <w:jc w:val="center"/>
                    <w:rPr>
                      <w:rFonts w:hint="eastAsia"/>
                      <w:lang w:bidi="ar"/>
                    </w:rPr>
                  </w:pPr>
                  <w:r>
                    <w:rPr>
                      <w:rFonts w:hint="eastAsia"/>
                      <w:lang w:bidi="ar"/>
                    </w:rPr>
                    <w:t>1.5</w:t>
                  </w:r>
                </w:p>
              </w:tc>
              <w:tc>
                <w:tcPr>
                  <w:tcW w:w="704" w:type="pct"/>
                  <w:vMerge w:val="continue"/>
                  <w:shd w:val="clear" w:color="auto" w:fill="auto"/>
                  <w:vAlign w:val="center"/>
                </w:tcPr>
                <w:p w14:paraId="67E41FF7">
                  <w:pPr>
                    <w:widowControl/>
                    <w:jc w:val="center"/>
                    <w:rPr>
                      <w:lang w:bidi="ar"/>
                    </w:rPr>
                  </w:pPr>
                </w:p>
              </w:tc>
              <w:tc>
                <w:tcPr>
                  <w:tcW w:w="2075" w:type="pct"/>
                  <w:shd w:val="clear" w:color="auto" w:fill="auto"/>
                  <w:vAlign w:val="center"/>
                </w:tcPr>
                <w:p w14:paraId="35AB3D0B">
                  <w:pPr>
                    <w:widowControl/>
                    <w:jc w:val="center"/>
                    <w:rPr>
                      <w:lang w:bidi="ar"/>
                    </w:rPr>
                  </w:pPr>
                  <w:r>
                    <w:rPr>
                      <w:rFonts w:hint="eastAsia"/>
                      <w:lang w:bidi="ar"/>
                    </w:rPr>
                    <w:t>收集后由厂家回收利用</w:t>
                  </w:r>
                </w:p>
              </w:tc>
            </w:tr>
            <w:tr w14:paraId="264B9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94" w:type="pct"/>
                  <w:shd w:val="clear" w:color="auto" w:fill="auto"/>
                  <w:vAlign w:val="center"/>
                </w:tcPr>
                <w:p w14:paraId="27B017F6">
                  <w:pPr>
                    <w:widowControl/>
                    <w:jc w:val="center"/>
                    <w:rPr>
                      <w:lang w:bidi="ar"/>
                    </w:rPr>
                  </w:pPr>
                  <w:r>
                    <w:rPr>
                      <w:rFonts w:hint="eastAsia"/>
                      <w:lang w:bidi="ar"/>
                    </w:rPr>
                    <w:t>5</w:t>
                  </w:r>
                </w:p>
              </w:tc>
              <w:tc>
                <w:tcPr>
                  <w:tcW w:w="1123" w:type="pct"/>
                  <w:shd w:val="clear" w:color="auto" w:fill="auto"/>
                  <w:vAlign w:val="center"/>
                </w:tcPr>
                <w:p w14:paraId="2993FB81">
                  <w:pPr>
                    <w:widowControl/>
                    <w:jc w:val="center"/>
                    <w:rPr>
                      <w:lang w:bidi="ar"/>
                    </w:rPr>
                  </w:pPr>
                  <w:r>
                    <w:rPr>
                      <w:rFonts w:hint="eastAsia"/>
                      <w:lang w:bidi="ar"/>
                    </w:rPr>
                    <w:t>生产废水处理设施污泥</w:t>
                  </w:r>
                </w:p>
              </w:tc>
              <w:tc>
                <w:tcPr>
                  <w:tcW w:w="704" w:type="pct"/>
                  <w:shd w:val="clear" w:color="auto" w:fill="auto"/>
                  <w:vAlign w:val="center"/>
                </w:tcPr>
                <w:p w14:paraId="2D24541D">
                  <w:pPr>
                    <w:widowControl/>
                    <w:jc w:val="center"/>
                    <w:rPr>
                      <w:rFonts w:hint="eastAsia"/>
                      <w:lang w:bidi="ar"/>
                    </w:rPr>
                  </w:pPr>
                  <w:r>
                    <w:rPr>
                      <w:rFonts w:hint="eastAsia"/>
                      <w:lang w:bidi="ar"/>
                    </w:rPr>
                    <w:t>4.22</w:t>
                  </w:r>
                </w:p>
              </w:tc>
              <w:tc>
                <w:tcPr>
                  <w:tcW w:w="704" w:type="pct"/>
                  <w:vMerge w:val="continue"/>
                  <w:shd w:val="clear" w:color="auto" w:fill="auto"/>
                  <w:vAlign w:val="center"/>
                </w:tcPr>
                <w:p w14:paraId="65BBA49D">
                  <w:pPr>
                    <w:widowControl/>
                    <w:jc w:val="center"/>
                    <w:rPr>
                      <w:lang w:bidi="ar"/>
                    </w:rPr>
                  </w:pPr>
                </w:p>
              </w:tc>
              <w:tc>
                <w:tcPr>
                  <w:tcW w:w="2075" w:type="pct"/>
                  <w:shd w:val="clear" w:color="auto" w:fill="auto"/>
                  <w:vAlign w:val="center"/>
                </w:tcPr>
                <w:p w14:paraId="6AA71132">
                  <w:pPr>
                    <w:jc w:val="center"/>
                    <w:rPr>
                      <w:lang w:bidi="ar"/>
                    </w:rPr>
                  </w:pPr>
                  <w:r>
                    <w:rPr>
                      <w:rFonts w:hint="eastAsia"/>
                      <w:lang w:bidi="ar"/>
                    </w:rPr>
                    <w:t>环卫部门统一清运处理</w:t>
                  </w:r>
                </w:p>
              </w:tc>
            </w:tr>
            <w:tr w14:paraId="4458B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94" w:type="pct"/>
                  <w:shd w:val="clear" w:color="auto" w:fill="auto"/>
                  <w:vAlign w:val="center"/>
                </w:tcPr>
                <w:p w14:paraId="3CCC8B6C">
                  <w:pPr>
                    <w:widowControl/>
                    <w:jc w:val="center"/>
                    <w:rPr>
                      <w:lang w:bidi="ar"/>
                    </w:rPr>
                  </w:pPr>
                  <w:r>
                    <w:rPr>
                      <w:rFonts w:hint="eastAsia"/>
                      <w:lang w:bidi="ar"/>
                    </w:rPr>
                    <w:t>6</w:t>
                  </w:r>
                </w:p>
              </w:tc>
              <w:tc>
                <w:tcPr>
                  <w:tcW w:w="1123" w:type="pct"/>
                  <w:shd w:val="clear" w:color="auto" w:fill="auto"/>
                  <w:vAlign w:val="center"/>
                </w:tcPr>
                <w:p w14:paraId="0E0D70A0">
                  <w:pPr>
                    <w:widowControl/>
                    <w:jc w:val="center"/>
                    <w:rPr>
                      <w:lang w:bidi="ar"/>
                    </w:rPr>
                  </w:pPr>
                  <w:r>
                    <w:rPr>
                      <w:rFonts w:hint="eastAsia"/>
                      <w:lang w:bidi="ar"/>
                    </w:rPr>
                    <w:t>除尘器收集粉尘</w:t>
                  </w:r>
                </w:p>
              </w:tc>
              <w:tc>
                <w:tcPr>
                  <w:tcW w:w="704" w:type="pct"/>
                  <w:shd w:val="clear" w:color="auto" w:fill="auto"/>
                  <w:vAlign w:val="center"/>
                </w:tcPr>
                <w:p w14:paraId="34A65B0E">
                  <w:pPr>
                    <w:widowControl/>
                    <w:jc w:val="center"/>
                    <w:rPr>
                      <w:rFonts w:hint="eastAsia"/>
                      <w:lang w:bidi="ar"/>
                    </w:rPr>
                  </w:pPr>
                  <w:r>
                    <w:rPr>
                      <w:rFonts w:hint="eastAsia"/>
                      <w:lang w:bidi="ar"/>
                    </w:rPr>
                    <w:t>0.0063</w:t>
                  </w:r>
                </w:p>
              </w:tc>
              <w:tc>
                <w:tcPr>
                  <w:tcW w:w="704" w:type="pct"/>
                  <w:vMerge w:val="continue"/>
                  <w:shd w:val="clear" w:color="auto" w:fill="auto"/>
                  <w:vAlign w:val="center"/>
                </w:tcPr>
                <w:p w14:paraId="6CFFF303">
                  <w:pPr>
                    <w:widowControl/>
                    <w:jc w:val="center"/>
                    <w:rPr>
                      <w:lang w:bidi="ar"/>
                    </w:rPr>
                  </w:pPr>
                </w:p>
              </w:tc>
              <w:tc>
                <w:tcPr>
                  <w:tcW w:w="2075" w:type="pct"/>
                  <w:shd w:val="clear" w:color="auto" w:fill="auto"/>
                  <w:vAlign w:val="center"/>
                </w:tcPr>
                <w:p w14:paraId="321AAC82">
                  <w:pPr>
                    <w:widowControl/>
                    <w:jc w:val="center"/>
                    <w:rPr>
                      <w:lang w:bidi="ar"/>
                    </w:rPr>
                  </w:pPr>
                  <w:r>
                    <w:rPr>
                      <w:rFonts w:hint="eastAsia"/>
                      <w:lang w:bidi="ar"/>
                    </w:rPr>
                    <w:t>收集后暂存于药渣暂存间，定期交资源回收公司处置</w:t>
                  </w:r>
                </w:p>
              </w:tc>
            </w:tr>
            <w:tr w14:paraId="4B1C1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94" w:type="pct"/>
                  <w:shd w:val="clear" w:color="auto" w:fill="auto"/>
                  <w:vAlign w:val="center"/>
                </w:tcPr>
                <w:p w14:paraId="2937901B">
                  <w:pPr>
                    <w:widowControl/>
                    <w:jc w:val="center"/>
                    <w:rPr>
                      <w:lang w:bidi="ar"/>
                    </w:rPr>
                  </w:pPr>
                  <w:r>
                    <w:rPr>
                      <w:rFonts w:hint="eastAsia"/>
                      <w:lang w:bidi="ar"/>
                    </w:rPr>
                    <w:t>16</w:t>
                  </w:r>
                </w:p>
              </w:tc>
              <w:tc>
                <w:tcPr>
                  <w:tcW w:w="1123" w:type="pct"/>
                  <w:shd w:val="clear" w:color="auto" w:fill="auto"/>
                  <w:vAlign w:val="center"/>
                </w:tcPr>
                <w:p w14:paraId="53A019B3">
                  <w:pPr>
                    <w:widowControl/>
                    <w:jc w:val="center"/>
                    <w:rPr>
                      <w:lang w:bidi="ar"/>
                    </w:rPr>
                  </w:pPr>
                  <w:r>
                    <w:rPr>
                      <w:rFonts w:hint="eastAsia"/>
                      <w:lang w:bidi="ar"/>
                    </w:rPr>
                    <w:t>生活垃圾</w:t>
                  </w:r>
                </w:p>
              </w:tc>
              <w:tc>
                <w:tcPr>
                  <w:tcW w:w="704" w:type="pct"/>
                  <w:shd w:val="clear" w:color="auto" w:fill="auto"/>
                  <w:vAlign w:val="center"/>
                </w:tcPr>
                <w:p w14:paraId="4006C337">
                  <w:pPr>
                    <w:widowControl/>
                    <w:jc w:val="center"/>
                    <w:rPr>
                      <w:lang w:bidi="ar"/>
                    </w:rPr>
                  </w:pPr>
                  <w:r>
                    <w:rPr>
                      <w:rFonts w:hint="eastAsia"/>
                      <w:lang w:bidi="ar"/>
                    </w:rPr>
                    <w:t>9</w:t>
                  </w:r>
                </w:p>
              </w:tc>
              <w:tc>
                <w:tcPr>
                  <w:tcW w:w="704" w:type="pct"/>
                  <w:shd w:val="clear" w:color="auto" w:fill="auto"/>
                  <w:vAlign w:val="center"/>
                </w:tcPr>
                <w:p w14:paraId="5E7BF0FE">
                  <w:pPr>
                    <w:widowControl/>
                    <w:jc w:val="center"/>
                    <w:rPr>
                      <w:lang w:bidi="ar"/>
                    </w:rPr>
                  </w:pPr>
                  <w:r>
                    <w:rPr>
                      <w:rFonts w:hint="eastAsia"/>
                      <w:lang w:bidi="ar"/>
                    </w:rPr>
                    <w:t>生活垃圾</w:t>
                  </w:r>
                </w:p>
              </w:tc>
              <w:tc>
                <w:tcPr>
                  <w:tcW w:w="2075" w:type="pct"/>
                  <w:shd w:val="clear" w:color="auto" w:fill="auto"/>
                  <w:vAlign w:val="center"/>
                </w:tcPr>
                <w:p w14:paraId="53D91C36">
                  <w:pPr>
                    <w:widowControl/>
                    <w:jc w:val="center"/>
                    <w:rPr>
                      <w:lang w:bidi="ar"/>
                    </w:rPr>
                  </w:pPr>
                  <w:r>
                    <w:rPr>
                      <w:rFonts w:hint="eastAsia"/>
                      <w:lang w:bidi="ar"/>
                    </w:rPr>
                    <w:t>环卫部门统一清运处理</w:t>
                  </w:r>
                </w:p>
              </w:tc>
            </w:tr>
          </w:tbl>
          <w:p w14:paraId="368A0D9F">
            <w:pPr>
              <w:widowControl/>
              <w:spacing w:line="360" w:lineRule="auto"/>
              <w:ind w:firstLine="422" w:firstLineChars="200"/>
              <w:rPr>
                <w:b/>
                <w:bCs/>
                <w:lang w:bidi="ar"/>
              </w:rPr>
            </w:pPr>
            <w:r>
              <w:rPr>
                <w:rFonts w:hint="eastAsia"/>
                <w:b/>
                <w:bCs/>
                <w:lang w:bidi="ar"/>
              </w:rPr>
              <w:t>（二）固体废物的暂存与处置及环境管理要求</w:t>
            </w:r>
          </w:p>
          <w:p w14:paraId="693961CE">
            <w:pPr>
              <w:widowControl/>
              <w:spacing w:line="360" w:lineRule="auto"/>
              <w:ind w:firstLine="422" w:firstLineChars="200"/>
              <w:rPr>
                <w:b/>
                <w:bCs/>
                <w:lang w:bidi="ar"/>
              </w:rPr>
            </w:pPr>
            <w:r>
              <w:rPr>
                <w:rFonts w:hint="eastAsia"/>
                <w:b/>
                <w:bCs/>
                <w:lang w:bidi="ar"/>
              </w:rPr>
              <w:t>1、一般固体废物</w:t>
            </w:r>
          </w:p>
          <w:p w14:paraId="51F154C9">
            <w:pPr>
              <w:widowControl/>
              <w:spacing w:line="360" w:lineRule="auto"/>
              <w:ind w:firstLine="420" w:firstLineChars="200"/>
              <w:rPr>
                <w:lang w:bidi="ar"/>
              </w:rPr>
            </w:pPr>
            <w:r>
              <w:rPr>
                <w:rFonts w:hint="eastAsia"/>
                <w:lang w:bidi="ar"/>
              </w:rPr>
              <w:t>本次拟在厂区内新建1座药渣暂存及清洗间，面积约为24.5m</w:t>
            </w:r>
            <w:r>
              <w:rPr>
                <w:rFonts w:hint="eastAsia"/>
                <w:vertAlign w:val="superscript"/>
                <w:lang w:bidi="ar"/>
              </w:rPr>
              <w:t>2</w:t>
            </w:r>
            <w:r>
              <w:rPr>
                <w:rFonts w:hint="eastAsia"/>
                <w:lang w:bidi="ar"/>
              </w:rPr>
              <w:t>，产生的药渣等固废暂存于该药渣暂存及清洗间内，定期由有资质单位回收利用。废包装垃圾、污泥等由分类收集与车间收集桶内，定期由环卫部门统一清运。一般固废暂存设施参照《一般工业固体废物贮存和填埋污染控制标准》（GB18599-2020）中的相关规定要求进行设置，做好防风、防雨、防晒、防渗等措施，相关标识标牌需参照《环境保护图形标志-固体废物贮存（处置）场》（GB15562.2-1995）中的相关规定要求进行设置，满足项目一般固废的临时贮存需求。厂区内设置生活垃圾投放点，每日由厂内清洁人员回收至加盖的移动式垃圾桶内后定期交由环卫部门清运。</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27"/>
            </w:tblGrid>
            <w:tr w14:paraId="08833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5000" w:type="pct"/>
                  <w:shd w:val="clear" w:color="auto" w:fill="auto"/>
                  <w:vAlign w:val="center"/>
                </w:tcPr>
                <w:p w14:paraId="324E7FA2">
                  <w:pPr>
                    <w:jc w:val="center"/>
                  </w:pPr>
                  <w:r>
                    <w:drawing>
                      <wp:inline distT="0" distB="0" distL="0" distR="0">
                        <wp:extent cx="3057525" cy="1892935"/>
                        <wp:effectExtent l="0" t="0" r="0" b="0"/>
                        <wp:docPr id="1747071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71914"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068162" cy="1899588"/>
                                </a:xfrm>
                                <a:prstGeom prst="rect">
                                  <a:avLst/>
                                </a:prstGeom>
                                <a:noFill/>
                                <a:ln>
                                  <a:noFill/>
                                </a:ln>
                              </pic:spPr>
                            </pic:pic>
                          </a:graphicData>
                        </a:graphic>
                      </wp:inline>
                    </w:drawing>
                  </w:r>
                </w:p>
              </w:tc>
            </w:tr>
            <w:tr w14:paraId="569D2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4" w:hRule="atLeast"/>
                <w:jc w:val="center"/>
              </w:trPr>
              <w:tc>
                <w:tcPr>
                  <w:tcW w:w="5000" w:type="pct"/>
                  <w:shd w:val="clear" w:color="auto" w:fill="auto"/>
                  <w:vAlign w:val="center"/>
                </w:tcPr>
                <w:p w14:paraId="2BF44F90">
                  <w:pPr>
                    <w:autoSpaceDE w:val="0"/>
                    <w:autoSpaceDN w:val="0"/>
                    <w:adjustRightInd w:val="0"/>
                    <w:snapToGrid w:val="0"/>
                    <w:jc w:val="center"/>
                    <w:rPr>
                      <w:bCs/>
                      <w:kern w:val="28"/>
                    </w:rPr>
                  </w:pPr>
                  <w:r>
                    <w:rPr>
                      <w:rFonts w:hint="eastAsia"/>
                      <w:b/>
                    </w:rPr>
                    <w:t>图4-2 一般工业固体废物标识标牌示例图</w:t>
                  </w:r>
                </w:p>
              </w:tc>
            </w:tr>
          </w:tbl>
          <w:p w14:paraId="75F4B0AC">
            <w:pPr>
              <w:widowControl/>
              <w:spacing w:line="360" w:lineRule="auto"/>
              <w:ind w:firstLine="420" w:firstLineChars="200"/>
              <w:rPr>
                <w:lang w:bidi="ar"/>
              </w:rPr>
            </w:pPr>
            <w:r>
              <w:rPr>
                <w:rFonts w:hint="eastAsia"/>
                <w:lang w:bidi="ar"/>
              </w:rPr>
              <w:t>综上所述，在采取以上措施后，项目运营期产生的一般固体废弃物和生活垃圾去向明确，不会对环境造成二次污染。</w:t>
            </w:r>
          </w:p>
          <w:p w14:paraId="472AA587">
            <w:pPr>
              <w:widowControl/>
              <w:spacing w:line="360" w:lineRule="auto"/>
              <w:ind w:firstLine="422" w:firstLineChars="200"/>
              <w:rPr>
                <w:b/>
                <w:bCs/>
                <w:lang w:bidi="ar"/>
              </w:rPr>
            </w:pPr>
            <w:r>
              <w:rPr>
                <w:rFonts w:hint="eastAsia"/>
                <w:b/>
                <w:bCs/>
                <w:lang w:bidi="ar"/>
              </w:rPr>
              <w:t>五、地下水及土壤环境影响及保护措施</w:t>
            </w:r>
          </w:p>
          <w:p w14:paraId="4A1D0D60">
            <w:pPr>
              <w:widowControl/>
              <w:spacing w:line="360" w:lineRule="auto"/>
              <w:ind w:firstLine="422" w:firstLineChars="200"/>
              <w:rPr>
                <w:b/>
                <w:bCs/>
                <w:lang w:bidi="ar"/>
              </w:rPr>
            </w:pPr>
            <w:r>
              <w:rPr>
                <w:rFonts w:hint="eastAsia"/>
                <w:b/>
                <w:bCs/>
                <w:lang w:bidi="ar"/>
              </w:rPr>
              <w:t>（一）污染源</w:t>
            </w:r>
          </w:p>
          <w:p w14:paraId="5796F3D7">
            <w:pPr>
              <w:widowControl/>
              <w:spacing w:line="360" w:lineRule="auto"/>
              <w:ind w:firstLine="420" w:firstLineChars="200"/>
              <w:rPr>
                <w:lang w:bidi="ar"/>
              </w:rPr>
            </w:pPr>
            <w:r>
              <w:rPr>
                <w:rFonts w:hint="eastAsia"/>
                <w:lang w:bidi="ar"/>
              </w:rPr>
              <w:t>地下水污染源主要为生产车间等。</w:t>
            </w:r>
          </w:p>
          <w:p w14:paraId="43782B1B">
            <w:pPr>
              <w:widowControl/>
              <w:spacing w:line="360" w:lineRule="auto"/>
              <w:ind w:firstLine="422" w:firstLineChars="200"/>
              <w:rPr>
                <w:b/>
                <w:bCs/>
                <w:lang w:bidi="ar"/>
              </w:rPr>
            </w:pPr>
            <w:r>
              <w:rPr>
                <w:rFonts w:hint="eastAsia"/>
                <w:b/>
                <w:bCs/>
                <w:lang w:bidi="ar"/>
              </w:rPr>
              <w:t>（二）污染途径</w:t>
            </w:r>
          </w:p>
          <w:p w14:paraId="348F12E7">
            <w:pPr>
              <w:widowControl/>
              <w:spacing w:line="360" w:lineRule="auto"/>
              <w:ind w:firstLine="420" w:firstLineChars="200"/>
              <w:rPr>
                <w:lang w:bidi="ar"/>
              </w:rPr>
            </w:pPr>
            <w:r>
              <w:rPr>
                <w:rFonts w:hint="eastAsia"/>
                <w:lang w:bidi="ar"/>
              </w:rPr>
              <w:t>根据前文分析，本项目用水为园区供应自来水，排水雨污分流，废水污水处理站处理后进入魏兴场镇污水处理厂。本项目给、排水均不会与地下水直接发生联系，故本项目的建设基本不会对地下水造成明显影响</w:t>
            </w:r>
          </w:p>
          <w:p w14:paraId="6FD4EC40">
            <w:pPr>
              <w:widowControl/>
              <w:spacing w:line="360" w:lineRule="auto"/>
              <w:ind w:firstLine="420" w:firstLineChars="200"/>
              <w:rPr>
                <w:lang w:bidi="ar"/>
              </w:rPr>
            </w:pPr>
            <w:r>
              <w:rPr>
                <w:rFonts w:hint="eastAsia"/>
                <w:lang w:bidi="ar"/>
              </w:rPr>
              <w:t>项目营运期对地下水可能产生影响的污染物主要来自除尘设施等。污染物通过垂直渗透进入包气带，进入包气带的污染物在物理、化学和生物作用下经吸附、转化、迁移和分解后进入地下水。</w:t>
            </w:r>
          </w:p>
          <w:p w14:paraId="5841F354">
            <w:pPr>
              <w:widowControl/>
              <w:spacing w:line="360" w:lineRule="auto"/>
              <w:ind w:firstLine="422" w:firstLineChars="200"/>
              <w:rPr>
                <w:b/>
                <w:bCs/>
                <w:lang w:bidi="ar"/>
              </w:rPr>
            </w:pPr>
            <w:r>
              <w:rPr>
                <w:rFonts w:hint="eastAsia"/>
                <w:b/>
                <w:bCs/>
                <w:lang w:bidi="ar"/>
              </w:rPr>
              <w:t>（三）防控措施</w:t>
            </w:r>
          </w:p>
          <w:p w14:paraId="7520CB35">
            <w:pPr>
              <w:widowControl/>
              <w:spacing w:line="360" w:lineRule="auto"/>
              <w:ind w:firstLine="422" w:firstLineChars="200"/>
              <w:rPr>
                <w:b/>
                <w:bCs/>
                <w:lang w:bidi="ar"/>
              </w:rPr>
            </w:pPr>
            <w:r>
              <w:rPr>
                <w:rFonts w:hint="eastAsia"/>
                <w:b/>
                <w:bCs/>
                <w:lang w:bidi="ar"/>
              </w:rPr>
              <w:t>1、源头控制：</w:t>
            </w:r>
          </w:p>
          <w:p w14:paraId="516F6497">
            <w:pPr>
              <w:widowControl/>
              <w:spacing w:line="360" w:lineRule="auto"/>
              <w:ind w:firstLine="420" w:firstLineChars="200"/>
              <w:rPr>
                <w:rFonts w:hint="eastAsia"/>
                <w:lang w:bidi="ar"/>
              </w:rPr>
            </w:pPr>
            <w:r>
              <w:rPr>
                <w:rFonts w:hint="eastAsia"/>
                <w:lang w:bidi="ar"/>
              </w:rPr>
              <w:t>1）加强环境管理，采取防止和降低污染物跑、冒、滴、漏的措施。正常生产过程中应加强巡检及时处理污染物跑、冒、滴、漏，同时应加强对防渗工程的检查，若发现防渗密封材料老化或损坏，应及时维修更换。</w:t>
            </w:r>
          </w:p>
          <w:p w14:paraId="0620AD77">
            <w:pPr>
              <w:widowControl/>
              <w:spacing w:line="360" w:lineRule="auto"/>
              <w:ind w:firstLine="420" w:firstLineChars="200"/>
              <w:rPr>
                <w:lang w:bidi="ar"/>
              </w:rPr>
            </w:pPr>
            <w:r>
              <w:rPr>
                <w:rFonts w:hint="eastAsia"/>
                <w:lang w:bidi="ar"/>
              </w:rPr>
              <w:t>2）对设备采取控制措施，防止污染物的跑、冒、滴、漏，将污染物泄露的环境风险事故降到最低限度。</w:t>
            </w:r>
            <w:r>
              <w:rPr>
                <w:lang w:bidi="ar"/>
              </w:rPr>
              <w:t xml:space="preserve"> </w:t>
            </w:r>
          </w:p>
          <w:p w14:paraId="2EAB4F6D">
            <w:pPr>
              <w:widowControl/>
              <w:spacing w:line="360" w:lineRule="auto"/>
              <w:ind w:firstLine="422" w:firstLineChars="200"/>
              <w:rPr>
                <w:b/>
                <w:bCs/>
                <w:lang w:bidi="ar"/>
              </w:rPr>
            </w:pPr>
            <w:r>
              <w:rPr>
                <w:rFonts w:hint="eastAsia"/>
                <w:b/>
                <w:bCs/>
                <w:lang w:bidi="ar"/>
              </w:rPr>
              <w:t>2、分区防渗措施</w:t>
            </w:r>
          </w:p>
          <w:p w14:paraId="7D12CDFA">
            <w:pPr>
              <w:widowControl/>
              <w:spacing w:line="360" w:lineRule="auto"/>
              <w:ind w:firstLine="420" w:firstLineChars="200"/>
              <w:rPr>
                <w:lang w:bidi="ar"/>
              </w:rPr>
            </w:pPr>
            <w:r>
              <w:rPr>
                <w:rFonts w:hint="eastAsia"/>
                <w:lang w:bidi="ar"/>
              </w:rPr>
              <w:t>重点防渗区：污水处理站；</w:t>
            </w:r>
          </w:p>
          <w:p w14:paraId="5574F7AA">
            <w:pPr>
              <w:widowControl/>
              <w:spacing w:line="360" w:lineRule="auto"/>
              <w:ind w:firstLine="420" w:firstLineChars="200"/>
              <w:rPr>
                <w:lang w:bidi="ar"/>
              </w:rPr>
            </w:pPr>
            <w:r>
              <w:rPr>
                <w:rFonts w:hint="eastAsia"/>
                <w:lang w:bidi="ar"/>
              </w:rPr>
              <w:t>一般防渗区：生产车间生产区（调剂区、加水区、煎药区、灌装区等）、药渣间、沉淀池；</w:t>
            </w:r>
          </w:p>
          <w:p w14:paraId="034E1ABD">
            <w:pPr>
              <w:widowControl/>
              <w:spacing w:line="360" w:lineRule="auto"/>
              <w:ind w:firstLine="420" w:firstLineChars="200"/>
              <w:rPr>
                <w:lang w:bidi="ar"/>
              </w:rPr>
            </w:pPr>
            <w:r>
              <w:rPr>
                <w:rFonts w:hint="eastAsia"/>
                <w:lang w:bidi="ar"/>
              </w:rPr>
              <w:t>简单防渗区：除重点防渗及一般防渗之外的办公区等其他区域。</w:t>
            </w:r>
          </w:p>
          <w:p w14:paraId="6664804D">
            <w:pPr>
              <w:autoSpaceDE w:val="0"/>
              <w:autoSpaceDN w:val="0"/>
              <w:adjustRightInd w:val="0"/>
              <w:snapToGrid w:val="0"/>
              <w:jc w:val="center"/>
              <w:rPr>
                <w:b/>
              </w:rPr>
            </w:pPr>
            <w:r>
              <w:rPr>
                <w:rFonts w:hint="eastAsia"/>
                <w:b/>
              </w:rPr>
              <w:t>表</w:t>
            </w:r>
            <w:r>
              <w:rPr>
                <w:b/>
              </w:rPr>
              <w:t>4</w:t>
            </w:r>
            <w:r>
              <w:rPr>
                <w:rFonts w:hint="eastAsia"/>
                <w:b/>
              </w:rPr>
              <w:t>-</w:t>
            </w:r>
            <w:r>
              <w:rPr>
                <w:b/>
              </w:rPr>
              <w:t>2</w:t>
            </w:r>
            <w:r>
              <w:rPr>
                <w:rFonts w:hint="eastAsia"/>
                <w:b/>
              </w:rPr>
              <w:t>6</w:t>
            </w:r>
            <w:r>
              <w:rPr>
                <w:b/>
              </w:rPr>
              <w:t xml:space="preserve">  </w:t>
            </w:r>
            <w:r>
              <w:rPr>
                <w:rFonts w:hint="eastAsia"/>
                <w:b/>
              </w:rPr>
              <w:t>项目分区防渗一览表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4"/>
              <w:gridCol w:w="863"/>
              <w:gridCol w:w="2880"/>
              <w:gridCol w:w="2877"/>
              <w:gridCol w:w="1383"/>
            </w:tblGrid>
            <w:tr w14:paraId="360FB2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07" w:type="pct"/>
                  <w:shd w:val="clear" w:color="auto" w:fill="auto"/>
                  <w:vAlign w:val="center"/>
                </w:tcPr>
                <w:p w14:paraId="389AFA4B">
                  <w:pPr>
                    <w:widowControl/>
                    <w:jc w:val="center"/>
                    <w:rPr>
                      <w:b/>
                      <w:bCs/>
                      <w:lang w:bidi="ar"/>
                    </w:rPr>
                  </w:pPr>
                  <w:r>
                    <w:rPr>
                      <w:rFonts w:hint="eastAsia"/>
                      <w:b/>
                      <w:bCs/>
                      <w:lang w:bidi="ar"/>
                    </w:rPr>
                    <w:t>序号</w:t>
                  </w:r>
                </w:p>
              </w:tc>
              <w:tc>
                <w:tcPr>
                  <w:tcW w:w="506" w:type="pct"/>
                  <w:shd w:val="clear" w:color="auto" w:fill="auto"/>
                  <w:vAlign w:val="center"/>
                </w:tcPr>
                <w:p w14:paraId="2C80E471">
                  <w:pPr>
                    <w:widowControl/>
                    <w:jc w:val="center"/>
                    <w:rPr>
                      <w:b/>
                      <w:bCs/>
                      <w:lang w:bidi="ar"/>
                    </w:rPr>
                  </w:pPr>
                  <w:r>
                    <w:rPr>
                      <w:rFonts w:hint="eastAsia"/>
                      <w:b/>
                      <w:bCs/>
                      <w:lang w:bidi="ar"/>
                    </w:rPr>
                    <w:t>分区类别</w:t>
                  </w:r>
                </w:p>
              </w:tc>
              <w:tc>
                <w:tcPr>
                  <w:tcW w:w="1689" w:type="pct"/>
                  <w:shd w:val="clear" w:color="auto" w:fill="auto"/>
                  <w:vAlign w:val="center"/>
                </w:tcPr>
                <w:p w14:paraId="67C88AAE">
                  <w:pPr>
                    <w:widowControl/>
                    <w:jc w:val="center"/>
                    <w:rPr>
                      <w:b/>
                      <w:bCs/>
                      <w:lang w:bidi="ar"/>
                    </w:rPr>
                  </w:pPr>
                  <w:r>
                    <w:rPr>
                      <w:rFonts w:hint="eastAsia"/>
                      <w:b/>
                      <w:bCs/>
                      <w:lang w:bidi="ar"/>
                    </w:rPr>
                    <w:t>防渗对象</w:t>
                  </w:r>
                </w:p>
              </w:tc>
              <w:tc>
                <w:tcPr>
                  <w:tcW w:w="1687" w:type="pct"/>
                  <w:shd w:val="clear" w:color="auto" w:fill="auto"/>
                  <w:vAlign w:val="center"/>
                </w:tcPr>
                <w:p w14:paraId="137D27EE">
                  <w:pPr>
                    <w:widowControl/>
                    <w:jc w:val="center"/>
                    <w:rPr>
                      <w:b/>
                      <w:bCs/>
                      <w:lang w:bidi="ar"/>
                    </w:rPr>
                  </w:pPr>
                  <w:r>
                    <w:rPr>
                      <w:rFonts w:hint="eastAsia"/>
                      <w:b/>
                      <w:bCs/>
                      <w:lang w:bidi="ar"/>
                    </w:rPr>
                    <w:t>防渗要求</w:t>
                  </w:r>
                </w:p>
              </w:tc>
              <w:tc>
                <w:tcPr>
                  <w:tcW w:w="811" w:type="pct"/>
                  <w:vAlign w:val="center"/>
                </w:tcPr>
                <w:p w14:paraId="43718C75">
                  <w:pPr>
                    <w:widowControl/>
                    <w:jc w:val="center"/>
                    <w:rPr>
                      <w:b/>
                      <w:bCs/>
                      <w:lang w:bidi="ar"/>
                    </w:rPr>
                  </w:pPr>
                  <w:r>
                    <w:rPr>
                      <w:rFonts w:hint="eastAsia"/>
                      <w:b/>
                      <w:bCs/>
                      <w:lang w:bidi="ar"/>
                    </w:rPr>
                    <w:t>车间现有防治措施</w:t>
                  </w:r>
                </w:p>
              </w:tc>
            </w:tr>
            <w:tr w14:paraId="218A1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07" w:type="pct"/>
                  <w:shd w:val="clear" w:color="auto" w:fill="auto"/>
                  <w:vAlign w:val="center"/>
                </w:tcPr>
                <w:p w14:paraId="133321D2">
                  <w:pPr>
                    <w:widowControl/>
                    <w:jc w:val="center"/>
                    <w:rPr>
                      <w:lang w:bidi="ar"/>
                    </w:rPr>
                  </w:pPr>
                  <w:r>
                    <w:rPr>
                      <w:rFonts w:hint="eastAsia"/>
                      <w:lang w:bidi="ar"/>
                    </w:rPr>
                    <w:t>1</w:t>
                  </w:r>
                </w:p>
              </w:tc>
              <w:tc>
                <w:tcPr>
                  <w:tcW w:w="506" w:type="pct"/>
                  <w:shd w:val="clear" w:color="auto" w:fill="auto"/>
                  <w:vAlign w:val="center"/>
                </w:tcPr>
                <w:p w14:paraId="2BA534FB">
                  <w:pPr>
                    <w:widowControl/>
                    <w:jc w:val="center"/>
                    <w:rPr>
                      <w:lang w:bidi="ar"/>
                    </w:rPr>
                  </w:pPr>
                  <w:r>
                    <w:rPr>
                      <w:rFonts w:hint="eastAsia"/>
                      <w:lang w:bidi="ar"/>
                    </w:rPr>
                    <w:t>重点防渗区</w:t>
                  </w:r>
                </w:p>
              </w:tc>
              <w:tc>
                <w:tcPr>
                  <w:tcW w:w="1689" w:type="pct"/>
                  <w:shd w:val="clear" w:color="auto" w:fill="auto"/>
                  <w:vAlign w:val="center"/>
                </w:tcPr>
                <w:p w14:paraId="7BEE43CB">
                  <w:pPr>
                    <w:widowControl/>
                    <w:jc w:val="center"/>
                    <w:rPr>
                      <w:lang w:bidi="ar"/>
                    </w:rPr>
                  </w:pPr>
                  <w:r>
                    <w:rPr>
                      <w:rFonts w:hint="eastAsia"/>
                      <w:lang w:bidi="ar"/>
                    </w:rPr>
                    <w:t>污水处理站；</w:t>
                  </w:r>
                </w:p>
              </w:tc>
              <w:tc>
                <w:tcPr>
                  <w:tcW w:w="1687" w:type="pct"/>
                  <w:shd w:val="clear" w:color="auto" w:fill="auto"/>
                  <w:vAlign w:val="center"/>
                </w:tcPr>
                <w:p w14:paraId="7EABAEF0">
                  <w:pPr>
                    <w:widowControl/>
                    <w:jc w:val="center"/>
                    <w:rPr>
                      <w:lang w:bidi="ar"/>
                    </w:rPr>
                  </w:pPr>
                  <w:r>
                    <w:rPr>
                      <w:rFonts w:hint="eastAsia"/>
                      <w:lang w:bidi="ar"/>
                    </w:rPr>
                    <w:t>等效黏土防渗层Mb≥6.0m，K≤1×10</w:t>
                  </w:r>
                  <w:r>
                    <w:rPr>
                      <w:rFonts w:hint="eastAsia"/>
                      <w:vertAlign w:val="superscript"/>
                      <w:lang w:bidi="ar"/>
                    </w:rPr>
                    <w:t>-7</w:t>
                  </w:r>
                  <w:r>
                    <w:rPr>
                      <w:rFonts w:hint="eastAsia"/>
                      <w:lang w:bidi="ar"/>
                    </w:rPr>
                    <w:t>cm/s</w:t>
                  </w:r>
                </w:p>
              </w:tc>
              <w:tc>
                <w:tcPr>
                  <w:tcW w:w="811" w:type="pct"/>
                  <w:vMerge w:val="restart"/>
                  <w:vAlign w:val="center"/>
                </w:tcPr>
                <w:p w14:paraId="1B63387B">
                  <w:pPr>
                    <w:widowControl/>
                    <w:jc w:val="center"/>
                    <w:rPr>
                      <w:lang w:bidi="ar"/>
                    </w:rPr>
                  </w:pPr>
                  <w:r>
                    <w:rPr>
                      <w:rFonts w:hint="eastAsia"/>
                      <w:lang w:bidi="ar"/>
                    </w:rPr>
                    <w:t>项目位于3F，车间现状为混凝土硬化地面</w:t>
                  </w:r>
                </w:p>
              </w:tc>
            </w:tr>
            <w:tr w14:paraId="39460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07" w:type="pct"/>
                  <w:shd w:val="clear" w:color="auto" w:fill="auto"/>
                  <w:vAlign w:val="center"/>
                </w:tcPr>
                <w:p w14:paraId="7FF2ED9A">
                  <w:pPr>
                    <w:widowControl/>
                    <w:jc w:val="center"/>
                    <w:rPr>
                      <w:rFonts w:hint="eastAsia"/>
                      <w:lang w:bidi="ar"/>
                    </w:rPr>
                  </w:pPr>
                  <w:r>
                    <w:rPr>
                      <w:rFonts w:hint="eastAsia"/>
                      <w:lang w:bidi="ar"/>
                    </w:rPr>
                    <w:t>2</w:t>
                  </w:r>
                </w:p>
              </w:tc>
              <w:tc>
                <w:tcPr>
                  <w:tcW w:w="506" w:type="pct"/>
                  <w:shd w:val="clear" w:color="auto" w:fill="auto"/>
                  <w:vAlign w:val="center"/>
                </w:tcPr>
                <w:p w14:paraId="25922DAD">
                  <w:pPr>
                    <w:widowControl/>
                    <w:jc w:val="center"/>
                    <w:rPr>
                      <w:lang w:bidi="ar"/>
                    </w:rPr>
                  </w:pPr>
                  <w:r>
                    <w:rPr>
                      <w:rFonts w:hint="eastAsia"/>
                      <w:lang w:bidi="ar"/>
                    </w:rPr>
                    <w:t>一般防渗区</w:t>
                  </w:r>
                </w:p>
              </w:tc>
              <w:tc>
                <w:tcPr>
                  <w:tcW w:w="1689" w:type="pct"/>
                  <w:shd w:val="clear" w:color="auto" w:fill="auto"/>
                  <w:vAlign w:val="center"/>
                </w:tcPr>
                <w:p w14:paraId="73EEFBB8">
                  <w:pPr>
                    <w:widowControl/>
                    <w:jc w:val="center"/>
                    <w:rPr>
                      <w:lang w:bidi="ar"/>
                    </w:rPr>
                  </w:pPr>
                  <w:r>
                    <w:rPr>
                      <w:rFonts w:hint="eastAsia"/>
                      <w:lang w:bidi="ar"/>
                    </w:rPr>
                    <w:t>生产车间生产区（调剂区、加水区、煎药区、灌装区等）、药渣间、沉淀池</w:t>
                  </w:r>
                </w:p>
              </w:tc>
              <w:tc>
                <w:tcPr>
                  <w:tcW w:w="1687" w:type="pct"/>
                  <w:shd w:val="clear" w:color="auto" w:fill="auto"/>
                  <w:vAlign w:val="center"/>
                </w:tcPr>
                <w:p w14:paraId="323BB2B0">
                  <w:pPr>
                    <w:widowControl/>
                    <w:jc w:val="center"/>
                    <w:rPr>
                      <w:lang w:bidi="ar"/>
                    </w:rPr>
                  </w:pPr>
                  <w:r>
                    <w:rPr>
                      <w:rFonts w:hint="eastAsia"/>
                      <w:lang w:bidi="ar"/>
                    </w:rPr>
                    <w:t>等效粘土防渗层 Mb≥1.5m，K≤10</w:t>
                  </w:r>
                  <w:r>
                    <w:rPr>
                      <w:rFonts w:hint="eastAsia"/>
                      <w:vertAlign w:val="superscript"/>
                      <w:lang w:bidi="ar"/>
                    </w:rPr>
                    <w:t>-7</w:t>
                  </w:r>
                  <w:r>
                    <w:rPr>
                      <w:rFonts w:hint="eastAsia"/>
                      <w:lang w:bidi="ar"/>
                    </w:rPr>
                    <w:t>cm/s。</w:t>
                  </w:r>
                </w:p>
              </w:tc>
              <w:tc>
                <w:tcPr>
                  <w:tcW w:w="811" w:type="pct"/>
                  <w:vMerge w:val="continue"/>
                  <w:vAlign w:val="center"/>
                </w:tcPr>
                <w:p w14:paraId="3742D2B2">
                  <w:pPr>
                    <w:widowControl/>
                    <w:jc w:val="center"/>
                    <w:rPr>
                      <w:lang w:bidi="ar"/>
                    </w:rPr>
                  </w:pPr>
                </w:p>
              </w:tc>
            </w:tr>
            <w:tr w14:paraId="62831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307" w:type="pct"/>
                  <w:shd w:val="clear" w:color="auto" w:fill="auto"/>
                  <w:vAlign w:val="center"/>
                </w:tcPr>
                <w:p w14:paraId="4D7CB841">
                  <w:pPr>
                    <w:widowControl/>
                    <w:jc w:val="center"/>
                    <w:rPr>
                      <w:lang w:bidi="ar"/>
                    </w:rPr>
                  </w:pPr>
                  <w:r>
                    <w:rPr>
                      <w:rFonts w:hint="eastAsia"/>
                      <w:lang w:bidi="ar"/>
                    </w:rPr>
                    <w:t>3</w:t>
                  </w:r>
                </w:p>
              </w:tc>
              <w:tc>
                <w:tcPr>
                  <w:tcW w:w="506" w:type="pct"/>
                  <w:shd w:val="clear" w:color="auto" w:fill="auto"/>
                  <w:vAlign w:val="center"/>
                </w:tcPr>
                <w:p w14:paraId="44B58508">
                  <w:pPr>
                    <w:widowControl/>
                    <w:jc w:val="center"/>
                    <w:rPr>
                      <w:lang w:bidi="ar"/>
                    </w:rPr>
                  </w:pPr>
                  <w:r>
                    <w:rPr>
                      <w:rFonts w:hint="eastAsia"/>
                      <w:lang w:bidi="ar"/>
                    </w:rPr>
                    <w:t>简单防渗区</w:t>
                  </w:r>
                </w:p>
              </w:tc>
              <w:tc>
                <w:tcPr>
                  <w:tcW w:w="1689" w:type="pct"/>
                  <w:shd w:val="clear" w:color="auto" w:fill="auto"/>
                  <w:vAlign w:val="center"/>
                </w:tcPr>
                <w:p w14:paraId="02BD6192">
                  <w:pPr>
                    <w:widowControl/>
                    <w:jc w:val="center"/>
                    <w:rPr>
                      <w:lang w:bidi="ar"/>
                    </w:rPr>
                  </w:pPr>
                  <w:r>
                    <w:rPr>
                      <w:rFonts w:hint="eastAsia"/>
                      <w:lang w:bidi="ar"/>
                    </w:rPr>
                    <w:t>办公区</w:t>
                  </w:r>
                </w:p>
              </w:tc>
              <w:tc>
                <w:tcPr>
                  <w:tcW w:w="1687" w:type="pct"/>
                  <w:shd w:val="clear" w:color="auto" w:fill="auto"/>
                  <w:vAlign w:val="center"/>
                </w:tcPr>
                <w:p w14:paraId="3654D377">
                  <w:pPr>
                    <w:widowControl/>
                    <w:jc w:val="center"/>
                    <w:rPr>
                      <w:lang w:bidi="ar"/>
                    </w:rPr>
                  </w:pPr>
                  <w:r>
                    <w:rPr>
                      <w:rFonts w:hint="eastAsia"/>
                      <w:lang w:bidi="ar"/>
                    </w:rPr>
                    <w:t>全部进行地面固化、硬化（水泥硬化）处理。</w:t>
                  </w:r>
                </w:p>
              </w:tc>
              <w:tc>
                <w:tcPr>
                  <w:tcW w:w="811" w:type="pct"/>
                  <w:vMerge w:val="continue"/>
                  <w:vAlign w:val="center"/>
                </w:tcPr>
                <w:p w14:paraId="6F414343">
                  <w:pPr>
                    <w:widowControl/>
                    <w:jc w:val="center"/>
                    <w:rPr>
                      <w:lang w:bidi="ar"/>
                    </w:rPr>
                  </w:pPr>
                </w:p>
              </w:tc>
            </w:tr>
          </w:tbl>
          <w:p w14:paraId="592C133B">
            <w:pPr>
              <w:widowControl/>
              <w:spacing w:line="360" w:lineRule="auto"/>
              <w:ind w:firstLine="420" w:firstLineChars="200"/>
              <w:rPr>
                <w:lang w:bidi="ar"/>
              </w:rPr>
            </w:pPr>
            <w:r>
              <w:rPr>
                <w:rFonts w:hint="eastAsia"/>
                <w:lang w:bidi="ar"/>
              </w:rPr>
              <w:t>据现场查勘，本项目租用的厂房位于3楼，地面已进行水泥硬化处理，依托园区的污水预处理池已按要求进行重点防渗处理，在项目建设过程中严格按要求对各区域进行相应分区防渗处理后，项目对地下水、土壤的影响很小。</w:t>
            </w:r>
          </w:p>
          <w:p w14:paraId="0AEAA9CF">
            <w:pPr>
              <w:widowControl/>
              <w:spacing w:line="360" w:lineRule="auto"/>
              <w:ind w:firstLine="422" w:firstLineChars="200"/>
              <w:rPr>
                <w:b/>
                <w:bCs/>
                <w:lang w:bidi="ar"/>
              </w:rPr>
            </w:pPr>
            <w:r>
              <w:rPr>
                <w:rFonts w:hint="eastAsia"/>
                <w:b/>
                <w:bCs/>
                <w:lang w:bidi="ar"/>
              </w:rPr>
              <w:t>（四）跟踪监测要求</w:t>
            </w:r>
          </w:p>
          <w:p w14:paraId="678128D6">
            <w:pPr>
              <w:widowControl/>
              <w:spacing w:line="360" w:lineRule="auto"/>
              <w:ind w:firstLine="420" w:firstLineChars="200"/>
              <w:rPr>
                <w:lang w:bidi="ar"/>
              </w:rPr>
            </w:pPr>
            <w:r>
              <w:rPr>
                <w:rFonts w:hint="eastAsia"/>
                <w:lang w:bidi="ar"/>
              </w:rPr>
              <w:t>本项目位于硬化厂区内部，且位于3楼，不与土壤直接接触，废水经收集处理排放、废水区域分区防渗后产生垂直入渗与地面漫流等污染可能性较小，本项目废气不属于有毒有害污染物，不存在大气沉降途径。因此项目不开展地下水、土壤跟踪监测。遇非正常生产情况及事故性排放需进行跟踪监测。</w:t>
            </w:r>
          </w:p>
          <w:p w14:paraId="61089440">
            <w:pPr>
              <w:adjustRightInd w:val="0"/>
              <w:snapToGrid w:val="0"/>
              <w:spacing w:line="360" w:lineRule="auto"/>
              <w:ind w:firstLine="382" w:firstLineChars="200"/>
              <w:rPr>
                <w:rFonts w:hint="eastAsia" w:ascii="宋体" w:hAnsi="宋体"/>
                <w:b/>
                <w:spacing w:val="-10"/>
              </w:rPr>
            </w:pPr>
            <w:r>
              <w:rPr>
                <w:rFonts w:hint="eastAsia" w:ascii="宋体" w:hAnsi="宋体"/>
                <w:b/>
                <w:spacing w:val="-10"/>
              </w:rPr>
              <w:t>六、环境风险</w:t>
            </w:r>
          </w:p>
          <w:p w14:paraId="212C346B">
            <w:pPr>
              <w:widowControl/>
              <w:spacing w:line="360" w:lineRule="auto"/>
              <w:ind w:firstLine="422" w:firstLineChars="200"/>
              <w:rPr>
                <w:b/>
                <w:bCs/>
                <w:lang w:bidi="ar"/>
              </w:rPr>
            </w:pPr>
            <w:r>
              <w:rPr>
                <w:rFonts w:hint="eastAsia"/>
                <w:b/>
                <w:bCs/>
                <w:lang w:bidi="ar"/>
              </w:rPr>
              <w:t>（一）环境风险识别</w:t>
            </w:r>
          </w:p>
          <w:p w14:paraId="41A61899">
            <w:pPr>
              <w:widowControl/>
              <w:spacing w:line="360" w:lineRule="auto"/>
              <w:ind w:firstLine="420" w:firstLineChars="200"/>
              <w:rPr>
                <w:lang w:bidi="ar"/>
              </w:rPr>
            </w:pPr>
            <w:r>
              <w:rPr>
                <w:rFonts w:hint="eastAsia"/>
                <w:lang w:bidi="ar"/>
              </w:rPr>
              <w:t>环境风险识别物质包括主要原辅材料、燃料、中间产品、副产品、最终产品、污染物、火灾和爆炸伴生/次生物等。</w:t>
            </w:r>
          </w:p>
          <w:p w14:paraId="37E3A631">
            <w:pPr>
              <w:widowControl/>
              <w:spacing w:line="360" w:lineRule="auto"/>
              <w:ind w:firstLine="420" w:firstLineChars="200"/>
              <w:rPr>
                <w:lang w:bidi="ar"/>
              </w:rPr>
            </w:pPr>
            <w:r>
              <w:rPr>
                <w:rFonts w:hint="eastAsia"/>
                <w:lang w:bidi="ar"/>
              </w:rPr>
              <w:t>根据《建设项目环境风险评价技术导则》（HJ169-2018）附录B 及《企业突发环境事件风险分级方法》（HJ941-2018），本项目不存在风险物质。因此本项目环境风险潜势为Ⅰ，评价工作等级为简单分析。</w:t>
            </w:r>
          </w:p>
          <w:p w14:paraId="4F9300C1">
            <w:pPr>
              <w:widowControl/>
              <w:spacing w:line="360" w:lineRule="auto"/>
              <w:ind w:firstLine="422" w:firstLineChars="200"/>
              <w:rPr>
                <w:b/>
                <w:bCs/>
                <w:lang w:bidi="ar"/>
              </w:rPr>
            </w:pPr>
            <w:r>
              <w:rPr>
                <w:rFonts w:hint="eastAsia"/>
                <w:b/>
                <w:bCs/>
                <w:lang w:bidi="ar"/>
              </w:rPr>
              <w:t>（二）危险物质及风险源的分布情况及可能影响途径：</w:t>
            </w:r>
          </w:p>
          <w:p w14:paraId="2C5206F9">
            <w:pPr>
              <w:widowControl/>
              <w:spacing w:line="360" w:lineRule="auto"/>
              <w:ind w:firstLine="420" w:firstLineChars="200"/>
              <w:rPr>
                <w:lang w:bidi="ar"/>
              </w:rPr>
            </w:pPr>
            <w:r>
              <w:rPr>
                <w:rFonts w:hint="eastAsia"/>
                <w:lang w:bidi="ar"/>
              </w:rPr>
              <w:t>车间电路短路引起火灾爆炸，产生CO 等气体排入大气中危害环境空气质量，危害人体健康。</w:t>
            </w:r>
          </w:p>
          <w:p w14:paraId="5B3E8598">
            <w:pPr>
              <w:widowControl/>
              <w:spacing w:line="360" w:lineRule="auto"/>
              <w:ind w:firstLine="422" w:firstLineChars="200"/>
              <w:rPr>
                <w:b/>
                <w:bCs/>
                <w:lang w:bidi="ar"/>
              </w:rPr>
            </w:pPr>
            <w:r>
              <w:rPr>
                <w:rFonts w:hint="eastAsia"/>
                <w:b/>
                <w:bCs/>
                <w:lang w:bidi="ar"/>
              </w:rPr>
              <w:t>（三）相应的环境风险防范及应急措施：</w:t>
            </w:r>
          </w:p>
          <w:p w14:paraId="58E8ED5E">
            <w:pPr>
              <w:widowControl/>
              <w:spacing w:line="360" w:lineRule="auto"/>
              <w:ind w:firstLine="422" w:firstLineChars="200"/>
              <w:rPr>
                <w:b/>
                <w:bCs/>
                <w:lang w:bidi="ar"/>
              </w:rPr>
            </w:pPr>
            <w:r>
              <w:rPr>
                <w:rFonts w:hint="eastAsia"/>
                <w:b/>
                <w:bCs/>
                <w:lang w:bidi="ar"/>
              </w:rPr>
              <w:t>（1）车间电路短路防范应急措施：</w:t>
            </w:r>
          </w:p>
          <w:p w14:paraId="40990CD4">
            <w:pPr>
              <w:widowControl/>
              <w:spacing w:line="360" w:lineRule="auto"/>
              <w:ind w:firstLine="422" w:firstLineChars="200"/>
              <w:rPr>
                <w:rFonts w:hint="eastAsia"/>
                <w:b/>
                <w:bCs/>
                <w:lang w:bidi="ar"/>
              </w:rPr>
            </w:pPr>
            <w:r>
              <w:rPr>
                <w:rFonts w:hint="eastAsia"/>
                <w:b/>
                <w:bCs/>
                <w:lang w:bidi="ar"/>
              </w:rPr>
              <w:t>防范措施：</w:t>
            </w:r>
          </w:p>
          <w:p w14:paraId="0EA40EF9">
            <w:pPr>
              <w:widowControl/>
              <w:spacing w:line="360" w:lineRule="auto"/>
              <w:ind w:firstLine="420" w:firstLineChars="200"/>
              <w:rPr>
                <w:rFonts w:hint="eastAsia"/>
                <w:lang w:bidi="ar"/>
              </w:rPr>
            </w:pPr>
            <w:r>
              <w:rPr>
                <w:rFonts w:hint="eastAsia"/>
                <w:lang w:bidi="ar"/>
              </w:rPr>
              <w:t>厂区总平面布置符合防范要求，有应急救援设施及救援通道、应急疏散、照明电源、醒目标志，入口处有消防通道设置及消防栓、灭火器位置图，道路布置满足消防、运输要求。严格遵照国家有关规范标准要求设置通风装置。</w:t>
            </w:r>
          </w:p>
          <w:p w14:paraId="12A4D41C">
            <w:pPr>
              <w:widowControl/>
              <w:spacing w:line="360" w:lineRule="auto"/>
              <w:ind w:firstLine="420" w:firstLineChars="200"/>
              <w:rPr>
                <w:lang w:bidi="ar"/>
              </w:rPr>
            </w:pPr>
            <w:r>
              <w:rPr>
                <w:rFonts w:hint="eastAsia"/>
                <w:lang w:bidi="ar"/>
              </w:rPr>
              <w:t>车间的电路等应定期维护检查，形成专人负责的制度，可有效降低走火等风险发生的可能性。</w:t>
            </w:r>
          </w:p>
          <w:p w14:paraId="74AADAA7">
            <w:pPr>
              <w:widowControl/>
              <w:spacing w:line="360" w:lineRule="auto"/>
              <w:ind w:firstLine="420" w:firstLineChars="200"/>
              <w:rPr>
                <w:lang w:bidi="ar"/>
              </w:rPr>
            </w:pPr>
            <w:r>
              <w:rPr>
                <w:rFonts w:hint="eastAsia"/>
                <w:lang w:bidi="ar"/>
              </w:rPr>
              <w:t>各类包装材料等易燃物品应分区存放，设置物料分区警示标识。一旦发生火灾，可对易燃物料进行优先处理。</w:t>
            </w:r>
          </w:p>
          <w:p w14:paraId="5B2C42FF">
            <w:pPr>
              <w:widowControl/>
              <w:spacing w:line="360" w:lineRule="auto"/>
              <w:ind w:firstLine="422" w:firstLineChars="200"/>
              <w:rPr>
                <w:rFonts w:hint="eastAsia"/>
                <w:b/>
                <w:bCs/>
                <w:lang w:bidi="ar"/>
              </w:rPr>
            </w:pPr>
            <w:r>
              <w:rPr>
                <w:rFonts w:hint="eastAsia"/>
                <w:b/>
                <w:bCs/>
                <w:lang w:bidi="ar"/>
              </w:rPr>
              <w:t>应急措施：</w:t>
            </w:r>
          </w:p>
          <w:p w14:paraId="095F44D8">
            <w:pPr>
              <w:widowControl/>
              <w:spacing w:line="360" w:lineRule="auto"/>
              <w:ind w:firstLine="420" w:firstLineChars="200"/>
              <w:rPr>
                <w:rFonts w:hint="eastAsia"/>
                <w:lang w:bidi="ar"/>
              </w:rPr>
            </w:pPr>
            <w:r>
              <w:rPr>
                <w:rFonts w:hint="eastAsia"/>
                <w:lang w:bidi="ar"/>
              </w:rPr>
              <w:t>一旦车间发生火灾，立即采取灭火器或消防栓救火，针对不同的着火物料，采取不同的灭火器材。如超出自身的灭火能力应立即联系当地消防大队救火（119）。</w:t>
            </w:r>
          </w:p>
          <w:p w14:paraId="7CE3183F">
            <w:pPr>
              <w:widowControl/>
              <w:spacing w:line="360" w:lineRule="auto"/>
              <w:ind w:firstLine="420" w:firstLineChars="200"/>
              <w:rPr>
                <w:lang w:bidi="ar"/>
              </w:rPr>
            </w:pPr>
            <w:r>
              <w:rPr>
                <w:rFonts w:hint="eastAsia"/>
                <w:lang w:bidi="ar"/>
              </w:rPr>
              <w:t>灭火会产生消防废水，雨水排口设置截断装置，一旦产生消防废水，立即关闭雨水截止阀，利用消防沙袋和雨水管网收集消防废水，防止事故废水直接外排。待事故停止后，委托第三方单位对消防废水进行清运并有效处置后才可排放。</w:t>
            </w:r>
          </w:p>
          <w:p w14:paraId="1148D58E">
            <w:pPr>
              <w:widowControl/>
              <w:spacing w:line="360" w:lineRule="auto"/>
              <w:ind w:firstLine="422" w:firstLineChars="200"/>
              <w:rPr>
                <w:lang w:bidi="ar"/>
              </w:rPr>
            </w:pPr>
            <w:r>
              <w:rPr>
                <w:rFonts w:hint="eastAsia"/>
                <w:b/>
                <w:bCs/>
                <w:lang w:bidi="ar"/>
              </w:rPr>
              <w:t>（2）应急预案</w:t>
            </w:r>
          </w:p>
          <w:p w14:paraId="094C12DD">
            <w:pPr>
              <w:widowControl/>
              <w:spacing w:line="360" w:lineRule="auto"/>
              <w:ind w:firstLine="420" w:firstLineChars="200"/>
              <w:rPr>
                <w:lang w:bidi="ar"/>
              </w:rPr>
            </w:pPr>
            <w:r>
              <w:rPr>
                <w:rFonts w:hint="eastAsia"/>
                <w:lang w:bidi="ar"/>
              </w:rPr>
              <w:t>对于重大或不可接受的风险（主要是严重泄漏、火灾爆炸造成重大人员伤害等），制定应急响应方案，建立应急反应体系，当事件一旦发生时可迅速加以控制，使危害和损失降低到尽可能低的程度。</w:t>
            </w:r>
          </w:p>
          <w:p w14:paraId="585A7274">
            <w:pPr>
              <w:widowControl/>
              <w:spacing w:line="360" w:lineRule="auto"/>
              <w:ind w:firstLine="420" w:firstLineChars="200"/>
              <w:rPr>
                <w:lang w:bidi="ar"/>
              </w:rPr>
            </w:pPr>
            <w:r>
              <w:rPr>
                <w:rFonts w:hint="eastAsia"/>
                <w:lang w:bidi="ar"/>
              </w:rPr>
              <w:t>应急预案有关内容具体见下表：</w:t>
            </w:r>
          </w:p>
          <w:p w14:paraId="70505A35">
            <w:pPr>
              <w:autoSpaceDE w:val="0"/>
              <w:autoSpaceDN w:val="0"/>
              <w:adjustRightInd w:val="0"/>
              <w:snapToGrid w:val="0"/>
              <w:jc w:val="center"/>
              <w:rPr>
                <w:b/>
              </w:rPr>
            </w:pPr>
            <w:r>
              <w:rPr>
                <w:rFonts w:hint="eastAsia"/>
                <w:b/>
              </w:rPr>
              <w:t>表 4-</w:t>
            </w:r>
            <w:r>
              <w:rPr>
                <w:b/>
              </w:rPr>
              <w:t>1</w:t>
            </w:r>
            <w:r>
              <w:rPr>
                <w:rFonts w:hint="eastAsia"/>
                <w:b/>
              </w:rPr>
              <w:t>6  环境风险应急预案主要内容要求</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2592"/>
              <w:gridCol w:w="4973"/>
            </w:tblGrid>
            <w:tr w14:paraId="445E8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shd w:val="clear" w:color="auto" w:fill="auto"/>
                  <w:vAlign w:val="center"/>
                </w:tcPr>
                <w:p w14:paraId="55A19DE9">
                  <w:pPr>
                    <w:jc w:val="center"/>
                    <w:rPr>
                      <w:b/>
                      <w:bCs/>
                    </w:rPr>
                  </w:pPr>
                  <w:r>
                    <w:rPr>
                      <w:rFonts w:hint="eastAsia"/>
                      <w:b/>
                      <w:bCs/>
                    </w:rPr>
                    <w:t>序号</w:t>
                  </w:r>
                </w:p>
              </w:tc>
              <w:tc>
                <w:tcPr>
                  <w:tcW w:w="1520" w:type="pct"/>
                </w:tcPr>
                <w:p w14:paraId="53D722A4">
                  <w:pPr>
                    <w:jc w:val="center"/>
                    <w:rPr>
                      <w:rFonts w:hint="eastAsia"/>
                      <w:b/>
                      <w:bCs/>
                    </w:rPr>
                  </w:pPr>
                  <w:r>
                    <w:rPr>
                      <w:rFonts w:hint="eastAsia"/>
                      <w:b/>
                      <w:bCs/>
                    </w:rPr>
                    <w:t>项目</w:t>
                  </w:r>
                </w:p>
              </w:tc>
              <w:tc>
                <w:tcPr>
                  <w:tcW w:w="2916" w:type="pct"/>
                  <w:shd w:val="clear" w:color="auto" w:fill="auto"/>
                  <w:vAlign w:val="center"/>
                </w:tcPr>
                <w:p w14:paraId="3433DAD2">
                  <w:pPr>
                    <w:jc w:val="center"/>
                    <w:rPr>
                      <w:b/>
                      <w:bCs/>
                    </w:rPr>
                  </w:pPr>
                  <w:r>
                    <w:rPr>
                      <w:rFonts w:hint="eastAsia"/>
                      <w:b/>
                      <w:bCs/>
                    </w:rPr>
                    <w:t>内容及要求</w:t>
                  </w:r>
                </w:p>
              </w:tc>
            </w:tr>
            <w:tr w14:paraId="3FA1B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shd w:val="clear" w:color="auto" w:fill="auto"/>
                  <w:vAlign w:val="center"/>
                </w:tcPr>
                <w:p w14:paraId="79AF0FC5">
                  <w:pPr>
                    <w:jc w:val="center"/>
                  </w:pPr>
                  <w:r>
                    <w:rPr>
                      <w:rFonts w:hint="eastAsia"/>
                    </w:rPr>
                    <w:t>1</w:t>
                  </w:r>
                </w:p>
              </w:tc>
              <w:tc>
                <w:tcPr>
                  <w:tcW w:w="1520" w:type="pct"/>
                </w:tcPr>
                <w:p w14:paraId="0F11C114">
                  <w:pPr>
                    <w:jc w:val="center"/>
                  </w:pPr>
                  <w:r>
                    <w:rPr>
                      <w:rFonts w:hint="eastAsia"/>
                    </w:rPr>
                    <w:t>应急组织机构、人员</w:t>
                  </w:r>
                </w:p>
              </w:tc>
              <w:tc>
                <w:tcPr>
                  <w:tcW w:w="2916" w:type="pct"/>
                  <w:shd w:val="clear" w:color="auto" w:fill="auto"/>
                  <w:vAlign w:val="center"/>
                </w:tcPr>
                <w:p w14:paraId="4BFCE31D">
                  <w:pPr>
                    <w:jc w:val="center"/>
                  </w:pPr>
                  <w:r>
                    <w:rPr>
                      <w:rFonts w:hint="eastAsia"/>
                    </w:rPr>
                    <w:t>公司应急机构人员，地方政府应急组织人员</w:t>
                  </w:r>
                </w:p>
              </w:tc>
            </w:tr>
            <w:tr w14:paraId="2D000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shd w:val="clear" w:color="auto" w:fill="auto"/>
                  <w:vAlign w:val="center"/>
                </w:tcPr>
                <w:p w14:paraId="2B65A29D">
                  <w:pPr>
                    <w:jc w:val="center"/>
                  </w:pPr>
                  <w:r>
                    <w:rPr>
                      <w:rFonts w:hint="eastAsia"/>
                    </w:rPr>
                    <w:t>2</w:t>
                  </w:r>
                </w:p>
              </w:tc>
              <w:tc>
                <w:tcPr>
                  <w:tcW w:w="1520" w:type="pct"/>
                </w:tcPr>
                <w:p w14:paraId="751C2AE9">
                  <w:pPr>
                    <w:jc w:val="center"/>
                  </w:pPr>
                  <w:r>
                    <w:rPr>
                      <w:rFonts w:hint="eastAsia"/>
                    </w:rPr>
                    <w:t>预案分级响应条件</w:t>
                  </w:r>
                </w:p>
              </w:tc>
              <w:tc>
                <w:tcPr>
                  <w:tcW w:w="2916" w:type="pct"/>
                  <w:shd w:val="clear" w:color="auto" w:fill="auto"/>
                  <w:vAlign w:val="center"/>
                </w:tcPr>
                <w:p w14:paraId="54A73098">
                  <w:pPr>
                    <w:jc w:val="center"/>
                  </w:pPr>
                  <w:r>
                    <w:rPr>
                      <w:rFonts w:hint="eastAsia"/>
                    </w:rPr>
                    <w:t>规定预案的级别及分级响应程序</w:t>
                  </w:r>
                </w:p>
              </w:tc>
            </w:tr>
            <w:tr w14:paraId="2B4B7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shd w:val="clear" w:color="auto" w:fill="auto"/>
                  <w:vAlign w:val="center"/>
                </w:tcPr>
                <w:p w14:paraId="402A9E76">
                  <w:pPr>
                    <w:jc w:val="center"/>
                  </w:pPr>
                  <w:r>
                    <w:rPr>
                      <w:rFonts w:hint="eastAsia"/>
                    </w:rPr>
                    <w:t>3</w:t>
                  </w:r>
                </w:p>
              </w:tc>
              <w:tc>
                <w:tcPr>
                  <w:tcW w:w="1520" w:type="pct"/>
                </w:tcPr>
                <w:p w14:paraId="3E0DEDF5">
                  <w:pPr>
                    <w:jc w:val="center"/>
                  </w:pPr>
                  <w:r>
                    <w:rPr>
                      <w:rFonts w:hint="eastAsia"/>
                    </w:rPr>
                    <w:t>应急救援保障</w:t>
                  </w:r>
                </w:p>
              </w:tc>
              <w:tc>
                <w:tcPr>
                  <w:tcW w:w="2916" w:type="pct"/>
                  <w:shd w:val="clear" w:color="auto" w:fill="auto"/>
                  <w:vAlign w:val="center"/>
                </w:tcPr>
                <w:p w14:paraId="376EA8B8">
                  <w:pPr>
                    <w:jc w:val="center"/>
                  </w:pPr>
                  <w:r>
                    <w:rPr>
                      <w:rFonts w:hint="eastAsia"/>
                    </w:rPr>
                    <w:t>应急设施、设备与器材等</w:t>
                  </w:r>
                </w:p>
              </w:tc>
            </w:tr>
            <w:tr w14:paraId="5EE1A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shd w:val="clear" w:color="auto" w:fill="auto"/>
                  <w:vAlign w:val="center"/>
                </w:tcPr>
                <w:p w14:paraId="7E5BE660">
                  <w:pPr>
                    <w:jc w:val="center"/>
                  </w:pPr>
                  <w:r>
                    <w:rPr>
                      <w:rFonts w:hint="eastAsia"/>
                    </w:rPr>
                    <w:t>4</w:t>
                  </w:r>
                </w:p>
              </w:tc>
              <w:tc>
                <w:tcPr>
                  <w:tcW w:w="1520" w:type="pct"/>
                </w:tcPr>
                <w:p w14:paraId="26A1DC19">
                  <w:pPr>
                    <w:jc w:val="center"/>
                  </w:pPr>
                  <w:r>
                    <w:rPr>
                      <w:rFonts w:hint="eastAsia"/>
                    </w:rPr>
                    <w:t>报警、通讯联络方式</w:t>
                  </w:r>
                </w:p>
              </w:tc>
              <w:tc>
                <w:tcPr>
                  <w:tcW w:w="2916" w:type="pct"/>
                  <w:shd w:val="clear" w:color="auto" w:fill="auto"/>
                  <w:vAlign w:val="center"/>
                </w:tcPr>
                <w:p w14:paraId="2A85823A">
                  <w:pPr>
                    <w:jc w:val="center"/>
                  </w:pPr>
                  <w:r>
                    <w:rPr>
                      <w:rFonts w:hint="eastAsia"/>
                    </w:rPr>
                    <w:t>规定应急状态下的报警通信方式；交通保障、管制</w:t>
                  </w:r>
                </w:p>
              </w:tc>
            </w:tr>
            <w:tr w14:paraId="31262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shd w:val="clear" w:color="auto" w:fill="auto"/>
                  <w:vAlign w:val="center"/>
                </w:tcPr>
                <w:p w14:paraId="5E9BEADB">
                  <w:pPr>
                    <w:jc w:val="center"/>
                  </w:pPr>
                  <w:r>
                    <w:rPr>
                      <w:rFonts w:hint="eastAsia"/>
                    </w:rPr>
                    <w:t>5</w:t>
                  </w:r>
                </w:p>
              </w:tc>
              <w:tc>
                <w:tcPr>
                  <w:tcW w:w="1520" w:type="pct"/>
                </w:tcPr>
                <w:p w14:paraId="1E8DBDBC">
                  <w:pPr>
                    <w:jc w:val="center"/>
                  </w:pPr>
                  <w:r>
                    <w:rPr>
                      <w:rFonts w:hint="eastAsia"/>
                    </w:rPr>
                    <w:t>应急环境监测、抢险、救援及控制措施</w:t>
                  </w:r>
                </w:p>
              </w:tc>
              <w:tc>
                <w:tcPr>
                  <w:tcW w:w="2916" w:type="pct"/>
                  <w:shd w:val="clear" w:color="auto" w:fill="auto"/>
                  <w:vAlign w:val="center"/>
                </w:tcPr>
                <w:p w14:paraId="3EB49789">
                  <w:pPr>
                    <w:jc w:val="center"/>
                  </w:pPr>
                  <w:r>
                    <w:rPr>
                      <w:rFonts w:hint="eastAsia"/>
                    </w:rPr>
                    <w:t>由专业队伍负责对事故现场进行监测，对事故性质、参数与后果进行评估，为指挥部门提供决策根据</w:t>
                  </w:r>
                </w:p>
              </w:tc>
            </w:tr>
            <w:tr w14:paraId="77546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shd w:val="clear" w:color="auto" w:fill="auto"/>
                  <w:vAlign w:val="center"/>
                </w:tcPr>
                <w:p w14:paraId="723578E0">
                  <w:pPr>
                    <w:jc w:val="center"/>
                  </w:pPr>
                  <w:r>
                    <w:rPr>
                      <w:rFonts w:hint="eastAsia"/>
                    </w:rPr>
                    <w:t>6</w:t>
                  </w:r>
                </w:p>
              </w:tc>
              <w:tc>
                <w:tcPr>
                  <w:tcW w:w="1520" w:type="pct"/>
                </w:tcPr>
                <w:p w14:paraId="086B2203">
                  <w:pPr>
                    <w:jc w:val="center"/>
                  </w:pPr>
                  <w:r>
                    <w:rPr>
                      <w:rFonts w:hint="eastAsia"/>
                    </w:rPr>
                    <w:t>应急检测、防护措施、清除泄漏措施器材</w:t>
                  </w:r>
                </w:p>
              </w:tc>
              <w:tc>
                <w:tcPr>
                  <w:tcW w:w="2916" w:type="pct"/>
                  <w:shd w:val="clear" w:color="auto" w:fill="auto"/>
                  <w:vAlign w:val="center"/>
                </w:tcPr>
                <w:p w14:paraId="110491A7">
                  <w:pPr>
                    <w:jc w:val="center"/>
                  </w:pPr>
                  <w:r>
                    <w:rPr>
                      <w:rFonts w:hint="eastAsia"/>
                    </w:rPr>
                    <w:t>事故现场、邻近区域、控制防火区域，控制和清除污染措施及相应设备</w:t>
                  </w:r>
                </w:p>
              </w:tc>
            </w:tr>
            <w:tr w14:paraId="70182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shd w:val="clear" w:color="auto" w:fill="auto"/>
                  <w:vAlign w:val="center"/>
                </w:tcPr>
                <w:p w14:paraId="39A085E4">
                  <w:pPr>
                    <w:jc w:val="center"/>
                  </w:pPr>
                  <w:r>
                    <w:rPr>
                      <w:rFonts w:hint="eastAsia"/>
                    </w:rPr>
                    <w:t>7</w:t>
                  </w:r>
                </w:p>
              </w:tc>
              <w:tc>
                <w:tcPr>
                  <w:tcW w:w="1520" w:type="pct"/>
                </w:tcPr>
                <w:p w14:paraId="31F611DF">
                  <w:pPr>
                    <w:jc w:val="center"/>
                  </w:pPr>
                  <w:r>
                    <w:rPr>
                      <w:rFonts w:hint="eastAsia"/>
                    </w:rPr>
                    <w:t>人员紧急撤离、疏散</w:t>
                  </w:r>
                </w:p>
              </w:tc>
              <w:tc>
                <w:tcPr>
                  <w:tcW w:w="2916" w:type="pct"/>
                  <w:shd w:val="clear" w:color="auto" w:fill="auto"/>
                  <w:vAlign w:val="center"/>
                </w:tcPr>
                <w:p w14:paraId="5E3D48A1">
                  <w:pPr>
                    <w:jc w:val="center"/>
                  </w:pPr>
                  <w:r>
                    <w:rPr>
                      <w:rFonts w:hint="eastAsia"/>
                    </w:rPr>
                    <w:t>撤离组织计划及救护，医疗救护与公众健康</w:t>
                  </w:r>
                </w:p>
              </w:tc>
            </w:tr>
            <w:tr w14:paraId="56465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shd w:val="clear" w:color="auto" w:fill="auto"/>
                  <w:vAlign w:val="center"/>
                </w:tcPr>
                <w:p w14:paraId="26EB4F9B">
                  <w:pPr>
                    <w:jc w:val="center"/>
                    <w:rPr>
                      <w:rFonts w:hint="eastAsia"/>
                    </w:rPr>
                  </w:pPr>
                  <w:r>
                    <w:rPr>
                      <w:rFonts w:hint="eastAsia"/>
                    </w:rPr>
                    <w:t>8</w:t>
                  </w:r>
                </w:p>
              </w:tc>
              <w:tc>
                <w:tcPr>
                  <w:tcW w:w="1520" w:type="pct"/>
                </w:tcPr>
                <w:p w14:paraId="2C59A4FB">
                  <w:pPr>
                    <w:jc w:val="center"/>
                  </w:pPr>
                  <w:r>
                    <w:rPr>
                      <w:rFonts w:hint="eastAsia"/>
                    </w:rPr>
                    <w:t>事故应急救援关闭程序与恢复措施</w:t>
                  </w:r>
                </w:p>
              </w:tc>
              <w:tc>
                <w:tcPr>
                  <w:tcW w:w="2916" w:type="pct"/>
                  <w:shd w:val="clear" w:color="auto" w:fill="auto"/>
                  <w:vAlign w:val="center"/>
                </w:tcPr>
                <w:p w14:paraId="061B0974">
                  <w:pPr>
                    <w:jc w:val="center"/>
                  </w:pPr>
                  <w:r>
                    <w:rPr>
                      <w:rFonts w:hint="eastAsia"/>
                    </w:rPr>
                    <w:t>专业队伍抢救结束后，做好事故现场善后处理，邻近区域解除事故警戒及善后恢复措施，现场调查、清理、清洗工作恢复实验状态，组织实验</w:t>
                  </w:r>
                </w:p>
              </w:tc>
            </w:tr>
            <w:tr w14:paraId="25D0E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4" w:type="pct"/>
                  <w:shd w:val="clear" w:color="auto" w:fill="auto"/>
                  <w:vAlign w:val="center"/>
                </w:tcPr>
                <w:p w14:paraId="742E1485">
                  <w:pPr>
                    <w:jc w:val="center"/>
                    <w:rPr>
                      <w:rFonts w:hint="eastAsia"/>
                    </w:rPr>
                  </w:pPr>
                  <w:r>
                    <w:rPr>
                      <w:rFonts w:hint="eastAsia"/>
                    </w:rPr>
                    <w:t>9</w:t>
                  </w:r>
                </w:p>
              </w:tc>
              <w:tc>
                <w:tcPr>
                  <w:tcW w:w="1520" w:type="pct"/>
                </w:tcPr>
                <w:p w14:paraId="26D63897">
                  <w:pPr>
                    <w:jc w:val="center"/>
                  </w:pPr>
                  <w:r>
                    <w:rPr>
                      <w:rFonts w:hint="eastAsia"/>
                    </w:rPr>
                    <w:t>应急培训计划</w:t>
                  </w:r>
                </w:p>
              </w:tc>
              <w:tc>
                <w:tcPr>
                  <w:tcW w:w="2916" w:type="pct"/>
                  <w:shd w:val="clear" w:color="auto" w:fill="auto"/>
                  <w:vAlign w:val="center"/>
                </w:tcPr>
                <w:p w14:paraId="0345BF84">
                  <w:pPr>
                    <w:jc w:val="center"/>
                  </w:pPr>
                  <w:r>
                    <w:rPr>
                      <w:rFonts w:hint="eastAsia"/>
                    </w:rPr>
                    <w:t>制定计划，安排人员培训与演练</w:t>
                  </w:r>
                </w:p>
              </w:tc>
            </w:tr>
          </w:tbl>
          <w:p w14:paraId="724BC338">
            <w:pPr>
              <w:widowControl/>
              <w:spacing w:line="360" w:lineRule="auto"/>
              <w:ind w:firstLine="420" w:firstLineChars="200"/>
              <w:rPr>
                <w:lang w:bidi="ar"/>
              </w:rPr>
            </w:pPr>
          </w:p>
          <w:p w14:paraId="48129CF4">
            <w:pPr>
              <w:widowControl/>
              <w:spacing w:line="360" w:lineRule="auto"/>
              <w:ind w:firstLine="420" w:firstLineChars="200"/>
              <w:rPr>
                <w:lang w:bidi="ar"/>
              </w:rPr>
            </w:pPr>
            <w:r>
              <w:rPr>
                <w:rFonts w:hint="eastAsia"/>
                <w:lang w:bidi="ar"/>
              </w:rPr>
              <w:t>厂内环境风险防控系统纳入园区/区域环境风险防控体系，厂内风险防控设施主要为灭火器由企业管理，园区/区域风险防控设施主要为消防栓由园区/区域负责维护管理。发生火灾等极端事故企业应第一时间切断风险源，若超出处理能力及时通知园区/区域协助，启动园区/区域应急预案。</w:t>
            </w:r>
          </w:p>
          <w:p w14:paraId="7E526F5B">
            <w:pPr>
              <w:widowControl/>
              <w:spacing w:line="360" w:lineRule="auto"/>
              <w:ind w:firstLine="422" w:firstLineChars="200"/>
              <w:rPr>
                <w:b/>
                <w:bCs/>
                <w:lang w:bidi="ar"/>
              </w:rPr>
            </w:pPr>
            <w:r>
              <w:rPr>
                <w:rFonts w:hint="eastAsia"/>
                <w:b/>
                <w:bCs/>
                <w:lang w:bidi="ar"/>
              </w:rPr>
              <w:t>（四）环境风险分析结论：</w:t>
            </w:r>
          </w:p>
          <w:p w14:paraId="0A91531C">
            <w:pPr>
              <w:widowControl/>
              <w:spacing w:line="360" w:lineRule="auto"/>
              <w:ind w:firstLine="420" w:firstLineChars="200"/>
              <w:rPr>
                <w:lang w:bidi="ar"/>
              </w:rPr>
            </w:pPr>
            <w:r>
              <w:rPr>
                <w:rFonts w:hint="eastAsia"/>
                <w:lang w:bidi="ar"/>
              </w:rPr>
              <w:t>综上所述，本项目风险处于可接受水平，已采取的风险管理措施有效、可靠，从风险角度而言是可行的。评价要求建设单位严格按照环境风险评价要求加强风险防范措施，并在生产中进一步落实和完善应急预案。</w:t>
            </w:r>
          </w:p>
          <w:p w14:paraId="474CDEA0">
            <w:pPr>
              <w:adjustRightInd w:val="0"/>
              <w:snapToGrid w:val="0"/>
              <w:spacing w:line="360" w:lineRule="auto"/>
              <w:ind w:firstLine="382" w:firstLineChars="200"/>
              <w:rPr>
                <w:rFonts w:hint="eastAsia" w:ascii="宋体" w:hAnsi="宋体"/>
                <w:b/>
                <w:spacing w:val="-10"/>
              </w:rPr>
            </w:pPr>
            <w:r>
              <w:rPr>
                <w:rFonts w:hint="eastAsia" w:ascii="宋体" w:hAnsi="宋体"/>
                <w:b/>
                <w:spacing w:val="-10"/>
              </w:rPr>
              <w:t>七、环境管理</w:t>
            </w:r>
          </w:p>
          <w:p w14:paraId="6B058846">
            <w:pPr>
              <w:widowControl/>
              <w:spacing w:line="360" w:lineRule="auto"/>
              <w:ind w:firstLine="420" w:firstLineChars="200"/>
              <w:rPr>
                <w:lang w:bidi="ar"/>
              </w:rPr>
            </w:pPr>
            <w:r>
              <w:rPr>
                <w:rFonts w:hint="eastAsia"/>
                <w:lang w:bidi="ar"/>
              </w:rPr>
              <w:t>为做好环境管理工作，建议建设单位建立环境管理体系，将环境管理工作自上而下的贯穿到厂区的运行管理中，现就建立环境管理体系提出如下建议：</w:t>
            </w:r>
          </w:p>
          <w:p w14:paraId="4E49D1B3">
            <w:pPr>
              <w:widowControl/>
              <w:spacing w:line="360" w:lineRule="auto"/>
              <w:ind w:firstLine="420" w:firstLineChars="200"/>
              <w:rPr>
                <w:lang w:bidi="ar"/>
              </w:rPr>
            </w:pPr>
            <w:r>
              <w:rPr>
                <w:rFonts w:hint="eastAsia"/>
                <w:lang w:bidi="ar"/>
              </w:rPr>
              <w:t>①组织实施环境保护工作规划、环境监测和环保工作计划。</w:t>
            </w:r>
          </w:p>
          <w:p w14:paraId="00FEAC01">
            <w:pPr>
              <w:widowControl/>
              <w:spacing w:line="360" w:lineRule="auto"/>
              <w:ind w:firstLine="420" w:firstLineChars="200"/>
              <w:rPr>
                <w:lang w:bidi="ar"/>
              </w:rPr>
            </w:pPr>
            <w:r>
              <w:rPr>
                <w:rFonts w:hint="eastAsia"/>
                <w:lang w:bidi="ar"/>
              </w:rPr>
              <w:t>②建立健全污染源档案工作、环保统计工作，建立本工程环保设施运行状况、污染物排放情况的逐月记录工作。</w:t>
            </w:r>
          </w:p>
          <w:p w14:paraId="45194C06">
            <w:pPr>
              <w:widowControl/>
              <w:spacing w:line="360" w:lineRule="auto"/>
              <w:ind w:firstLine="420" w:firstLineChars="200"/>
              <w:rPr>
                <w:lang w:bidi="ar"/>
              </w:rPr>
            </w:pPr>
            <w:r>
              <w:rPr>
                <w:rFonts w:hint="eastAsia"/>
                <w:lang w:bidi="ar"/>
              </w:rPr>
              <w:t>③以水、气、声等环境要素的保护和改善作为推动企业环境保护工作的基础，并在运营中检查环境管理的成效。</w:t>
            </w:r>
          </w:p>
          <w:p w14:paraId="76865BB8">
            <w:pPr>
              <w:widowControl/>
              <w:spacing w:line="360" w:lineRule="auto"/>
              <w:ind w:firstLine="420" w:firstLineChars="200"/>
              <w:rPr>
                <w:lang w:bidi="ar"/>
              </w:rPr>
            </w:pPr>
            <w:r>
              <w:rPr>
                <w:rFonts w:hint="eastAsia"/>
                <w:lang w:bidi="ar"/>
              </w:rPr>
              <w:t>④依据《建设项目竣工环境保护验收暂行办法》《建设项目竣工环境保护验收技术指南污染影响类》及环评文件、批复要求落实环境保护设施和措施，开展本项目环保验收。另据国家排污许可管理的有关规定，建设单位应当在启动生产设施或者在实际排污之前申请排污许可证。</w:t>
            </w:r>
          </w:p>
          <w:p w14:paraId="1B798979">
            <w:pPr>
              <w:adjustRightInd w:val="0"/>
              <w:snapToGrid w:val="0"/>
              <w:spacing w:line="360" w:lineRule="auto"/>
              <w:ind w:firstLine="382" w:firstLineChars="200"/>
              <w:rPr>
                <w:rFonts w:hint="eastAsia" w:ascii="宋体" w:hAnsi="宋体"/>
                <w:b/>
                <w:spacing w:val="-10"/>
              </w:rPr>
            </w:pPr>
            <w:r>
              <w:rPr>
                <w:rFonts w:hint="eastAsia" w:ascii="宋体" w:hAnsi="宋体"/>
                <w:b/>
                <w:spacing w:val="-10"/>
              </w:rPr>
              <w:t>八、项目环保措施及投资清单</w:t>
            </w:r>
          </w:p>
          <w:p w14:paraId="209BA287">
            <w:pPr>
              <w:pStyle w:val="61"/>
              <w:ind w:firstLine="420"/>
              <w:rPr>
                <w:sz w:val="21"/>
                <w:lang w:val="en-US"/>
              </w:rPr>
            </w:pPr>
            <w:r>
              <w:rPr>
                <w:sz w:val="21"/>
                <w:lang w:val="en-US"/>
              </w:rPr>
              <w:t>项目总投资</w:t>
            </w:r>
            <w:r>
              <w:rPr>
                <w:rFonts w:hint="eastAsia"/>
                <w:sz w:val="21"/>
                <w:lang w:val="en-US"/>
              </w:rPr>
              <w:t>50</w:t>
            </w:r>
            <w:r>
              <w:rPr>
                <w:sz w:val="21"/>
                <w:lang w:val="en-US"/>
              </w:rPr>
              <w:t>00万元，其中环保投资</w:t>
            </w:r>
            <w:r>
              <w:rPr>
                <w:rFonts w:hint="eastAsia"/>
                <w:sz w:val="21"/>
                <w:lang w:val="en-US"/>
              </w:rPr>
              <w:t>17.5</w:t>
            </w:r>
            <w:r>
              <w:rPr>
                <w:sz w:val="21"/>
                <w:lang w:val="en-US"/>
              </w:rPr>
              <w:t>万元</w:t>
            </w:r>
            <w:r>
              <w:rPr>
                <w:rFonts w:hint="eastAsia"/>
                <w:sz w:val="21"/>
                <w:lang w:val="en-US"/>
              </w:rPr>
              <w:t>，</w:t>
            </w:r>
            <w:r>
              <w:rPr>
                <w:sz w:val="21"/>
                <w:lang w:val="en-US"/>
              </w:rPr>
              <w:t>占总投资</w:t>
            </w:r>
            <w:r>
              <w:rPr>
                <w:rFonts w:hint="eastAsia"/>
                <w:sz w:val="21"/>
                <w:lang w:val="en-US"/>
              </w:rPr>
              <w:t>0.35</w:t>
            </w:r>
            <w:r>
              <w:rPr>
                <w:sz w:val="21"/>
                <w:lang w:val="en-US"/>
              </w:rPr>
              <w:t>%，其投资详情见下表。</w:t>
            </w:r>
          </w:p>
          <w:p w14:paraId="0DB6D808">
            <w:pPr>
              <w:autoSpaceDE w:val="0"/>
              <w:autoSpaceDN w:val="0"/>
              <w:adjustRightInd w:val="0"/>
              <w:snapToGrid w:val="0"/>
              <w:jc w:val="center"/>
              <w:rPr>
                <w:b/>
              </w:rPr>
            </w:pPr>
            <w:r>
              <w:rPr>
                <w:b/>
              </w:rPr>
              <w:t>表4-2</w:t>
            </w:r>
            <w:r>
              <w:rPr>
                <w:rFonts w:hint="eastAsia"/>
                <w:b/>
              </w:rPr>
              <w:t>9</w:t>
            </w:r>
            <w:r>
              <w:rPr>
                <w:b/>
              </w:rPr>
              <w:t xml:space="preserve">   </w:t>
            </w:r>
            <w:r>
              <w:rPr>
                <w:rFonts w:hint="eastAsia"/>
                <w:b/>
              </w:rPr>
              <w:t>全厂</w:t>
            </w:r>
            <w:r>
              <w:rPr>
                <w:b/>
              </w:rPr>
              <w:t>环保</w:t>
            </w:r>
            <w:r>
              <w:rPr>
                <w:rFonts w:hint="eastAsia"/>
                <w:b/>
              </w:rPr>
              <w:t>设施</w:t>
            </w:r>
            <w:r>
              <w:rPr>
                <w:b/>
              </w:rPr>
              <w:t>及投资一览表  单位：万元</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752"/>
              <w:gridCol w:w="1566"/>
              <w:gridCol w:w="3622"/>
              <w:gridCol w:w="1165"/>
              <w:gridCol w:w="941"/>
            </w:tblGrid>
            <w:tr w14:paraId="64EE3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723" w:type="pct"/>
                  <w:gridSpan w:val="2"/>
                  <w:tcBorders>
                    <w:top w:val="single" w:color="auto" w:sz="12" w:space="0"/>
                    <w:bottom w:val="single" w:color="auto" w:sz="12" w:space="0"/>
                  </w:tcBorders>
                  <w:shd w:val="clear" w:color="auto" w:fill="auto"/>
                  <w:vAlign w:val="center"/>
                </w:tcPr>
                <w:p w14:paraId="3A8A6D38">
                  <w:pPr>
                    <w:pStyle w:val="50"/>
                    <w:spacing w:before="24" w:after="24" w:line="240" w:lineRule="auto"/>
                    <w:rPr>
                      <w:rFonts w:ascii="Times New Roman"/>
                      <w:b/>
                      <w:szCs w:val="21"/>
                      <w:lang w:val="en-US"/>
                    </w:rPr>
                  </w:pPr>
                  <w:r>
                    <w:rPr>
                      <w:rFonts w:ascii="Times New Roman"/>
                      <w:b/>
                      <w:szCs w:val="21"/>
                      <w:lang w:val="en-US"/>
                    </w:rPr>
                    <w:t>项目</w:t>
                  </w:r>
                </w:p>
              </w:tc>
              <w:tc>
                <w:tcPr>
                  <w:tcW w:w="3042" w:type="pct"/>
                  <w:gridSpan w:val="2"/>
                  <w:tcBorders>
                    <w:top w:val="single" w:color="auto" w:sz="12" w:space="0"/>
                    <w:bottom w:val="single" w:color="auto" w:sz="12" w:space="0"/>
                  </w:tcBorders>
                  <w:shd w:val="clear" w:color="auto" w:fill="auto"/>
                  <w:vAlign w:val="center"/>
                </w:tcPr>
                <w:p w14:paraId="6B8CCDAA">
                  <w:pPr>
                    <w:pStyle w:val="50"/>
                    <w:spacing w:before="24" w:after="24" w:line="240" w:lineRule="auto"/>
                    <w:rPr>
                      <w:rFonts w:ascii="Times New Roman"/>
                      <w:b/>
                      <w:szCs w:val="21"/>
                      <w:lang w:val="en-US"/>
                    </w:rPr>
                  </w:pPr>
                  <w:r>
                    <w:rPr>
                      <w:rFonts w:ascii="Times New Roman"/>
                      <w:b/>
                      <w:szCs w:val="21"/>
                      <w:lang w:val="en-US"/>
                    </w:rPr>
                    <w:t>环保设施</w:t>
                  </w:r>
                </w:p>
              </w:tc>
              <w:tc>
                <w:tcPr>
                  <w:tcW w:w="683" w:type="pct"/>
                  <w:tcBorders>
                    <w:top w:val="single" w:color="auto" w:sz="12" w:space="0"/>
                    <w:bottom w:val="single" w:color="auto" w:sz="12" w:space="0"/>
                  </w:tcBorders>
                  <w:shd w:val="clear" w:color="auto" w:fill="auto"/>
                  <w:vAlign w:val="center"/>
                </w:tcPr>
                <w:p w14:paraId="13BAE82C">
                  <w:pPr>
                    <w:pStyle w:val="50"/>
                    <w:spacing w:beforeLines="0" w:afterLines="0" w:line="240" w:lineRule="auto"/>
                    <w:ind w:left="-105" w:leftChars="-50" w:right="-105" w:rightChars="-50"/>
                    <w:rPr>
                      <w:rFonts w:ascii="Times New Roman"/>
                      <w:b/>
                      <w:szCs w:val="21"/>
                      <w:lang w:val="en-US"/>
                    </w:rPr>
                  </w:pPr>
                  <w:r>
                    <w:rPr>
                      <w:rFonts w:ascii="Times New Roman"/>
                      <w:b/>
                      <w:szCs w:val="21"/>
                      <w:lang w:val="en-US"/>
                    </w:rPr>
                    <w:t>投资（万元）</w:t>
                  </w:r>
                </w:p>
              </w:tc>
              <w:tc>
                <w:tcPr>
                  <w:tcW w:w="552" w:type="pct"/>
                  <w:tcBorders>
                    <w:top w:val="single" w:color="auto" w:sz="12" w:space="0"/>
                    <w:bottom w:val="single" w:color="auto" w:sz="12" w:space="0"/>
                  </w:tcBorders>
                  <w:shd w:val="clear" w:color="auto" w:fill="auto"/>
                  <w:vAlign w:val="center"/>
                </w:tcPr>
                <w:p w14:paraId="0469ABBE">
                  <w:pPr>
                    <w:pStyle w:val="50"/>
                    <w:spacing w:before="24" w:after="24" w:line="240" w:lineRule="auto"/>
                    <w:rPr>
                      <w:rFonts w:ascii="Times New Roman"/>
                      <w:b/>
                      <w:szCs w:val="21"/>
                      <w:lang w:val="en-US"/>
                    </w:rPr>
                  </w:pPr>
                  <w:r>
                    <w:rPr>
                      <w:rFonts w:ascii="Times New Roman"/>
                      <w:b/>
                      <w:szCs w:val="21"/>
                      <w:lang w:val="en-US"/>
                    </w:rPr>
                    <w:t>备注</w:t>
                  </w:r>
                </w:p>
              </w:tc>
            </w:tr>
            <w:tr w14:paraId="67F94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82" w:type="pct"/>
                  <w:vMerge w:val="restart"/>
                  <w:shd w:val="clear" w:color="auto" w:fill="auto"/>
                  <w:vAlign w:val="center"/>
                </w:tcPr>
                <w:p w14:paraId="22BF7719">
                  <w:pPr>
                    <w:pStyle w:val="50"/>
                    <w:spacing w:before="24" w:after="24" w:line="240" w:lineRule="auto"/>
                    <w:rPr>
                      <w:rFonts w:ascii="Times New Roman"/>
                      <w:szCs w:val="21"/>
                      <w:lang w:val="en-US"/>
                    </w:rPr>
                  </w:pPr>
                  <w:r>
                    <w:rPr>
                      <w:rFonts w:ascii="Times New Roman"/>
                      <w:szCs w:val="21"/>
                      <w:lang w:val="en-US"/>
                    </w:rPr>
                    <w:t>营</w:t>
                  </w:r>
                </w:p>
                <w:p w14:paraId="2648CE9A">
                  <w:pPr>
                    <w:pStyle w:val="50"/>
                    <w:spacing w:before="24" w:after="24" w:line="240" w:lineRule="auto"/>
                    <w:rPr>
                      <w:rFonts w:ascii="Times New Roman"/>
                      <w:szCs w:val="21"/>
                      <w:lang w:val="en-US"/>
                    </w:rPr>
                  </w:pPr>
                  <w:r>
                    <w:rPr>
                      <w:rFonts w:ascii="Times New Roman"/>
                      <w:szCs w:val="21"/>
                      <w:lang w:val="en-US"/>
                    </w:rPr>
                    <w:t>运</w:t>
                  </w:r>
                </w:p>
                <w:p w14:paraId="522ABF96">
                  <w:pPr>
                    <w:pStyle w:val="50"/>
                    <w:spacing w:before="24" w:after="24" w:line="240" w:lineRule="auto"/>
                    <w:rPr>
                      <w:rFonts w:ascii="Times New Roman"/>
                      <w:szCs w:val="21"/>
                      <w:lang w:val="en-US"/>
                    </w:rPr>
                  </w:pPr>
                  <w:r>
                    <w:rPr>
                      <w:rFonts w:ascii="Times New Roman"/>
                      <w:szCs w:val="21"/>
                      <w:lang w:val="en-US"/>
                    </w:rPr>
                    <w:t>期</w:t>
                  </w:r>
                </w:p>
              </w:tc>
              <w:tc>
                <w:tcPr>
                  <w:tcW w:w="441" w:type="pct"/>
                  <w:vMerge w:val="restart"/>
                  <w:shd w:val="clear" w:color="auto" w:fill="auto"/>
                  <w:vAlign w:val="center"/>
                </w:tcPr>
                <w:p w14:paraId="4D04CEEF">
                  <w:pPr>
                    <w:pStyle w:val="50"/>
                    <w:spacing w:before="24" w:after="24" w:line="240" w:lineRule="auto"/>
                    <w:rPr>
                      <w:rFonts w:ascii="Times New Roman"/>
                      <w:szCs w:val="21"/>
                      <w:lang w:val="en-US"/>
                    </w:rPr>
                  </w:pPr>
                  <w:r>
                    <w:rPr>
                      <w:rFonts w:ascii="Times New Roman"/>
                      <w:szCs w:val="21"/>
                      <w:lang w:val="en-US"/>
                    </w:rPr>
                    <w:t>废水治理</w:t>
                  </w:r>
                </w:p>
              </w:tc>
              <w:tc>
                <w:tcPr>
                  <w:tcW w:w="918" w:type="pct"/>
                  <w:shd w:val="clear" w:color="auto" w:fill="auto"/>
                  <w:vAlign w:val="center"/>
                </w:tcPr>
                <w:p w14:paraId="4C8380D0">
                  <w:pPr>
                    <w:pStyle w:val="50"/>
                    <w:spacing w:before="24" w:after="24" w:line="240" w:lineRule="auto"/>
                    <w:rPr>
                      <w:rFonts w:ascii="Times New Roman"/>
                      <w:szCs w:val="21"/>
                      <w:lang w:val="en-US"/>
                    </w:rPr>
                  </w:pPr>
                  <w:r>
                    <w:rPr>
                      <w:rFonts w:ascii="Times New Roman"/>
                      <w:szCs w:val="21"/>
                      <w:lang w:val="en-US"/>
                    </w:rPr>
                    <w:t>生活污水</w:t>
                  </w:r>
                </w:p>
              </w:tc>
              <w:tc>
                <w:tcPr>
                  <w:tcW w:w="2124" w:type="pct"/>
                  <w:shd w:val="clear" w:color="auto" w:fill="auto"/>
                  <w:vAlign w:val="center"/>
                </w:tcPr>
                <w:p w14:paraId="6BF18B2B">
                  <w:pPr>
                    <w:pStyle w:val="50"/>
                    <w:spacing w:before="24" w:after="24" w:line="240" w:lineRule="auto"/>
                    <w:jc w:val="both"/>
                    <w:rPr>
                      <w:rFonts w:ascii="Times New Roman"/>
                      <w:szCs w:val="21"/>
                      <w:lang w:val="en-US"/>
                    </w:rPr>
                  </w:pPr>
                  <w:r>
                    <w:rPr>
                      <w:rFonts w:hint="eastAsia" w:ascii="Times New Roman"/>
                      <w:szCs w:val="21"/>
                      <w:lang w:val="en-US"/>
                    </w:rPr>
                    <w:t>生活污水依托</w:t>
                  </w:r>
                  <w:r>
                    <w:rPr>
                      <w:rFonts w:hint="eastAsia" w:ascii="Times New Roman"/>
                    </w:rPr>
                    <w:t>医药产业示范园预处理池（250m</w:t>
                  </w:r>
                  <w:r>
                    <w:rPr>
                      <w:rFonts w:hint="eastAsia" w:ascii="Times New Roman"/>
                      <w:vertAlign w:val="superscript"/>
                    </w:rPr>
                    <w:t>3</w:t>
                  </w:r>
                  <w:r>
                    <w:rPr>
                      <w:rFonts w:hint="eastAsia" w:ascii="Times New Roman"/>
                    </w:rPr>
                    <w:t>）处理。</w:t>
                  </w:r>
                </w:p>
              </w:tc>
              <w:tc>
                <w:tcPr>
                  <w:tcW w:w="683" w:type="pct"/>
                  <w:shd w:val="clear" w:color="auto" w:fill="auto"/>
                  <w:vAlign w:val="center"/>
                </w:tcPr>
                <w:p w14:paraId="2C74E822">
                  <w:pPr>
                    <w:pStyle w:val="50"/>
                    <w:spacing w:before="24" w:after="24" w:line="240" w:lineRule="auto"/>
                    <w:rPr>
                      <w:rFonts w:ascii="Times New Roman"/>
                      <w:szCs w:val="21"/>
                      <w:lang w:val="en-US"/>
                    </w:rPr>
                  </w:pPr>
                  <w:r>
                    <w:rPr>
                      <w:rFonts w:hint="eastAsia" w:ascii="Times New Roman"/>
                      <w:szCs w:val="21"/>
                      <w:lang w:val="en-US"/>
                    </w:rPr>
                    <w:t>0</w:t>
                  </w:r>
                </w:p>
              </w:tc>
              <w:tc>
                <w:tcPr>
                  <w:tcW w:w="552" w:type="pct"/>
                  <w:shd w:val="clear" w:color="auto" w:fill="auto"/>
                  <w:vAlign w:val="center"/>
                </w:tcPr>
                <w:p w14:paraId="1BFA2F67">
                  <w:pPr>
                    <w:pStyle w:val="50"/>
                    <w:spacing w:before="24" w:after="24" w:line="240" w:lineRule="auto"/>
                    <w:rPr>
                      <w:rFonts w:ascii="Times New Roman"/>
                      <w:szCs w:val="21"/>
                      <w:lang w:val="en-US"/>
                    </w:rPr>
                  </w:pPr>
                  <w:r>
                    <w:rPr>
                      <w:rFonts w:hint="eastAsia" w:ascii="Times New Roman"/>
                      <w:szCs w:val="21"/>
                      <w:lang w:val="en-US"/>
                    </w:rPr>
                    <w:t>依托</w:t>
                  </w:r>
                </w:p>
              </w:tc>
            </w:tr>
            <w:tr w14:paraId="1D4A7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82" w:type="pct"/>
                  <w:vMerge w:val="continue"/>
                  <w:shd w:val="clear" w:color="auto" w:fill="auto"/>
                  <w:vAlign w:val="center"/>
                </w:tcPr>
                <w:p w14:paraId="6235DA17">
                  <w:pPr>
                    <w:pStyle w:val="50"/>
                    <w:spacing w:before="24" w:after="24" w:line="240" w:lineRule="auto"/>
                    <w:rPr>
                      <w:rFonts w:ascii="Times New Roman"/>
                      <w:szCs w:val="21"/>
                      <w:lang w:val="en-US"/>
                    </w:rPr>
                  </w:pPr>
                </w:p>
              </w:tc>
              <w:tc>
                <w:tcPr>
                  <w:tcW w:w="441" w:type="pct"/>
                  <w:vMerge w:val="continue"/>
                  <w:shd w:val="clear" w:color="auto" w:fill="auto"/>
                  <w:vAlign w:val="center"/>
                </w:tcPr>
                <w:p w14:paraId="46FC895C">
                  <w:pPr>
                    <w:pStyle w:val="50"/>
                    <w:spacing w:before="24" w:after="24" w:line="240" w:lineRule="auto"/>
                    <w:rPr>
                      <w:rFonts w:ascii="Times New Roman"/>
                      <w:szCs w:val="21"/>
                      <w:lang w:val="en-US"/>
                    </w:rPr>
                  </w:pPr>
                </w:p>
              </w:tc>
              <w:tc>
                <w:tcPr>
                  <w:tcW w:w="918" w:type="pct"/>
                  <w:shd w:val="clear" w:color="auto" w:fill="auto"/>
                  <w:vAlign w:val="center"/>
                </w:tcPr>
                <w:p w14:paraId="612E6291">
                  <w:pPr>
                    <w:pStyle w:val="50"/>
                    <w:spacing w:before="24" w:after="24" w:line="240" w:lineRule="auto"/>
                    <w:rPr>
                      <w:rFonts w:ascii="Times New Roman"/>
                      <w:szCs w:val="21"/>
                      <w:lang w:val="en-US"/>
                    </w:rPr>
                  </w:pPr>
                  <w:r>
                    <w:rPr>
                      <w:rFonts w:hint="eastAsia" w:ascii="Times New Roman"/>
                      <w:szCs w:val="21"/>
                      <w:lang w:val="en-US"/>
                    </w:rPr>
                    <w:t>纯水制备废水</w:t>
                  </w:r>
                </w:p>
              </w:tc>
              <w:tc>
                <w:tcPr>
                  <w:tcW w:w="2124" w:type="pct"/>
                  <w:vMerge w:val="restart"/>
                  <w:shd w:val="clear" w:color="auto" w:fill="auto"/>
                  <w:vAlign w:val="center"/>
                </w:tcPr>
                <w:p w14:paraId="4B882DD7">
                  <w:pPr>
                    <w:pStyle w:val="50"/>
                    <w:spacing w:before="24" w:after="24" w:line="240" w:lineRule="auto"/>
                    <w:jc w:val="both"/>
                    <w:rPr>
                      <w:rFonts w:ascii="Times New Roman"/>
                      <w:szCs w:val="21"/>
                      <w:lang w:val="en-US" w:bidi="ar"/>
                    </w:rPr>
                  </w:pPr>
                  <w:r>
                    <w:rPr>
                      <w:rFonts w:hint="eastAsia" w:ascii="Times New Roman"/>
                      <w:szCs w:val="21"/>
                      <w:lang w:bidi="ar"/>
                    </w:rPr>
                    <w:t>依托医药产业示范园预处理池（250m</w:t>
                  </w:r>
                  <w:r>
                    <w:rPr>
                      <w:rFonts w:hint="eastAsia" w:ascii="Times New Roman"/>
                      <w:szCs w:val="21"/>
                      <w:vertAlign w:val="superscript"/>
                      <w:lang w:bidi="ar"/>
                    </w:rPr>
                    <w:t>3</w:t>
                  </w:r>
                  <w:r>
                    <w:rPr>
                      <w:rFonts w:hint="eastAsia" w:ascii="Times New Roman"/>
                      <w:szCs w:val="21"/>
                      <w:lang w:bidi="ar"/>
                    </w:rPr>
                    <w:t>）处理</w:t>
                  </w:r>
                  <w:r>
                    <w:rPr>
                      <w:rFonts w:hint="eastAsia" w:ascii="Times New Roman"/>
                    </w:rPr>
                    <w:t>。</w:t>
                  </w:r>
                </w:p>
              </w:tc>
              <w:tc>
                <w:tcPr>
                  <w:tcW w:w="683" w:type="pct"/>
                  <w:vMerge w:val="restart"/>
                  <w:shd w:val="clear" w:color="auto" w:fill="auto"/>
                  <w:vAlign w:val="center"/>
                </w:tcPr>
                <w:p w14:paraId="425370CA">
                  <w:pPr>
                    <w:pStyle w:val="50"/>
                    <w:spacing w:before="24" w:after="24" w:line="240" w:lineRule="auto"/>
                    <w:rPr>
                      <w:rFonts w:ascii="Times New Roman"/>
                      <w:szCs w:val="21"/>
                      <w:lang w:val="en-US"/>
                    </w:rPr>
                  </w:pPr>
                  <w:r>
                    <w:rPr>
                      <w:rFonts w:hint="eastAsia" w:ascii="Times New Roman"/>
                      <w:szCs w:val="21"/>
                      <w:lang w:val="en-US"/>
                    </w:rPr>
                    <w:t>0</w:t>
                  </w:r>
                </w:p>
              </w:tc>
              <w:tc>
                <w:tcPr>
                  <w:tcW w:w="552" w:type="pct"/>
                  <w:vMerge w:val="restart"/>
                  <w:shd w:val="clear" w:color="auto" w:fill="auto"/>
                  <w:vAlign w:val="center"/>
                </w:tcPr>
                <w:p w14:paraId="161ACD80">
                  <w:pPr>
                    <w:pStyle w:val="50"/>
                    <w:spacing w:before="24" w:after="24" w:line="240" w:lineRule="auto"/>
                    <w:rPr>
                      <w:rFonts w:ascii="Times New Roman"/>
                      <w:szCs w:val="21"/>
                      <w:lang w:val="en-US"/>
                    </w:rPr>
                  </w:pPr>
                  <w:r>
                    <w:rPr>
                      <w:rFonts w:hint="eastAsia" w:ascii="Times New Roman"/>
                      <w:szCs w:val="21"/>
                      <w:lang w:val="en-US"/>
                    </w:rPr>
                    <w:t>依托</w:t>
                  </w:r>
                </w:p>
              </w:tc>
            </w:tr>
            <w:tr w14:paraId="35378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282" w:type="pct"/>
                  <w:vMerge w:val="continue"/>
                  <w:shd w:val="clear" w:color="auto" w:fill="auto"/>
                  <w:vAlign w:val="center"/>
                </w:tcPr>
                <w:p w14:paraId="4C11D224">
                  <w:pPr>
                    <w:pStyle w:val="50"/>
                    <w:spacing w:before="24" w:after="24" w:line="240" w:lineRule="auto"/>
                    <w:rPr>
                      <w:rFonts w:ascii="Times New Roman"/>
                      <w:szCs w:val="21"/>
                      <w:lang w:val="en-US"/>
                    </w:rPr>
                  </w:pPr>
                </w:p>
              </w:tc>
              <w:tc>
                <w:tcPr>
                  <w:tcW w:w="441" w:type="pct"/>
                  <w:vMerge w:val="continue"/>
                  <w:shd w:val="clear" w:color="auto" w:fill="auto"/>
                  <w:vAlign w:val="center"/>
                </w:tcPr>
                <w:p w14:paraId="62B79B0C">
                  <w:pPr>
                    <w:pStyle w:val="50"/>
                    <w:spacing w:before="24" w:after="24" w:line="240" w:lineRule="auto"/>
                    <w:rPr>
                      <w:rFonts w:ascii="Times New Roman"/>
                      <w:szCs w:val="21"/>
                      <w:lang w:val="en-US"/>
                    </w:rPr>
                  </w:pPr>
                </w:p>
              </w:tc>
              <w:tc>
                <w:tcPr>
                  <w:tcW w:w="918" w:type="pct"/>
                  <w:shd w:val="clear" w:color="auto" w:fill="auto"/>
                  <w:vAlign w:val="center"/>
                </w:tcPr>
                <w:p w14:paraId="38C411BF">
                  <w:pPr>
                    <w:pStyle w:val="50"/>
                    <w:spacing w:before="24" w:after="24" w:line="240" w:lineRule="auto"/>
                    <w:rPr>
                      <w:rFonts w:ascii="Times New Roman"/>
                      <w:szCs w:val="21"/>
                      <w:lang w:val="en-US"/>
                    </w:rPr>
                  </w:pPr>
                  <w:r>
                    <w:rPr>
                      <w:rFonts w:hint="eastAsia" w:ascii="Times New Roman"/>
                      <w:szCs w:val="21"/>
                      <w:lang w:bidi="ar"/>
                    </w:rPr>
                    <w:t>蒸汽发生器排水、冷凝水</w:t>
                  </w:r>
                </w:p>
              </w:tc>
              <w:tc>
                <w:tcPr>
                  <w:tcW w:w="2124" w:type="pct"/>
                  <w:vMerge w:val="continue"/>
                  <w:shd w:val="clear" w:color="auto" w:fill="auto"/>
                  <w:vAlign w:val="center"/>
                </w:tcPr>
                <w:p w14:paraId="54E9A5ED">
                  <w:pPr>
                    <w:pStyle w:val="50"/>
                    <w:spacing w:before="24" w:after="24" w:line="240" w:lineRule="auto"/>
                    <w:jc w:val="both"/>
                    <w:rPr>
                      <w:rFonts w:ascii="Times New Roman"/>
                      <w:szCs w:val="21"/>
                      <w:lang w:val="en-US" w:bidi="ar"/>
                    </w:rPr>
                  </w:pPr>
                </w:p>
              </w:tc>
              <w:tc>
                <w:tcPr>
                  <w:tcW w:w="683" w:type="pct"/>
                  <w:vMerge w:val="continue"/>
                  <w:shd w:val="clear" w:color="auto" w:fill="auto"/>
                  <w:vAlign w:val="center"/>
                </w:tcPr>
                <w:p w14:paraId="228F5143">
                  <w:pPr>
                    <w:pStyle w:val="50"/>
                    <w:spacing w:before="24" w:after="24" w:line="240" w:lineRule="auto"/>
                    <w:rPr>
                      <w:rFonts w:ascii="Times New Roman"/>
                      <w:szCs w:val="21"/>
                      <w:lang w:val="en-US"/>
                    </w:rPr>
                  </w:pPr>
                </w:p>
              </w:tc>
              <w:tc>
                <w:tcPr>
                  <w:tcW w:w="552" w:type="pct"/>
                  <w:vMerge w:val="continue"/>
                  <w:shd w:val="clear" w:color="auto" w:fill="auto"/>
                  <w:vAlign w:val="center"/>
                </w:tcPr>
                <w:p w14:paraId="6F2D3AD9">
                  <w:pPr>
                    <w:pStyle w:val="50"/>
                    <w:spacing w:before="24" w:after="24" w:line="240" w:lineRule="auto"/>
                    <w:rPr>
                      <w:rFonts w:ascii="Times New Roman"/>
                      <w:szCs w:val="21"/>
                      <w:lang w:val="en-US"/>
                    </w:rPr>
                  </w:pPr>
                </w:p>
              </w:tc>
            </w:tr>
            <w:tr w14:paraId="04E42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82" w:type="pct"/>
                  <w:vMerge w:val="continue"/>
                  <w:shd w:val="clear" w:color="auto" w:fill="auto"/>
                  <w:vAlign w:val="center"/>
                </w:tcPr>
                <w:p w14:paraId="2EB2FC93">
                  <w:pPr>
                    <w:pStyle w:val="50"/>
                    <w:spacing w:before="24" w:after="24" w:line="240" w:lineRule="auto"/>
                    <w:rPr>
                      <w:rFonts w:ascii="Times New Roman"/>
                      <w:szCs w:val="21"/>
                      <w:lang w:val="en-US"/>
                    </w:rPr>
                  </w:pPr>
                </w:p>
              </w:tc>
              <w:tc>
                <w:tcPr>
                  <w:tcW w:w="441" w:type="pct"/>
                  <w:vMerge w:val="continue"/>
                  <w:shd w:val="clear" w:color="auto" w:fill="auto"/>
                  <w:vAlign w:val="center"/>
                </w:tcPr>
                <w:p w14:paraId="23906514">
                  <w:pPr>
                    <w:pStyle w:val="50"/>
                    <w:spacing w:before="24" w:after="24" w:line="240" w:lineRule="auto"/>
                    <w:rPr>
                      <w:rFonts w:ascii="Times New Roman"/>
                      <w:szCs w:val="21"/>
                      <w:lang w:val="en-US"/>
                    </w:rPr>
                  </w:pPr>
                </w:p>
              </w:tc>
              <w:tc>
                <w:tcPr>
                  <w:tcW w:w="918" w:type="pct"/>
                  <w:shd w:val="clear" w:color="auto" w:fill="auto"/>
                  <w:vAlign w:val="center"/>
                </w:tcPr>
                <w:p w14:paraId="7582634A">
                  <w:pPr>
                    <w:pStyle w:val="50"/>
                    <w:spacing w:before="24" w:after="24" w:line="240" w:lineRule="auto"/>
                    <w:rPr>
                      <w:rFonts w:ascii="Times New Roman"/>
                      <w:szCs w:val="21"/>
                      <w:lang w:val="en-US"/>
                    </w:rPr>
                  </w:pPr>
                  <w:r>
                    <w:rPr>
                      <w:rFonts w:hint="eastAsia" w:ascii="Times New Roman"/>
                      <w:szCs w:val="21"/>
                      <w:lang w:bidi="ar"/>
                    </w:rPr>
                    <w:t>地面清洁废水</w:t>
                  </w:r>
                </w:p>
              </w:tc>
              <w:tc>
                <w:tcPr>
                  <w:tcW w:w="2124" w:type="pct"/>
                  <w:vMerge w:val="continue"/>
                  <w:shd w:val="clear" w:color="auto" w:fill="auto"/>
                  <w:vAlign w:val="center"/>
                </w:tcPr>
                <w:p w14:paraId="26280279">
                  <w:pPr>
                    <w:pStyle w:val="50"/>
                    <w:spacing w:before="24" w:after="24" w:line="240" w:lineRule="auto"/>
                    <w:jc w:val="both"/>
                    <w:rPr>
                      <w:rFonts w:ascii="Times New Roman"/>
                      <w:szCs w:val="21"/>
                      <w:lang w:val="en-US" w:bidi="ar"/>
                    </w:rPr>
                  </w:pPr>
                </w:p>
              </w:tc>
              <w:tc>
                <w:tcPr>
                  <w:tcW w:w="683" w:type="pct"/>
                  <w:shd w:val="clear" w:color="auto" w:fill="auto"/>
                  <w:vAlign w:val="center"/>
                </w:tcPr>
                <w:p w14:paraId="67F3A7B5">
                  <w:pPr>
                    <w:pStyle w:val="50"/>
                    <w:spacing w:before="24" w:after="24" w:line="240" w:lineRule="auto"/>
                    <w:rPr>
                      <w:rFonts w:ascii="Times New Roman"/>
                      <w:szCs w:val="21"/>
                      <w:lang w:val="en-US"/>
                    </w:rPr>
                  </w:pPr>
                  <w:r>
                    <w:rPr>
                      <w:rFonts w:hint="eastAsia" w:ascii="Times New Roman"/>
                      <w:szCs w:val="21"/>
                      <w:lang w:val="en-US"/>
                    </w:rPr>
                    <w:t>0</w:t>
                  </w:r>
                </w:p>
              </w:tc>
              <w:tc>
                <w:tcPr>
                  <w:tcW w:w="552" w:type="pct"/>
                  <w:shd w:val="clear" w:color="auto" w:fill="auto"/>
                  <w:vAlign w:val="center"/>
                </w:tcPr>
                <w:p w14:paraId="0975BD19">
                  <w:pPr>
                    <w:pStyle w:val="50"/>
                    <w:spacing w:before="24" w:after="24" w:line="240" w:lineRule="auto"/>
                    <w:rPr>
                      <w:rFonts w:ascii="Times New Roman"/>
                      <w:szCs w:val="21"/>
                      <w:lang w:val="en-US"/>
                    </w:rPr>
                  </w:pPr>
                  <w:r>
                    <w:rPr>
                      <w:rFonts w:hint="eastAsia" w:ascii="Times New Roman"/>
                      <w:szCs w:val="21"/>
                      <w:lang w:val="en-US"/>
                    </w:rPr>
                    <w:t>依托</w:t>
                  </w:r>
                </w:p>
              </w:tc>
            </w:tr>
            <w:tr w14:paraId="6A077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82" w:type="pct"/>
                  <w:vMerge w:val="continue"/>
                  <w:shd w:val="clear" w:color="auto" w:fill="auto"/>
                  <w:vAlign w:val="center"/>
                </w:tcPr>
                <w:p w14:paraId="3F104277">
                  <w:pPr>
                    <w:pStyle w:val="50"/>
                    <w:spacing w:before="24" w:after="24" w:line="240" w:lineRule="auto"/>
                    <w:rPr>
                      <w:rFonts w:ascii="Times New Roman"/>
                      <w:szCs w:val="21"/>
                      <w:lang w:val="en-US"/>
                    </w:rPr>
                  </w:pPr>
                </w:p>
              </w:tc>
              <w:tc>
                <w:tcPr>
                  <w:tcW w:w="441" w:type="pct"/>
                  <w:vMerge w:val="continue"/>
                  <w:shd w:val="clear" w:color="auto" w:fill="auto"/>
                  <w:vAlign w:val="center"/>
                </w:tcPr>
                <w:p w14:paraId="6DD2A4DF">
                  <w:pPr>
                    <w:pStyle w:val="50"/>
                    <w:spacing w:before="24" w:after="24" w:line="240" w:lineRule="auto"/>
                    <w:rPr>
                      <w:rFonts w:ascii="Times New Roman"/>
                      <w:szCs w:val="21"/>
                      <w:lang w:val="en-US"/>
                    </w:rPr>
                  </w:pPr>
                </w:p>
              </w:tc>
              <w:tc>
                <w:tcPr>
                  <w:tcW w:w="918" w:type="pct"/>
                  <w:shd w:val="clear" w:color="auto" w:fill="auto"/>
                  <w:vAlign w:val="center"/>
                </w:tcPr>
                <w:p w14:paraId="450BF074">
                  <w:pPr>
                    <w:pStyle w:val="50"/>
                    <w:spacing w:before="24" w:after="24" w:line="240" w:lineRule="auto"/>
                    <w:rPr>
                      <w:rFonts w:ascii="Times New Roman"/>
                      <w:szCs w:val="21"/>
                      <w:lang w:bidi="ar"/>
                    </w:rPr>
                  </w:pPr>
                  <w:r>
                    <w:rPr>
                      <w:rFonts w:hint="eastAsia" w:ascii="Times New Roman"/>
                      <w:szCs w:val="21"/>
                      <w:lang w:bidi="ar"/>
                    </w:rPr>
                    <w:t>设备清洗废水</w:t>
                  </w:r>
                </w:p>
              </w:tc>
              <w:tc>
                <w:tcPr>
                  <w:tcW w:w="2124" w:type="pct"/>
                  <w:shd w:val="clear" w:color="auto" w:fill="auto"/>
                  <w:vAlign w:val="center"/>
                </w:tcPr>
                <w:p w14:paraId="76146C47">
                  <w:pPr>
                    <w:pStyle w:val="50"/>
                    <w:spacing w:before="24" w:after="24" w:line="240" w:lineRule="auto"/>
                    <w:jc w:val="both"/>
                    <w:rPr>
                      <w:rFonts w:ascii="Times New Roman"/>
                      <w:szCs w:val="21"/>
                      <w:lang w:val="en-US" w:bidi="ar"/>
                    </w:rPr>
                  </w:pPr>
                  <w:r>
                    <w:rPr>
                      <w:rFonts w:hint="eastAsia" w:ascii="Times New Roman"/>
                      <w:szCs w:val="21"/>
                      <w:lang w:bidi="ar"/>
                    </w:rPr>
                    <w:t>经1.5t/h污水处理站处理后依托医药产业示范园预处理池（250m</w:t>
                  </w:r>
                  <w:r>
                    <w:rPr>
                      <w:rFonts w:hint="eastAsia" w:ascii="Times New Roman"/>
                      <w:szCs w:val="21"/>
                      <w:vertAlign w:val="superscript"/>
                      <w:lang w:bidi="ar"/>
                    </w:rPr>
                    <w:t>3</w:t>
                  </w:r>
                  <w:r>
                    <w:rPr>
                      <w:rFonts w:hint="eastAsia" w:ascii="Times New Roman"/>
                      <w:szCs w:val="21"/>
                      <w:lang w:bidi="ar"/>
                    </w:rPr>
                    <w:t>）</w:t>
                  </w:r>
                  <w:r>
                    <w:rPr>
                      <w:rFonts w:hint="eastAsia" w:ascii="Times New Roman"/>
                    </w:rPr>
                    <w:t>处理</w:t>
                  </w:r>
                </w:p>
              </w:tc>
              <w:tc>
                <w:tcPr>
                  <w:tcW w:w="683" w:type="pct"/>
                  <w:shd w:val="clear" w:color="auto" w:fill="auto"/>
                  <w:vAlign w:val="center"/>
                </w:tcPr>
                <w:p w14:paraId="088ACD58">
                  <w:pPr>
                    <w:pStyle w:val="50"/>
                    <w:spacing w:before="24" w:after="24" w:line="240" w:lineRule="auto"/>
                    <w:rPr>
                      <w:rFonts w:ascii="Times New Roman"/>
                      <w:szCs w:val="21"/>
                      <w:lang w:val="en-US"/>
                    </w:rPr>
                  </w:pPr>
                  <w:r>
                    <w:rPr>
                      <w:rFonts w:hint="eastAsia" w:ascii="Times New Roman"/>
                      <w:szCs w:val="21"/>
                      <w:lang w:val="en-US"/>
                    </w:rPr>
                    <w:t>5</w:t>
                  </w:r>
                </w:p>
              </w:tc>
              <w:tc>
                <w:tcPr>
                  <w:tcW w:w="552" w:type="pct"/>
                  <w:shd w:val="clear" w:color="auto" w:fill="auto"/>
                  <w:vAlign w:val="center"/>
                </w:tcPr>
                <w:p w14:paraId="4FF44BA9">
                  <w:pPr>
                    <w:pStyle w:val="50"/>
                    <w:spacing w:before="24" w:after="24" w:line="240" w:lineRule="auto"/>
                    <w:rPr>
                      <w:rFonts w:ascii="Times New Roman"/>
                      <w:szCs w:val="21"/>
                      <w:lang w:val="en-US"/>
                    </w:rPr>
                  </w:pPr>
                  <w:r>
                    <w:rPr>
                      <w:rFonts w:hint="eastAsia" w:ascii="Times New Roman"/>
                      <w:szCs w:val="21"/>
                      <w:lang w:val="en-US"/>
                    </w:rPr>
                    <w:t>新建+依托</w:t>
                  </w:r>
                </w:p>
              </w:tc>
            </w:tr>
            <w:tr w14:paraId="085E5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82" w:type="pct"/>
                  <w:vMerge w:val="continue"/>
                  <w:shd w:val="clear" w:color="auto" w:fill="auto"/>
                  <w:vAlign w:val="center"/>
                </w:tcPr>
                <w:p w14:paraId="3A62A4E0">
                  <w:pPr>
                    <w:pStyle w:val="50"/>
                    <w:spacing w:before="24" w:after="24" w:line="240" w:lineRule="auto"/>
                    <w:rPr>
                      <w:rFonts w:ascii="Times New Roman"/>
                      <w:szCs w:val="21"/>
                      <w:lang w:val="en-US"/>
                    </w:rPr>
                  </w:pPr>
                </w:p>
              </w:tc>
              <w:tc>
                <w:tcPr>
                  <w:tcW w:w="441" w:type="pct"/>
                  <w:vMerge w:val="restart"/>
                  <w:shd w:val="clear" w:color="auto" w:fill="auto"/>
                  <w:vAlign w:val="center"/>
                </w:tcPr>
                <w:p w14:paraId="755BEC67">
                  <w:pPr>
                    <w:pStyle w:val="50"/>
                    <w:spacing w:before="24" w:after="24" w:line="240" w:lineRule="auto"/>
                    <w:rPr>
                      <w:rFonts w:ascii="Times New Roman"/>
                      <w:szCs w:val="21"/>
                      <w:lang w:val="en-US"/>
                    </w:rPr>
                  </w:pPr>
                  <w:r>
                    <w:rPr>
                      <w:rFonts w:hint="eastAsia" w:ascii="Times New Roman"/>
                      <w:szCs w:val="21"/>
                      <w:lang w:val="en-US"/>
                    </w:rPr>
                    <w:t>废气治理</w:t>
                  </w:r>
                </w:p>
              </w:tc>
              <w:tc>
                <w:tcPr>
                  <w:tcW w:w="918" w:type="pct"/>
                  <w:shd w:val="clear" w:color="auto" w:fill="auto"/>
                  <w:vAlign w:val="center"/>
                </w:tcPr>
                <w:p w14:paraId="6289331C">
                  <w:pPr>
                    <w:pStyle w:val="50"/>
                    <w:spacing w:before="24" w:after="24" w:line="240" w:lineRule="auto"/>
                    <w:rPr>
                      <w:rFonts w:ascii="Times New Roman"/>
                      <w:szCs w:val="21"/>
                      <w:lang w:val="en-US"/>
                    </w:rPr>
                  </w:pPr>
                  <w:r>
                    <w:rPr>
                      <w:rFonts w:hint="eastAsia" w:ascii="Times New Roman"/>
                      <w:szCs w:val="21"/>
                      <w:lang w:bidi="ar"/>
                    </w:rPr>
                    <w:t>粉尘</w:t>
                  </w:r>
                </w:p>
              </w:tc>
              <w:tc>
                <w:tcPr>
                  <w:tcW w:w="2124" w:type="pct"/>
                  <w:shd w:val="clear" w:color="auto" w:fill="auto"/>
                  <w:vAlign w:val="center"/>
                </w:tcPr>
                <w:p w14:paraId="447AB793">
                  <w:pPr>
                    <w:pStyle w:val="50"/>
                    <w:spacing w:before="24" w:after="24" w:line="240" w:lineRule="auto"/>
                    <w:jc w:val="both"/>
                    <w:rPr>
                      <w:rFonts w:ascii="Times New Roman"/>
                      <w:lang w:bidi="ar"/>
                    </w:rPr>
                  </w:pPr>
                  <w:r>
                    <w:rPr>
                      <w:rFonts w:hint="eastAsia" w:ascii="Times New Roman"/>
                      <w:szCs w:val="21"/>
                    </w:rPr>
                    <w:t>粉尘：设置1 套布袋除尘系统（收集效率为90%，处理效率为98%，风机风量4000m</w:t>
                  </w:r>
                  <w:r>
                    <w:rPr>
                      <w:rFonts w:hint="eastAsia" w:ascii="Times New Roman"/>
                      <w:szCs w:val="21"/>
                      <w:vertAlign w:val="superscript"/>
                    </w:rPr>
                    <w:t>3</w:t>
                  </w:r>
                  <w:r>
                    <w:rPr>
                      <w:rFonts w:hint="eastAsia" w:ascii="Times New Roman"/>
                      <w:szCs w:val="21"/>
                    </w:rPr>
                    <w:t>/h）用于处理本项目中药材粉碎产生的粉尘。</w:t>
                  </w:r>
                  <w:r>
                    <w:rPr>
                      <w:rFonts w:hint="eastAsia" w:ascii="Times New Roman"/>
                      <w:szCs w:val="21"/>
                      <w:lang w:bidi="ar"/>
                    </w:rPr>
                    <w:t>设置上吸式集气罩收集颗粒物</w:t>
                  </w:r>
                  <w:r>
                    <w:rPr>
                      <w:rFonts w:hint="eastAsia" w:ascii="Times New Roman"/>
                      <w:szCs w:val="21"/>
                    </w:rPr>
                    <w:t>，粉尘经收集至布袋除尘器进行除尘处理后经20m 高排气筒排放（DA002）；</w:t>
                  </w:r>
                </w:p>
              </w:tc>
              <w:tc>
                <w:tcPr>
                  <w:tcW w:w="683" w:type="pct"/>
                  <w:shd w:val="clear" w:color="auto" w:fill="auto"/>
                  <w:vAlign w:val="center"/>
                </w:tcPr>
                <w:p w14:paraId="32E16CA7">
                  <w:pPr>
                    <w:pStyle w:val="50"/>
                    <w:spacing w:before="24" w:after="24" w:line="240" w:lineRule="auto"/>
                    <w:rPr>
                      <w:rFonts w:ascii="Times New Roman"/>
                      <w:szCs w:val="21"/>
                      <w:lang w:val="en-US"/>
                    </w:rPr>
                  </w:pPr>
                  <w:r>
                    <w:rPr>
                      <w:rFonts w:hint="eastAsia" w:ascii="Times New Roman"/>
                      <w:szCs w:val="21"/>
                      <w:lang w:val="en-US"/>
                    </w:rPr>
                    <w:t>6</w:t>
                  </w:r>
                </w:p>
              </w:tc>
              <w:tc>
                <w:tcPr>
                  <w:tcW w:w="552" w:type="pct"/>
                  <w:shd w:val="clear" w:color="auto" w:fill="auto"/>
                  <w:vAlign w:val="center"/>
                </w:tcPr>
                <w:p w14:paraId="0D120BE0">
                  <w:pPr>
                    <w:pStyle w:val="50"/>
                    <w:spacing w:before="24" w:after="24" w:line="240" w:lineRule="auto"/>
                    <w:rPr>
                      <w:rFonts w:ascii="Times New Roman"/>
                      <w:szCs w:val="21"/>
                      <w:lang w:val="en-US"/>
                    </w:rPr>
                  </w:pPr>
                  <w:r>
                    <w:rPr>
                      <w:rFonts w:hint="eastAsia" w:ascii="Times New Roman"/>
                      <w:szCs w:val="21"/>
                      <w:lang w:val="en-US"/>
                    </w:rPr>
                    <w:t>新建</w:t>
                  </w:r>
                </w:p>
              </w:tc>
            </w:tr>
            <w:tr w14:paraId="786B6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82" w:type="pct"/>
                  <w:vMerge w:val="continue"/>
                  <w:shd w:val="clear" w:color="auto" w:fill="auto"/>
                  <w:vAlign w:val="center"/>
                </w:tcPr>
                <w:p w14:paraId="26071538">
                  <w:pPr>
                    <w:pStyle w:val="50"/>
                    <w:spacing w:before="24" w:after="24" w:line="240" w:lineRule="auto"/>
                    <w:rPr>
                      <w:rFonts w:ascii="Times New Roman"/>
                      <w:szCs w:val="21"/>
                      <w:lang w:val="en-US"/>
                    </w:rPr>
                  </w:pPr>
                </w:p>
              </w:tc>
              <w:tc>
                <w:tcPr>
                  <w:tcW w:w="441" w:type="pct"/>
                  <w:vMerge w:val="continue"/>
                  <w:shd w:val="clear" w:color="auto" w:fill="auto"/>
                  <w:vAlign w:val="center"/>
                </w:tcPr>
                <w:p w14:paraId="78C5CD1F">
                  <w:pPr>
                    <w:pStyle w:val="50"/>
                    <w:spacing w:before="24" w:after="24" w:line="240" w:lineRule="auto"/>
                    <w:rPr>
                      <w:rFonts w:ascii="Times New Roman"/>
                      <w:szCs w:val="21"/>
                      <w:lang w:val="en-US"/>
                    </w:rPr>
                  </w:pPr>
                </w:p>
              </w:tc>
              <w:tc>
                <w:tcPr>
                  <w:tcW w:w="918" w:type="pct"/>
                  <w:shd w:val="clear" w:color="auto" w:fill="auto"/>
                  <w:vAlign w:val="center"/>
                </w:tcPr>
                <w:p w14:paraId="575B1EEA">
                  <w:pPr>
                    <w:pStyle w:val="50"/>
                    <w:spacing w:before="24" w:after="24" w:line="240" w:lineRule="auto"/>
                    <w:rPr>
                      <w:rFonts w:ascii="Times New Roman"/>
                      <w:szCs w:val="21"/>
                      <w:lang w:val="en-US"/>
                    </w:rPr>
                  </w:pPr>
                  <w:r>
                    <w:rPr>
                      <w:rFonts w:hint="eastAsia" w:ascii="Times New Roman"/>
                      <w:szCs w:val="21"/>
                      <w:lang w:val="en-US" w:bidi="ar"/>
                    </w:rPr>
                    <w:t>中药煎煮异味</w:t>
                  </w:r>
                </w:p>
              </w:tc>
              <w:tc>
                <w:tcPr>
                  <w:tcW w:w="2124" w:type="pct"/>
                  <w:shd w:val="clear" w:color="auto" w:fill="auto"/>
                  <w:vAlign w:val="center"/>
                </w:tcPr>
                <w:p w14:paraId="5DBDCC33">
                  <w:pPr>
                    <w:pStyle w:val="50"/>
                    <w:spacing w:before="24" w:after="24" w:line="240" w:lineRule="auto"/>
                    <w:jc w:val="both"/>
                    <w:rPr>
                      <w:rFonts w:ascii="Times New Roman"/>
                      <w:szCs w:val="21"/>
                      <w:lang w:val="en-US" w:bidi="ar"/>
                    </w:rPr>
                  </w:pPr>
                  <w:r>
                    <w:rPr>
                      <w:rFonts w:hint="eastAsia" w:ascii="Times New Roman"/>
                      <w:szCs w:val="21"/>
                      <w:lang w:val="en-US" w:bidi="ar"/>
                    </w:rPr>
                    <w:t>设置一套水喷淋塔装置，用于处理项目中药煎煮产生的异味。在煎煮锅上方分别设置集气罩，煎煮废气经集气罩收集后再经水喷淋塔装置吸附处理，处理后经20m高排气筒排放</w:t>
                  </w:r>
                  <w:r>
                    <w:rPr>
                      <w:rFonts w:hint="eastAsia" w:ascii="Times New Roman"/>
                      <w:szCs w:val="21"/>
                    </w:rPr>
                    <w:t>（DA001）</w:t>
                  </w:r>
                  <w:r>
                    <w:rPr>
                      <w:rFonts w:hint="eastAsia" w:ascii="Times New Roman"/>
                      <w:szCs w:val="21"/>
                      <w:lang w:val="en-US" w:bidi="ar"/>
                    </w:rPr>
                    <w:t>；</w:t>
                  </w:r>
                  <w:r>
                    <w:rPr>
                      <w:rFonts w:ascii="Times New Roman"/>
                      <w:szCs w:val="21"/>
                      <w:lang w:val="en-US" w:bidi="ar"/>
                    </w:rPr>
                    <w:t xml:space="preserve"> </w:t>
                  </w:r>
                </w:p>
              </w:tc>
              <w:tc>
                <w:tcPr>
                  <w:tcW w:w="683" w:type="pct"/>
                  <w:shd w:val="clear" w:color="auto" w:fill="auto"/>
                  <w:vAlign w:val="center"/>
                </w:tcPr>
                <w:p w14:paraId="554FAE85">
                  <w:pPr>
                    <w:pStyle w:val="50"/>
                    <w:spacing w:before="24" w:after="24" w:line="240" w:lineRule="auto"/>
                    <w:rPr>
                      <w:rFonts w:ascii="Times New Roman"/>
                      <w:szCs w:val="21"/>
                      <w:lang w:val="en-US"/>
                    </w:rPr>
                  </w:pPr>
                  <w:r>
                    <w:rPr>
                      <w:rFonts w:hint="eastAsia" w:ascii="Times New Roman"/>
                      <w:szCs w:val="21"/>
                      <w:lang w:val="en-US"/>
                    </w:rPr>
                    <w:t>3</w:t>
                  </w:r>
                </w:p>
              </w:tc>
              <w:tc>
                <w:tcPr>
                  <w:tcW w:w="552" w:type="pct"/>
                  <w:shd w:val="clear" w:color="auto" w:fill="auto"/>
                  <w:vAlign w:val="center"/>
                </w:tcPr>
                <w:p w14:paraId="6CE71707">
                  <w:pPr>
                    <w:pStyle w:val="50"/>
                    <w:spacing w:before="24" w:after="24" w:line="240" w:lineRule="auto"/>
                    <w:rPr>
                      <w:rFonts w:ascii="Times New Roman"/>
                      <w:szCs w:val="21"/>
                      <w:lang w:val="en-US"/>
                    </w:rPr>
                  </w:pPr>
                  <w:r>
                    <w:rPr>
                      <w:rFonts w:hint="eastAsia" w:ascii="Times New Roman"/>
                      <w:szCs w:val="21"/>
                      <w:lang w:val="en-US"/>
                    </w:rPr>
                    <w:t>新建</w:t>
                  </w:r>
                </w:p>
              </w:tc>
            </w:tr>
            <w:tr w14:paraId="7D12FE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82" w:type="pct"/>
                  <w:vMerge w:val="continue"/>
                  <w:shd w:val="clear" w:color="auto" w:fill="auto"/>
                  <w:vAlign w:val="center"/>
                </w:tcPr>
                <w:p w14:paraId="4BFEF621">
                  <w:pPr>
                    <w:pStyle w:val="50"/>
                    <w:spacing w:before="24" w:after="24" w:line="240" w:lineRule="auto"/>
                    <w:rPr>
                      <w:rFonts w:ascii="Times New Roman"/>
                      <w:szCs w:val="21"/>
                      <w:lang w:val="en-US"/>
                    </w:rPr>
                  </w:pPr>
                </w:p>
              </w:tc>
              <w:tc>
                <w:tcPr>
                  <w:tcW w:w="441" w:type="pct"/>
                  <w:shd w:val="clear" w:color="auto" w:fill="auto"/>
                  <w:vAlign w:val="center"/>
                </w:tcPr>
                <w:p w14:paraId="0F353585">
                  <w:pPr>
                    <w:pStyle w:val="50"/>
                    <w:spacing w:before="24" w:after="24" w:line="240" w:lineRule="auto"/>
                    <w:rPr>
                      <w:rFonts w:ascii="Times New Roman"/>
                      <w:szCs w:val="21"/>
                      <w:lang w:val="en-US"/>
                    </w:rPr>
                  </w:pPr>
                  <w:r>
                    <w:rPr>
                      <w:rFonts w:ascii="Times New Roman"/>
                      <w:szCs w:val="21"/>
                      <w:lang w:val="en-US"/>
                    </w:rPr>
                    <w:t>噪声治理</w:t>
                  </w:r>
                </w:p>
              </w:tc>
              <w:tc>
                <w:tcPr>
                  <w:tcW w:w="3042" w:type="pct"/>
                  <w:gridSpan w:val="2"/>
                  <w:shd w:val="clear" w:color="auto" w:fill="auto"/>
                  <w:vAlign w:val="center"/>
                </w:tcPr>
                <w:p w14:paraId="0752E784">
                  <w:pPr>
                    <w:pStyle w:val="50"/>
                    <w:spacing w:before="24" w:after="24" w:line="240" w:lineRule="auto"/>
                    <w:rPr>
                      <w:rFonts w:ascii="Times New Roman"/>
                      <w:szCs w:val="21"/>
                      <w:lang w:val="en-US"/>
                    </w:rPr>
                  </w:pPr>
                  <w:r>
                    <w:rPr>
                      <w:rFonts w:ascii="Times New Roman"/>
                      <w:szCs w:val="21"/>
                      <w:lang w:val="en-US"/>
                    </w:rPr>
                    <w:t>低噪声环保设备、厂房隔声、加装减</w:t>
                  </w:r>
                  <w:r>
                    <w:rPr>
                      <w:rFonts w:hint="eastAsia" w:ascii="Times New Roman"/>
                      <w:szCs w:val="21"/>
                      <w:lang w:val="en-US"/>
                    </w:rPr>
                    <w:t>振</w:t>
                  </w:r>
                  <w:r>
                    <w:rPr>
                      <w:rFonts w:ascii="Times New Roman"/>
                      <w:szCs w:val="21"/>
                      <w:lang w:val="en-US"/>
                    </w:rPr>
                    <w:t>垫、合理布局，夜间禁止开工</w:t>
                  </w:r>
                </w:p>
              </w:tc>
              <w:tc>
                <w:tcPr>
                  <w:tcW w:w="683" w:type="pct"/>
                  <w:shd w:val="clear" w:color="auto" w:fill="auto"/>
                  <w:vAlign w:val="center"/>
                </w:tcPr>
                <w:p w14:paraId="12886F46">
                  <w:pPr>
                    <w:pStyle w:val="50"/>
                    <w:spacing w:before="24" w:after="24" w:line="240" w:lineRule="auto"/>
                    <w:rPr>
                      <w:rFonts w:ascii="Times New Roman"/>
                      <w:szCs w:val="21"/>
                      <w:lang w:val="en-US"/>
                    </w:rPr>
                  </w:pPr>
                  <w:r>
                    <w:rPr>
                      <w:rFonts w:ascii="Times New Roman"/>
                      <w:szCs w:val="21"/>
                      <w:lang w:val="en-US"/>
                    </w:rPr>
                    <w:t>1</w:t>
                  </w:r>
                </w:p>
              </w:tc>
              <w:tc>
                <w:tcPr>
                  <w:tcW w:w="552" w:type="pct"/>
                  <w:shd w:val="clear" w:color="auto" w:fill="auto"/>
                  <w:vAlign w:val="center"/>
                </w:tcPr>
                <w:p w14:paraId="17218C60">
                  <w:pPr>
                    <w:pStyle w:val="50"/>
                    <w:spacing w:before="24" w:after="24" w:line="240" w:lineRule="auto"/>
                    <w:rPr>
                      <w:rFonts w:ascii="Times New Roman"/>
                      <w:szCs w:val="21"/>
                      <w:lang w:val="en-US"/>
                    </w:rPr>
                  </w:pPr>
                  <w:r>
                    <w:rPr>
                      <w:rFonts w:hint="eastAsia" w:ascii="Times New Roman"/>
                      <w:szCs w:val="21"/>
                      <w:lang w:val="en-US"/>
                    </w:rPr>
                    <w:t>新建</w:t>
                  </w:r>
                </w:p>
              </w:tc>
            </w:tr>
            <w:tr w14:paraId="06E06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82" w:type="pct"/>
                  <w:vMerge w:val="continue"/>
                  <w:shd w:val="clear" w:color="auto" w:fill="auto"/>
                  <w:vAlign w:val="center"/>
                </w:tcPr>
                <w:p w14:paraId="5CB423AC">
                  <w:pPr>
                    <w:pStyle w:val="50"/>
                    <w:spacing w:before="24" w:after="24" w:line="240" w:lineRule="auto"/>
                    <w:rPr>
                      <w:rFonts w:ascii="Times New Roman"/>
                      <w:szCs w:val="21"/>
                      <w:lang w:val="en-US"/>
                    </w:rPr>
                  </w:pPr>
                </w:p>
              </w:tc>
              <w:tc>
                <w:tcPr>
                  <w:tcW w:w="441" w:type="pct"/>
                  <w:vMerge w:val="restart"/>
                  <w:shd w:val="clear" w:color="auto" w:fill="auto"/>
                  <w:vAlign w:val="center"/>
                </w:tcPr>
                <w:p w14:paraId="05C97633">
                  <w:pPr>
                    <w:pStyle w:val="50"/>
                    <w:spacing w:before="24" w:after="24" w:line="240" w:lineRule="auto"/>
                    <w:rPr>
                      <w:rFonts w:ascii="Times New Roman"/>
                      <w:szCs w:val="21"/>
                      <w:lang w:val="en-US"/>
                    </w:rPr>
                  </w:pPr>
                  <w:r>
                    <w:rPr>
                      <w:rFonts w:ascii="Times New Roman"/>
                      <w:szCs w:val="21"/>
                      <w:lang w:val="en-US"/>
                    </w:rPr>
                    <w:t>固废治理</w:t>
                  </w:r>
                </w:p>
              </w:tc>
              <w:tc>
                <w:tcPr>
                  <w:tcW w:w="918" w:type="pct"/>
                  <w:shd w:val="clear" w:color="auto" w:fill="auto"/>
                  <w:vAlign w:val="center"/>
                </w:tcPr>
                <w:p w14:paraId="1CC8278B">
                  <w:pPr>
                    <w:pStyle w:val="50"/>
                    <w:spacing w:before="24" w:after="24" w:line="240" w:lineRule="auto"/>
                    <w:rPr>
                      <w:rFonts w:ascii="Times New Roman"/>
                      <w:szCs w:val="21"/>
                      <w:lang w:val="en-US"/>
                    </w:rPr>
                  </w:pPr>
                  <w:r>
                    <w:rPr>
                      <w:rFonts w:ascii="Times New Roman"/>
                      <w:szCs w:val="21"/>
                      <w:lang w:val="en-US"/>
                    </w:rPr>
                    <w:t>生活垃圾</w:t>
                  </w:r>
                </w:p>
              </w:tc>
              <w:tc>
                <w:tcPr>
                  <w:tcW w:w="2124" w:type="pct"/>
                  <w:shd w:val="clear" w:color="auto" w:fill="auto"/>
                  <w:vAlign w:val="center"/>
                </w:tcPr>
                <w:p w14:paraId="45A1CEFF">
                  <w:pPr>
                    <w:pStyle w:val="50"/>
                    <w:spacing w:before="24" w:after="24" w:line="240" w:lineRule="auto"/>
                    <w:rPr>
                      <w:rFonts w:ascii="Times New Roman"/>
                      <w:szCs w:val="21"/>
                      <w:lang w:val="en-US"/>
                    </w:rPr>
                  </w:pPr>
                  <w:r>
                    <w:rPr>
                      <w:rFonts w:ascii="Times New Roman"/>
                      <w:szCs w:val="21"/>
                      <w:lang w:val="en-US"/>
                    </w:rPr>
                    <w:t>垃圾桶收集后交由环卫部门处理</w:t>
                  </w:r>
                </w:p>
              </w:tc>
              <w:tc>
                <w:tcPr>
                  <w:tcW w:w="683" w:type="pct"/>
                  <w:shd w:val="clear" w:color="auto" w:fill="auto"/>
                  <w:vAlign w:val="center"/>
                </w:tcPr>
                <w:p w14:paraId="6B8EDBC2">
                  <w:pPr>
                    <w:pStyle w:val="50"/>
                    <w:spacing w:before="24" w:after="24" w:line="240" w:lineRule="auto"/>
                    <w:rPr>
                      <w:rFonts w:ascii="Times New Roman"/>
                      <w:szCs w:val="21"/>
                      <w:lang w:val="en-US"/>
                    </w:rPr>
                  </w:pPr>
                  <w:r>
                    <w:rPr>
                      <w:rFonts w:hint="eastAsia" w:ascii="Times New Roman"/>
                      <w:szCs w:val="21"/>
                      <w:lang w:val="en-US"/>
                    </w:rPr>
                    <w:t>0.5</w:t>
                  </w:r>
                </w:p>
              </w:tc>
              <w:tc>
                <w:tcPr>
                  <w:tcW w:w="552" w:type="pct"/>
                  <w:shd w:val="clear" w:color="auto" w:fill="auto"/>
                  <w:vAlign w:val="center"/>
                </w:tcPr>
                <w:p w14:paraId="62919A7C">
                  <w:pPr>
                    <w:pStyle w:val="50"/>
                    <w:spacing w:before="24" w:after="24" w:line="240" w:lineRule="auto"/>
                    <w:rPr>
                      <w:rFonts w:ascii="Times New Roman"/>
                      <w:szCs w:val="21"/>
                      <w:lang w:val="en-US"/>
                    </w:rPr>
                  </w:pPr>
                  <w:r>
                    <w:rPr>
                      <w:rFonts w:hint="eastAsia" w:ascii="Times New Roman"/>
                      <w:szCs w:val="21"/>
                      <w:lang w:val="en-US"/>
                    </w:rPr>
                    <w:t>新建</w:t>
                  </w:r>
                </w:p>
              </w:tc>
            </w:tr>
            <w:tr w14:paraId="6E475A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82" w:type="pct"/>
                  <w:vMerge w:val="continue"/>
                  <w:shd w:val="clear" w:color="auto" w:fill="auto"/>
                  <w:vAlign w:val="center"/>
                </w:tcPr>
                <w:p w14:paraId="6AF71EDB">
                  <w:pPr>
                    <w:pStyle w:val="50"/>
                    <w:spacing w:before="24" w:after="24" w:line="240" w:lineRule="auto"/>
                    <w:rPr>
                      <w:rFonts w:ascii="Times New Roman"/>
                      <w:szCs w:val="21"/>
                      <w:lang w:val="en-US"/>
                    </w:rPr>
                  </w:pPr>
                </w:p>
              </w:tc>
              <w:tc>
                <w:tcPr>
                  <w:tcW w:w="441" w:type="pct"/>
                  <w:vMerge w:val="continue"/>
                  <w:shd w:val="clear" w:color="auto" w:fill="auto"/>
                  <w:vAlign w:val="center"/>
                </w:tcPr>
                <w:p w14:paraId="2567AA6D">
                  <w:pPr>
                    <w:pStyle w:val="50"/>
                    <w:spacing w:before="24" w:after="24" w:line="240" w:lineRule="auto"/>
                    <w:rPr>
                      <w:rFonts w:ascii="Times New Roman"/>
                      <w:szCs w:val="21"/>
                      <w:lang w:val="en-US"/>
                    </w:rPr>
                  </w:pPr>
                </w:p>
              </w:tc>
              <w:tc>
                <w:tcPr>
                  <w:tcW w:w="3042" w:type="pct"/>
                  <w:gridSpan w:val="2"/>
                  <w:shd w:val="clear" w:color="auto" w:fill="auto"/>
                  <w:vAlign w:val="center"/>
                </w:tcPr>
                <w:p w14:paraId="1501DC9C">
                  <w:pPr>
                    <w:pStyle w:val="50"/>
                    <w:spacing w:before="24" w:after="24" w:line="240" w:lineRule="auto"/>
                    <w:rPr>
                      <w:rFonts w:ascii="Times New Roman"/>
                      <w:szCs w:val="21"/>
                      <w:lang w:val="en-US"/>
                    </w:rPr>
                  </w:pPr>
                  <w:r>
                    <w:rPr>
                      <w:rFonts w:hint="eastAsia" w:ascii="Times New Roman"/>
                      <w:szCs w:val="21"/>
                      <w:lang w:val="en-US"/>
                    </w:rPr>
                    <w:t>各类固废分类收集、暂存，设置药渣暂存间定期交由资质单位处理</w:t>
                  </w:r>
                </w:p>
              </w:tc>
              <w:tc>
                <w:tcPr>
                  <w:tcW w:w="683" w:type="pct"/>
                  <w:shd w:val="clear" w:color="auto" w:fill="auto"/>
                  <w:vAlign w:val="center"/>
                </w:tcPr>
                <w:p w14:paraId="03790B51">
                  <w:pPr>
                    <w:pStyle w:val="50"/>
                    <w:spacing w:before="24" w:after="24" w:line="240" w:lineRule="auto"/>
                    <w:rPr>
                      <w:rFonts w:ascii="Times New Roman"/>
                      <w:szCs w:val="21"/>
                      <w:lang w:val="en-US"/>
                    </w:rPr>
                  </w:pPr>
                  <w:r>
                    <w:rPr>
                      <w:rFonts w:hint="eastAsia" w:ascii="Times New Roman"/>
                      <w:szCs w:val="21"/>
                      <w:lang w:val="en-US"/>
                    </w:rPr>
                    <w:t>1</w:t>
                  </w:r>
                </w:p>
              </w:tc>
              <w:tc>
                <w:tcPr>
                  <w:tcW w:w="552" w:type="pct"/>
                  <w:shd w:val="clear" w:color="auto" w:fill="auto"/>
                  <w:vAlign w:val="center"/>
                </w:tcPr>
                <w:p w14:paraId="55B3D035">
                  <w:pPr>
                    <w:pStyle w:val="50"/>
                    <w:spacing w:before="24" w:after="24" w:line="240" w:lineRule="auto"/>
                    <w:rPr>
                      <w:rFonts w:ascii="Times New Roman"/>
                      <w:szCs w:val="21"/>
                      <w:lang w:val="en-US"/>
                    </w:rPr>
                  </w:pPr>
                  <w:r>
                    <w:rPr>
                      <w:rFonts w:hint="eastAsia" w:ascii="Times New Roman"/>
                      <w:szCs w:val="21"/>
                      <w:lang w:val="en-US"/>
                    </w:rPr>
                    <w:t>新建</w:t>
                  </w:r>
                </w:p>
              </w:tc>
            </w:tr>
            <w:tr w14:paraId="73C03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82" w:type="pct"/>
                  <w:vMerge w:val="continue"/>
                  <w:shd w:val="clear" w:color="auto" w:fill="auto"/>
                  <w:vAlign w:val="center"/>
                </w:tcPr>
                <w:p w14:paraId="42649A8E">
                  <w:pPr>
                    <w:pStyle w:val="50"/>
                    <w:spacing w:before="24" w:after="24" w:line="240" w:lineRule="auto"/>
                    <w:rPr>
                      <w:rFonts w:ascii="Times New Roman"/>
                      <w:szCs w:val="21"/>
                      <w:lang w:val="en-US"/>
                    </w:rPr>
                  </w:pPr>
                </w:p>
              </w:tc>
              <w:tc>
                <w:tcPr>
                  <w:tcW w:w="441" w:type="pct"/>
                  <w:shd w:val="clear" w:color="auto" w:fill="auto"/>
                  <w:vAlign w:val="center"/>
                </w:tcPr>
                <w:p w14:paraId="288A11C7">
                  <w:pPr>
                    <w:pStyle w:val="50"/>
                    <w:spacing w:beforeLines="0" w:afterLines="0" w:line="240" w:lineRule="auto"/>
                    <w:rPr>
                      <w:rFonts w:ascii="Times New Roman"/>
                      <w:szCs w:val="21"/>
                      <w:lang w:val="en-US"/>
                    </w:rPr>
                  </w:pPr>
                  <w:r>
                    <w:rPr>
                      <w:rFonts w:ascii="Times New Roman"/>
                      <w:szCs w:val="21"/>
                      <w:lang w:val="en-US"/>
                    </w:rPr>
                    <w:t>地下水防渗</w:t>
                  </w:r>
                </w:p>
              </w:tc>
              <w:tc>
                <w:tcPr>
                  <w:tcW w:w="3042" w:type="pct"/>
                  <w:gridSpan w:val="2"/>
                  <w:shd w:val="clear" w:color="auto" w:fill="auto"/>
                  <w:vAlign w:val="center"/>
                </w:tcPr>
                <w:p w14:paraId="3FDB2CDD">
                  <w:pPr>
                    <w:widowControl/>
                    <w:ind w:firstLine="420"/>
                  </w:pPr>
                  <w:r>
                    <w:rPr>
                      <w:rFonts w:hint="eastAsia"/>
                    </w:rPr>
                    <w:t>地面分区防渗：</w:t>
                  </w:r>
                  <w:r>
                    <w:rPr>
                      <w:rFonts w:hint="eastAsia"/>
                      <w:lang w:bidi="ar"/>
                    </w:rPr>
                    <w:t>生产车间生产区（调剂区、加水区、煎药区、灌装区等）、药渣间、沉淀池</w:t>
                  </w:r>
                  <w:r>
                    <w:rPr>
                      <w:rFonts w:hint="eastAsia"/>
                    </w:rPr>
                    <w:t>等效粘土防渗层 Mb≥1.5m，K≤10</w:t>
                  </w:r>
                  <w:r>
                    <w:rPr>
                      <w:rFonts w:hint="eastAsia"/>
                      <w:vertAlign w:val="superscript"/>
                    </w:rPr>
                    <w:t>-7</w:t>
                  </w:r>
                  <w:r>
                    <w:rPr>
                      <w:rFonts w:hint="eastAsia"/>
                    </w:rPr>
                    <w:t>cm/s。</w:t>
                  </w:r>
                </w:p>
              </w:tc>
              <w:tc>
                <w:tcPr>
                  <w:tcW w:w="683" w:type="pct"/>
                  <w:shd w:val="clear" w:color="auto" w:fill="auto"/>
                  <w:vAlign w:val="center"/>
                </w:tcPr>
                <w:p w14:paraId="5654E044">
                  <w:pPr>
                    <w:pStyle w:val="50"/>
                    <w:spacing w:before="24" w:after="24" w:line="240" w:lineRule="auto"/>
                    <w:rPr>
                      <w:rFonts w:ascii="Times New Roman"/>
                      <w:szCs w:val="21"/>
                      <w:lang w:val="en-US"/>
                    </w:rPr>
                  </w:pPr>
                  <w:r>
                    <w:rPr>
                      <w:rFonts w:hint="eastAsia" w:ascii="Times New Roman"/>
                      <w:szCs w:val="21"/>
                      <w:lang w:val="en-US"/>
                    </w:rPr>
                    <w:t>0.5</w:t>
                  </w:r>
                </w:p>
              </w:tc>
              <w:tc>
                <w:tcPr>
                  <w:tcW w:w="552" w:type="pct"/>
                  <w:shd w:val="clear" w:color="auto" w:fill="auto"/>
                  <w:vAlign w:val="center"/>
                </w:tcPr>
                <w:p w14:paraId="112C8392">
                  <w:pPr>
                    <w:pStyle w:val="50"/>
                    <w:spacing w:before="24" w:after="24" w:line="240" w:lineRule="auto"/>
                    <w:rPr>
                      <w:rFonts w:ascii="Times New Roman"/>
                      <w:szCs w:val="21"/>
                      <w:lang w:val="en-US"/>
                    </w:rPr>
                  </w:pPr>
                  <w:r>
                    <w:rPr>
                      <w:rFonts w:hint="eastAsia" w:ascii="Times New Roman"/>
                      <w:szCs w:val="21"/>
                      <w:lang w:val="en-US"/>
                    </w:rPr>
                    <w:t>新建</w:t>
                  </w:r>
                </w:p>
              </w:tc>
            </w:tr>
            <w:tr w14:paraId="76C20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82" w:type="pct"/>
                  <w:vMerge w:val="continue"/>
                  <w:shd w:val="clear" w:color="auto" w:fill="auto"/>
                  <w:vAlign w:val="center"/>
                </w:tcPr>
                <w:p w14:paraId="30EFFA7E">
                  <w:pPr>
                    <w:pStyle w:val="50"/>
                    <w:spacing w:before="24" w:after="24" w:line="240" w:lineRule="auto"/>
                    <w:rPr>
                      <w:rFonts w:ascii="Times New Roman"/>
                      <w:szCs w:val="21"/>
                      <w:lang w:val="en-US"/>
                    </w:rPr>
                  </w:pPr>
                </w:p>
              </w:tc>
              <w:tc>
                <w:tcPr>
                  <w:tcW w:w="441" w:type="pct"/>
                  <w:shd w:val="clear" w:color="auto" w:fill="auto"/>
                  <w:vAlign w:val="center"/>
                </w:tcPr>
                <w:p w14:paraId="01698C1E">
                  <w:pPr>
                    <w:pStyle w:val="50"/>
                    <w:spacing w:before="24" w:after="24" w:line="240" w:lineRule="auto"/>
                    <w:rPr>
                      <w:rFonts w:ascii="Times New Roman"/>
                      <w:szCs w:val="21"/>
                      <w:lang w:val="en-US"/>
                    </w:rPr>
                  </w:pPr>
                  <w:r>
                    <w:rPr>
                      <w:rFonts w:ascii="Times New Roman"/>
                      <w:szCs w:val="21"/>
                      <w:lang w:val="en-US"/>
                    </w:rPr>
                    <w:t>风险投资</w:t>
                  </w:r>
                </w:p>
              </w:tc>
              <w:tc>
                <w:tcPr>
                  <w:tcW w:w="3042" w:type="pct"/>
                  <w:gridSpan w:val="2"/>
                  <w:shd w:val="clear" w:color="auto" w:fill="auto"/>
                  <w:vAlign w:val="center"/>
                </w:tcPr>
                <w:p w14:paraId="4931144B">
                  <w:pPr>
                    <w:pStyle w:val="50"/>
                    <w:spacing w:before="24" w:after="24" w:line="240" w:lineRule="auto"/>
                    <w:rPr>
                      <w:rFonts w:ascii="Times New Roman"/>
                      <w:szCs w:val="21"/>
                      <w:lang w:val="en-US"/>
                    </w:rPr>
                  </w:pPr>
                  <w:r>
                    <w:rPr>
                      <w:rFonts w:ascii="Times New Roman"/>
                      <w:bCs/>
                      <w:szCs w:val="21"/>
                      <w:lang w:val="en-US"/>
                    </w:rPr>
                    <w:t>消火栓、灭火器；定期巡检线路、机械设备检修，危废贮存库外应设置消防沙，干粉或泡沫灭火器。</w:t>
                  </w:r>
                  <w:r>
                    <w:rPr>
                      <w:rStyle w:val="60"/>
                      <w:rFonts w:hint="default" w:ascii="Times New Roman" w:hAnsi="Times New Roman"/>
                      <w:color w:val="auto"/>
                      <w:sz w:val="21"/>
                      <w:szCs w:val="21"/>
                      <w:lang w:val="en-US"/>
                    </w:rPr>
                    <w:t>应在生产区醒目位置设立</w:t>
                  </w:r>
                  <w:r>
                    <w:rPr>
                      <w:rStyle w:val="63"/>
                      <w:rFonts w:hint="eastAsia" w:ascii="Times New Roman" w:hAnsi="Times New Roman"/>
                      <w:color w:val="auto"/>
                      <w:sz w:val="21"/>
                      <w:szCs w:val="21"/>
                      <w:lang w:val="en-US"/>
                    </w:rPr>
                    <w:t>“</w:t>
                  </w:r>
                  <w:r>
                    <w:rPr>
                      <w:rStyle w:val="60"/>
                      <w:rFonts w:hint="default" w:ascii="Times New Roman" w:hAnsi="Times New Roman"/>
                      <w:color w:val="auto"/>
                      <w:sz w:val="21"/>
                      <w:szCs w:val="21"/>
                      <w:lang w:val="en-US"/>
                    </w:rPr>
                    <w:t>严禁烟火</w:t>
                  </w:r>
                  <w:r>
                    <w:rPr>
                      <w:rStyle w:val="63"/>
                      <w:rFonts w:hint="eastAsia" w:ascii="Times New Roman" w:hAnsi="Times New Roman"/>
                      <w:color w:val="auto"/>
                      <w:sz w:val="21"/>
                      <w:szCs w:val="21"/>
                      <w:lang w:val="en-US"/>
                    </w:rPr>
                    <w:t>”</w:t>
                  </w:r>
                  <w:r>
                    <w:rPr>
                      <w:rStyle w:val="60"/>
                      <w:rFonts w:hint="default" w:ascii="Times New Roman" w:hAnsi="Times New Roman"/>
                      <w:color w:val="auto"/>
                      <w:sz w:val="21"/>
                      <w:szCs w:val="21"/>
                      <w:lang w:val="en-US"/>
                    </w:rPr>
                    <w:t>以及</w:t>
                  </w:r>
                  <w:r>
                    <w:rPr>
                      <w:rStyle w:val="63"/>
                      <w:rFonts w:hint="eastAsia" w:ascii="Times New Roman" w:hAnsi="Times New Roman"/>
                      <w:color w:val="auto"/>
                      <w:sz w:val="21"/>
                      <w:szCs w:val="21"/>
                      <w:lang w:val="en-US"/>
                    </w:rPr>
                    <w:t>“</w:t>
                  </w:r>
                  <w:r>
                    <w:rPr>
                      <w:rStyle w:val="60"/>
                      <w:rFonts w:hint="default" w:ascii="Times New Roman" w:hAnsi="Times New Roman"/>
                      <w:color w:val="auto"/>
                      <w:sz w:val="21"/>
                      <w:szCs w:val="21"/>
                      <w:lang w:val="en-US"/>
                    </w:rPr>
                    <w:t>禁火区</w:t>
                  </w:r>
                  <w:r>
                    <w:rPr>
                      <w:rStyle w:val="63"/>
                      <w:rFonts w:hint="eastAsia" w:ascii="Times New Roman" w:hAnsi="Times New Roman"/>
                      <w:color w:val="auto"/>
                      <w:sz w:val="21"/>
                      <w:szCs w:val="21"/>
                      <w:lang w:val="en-US"/>
                    </w:rPr>
                    <w:t>”</w:t>
                  </w:r>
                  <w:r>
                    <w:rPr>
                      <w:rStyle w:val="60"/>
                      <w:rFonts w:hint="default" w:ascii="Times New Roman" w:hAnsi="Times New Roman"/>
                      <w:color w:val="auto"/>
                      <w:sz w:val="21"/>
                      <w:szCs w:val="21"/>
                      <w:lang w:val="en-US"/>
                    </w:rPr>
                    <w:t>等警戒标语和标牌。</w:t>
                  </w:r>
                </w:p>
              </w:tc>
              <w:tc>
                <w:tcPr>
                  <w:tcW w:w="683" w:type="pct"/>
                  <w:shd w:val="clear" w:color="auto" w:fill="auto"/>
                  <w:vAlign w:val="center"/>
                </w:tcPr>
                <w:p w14:paraId="7AE46054">
                  <w:pPr>
                    <w:pStyle w:val="50"/>
                    <w:spacing w:before="24" w:after="24" w:line="240" w:lineRule="auto"/>
                    <w:rPr>
                      <w:rFonts w:ascii="Times New Roman"/>
                      <w:szCs w:val="21"/>
                      <w:lang w:val="en-US"/>
                    </w:rPr>
                  </w:pPr>
                  <w:r>
                    <w:rPr>
                      <w:rFonts w:ascii="Times New Roman"/>
                      <w:szCs w:val="21"/>
                      <w:lang w:val="en-US"/>
                    </w:rPr>
                    <w:t>0.5</w:t>
                  </w:r>
                </w:p>
              </w:tc>
              <w:tc>
                <w:tcPr>
                  <w:tcW w:w="552" w:type="pct"/>
                  <w:shd w:val="clear" w:color="auto" w:fill="auto"/>
                  <w:vAlign w:val="center"/>
                </w:tcPr>
                <w:p w14:paraId="26506F14">
                  <w:pPr>
                    <w:pStyle w:val="50"/>
                    <w:spacing w:before="24" w:after="24" w:line="240" w:lineRule="auto"/>
                    <w:rPr>
                      <w:rFonts w:ascii="Times New Roman"/>
                      <w:szCs w:val="21"/>
                      <w:lang w:val="en-US"/>
                    </w:rPr>
                  </w:pPr>
                  <w:r>
                    <w:rPr>
                      <w:rFonts w:hint="eastAsia" w:ascii="Times New Roman"/>
                      <w:szCs w:val="21"/>
                      <w:lang w:val="en-US"/>
                    </w:rPr>
                    <w:t>新建</w:t>
                  </w:r>
                </w:p>
              </w:tc>
            </w:tr>
            <w:tr w14:paraId="03FB2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3765" w:type="pct"/>
                  <w:gridSpan w:val="4"/>
                  <w:shd w:val="clear" w:color="auto" w:fill="auto"/>
                  <w:vAlign w:val="center"/>
                </w:tcPr>
                <w:p w14:paraId="0DE44A5E">
                  <w:pPr>
                    <w:pStyle w:val="50"/>
                    <w:spacing w:before="24" w:after="24" w:line="240" w:lineRule="auto"/>
                    <w:rPr>
                      <w:rFonts w:ascii="Times New Roman"/>
                      <w:szCs w:val="21"/>
                      <w:lang w:val="en-US"/>
                    </w:rPr>
                  </w:pPr>
                  <w:r>
                    <w:rPr>
                      <w:rFonts w:ascii="Times New Roman"/>
                      <w:szCs w:val="21"/>
                      <w:lang w:val="en-US"/>
                    </w:rPr>
                    <w:t>合计</w:t>
                  </w:r>
                </w:p>
              </w:tc>
              <w:tc>
                <w:tcPr>
                  <w:tcW w:w="683" w:type="pct"/>
                  <w:shd w:val="clear" w:color="auto" w:fill="auto"/>
                  <w:vAlign w:val="center"/>
                </w:tcPr>
                <w:p w14:paraId="0A05C268">
                  <w:pPr>
                    <w:pStyle w:val="50"/>
                    <w:spacing w:before="24" w:after="24" w:line="240" w:lineRule="auto"/>
                    <w:rPr>
                      <w:rFonts w:hint="eastAsia" w:ascii="Times New Roman"/>
                      <w:szCs w:val="21"/>
                      <w:lang w:val="en-US"/>
                    </w:rPr>
                  </w:pPr>
                  <w:r>
                    <w:rPr>
                      <w:rFonts w:hint="eastAsia" w:ascii="Times New Roman"/>
                      <w:szCs w:val="21"/>
                      <w:lang w:val="en-US"/>
                    </w:rPr>
                    <w:t>17.5</w:t>
                  </w:r>
                </w:p>
              </w:tc>
              <w:tc>
                <w:tcPr>
                  <w:tcW w:w="552" w:type="pct"/>
                  <w:shd w:val="clear" w:color="auto" w:fill="auto"/>
                  <w:vAlign w:val="center"/>
                </w:tcPr>
                <w:p w14:paraId="19FFC37C">
                  <w:pPr>
                    <w:pStyle w:val="50"/>
                    <w:spacing w:before="24" w:after="24" w:line="240" w:lineRule="auto"/>
                    <w:rPr>
                      <w:rFonts w:ascii="Times New Roman"/>
                      <w:szCs w:val="21"/>
                      <w:lang w:val="en-US"/>
                    </w:rPr>
                  </w:pPr>
                  <w:r>
                    <w:rPr>
                      <w:rFonts w:ascii="Times New Roman"/>
                      <w:szCs w:val="21"/>
                      <w:lang w:val="en-US"/>
                    </w:rPr>
                    <w:t>/</w:t>
                  </w:r>
                </w:p>
              </w:tc>
            </w:tr>
          </w:tbl>
          <w:p w14:paraId="55DDD35D">
            <w:pPr>
              <w:widowControl/>
              <w:spacing w:line="360" w:lineRule="auto"/>
              <w:ind w:firstLine="420" w:firstLineChars="200"/>
              <w:rPr>
                <w:lang w:bidi="ar"/>
              </w:rPr>
            </w:pPr>
          </w:p>
        </w:tc>
      </w:tr>
    </w:tbl>
    <w:p w14:paraId="1BFF0984">
      <w:pPr>
        <w:adjustRightInd w:val="0"/>
        <w:snapToGrid w:val="0"/>
        <w:spacing w:line="360" w:lineRule="auto"/>
        <w:ind w:firstLine="562"/>
        <w:rPr>
          <w:rFonts w:ascii="宋体"/>
          <w:b/>
          <w:sz w:val="28"/>
          <w:szCs w:val="28"/>
        </w:rPr>
        <w:sectPr>
          <w:pgSz w:w="11907" w:h="16840"/>
          <w:pgMar w:top="1701" w:right="1531" w:bottom="2127" w:left="1531" w:header="851" w:footer="851" w:gutter="0"/>
          <w:cols w:space="720" w:num="1"/>
          <w:docGrid w:linePitch="312" w:charSpace="0"/>
        </w:sectPr>
      </w:pPr>
    </w:p>
    <w:p w14:paraId="1496F9D4">
      <w:pPr>
        <w:pStyle w:val="15"/>
        <w:adjustRightInd/>
        <w:snapToGrid/>
        <w:spacing w:before="100" w:beforeAutospacing="1" w:after="100" w:afterAutospacing="1"/>
        <w:ind w:firstLine="600"/>
        <w:outlineLvl w:val="0"/>
        <w:rPr>
          <w:rFonts w:hint="eastAsia" w:ascii="黑体" w:hAnsi="黑体" w:eastAsia="黑体"/>
          <w:snapToGrid w:val="0"/>
          <w:sz w:val="30"/>
          <w:szCs w:val="30"/>
        </w:rPr>
      </w:pPr>
      <w:bookmarkStart w:id="14" w:name="_Toc77234837"/>
      <w:r>
        <w:rPr>
          <w:rFonts w:hint="eastAsia" w:ascii="黑体" w:hAnsi="黑体" w:eastAsia="黑体"/>
          <w:snapToGrid w:val="0"/>
          <w:sz w:val="30"/>
          <w:szCs w:val="30"/>
        </w:rPr>
        <w:t>五、</w:t>
      </w:r>
      <w:bookmarkStart w:id="15" w:name="_Hlk54167917"/>
      <w:r>
        <w:rPr>
          <w:rFonts w:hint="eastAsia" w:ascii="黑体" w:hAnsi="黑体" w:eastAsia="黑体"/>
          <w:snapToGrid w:val="0"/>
          <w:sz w:val="30"/>
          <w:szCs w:val="30"/>
        </w:rPr>
        <w:t>环境保护措施监督检查清单</w:t>
      </w:r>
      <w:bookmarkEnd w:id="14"/>
      <w:bookmarkEnd w:id="15"/>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366"/>
        <w:gridCol w:w="1455"/>
        <w:gridCol w:w="2475"/>
        <w:gridCol w:w="2521"/>
      </w:tblGrid>
      <w:tr w14:paraId="7D2FC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6" w:type="pct"/>
            <w:tcBorders>
              <w:tl2br w:val="single" w:color="auto" w:sz="4" w:space="0"/>
            </w:tcBorders>
          </w:tcPr>
          <w:p w14:paraId="7EFAFA27">
            <w:pPr>
              <w:widowControl/>
              <w:jc w:val="center"/>
              <w:rPr>
                <w:rFonts w:hint="eastAsia" w:ascii="宋体" w:hAnsi="宋体"/>
                <w:b/>
                <w:bCs/>
              </w:rPr>
            </w:pPr>
            <w:r>
              <w:rPr>
                <w:rFonts w:hint="eastAsia"/>
                <w:b/>
                <w:bCs/>
                <w:lang w:bidi="ar"/>
              </w:rPr>
              <w:t xml:space="preserve">        内容 </w:t>
            </w:r>
          </w:p>
          <w:p w14:paraId="7D5B9696">
            <w:pPr>
              <w:widowControl/>
              <w:jc w:val="center"/>
              <w:rPr>
                <w:rFonts w:hint="eastAsia" w:ascii="宋体" w:hAnsi="宋体"/>
                <w:b/>
                <w:bCs/>
              </w:rPr>
            </w:pPr>
          </w:p>
          <w:p w14:paraId="3DACF267">
            <w:pPr>
              <w:widowControl/>
              <w:rPr>
                <w:rFonts w:hint="eastAsia" w:ascii="宋体" w:hAnsi="宋体"/>
                <w:b/>
                <w:bCs/>
              </w:rPr>
            </w:pPr>
            <w:r>
              <w:rPr>
                <w:rFonts w:hint="eastAsia" w:ascii="宋体" w:hAnsi="宋体"/>
                <w:b/>
                <w:bCs/>
              </w:rPr>
              <w:t>要素</w:t>
            </w:r>
          </w:p>
        </w:tc>
        <w:tc>
          <w:tcPr>
            <w:tcW w:w="754" w:type="pct"/>
            <w:vAlign w:val="center"/>
          </w:tcPr>
          <w:p w14:paraId="2EDC2147">
            <w:pPr>
              <w:widowControl/>
              <w:jc w:val="center"/>
              <w:rPr>
                <w:b/>
                <w:bCs/>
                <w:lang w:bidi="ar"/>
              </w:rPr>
            </w:pPr>
            <w:r>
              <w:rPr>
                <w:rFonts w:hint="eastAsia"/>
                <w:b/>
                <w:bCs/>
                <w:lang w:bidi="ar"/>
              </w:rPr>
              <w:t>排放口（编号、名称）/污染源</w:t>
            </w:r>
          </w:p>
        </w:tc>
        <w:tc>
          <w:tcPr>
            <w:tcW w:w="803" w:type="pct"/>
            <w:vAlign w:val="center"/>
          </w:tcPr>
          <w:p w14:paraId="4DF55BB0">
            <w:pPr>
              <w:widowControl/>
              <w:jc w:val="center"/>
              <w:rPr>
                <w:b/>
                <w:bCs/>
                <w:lang w:bidi="ar"/>
              </w:rPr>
            </w:pPr>
            <w:r>
              <w:rPr>
                <w:rFonts w:hint="eastAsia"/>
                <w:b/>
                <w:bCs/>
                <w:lang w:bidi="ar"/>
              </w:rPr>
              <w:t>污染物项目</w:t>
            </w:r>
          </w:p>
        </w:tc>
        <w:tc>
          <w:tcPr>
            <w:tcW w:w="1366" w:type="pct"/>
            <w:vAlign w:val="center"/>
          </w:tcPr>
          <w:p w14:paraId="58CB3FEF">
            <w:pPr>
              <w:widowControl/>
              <w:jc w:val="center"/>
              <w:rPr>
                <w:b/>
                <w:bCs/>
                <w:lang w:bidi="ar"/>
              </w:rPr>
            </w:pPr>
            <w:r>
              <w:rPr>
                <w:rFonts w:hint="eastAsia"/>
                <w:b/>
                <w:bCs/>
                <w:lang w:bidi="ar"/>
              </w:rPr>
              <w:t>环境保护措施</w:t>
            </w:r>
          </w:p>
        </w:tc>
        <w:tc>
          <w:tcPr>
            <w:tcW w:w="1391" w:type="pct"/>
            <w:vAlign w:val="center"/>
          </w:tcPr>
          <w:p w14:paraId="08609B3B">
            <w:pPr>
              <w:widowControl/>
              <w:jc w:val="center"/>
              <w:rPr>
                <w:b/>
                <w:bCs/>
                <w:lang w:bidi="ar"/>
              </w:rPr>
            </w:pPr>
            <w:r>
              <w:rPr>
                <w:rFonts w:hint="eastAsia"/>
                <w:b/>
                <w:bCs/>
                <w:lang w:bidi="ar"/>
              </w:rPr>
              <w:t>执行标准</w:t>
            </w:r>
          </w:p>
        </w:tc>
      </w:tr>
      <w:tr w14:paraId="6079E7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6" w:type="pct"/>
            <w:vMerge w:val="restart"/>
            <w:vAlign w:val="center"/>
          </w:tcPr>
          <w:p w14:paraId="2DD92790">
            <w:pPr>
              <w:widowControl/>
              <w:jc w:val="center"/>
              <w:rPr>
                <w:lang w:bidi="ar"/>
              </w:rPr>
            </w:pPr>
            <w:r>
              <w:rPr>
                <w:rFonts w:hint="eastAsia"/>
                <w:lang w:bidi="ar"/>
              </w:rPr>
              <w:t>大气环境</w:t>
            </w:r>
          </w:p>
        </w:tc>
        <w:tc>
          <w:tcPr>
            <w:tcW w:w="754" w:type="pct"/>
            <w:vAlign w:val="center"/>
          </w:tcPr>
          <w:p w14:paraId="7ECF84C4">
            <w:pPr>
              <w:widowControl/>
              <w:jc w:val="center"/>
              <w:rPr>
                <w:lang w:bidi="ar"/>
              </w:rPr>
            </w:pPr>
            <w:r>
              <w:rPr>
                <w:lang w:bidi="ar"/>
              </w:rPr>
              <w:t>DA001</w:t>
            </w:r>
          </w:p>
        </w:tc>
        <w:tc>
          <w:tcPr>
            <w:tcW w:w="803" w:type="pct"/>
            <w:vAlign w:val="center"/>
          </w:tcPr>
          <w:p w14:paraId="7A256203">
            <w:pPr>
              <w:widowControl/>
              <w:jc w:val="center"/>
              <w:rPr>
                <w:lang w:bidi="ar"/>
              </w:rPr>
            </w:pPr>
            <w:r>
              <w:rPr>
                <w:rFonts w:hint="eastAsia"/>
                <w:lang w:bidi="ar"/>
              </w:rPr>
              <w:t>中药煎煮异味</w:t>
            </w:r>
          </w:p>
        </w:tc>
        <w:tc>
          <w:tcPr>
            <w:tcW w:w="1366" w:type="pct"/>
            <w:vAlign w:val="center"/>
          </w:tcPr>
          <w:p w14:paraId="072E1563">
            <w:pPr>
              <w:widowControl/>
              <w:rPr>
                <w:lang w:bidi="ar"/>
              </w:rPr>
            </w:pPr>
            <w:r>
              <w:rPr>
                <w:rFonts w:hint="eastAsia"/>
                <w:lang w:bidi="ar"/>
              </w:rPr>
              <w:t>经“水喷淋塔”处置后由20m高排气筒排放</w:t>
            </w:r>
          </w:p>
        </w:tc>
        <w:tc>
          <w:tcPr>
            <w:tcW w:w="1391" w:type="pct"/>
            <w:vAlign w:val="center"/>
          </w:tcPr>
          <w:p w14:paraId="0DF73A07">
            <w:pPr>
              <w:widowControl/>
              <w:rPr>
                <w:lang w:bidi="ar"/>
              </w:rPr>
            </w:pPr>
            <w:r>
              <w:rPr>
                <w:rFonts w:hint="eastAsia"/>
                <w:lang w:bidi="ar"/>
              </w:rPr>
              <w:t>《恶臭污染物排放标准》  (GB14554-93)</w:t>
            </w:r>
          </w:p>
        </w:tc>
      </w:tr>
      <w:tr w14:paraId="1391C7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6" w:type="pct"/>
            <w:vMerge w:val="continue"/>
            <w:vAlign w:val="center"/>
          </w:tcPr>
          <w:p w14:paraId="3FBF55DB">
            <w:pPr>
              <w:widowControl/>
              <w:jc w:val="center"/>
              <w:rPr>
                <w:lang w:bidi="ar"/>
              </w:rPr>
            </w:pPr>
          </w:p>
        </w:tc>
        <w:tc>
          <w:tcPr>
            <w:tcW w:w="754" w:type="pct"/>
            <w:vAlign w:val="center"/>
          </w:tcPr>
          <w:p w14:paraId="2A4D81FC">
            <w:pPr>
              <w:widowControl/>
              <w:jc w:val="center"/>
              <w:rPr>
                <w:lang w:bidi="ar"/>
              </w:rPr>
            </w:pPr>
            <w:r>
              <w:rPr>
                <w:lang w:bidi="ar"/>
              </w:rPr>
              <w:t>DA002</w:t>
            </w:r>
          </w:p>
        </w:tc>
        <w:tc>
          <w:tcPr>
            <w:tcW w:w="803" w:type="pct"/>
            <w:vAlign w:val="center"/>
          </w:tcPr>
          <w:p w14:paraId="7A8068B3">
            <w:pPr>
              <w:widowControl/>
              <w:jc w:val="center"/>
              <w:rPr>
                <w:lang w:bidi="ar"/>
              </w:rPr>
            </w:pPr>
            <w:r>
              <w:rPr>
                <w:rFonts w:hint="eastAsia"/>
                <w:lang w:bidi="ar"/>
              </w:rPr>
              <w:t>颗粒物</w:t>
            </w:r>
          </w:p>
        </w:tc>
        <w:tc>
          <w:tcPr>
            <w:tcW w:w="1366" w:type="pct"/>
            <w:vAlign w:val="center"/>
          </w:tcPr>
          <w:p w14:paraId="2B3D9829">
            <w:pPr>
              <w:widowControl/>
              <w:rPr>
                <w:lang w:bidi="ar"/>
              </w:rPr>
            </w:pPr>
            <w:r>
              <w:rPr>
                <w:rFonts w:hint="eastAsia"/>
                <w:lang w:bidi="ar"/>
              </w:rPr>
              <w:t>经“布袋除尘器”收集处置后由20m高排气筒排放</w:t>
            </w:r>
          </w:p>
        </w:tc>
        <w:tc>
          <w:tcPr>
            <w:tcW w:w="1391" w:type="pct"/>
            <w:vAlign w:val="center"/>
          </w:tcPr>
          <w:p w14:paraId="75031D8E">
            <w:pPr>
              <w:widowControl/>
              <w:rPr>
                <w:lang w:bidi="ar"/>
              </w:rPr>
            </w:pPr>
            <w:r>
              <w:rPr>
                <w:rFonts w:hint="eastAsia"/>
                <w:lang w:bidi="ar"/>
              </w:rPr>
              <w:t>《大气污染物综合排放标准》（GB16297-1996）</w:t>
            </w:r>
          </w:p>
        </w:tc>
      </w:tr>
      <w:tr w14:paraId="02D994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6" w:type="pct"/>
            <w:vAlign w:val="center"/>
          </w:tcPr>
          <w:p w14:paraId="5A9C575E">
            <w:pPr>
              <w:widowControl/>
              <w:jc w:val="center"/>
              <w:rPr>
                <w:lang w:bidi="ar"/>
              </w:rPr>
            </w:pPr>
            <w:r>
              <w:rPr>
                <w:rFonts w:hint="eastAsia"/>
                <w:lang w:bidi="ar"/>
              </w:rPr>
              <w:t>地表水环境</w:t>
            </w:r>
          </w:p>
        </w:tc>
        <w:tc>
          <w:tcPr>
            <w:tcW w:w="754" w:type="pct"/>
            <w:vAlign w:val="center"/>
          </w:tcPr>
          <w:p w14:paraId="3AD0A8E2">
            <w:pPr>
              <w:widowControl/>
              <w:jc w:val="center"/>
              <w:rPr>
                <w:lang w:bidi="ar"/>
              </w:rPr>
            </w:pPr>
            <w:r>
              <w:rPr>
                <w:rFonts w:hint="eastAsia"/>
                <w:lang w:bidi="ar"/>
              </w:rPr>
              <w:t>D</w:t>
            </w:r>
            <w:r>
              <w:rPr>
                <w:lang w:bidi="ar"/>
              </w:rPr>
              <w:t>W001</w:t>
            </w:r>
          </w:p>
          <w:p w14:paraId="71EBC9FA">
            <w:pPr>
              <w:widowControl/>
              <w:jc w:val="center"/>
              <w:rPr>
                <w:lang w:bidi="ar"/>
              </w:rPr>
            </w:pPr>
            <w:r>
              <w:rPr>
                <w:rFonts w:hint="eastAsia"/>
                <w:lang w:bidi="ar"/>
              </w:rPr>
              <w:t>医药产业示范园-废水总排口</w:t>
            </w:r>
          </w:p>
        </w:tc>
        <w:tc>
          <w:tcPr>
            <w:tcW w:w="803" w:type="pct"/>
            <w:vAlign w:val="center"/>
          </w:tcPr>
          <w:p w14:paraId="7DB080E4">
            <w:pPr>
              <w:widowControl/>
              <w:jc w:val="center"/>
              <w:rPr>
                <w:lang w:bidi="ar"/>
              </w:rPr>
            </w:pPr>
            <w:r>
              <w:rPr>
                <w:rFonts w:hint="eastAsia"/>
                <w:lang w:bidi="ar"/>
              </w:rPr>
              <w:t>pH、COD、 BOD</w:t>
            </w:r>
            <w:r>
              <w:rPr>
                <w:rFonts w:hint="eastAsia"/>
                <w:vertAlign w:val="subscript"/>
                <w:lang w:bidi="ar"/>
              </w:rPr>
              <w:t>5</w:t>
            </w:r>
            <w:r>
              <w:rPr>
                <w:rFonts w:hint="eastAsia"/>
                <w:lang w:bidi="ar"/>
              </w:rPr>
              <w:t>、氨氮、总磷、SS、动植物油类</w:t>
            </w:r>
          </w:p>
        </w:tc>
        <w:tc>
          <w:tcPr>
            <w:tcW w:w="1366" w:type="pct"/>
            <w:vAlign w:val="center"/>
          </w:tcPr>
          <w:p w14:paraId="774D9B71">
            <w:pPr>
              <w:widowControl/>
              <w:rPr>
                <w:lang w:bidi="ar"/>
              </w:rPr>
            </w:pPr>
            <w:r>
              <w:rPr>
                <w:rFonts w:hint="eastAsia"/>
                <w:lang w:bidi="ar"/>
              </w:rPr>
              <w:t>污水处理站、依托预处理池</w:t>
            </w:r>
          </w:p>
        </w:tc>
        <w:tc>
          <w:tcPr>
            <w:tcW w:w="1391" w:type="pct"/>
            <w:vAlign w:val="center"/>
          </w:tcPr>
          <w:p w14:paraId="77513E8D">
            <w:pPr>
              <w:widowControl/>
              <w:rPr>
                <w:lang w:bidi="ar"/>
              </w:rPr>
            </w:pPr>
            <w:r>
              <w:rPr>
                <w:rFonts w:hint="eastAsia"/>
                <w:lang w:bidi="ar"/>
              </w:rPr>
              <w:t>《污水综合排放标准》（</w:t>
            </w:r>
            <w:r>
              <w:rPr>
                <w:lang w:bidi="ar"/>
              </w:rPr>
              <w:t>GB8978-1996</w:t>
            </w:r>
            <w:r>
              <w:rPr>
                <w:rFonts w:hint="eastAsia"/>
                <w:lang w:bidi="ar"/>
              </w:rPr>
              <w:t>）中三级标准</w:t>
            </w:r>
          </w:p>
        </w:tc>
      </w:tr>
      <w:tr w14:paraId="1520F6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6" w:type="pct"/>
            <w:vAlign w:val="center"/>
          </w:tcPr>
          <w:p w14:paraId="702FF26A">
            <w:pPr>
              <w:widowControl/>
              <w:jc w:val="center"/>
              <w:rPr>
                <w:lang w:bidi="ar"/>
              </w:rPr>
            </w:pPr>
            <w:r>
              <w:rPr>
                <w:rFonts w:hint="eastAsia"/>
                <w:lang w:bidi="ar"/>
              </w:rPr>
              <w:t>声环境</w:t>
            </w:r>
          </w:p>
        </w:tc>
        <w:tc>
          <w:tcPr>
            <w:tcW w:w="754" w:type="pct"/>
            <w:vAlign w:val="center"/>
          </w:tcPr>
          <w:p w14:paraId="7A73C571">
            <w:pPr>
              <w:widowControl/>
              <w:jc w:val="center"/>
              <w:rPr>
                <w:lang w:bidi="ar"/>
              </w:rPr>
            </w:pPr>
            <w:r>
              <w:rPr>
                <w:rFonts w:hint="eastAsia"/>
                <w:lang w:bidi="ar"/>
              </w:rPr>
              <w:t>生产设备</w:t>
            </w:r>
          </w:p>
        </w:tc>
        <w:tc>
          <w:tcPr>
            <w:tcW w:w="803" w:type="pct"/>
            <w:vAlign w:val="center"/>
          </w:tcPr>
          <w:p w14:paraId="466A7769">
            <w:pPr>
              <w:widowControl/>
              <w:jc w:val="center"/>
              <w:rPr>
                <w:lang w:bidi="ar"/>
              </w:rPr>
            </w:pPr>
            <w:r>
              <w:rPr>
                <w:rFonts w:hint="eastAsia"/>
                <w:lang w:bidi="ar"/>
              </w:rPr>
              <w:t>噪声</w:t>
            </w:r>
          </w:p>
        </w:tc>
        <w:tc>
          <w:tcPr>
            <w:tcW w:w="1366" w:type="pct"/>
            <w:vAlign w:val="center"/>
          </w:tcPr>
          <w:p w14:paraId="7D73DE9E">
            <w:pPr>
              <w:widowControl/>
              <w:rPr>
                <w:lang w:bidi="ar"/>
              </w:rPr>
            </w:pPr>
            <w:r>
              <w:rPr>
                <w:rFonts w:hint="eastAsia"/>
                <w:lang w:bidi="ar"/>
              </w:rPr>
              <w:t>选用低噪声设备；设备基础减震垫等措施；合理布局以及利用厂房隔声</w:t>
            </w:r>
          </w:p>
        </w:tc>
        <w:tc>
          <w:tcPr>
            <w:tcW w:w="1391" w:type="pct"/>
            <w:vAlign w:val="center"/>
          </w:tcPr>
          <w:p w14:paraId="61304DAE">
            <w:pPr>
              <w:widowControl/>
              <w:rPr>
                <w:lang w:bidi="ar"/>
              </w:rPr>
            </w:pPr>
            <w:r>
              <w:rPr>
                <w:rFonts w:hint="eastAsia"/>
                <w:lang w:bidi="ar"/>
              </w:rPr>
              <w:t>《工业企业厂界环境噪声排放标准》（</w:t>
            </w:r>
            <w:r>
              <w:rPr>
                <w:lang w:bidi="ar"/>
              </w:rPr>
              <w:t>GB2348-2008</w:t>
            </w:r>
            <w:r>
              <w:rPr>
                <w:rFonts w:hint="eastAsia"/>
                <w:lang w:bidi="ar"/>
              </w:rPr>
              <w:t>）</w:t>
            </w:r>
            <w:r>
              <w:rPr>
                <w:lang w:bidi="ar"/>
              </w:rPr>
              <w:t>3</w:t>
            </w:r>
            <w:r>
              <w:rPr>
                <w:rFonts w:hint="eastAsia"/>
                <w:lang w:bidi="ar"/>
              </w:rPr>
              <w:t>类标准</w:t>
            </w:r>
          </w:p>
        </w:tc>
      </w:tr>
      <w:tr w14:paraId="09DD32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6" w:type="pct"/>
            <w:vAlign w:val="center"/>
          </w:tcPr>
          <w:p w14:paraId="2CAA356D">
            <w:pPr>
              <w:widowControl/>
              <w:jc w:val="center"/>
              <w:rPr>
                <w:lang w:bidi="ar"/>
              </w:rPr>
            </w:pPr>
            <w:r>
              <w:rPr>
                <w:rFonts w:hint="eastAsia"/>
                <w:lang w:bidi="ar"/>
              </w:rPr>
              <w:t>电磁辐射</w:t>
            </w:r>
          </w:p>
        </w:tc>
        <w:tc>
          <w:tcPr>
            <w:tcW w:w="754" w:type="pct"/>
            <w:vAlign w:val="center"/>
          </w:tcPr>
          <w:p w14:paraId="18D06D98">
            <w:pPr>
              <w:widowControl/>
              <w:jc w:val="center"/>
              <w:rPr>
                <w:lang w:bidi="ar"/>
              </w:rPr>
            </w:pPr>
            <w:r>
              <w:rPr>
                <w:rFonts w:hint="eastAsia"/>
                <w:lang w:bidi="ar"/>
              </w:rPr>
              <w:t>无</w:t>
            </w:r>
          </w:p>
        </w:tc>
        <w:tc>
          <w:tcPr>
            <w:tcW w:w="803" w:type="pct"/>
            <w:vAlign w:val="center"/>
          </w:tcPr>
          <w:p w14:paraId="0F090F47">
            <w:pPr>
              <w:widowControl/>
              <w:jc w:val="center"/>
              <w:rPr>
                <w:lang w:bidi="ar"/>
              </w:rPr>
            </w:pPr>
            <w:r>
              <w:rPr>
                <w:rFonts w:hint="eastAsia"/>
                <w:lang w:bidi="ar"/>
              </w:rPr>
              <w:t>无</w:t>
            </w:r>
          </w:p>
        </w:tc>
        <w:tc>
          <w:tcPr>
            <w:tcW w:w="1366" w:type="pct"/>
            <w:vAlign w:val="center"/>
          </w:tcPr>
          <w:p w14:paraId="699BCCF7">
            <w:pPr>
              <w:widowControl/>
              <w:jc w:val="center"/>
              <w:rPr>
                <w:lang w:bidi="ar"/>
              </w:rPr>
            </w:pPr>
            <w:r>
              <w:rPr>
                <w:rFonts w:hint="eastAsia"/>
                <w:lang w:bidi="ar"/>
              </w:rPr>
              <w:t>无</w:t>
            </w:r>
          </w:p>
        </w:tc>
        <w:tc>
          <w:tcPr>
            <w:tcW w:w="1391" w:type="pct"/>
            <w:vAlign w:val="center"/>
          </w:tcPr>
          <w:p w14:paraId="19130616">
            <w:pPr>
              <w:widowControl/>
              <w:jc w:val="center"/>
              <w:rPr>
                <w:lang w:bidi="ar"/>
              </w:rPr>
            </w:pPr>
            <w:r>
              <w:rPr>
                <w:rFonts w:hint="eastAsia"/>
                <w:lang w:bidi="ar"/>
              </w:rPr>
              <w:t>无</w:t>
            </w:r>
          </w:p>
        </w:tc>
      </w:tr>
      <w:tr w14:paraId="39684B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686" w:type="pct"/>
            <w:vAlign w:val="center"/>
          </w:tcPr>
          <w:p w14:paraId="05D85E40">
            <w:pPr>
              <w:widowControl/>
              <w:jc w:val="center"/>
              <w:rPr>
                <w:lang w:bidi="ar"/>
              </w:rPr>
            </w:pPr>
            <w:r>
              <w:rPr>
                <w:rFonts w:hint="eastAsia"/>
                <w:lang w:bidi="ar"/>
              </w:rPr>
              <w:t>固体废物</w:t>
            </w:r>
          </w:p>
        </w:tc>
        <w:tc>
          <w:tcPr>
            <w:tcW w:w="4314" w:type="pct"/>
            <w:gridSpan w:val="4"/>
            <w:vAlign w:val="center"/>
          </w:tcPr>
          <w:p w14:paraId="58A47D50">
            <w:pPr>
              <w:widowControl/>
              <w:jc w:val="center"/>
              <w:rPr>
                <w:lang w:bidi="ar"/>
              </w:rPr>
            </w:pPr>
            <w:r>
              <w:rPr>
                <w:rFonts w:hint="eastAsia"/>
                <w:lang w:bidi="ar"/>
              </w:rPr>
              <w:t>一般工业固废由交有资格单位回收，生活垃圾交环卫部门清运</w:t>
            </w:r>
          </w:p>
        </w:tc>
      </w:tr>
      <w:tr w14:paraId="65BC82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686" w:type="pct"/>
            <w:vAlign w:val="center"/>
          </w:tcPr>
          <w:p w14:paraId="7125DE8B">
            <w:pPr>
              <w:widowControl/>
              <w:jc w:val="center"/>
              <w:rPr>
                <w:lang w:bidi="ar"/>
              </w:rPr>
            </w:pPr>
            <w:r>
              <w:rPr>
                <w:rFonts w:hint="eastAsia"/>
                <w:lang w:bidi="ar"/>
              </w:rPr>
              <w:t>土壤及地下水污染防治措施</w:t>
            </w:r>
          </w:p>
        </w:tc>
        <w:tc>
          <w:tcPr>
            <w:tcW w:w="4314" w:type="pct"/>
            <w:gridSpan w:val="4"/>
            <w:vAlign w:val="center"/>
          </w:tcPr>
          <w:p w14:paraId="54D7614C">
            <w:pPr>
              <w:widowControl/>
              <w:spacing w:line="360" w:lineRule="auto"/>
              <w:jc w:val="center"/>
              <w:rPr>
                <w:lang w:bidi="ar"/>
              </w:rPr>
            </w:pPr>
            <w:r>
              <w:rPr>
                <w:rFonts w:hint="eastAsia"/>
                <w:lang w:bidi="ar"/>
              </w:rPr>
              <w:t>污水处理站重点防渗；生产车间生产区（调剂区、加水区、煎药区、灌装区等）、药渣间、沉淀池等一般防渗；办公区简单防渗；</w:t>
            </w:r>
          </w:p>
        </w:tc>
      </w:tr>
      <w:tr w14:paraId="47804D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86" w:type="pct"/>
            <w:vAlign w:val="center"/>
          </w:tcPr>
          <w:p w14:paraId="0BE8D17C">
            <w:pPr>
              <w:widowControl/>
              <w:jc w:val="center"/>
              <w:rPr>
                <w:lang w:bidi="ar"/>
              </w:rPr>
            </w:pPr>
            <w:r>
              <w:rPr>
                <w:rFonts w:hint="eastAsia"/>
                <w:lang w:bidi="ar"/>
              </w:rPr>
              <w:t>生态保护措施</w:t>
            </w:r>
          </w:p>
        </w:tc>
        <w:tc>
          <w:tcPr>
            <w:tcW w:w="4314" w:type="pct"/>
            <w:gridSpan w:val="4"/>
            <w:vAlign w:val="center"/>
          </w:tcPr>
          <w:p w14:paraId="7DB9445B">
            <w:pPr>
              <w:widowControl/>
              <w:jc w:val="center"/>
              <w:rPr>
                <w:lang w:bidi="ar"/>
              </w:rPr>
            </w:pPr>
            <w:r>
              <w:rPr>
                <w:rFonts w:hint="eastAsia"/>
                <w:lang w:bidi="ar"/>
              </w:rPr>
              <w:t>项目位于四川省达州市通川经开区医药产业园，无需特殊生态保护措施</w:t>
            </w:r>
          </w:p>
        </w:tc>
      </w:tr>
      <w:tr w14:paraId="2B4CA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86" w:type="pct"/>
            <w:vAlign w:val="center"/>
          </w:tcPr>
          <w:p w14:paraId="20336770">
            <w:pPr>
              <w:widowControl/>
              <w:jc w:val="center"/>
              <w:rPr>
                <w:lang w:bidi="ar"/>
              </w:rPr>
            </w:pPr>
            <w:r>
              <w:rPr>
                <w:rFonts w:hint="eastAsia"/>
                <w:lang w:bidi="ar"/>
              </w:rPr>
              <w:t>环境风险</w:t>
            </w:r>
          </w:p>
          <w:p w14:paraId="6F13FF5D">
            <w:pPr>
              <w:widowControl/>
              <w:jc w:val="center"/>
              <w:rPr>
                <w:lang w:bidi="ar"/>
              </w:rPr>
            </w:pPr>
            <w:r>
              <w:rPr>
                <w:rFonts w:hint="eastAsia"/>
                <w:lang w:bidi="ar"/>
              </w:rPr>
              <w:t>防范措施</w:t>
            </w:r>
          </w:p>
        </w:tc>
        <w:tc>
          <w:tcPr>
            <w:tcW w:w="4314" w:type="pct"/>
            <w:gridSpan w:val="4"/>
            <w:vAlign w:val="center"/>
          </w:tcPr>
          <w:p w14:paraId="6D387E28">
            <w:pPr>
              <w:widowControl/>
              <w:jc w:val="center"/>
              <w:rPr>
                <w:lang w:bidi="ar"/>
              </w:rPr>
            </w:pPr>
            <w:r>
              <w:rPr>
                <w:rFonts w:hint="eastAsia"/>
                <w:lang w:bidi="ar"/>
              </w:rPr>
              <w:t>按照要求分别制定危险废物储存过程中风险防范措施，火灾风险防范措施，废水废气治理设施故障风险防范措施。</w:t>
            </w:r>
          </w:p>
        </w:tc>
      </w:tr>
      <w:tr w14:paraId="255DF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686" w:type="pct"/>
            <w:vAlign w:val="center"/>
          </w:tcPr>
          <w:p w14:paraId="3713A0DC">
            <w:pPr>
              <w:adjustRightInd w:val="0"/>
              <w:snapToGrid w:val="0"/>
              <w:jc w:val="center"/>
              <w:rPr>
                <w:rFonts w:hint="eastAsia" w:ascii="宋体" w:hAnsi="宋体"/>
                <w:spacing w:val="-8"/>
              </w:rPr>
            </w:pPr>
            <w:r>
              <w:rPr>
                <w:rFonts w:hint="eastAsia" w:ascii="宋体" w:hAnsi="宋体"/>
                <w:spacing w:val="-8"/>
              </w:rPr>
              <w:t>其他环境</w:t>
            </w:r>
          </w:p>
          <w:p w14:paraId="070EF3F0">
            <w:pPr>
              <w:adjustRightInd w:val="0"/>
              <w:snapToGrid w:val="0"/>
              <w:jc w:val="center"/>
              <w:rPr>
                <w:rFonts w:hint="eastAsia" w:ascii="宋体" w:hAnsi="宋体"/>
                <w:spacing w:val="-8"/>
              </w:rPr>
            </w:pPr>
            <w:r>
              <w:rPr>
                <w:rFonts w:hint="eastAsia" w:ascii="宋体" w:hAnsi="宋体"/>
                <w:spacing w:val="-8"/>
              </w:rPr>
              <w:t>管理要求</w:t>
            </w:r>
          </w:p>
        </w:tc>
        <w:tc>
          <w:tcPr>
            <w:tcW w:w="4314" w:type="pct"/>
            <w:gridSpan w:val="4"/>
            <w:vAlign w:val="center"/>
          </w:tcPr>
          <w:p w14:paraId="63B0F3C2">
            <w:pPr>
              <w:widowControl/>
              <w:spacing w:line="360" w:lineRule="auto"/>
              <w:ind w:firstLine="422" w:firstLineChars="200"/>
              <w:rPr>
                <w:b/>
                <w:bCs/>
                <w:lang w:bidi="ar"/>
              </w:rPr>
            </w:pPr>
            <w:r>
              <w:rPr>
                <w:rFonts w:hint="eastAsia"/>
                <w:b/>
                <w:bCs/>
                <w:lang w:bidi="ar"/>
              </w:rPr>
              <w:t>1、自行监测</w:t>
            </w:r>
          </w:p>
          <w:p w14:paraId="168454D0">
            <w:pPr>
              <w:widowControl/>
              <w:spacing w:line="360" w:lineRule="auto"/>
              <w:ind w:firstLine="420" w:firstLineChars="200"/>
              <w:rPr>
                <w:lang w:bidi="ar"/>
              </w:rPr>
            </w:pPr>
            <w:r>
              <w:rPr>
                <w:rFonts w:hint="eastAsia"/>
                <w:lang w:bidi="ar"/>
              </w:rPr>
              <w:t>为了加强环境管理，贯彻实施污染物达标排放要求，建设单位须对本项目运行期的污染物排放情况进行监测。建设单位可委托第三方环境监测机构对厂区污染物进行监测。根据《排污单位自行监测技术指南总则》（HJ819-2017）、《排污许可证申请与核发技术规范 制药工业-中成药生产》（HJ1064-2019）、《排污单位自行监测技术指南 中药、生物药品制品、化学药品制剂制造业》（HJ 1256-2022）、《排污许可证申请与核发技术规范工业噪声》（HJ1301-2023）及相关要求，本环评对建设项目实施环境监测建议。</w:t>
            </w:r>
          </w:p>
          <w:p w14:paraId="463F5331">
            <w:pPr>
              <w:widowControl/>
              <w:spacing w:line="360" w:lineRule="auto"/>
              <w:ind w:firstLine="422" w:firstLineChars="200"/>
              <w:rPr>
                <w:b/>
              </w:rPr>
            </w:pPr>
            <w:r>
              <w:rPr>
                <w:rFonts w:hint="eastAsia"/>
                <w:b/>
              </w:rPr>
              <w:t>2、排污口规范化设置</w:t>
            </w:r>
          </w:p>
          <w:p w14:paraId="06674F94">
            <w:pPr>
              <w:widowControl/>
              <w:spacing w:line="360" w:lineRule="auto"/>
              <w:ind w:firstLine="422" w:firstLineChars="200"/>
              <w:rPr>
                <w:b/>
                <w:bCs/>
                <w:lang w:bidi="ar"/>
              </w:rPr>
            </w:pPr>
            <w:r>
              <w:rPr>
                <w:rFonts w:hint="eastAsia"/>
                <w:b/>
                <w:bCs/>
                <w:lang w:bidi="ar"/>
              </w:rPr>
              <w:t>（</w:t>
            </w:r>
            <w:r>
              <w:rPr>
                <w:b/>
                <w:bCs/>
                <w:lang w:bidi="ar"/>
              </w:rPr>
              <w:t>1</w:t>
            </w:r>
            <w:r>
              <w:rPr>
                <w:rFonts w:hint="eastAsia"/>
                <w:b/>
                <w:bCs/>
                <w:lang w:bidi="ar"/>
              </w:rPr>
              <w:t>）污水排污口</w:t>
            </w:r>
          </w:p>
          <w:p w14:paraId="44648CE6">
            <w:pPr>
              <w:widowControl/>
              <w:spacing w:line="360" w:lineRule="auto"/>
              <w:ind w:firstLine="420" w:firstLineChars="200"/>
              <w:rPr>
                <w:lang w:bidi="ar"/>
              </w:rPr>
            </w:pPr>
            <w:r>
              <w:rPr>
                <w:rFonts w:hint="eastAsia"/>
                <w:lang w:bidi="ar"/>
              </w:rPr>
              <w:t>本项目依托</w:t>
            </w:r>
            <w:r>
              <w:rPr>
                <w:rFonts w:hint="eastAsia"/>
              </w:rPr>
              <w:t>通川区中医药产业示范园已建排水口排放</w:t>
            </w:r>
            <w:r>
              <w:rPr>
                <w:rFonts w:hint="eastAsia"/>
                <w:lang w:bidi="ar"/>
              </w:rPr>
              <w:t>。厂区可不再单独设置污水排口。</w:t>
            </w:r>
          </w:p>
          <w:p w14:paraId="607E2CDE">
            <w:pPr>
              <w:widowControl/>
              <w:spacing w:line="360" w:lineRule="auto"/>
              <w:ind w:firstLine="422" w:firstLineChars="200"/>
              <w:rPr>
                <w:b/>
                <w:bCs/>
                <w:lang w:bidi="ar"/>
              </w:rPr>
            </w:pPr>
            <w:r>
              <w:rPr>
                <w:rFonts w:hint="eastAsia"/>
                <w:b/>
                <w:bCs/>
                <w:lang w:bidi="ar"/>
              </w:rPr>
              <w:t>（</w:t>
            </w:r>
            <w:r>
              <w:rPr>
                <w:b/>
                <w:bCs/>
                <w:lang w:bidi="ar"/>
              </w:rPr>
              <w:t>2</w:t>
            </w:r>
            <w:r>
              <w:rPr>
                <w:rFonts w:hint="eastAsia"/>
                <w:b/>
                <w:bCs/>
                <w:lang w:bidi="ar"/>
              </w:rPr>
              <w:t>）废气排污口</w:t>
            </w:r>
          </w:p>
          <w:p w14:paraId="638C2E44">
            <w:pPr>
              <w:widowControl/>
              <w:spacing w:line="360" w:lineRule="auto"/>
              <w:ind w:firstLine="420" w:firstLineChars="200"/>
              <w:rPr>
                <w:lang w:bidi="ar"/>
              </w:rPr>
            </w:pPr>
            <w:r>
              <w:rPr>
                <w:rFonts w:hint="eastAsia"/>
                <w:lang w:bidi="ar"/>
              </w:rPr>
              <w:t>本项目废气有组织排放口必须要符合规定的高度和《污染源监测技术规范》便于采样、监测的要求，具体要求如下：</w:t>
            </w:r>
          </w:p>
          <w:p w14:paraId="13D7DCF1">
            <w:pPr>
              <w:widowControl/>
              <w:spacing w:line="360" w:lineRule="auto"/>
              <w:ind w:firstLine="422" w:firstLineChars="200"/>
              <w:rPr>
                <w:b/>
                <w:bCs/>
                <w:lang w:bidi="ar"/>
              </w:rPr>
            </w:pPr>
            <w:r>
              <w:rPr>
                <w:rFonts w:hint="eastAsia"/>
                <w:b/>
                <w:bCs/>
                <w:lang w:bidi="ar"/>
              </w:rPr>
              <w:t xml:space="preserve">1）监测孔设置 </w:t>
            </w:r>
          </w:p>
          <w:p w14:paraId="5B43D527">
            <w:pPr>
              <w:widowControl/>
              <w:spacing w:line="360" w:lineRule="auto"/>
              <w:ind w:firstLine="420" w:firstLineChars="200"/>
              <w:rPr>
                <w:lang w:bidi="ar"/>
              </w:rPr>
            </w:pPr>
            <w:r>
              <w:rPr>
                <w:rFonts w:hint="eastAsia"/>
                <w:lang w:bidi="ar"/>
              </w:rPr>
              <w:t xml:space="preserve">A、监测孔位置应便于开展监测工作，应设置在规则的圆形或矩形烟道上。 </w:t>
            </w:r>
          </w:p>
          <w:p w14:paraId="54551D92">
            <w:pPr>
              <w:widowControl/>
              <w:spacing w:line="360" w:lineRule="auto"/>
              <w:ind w:firstLine="420" w:firstLineChars="200"/>
              <w:rPr>
                <w:lang w:bidi="ar"/>
              </w:rPr>
            </w:pPr>
            <w:r>
              <w:rPr>
                <w:rFonts w:hint="eastAsia"/>
                <w:lang w:bidi="ar"/>
              </w:rPr>
              <w:t>B、采样位置优先设置在垂直管段，应避开烟道弯头和断面急剧变化的部位，应设置在距弯头、阀门、变径管下游方向不小于 6 倍直径（当量直径）和距上述部件上游方向不小于 3 倍直径（当量直径）处。</w:t>
            </w:r>
          </w:p>
          <w:p w14:paraId="605C5329">
            <w:pPr>
              <w:widowControl/>
              <w:spacing w:line="360" w:lineRule="auto"/>
              <w:ind w:firstLine="420" w:firstLineChars="200"/>
              <w:rPr>
                <w:lang w:bidi="ar"/>
              </w:rPr>
            </w:pPr>
            <w:r>
              <w:rPr>
                <w:rFonts w:hint="eastAsia"/>
                <w:lang w:bidi="ar"/>
              </w:rPr>
              <w:t>C、在选定的监测孔位置上开设采样孔，采样孔的内径应不小于80mm（当采样孔仅用于采集气态污染物时，其内径应不小于4</w:t>
            </w:r>
            <w:r>
              <w:rPr>
                <w:lang w:bidi="ar"/>
              </w:rPr>
              <w:t>0</w:t>
            </w:r>
            <w:r>
              <w:rPr>
                <w:rFonts w:hint="eastAsia"/>
                <w:lang w:bidi="ar"/>
              </w:rPr>
              <w:t>mm），监测孔管长不大于50mm。监测孔在不使用时用盖板、管堵或管帽封闭，采样孔距平台面为1</w:t>
            </w:r>
            <w:r>
              <w:rPr>
                <w:lang w:bidi="ar"/>
              </w:rPr>
              <w:t>.2</w:t>
            </w:r>
            <w:r>
              <w:rPr>
                <w:rFonts w:hint="eastAsia"/>
                <w:lang w:bidi="ar"/>
              </w:rPr>
              <w:t>-</w:t>
            </w:r>
            <w:r>
              <w:rPr>
                <w:lang w:bidi="ar"/>
              </w:rPr>
              <w:t>1.3</w:t>
            </w:r>
            <w:r>
              <w:rPr>
                <w:rFonts w:hint="eastAsia"/>
                <w:lang w:bidi="ar"/>
              </w:rPr>
              <w:t>m。</w:t>
            </w:r>
          </w:p>
          <w:p w14:paraId="50EF4607">
            <w:pPr>
              <w:widowControl/>
              <w:spacing w:line="360" w:lineRule="auto"/>
              <w:ind w:firstLine="422" w:firstLineChars="200"/>
              <w:rPr>
                <w:b/>
                <w:bCs/>
                <w:lang w:bidi="ar"/>
              </w:rPr>
            </w:pPr>
            <w:r>
              <w:rPr>
                <w:rFonts w:hint="eastAsia"/>
                <w:b/>
                <w:bCs/>
                <w:lang w:bidi="ar"/>
              </w:rPr>
              <w:t>2）采样平台</w:t>
            </w:r>
          </w:p>
          <w:p w14:paraId="065E573C">
            <w:pPr>
              <w:widowControl/>
              <w:spacing w:line="360" w:lineRule="auto"/>
              <w:ind w:firstLine="420" w:firstLineChars="200"/>
              <w:rPr>
                <w:lang w:bidi="ar"/>
              </w:rPr>
            </w:pPr>
            <w:r>
              <w:rPr>
                <w:rFonts w:hint="eastAsia"/>
                <w:lang w:bidi="ar"/>
              </w:rPr>
              <w:t>应根据企业排气筒的高度、工况安全等实际情况，设置永久性采样口、采样测试平台。平台应方便监测人员采样操作、保障工作电源、人员安全。</w:t>
            </w:r>
          </w:p>
          <w:p w14:paraId="6C45405B">
            <w:pPr>
              <w:widowControl/>
              <w:spacing w:line="360" w:lineRule="auto"/>
              <w:ind w:firstLine="420" w:firstLineChars="200"/>
              <w:rPr>
                <w:lang w:bidi="ar"/>
              </w:rPr>
            </w:pPr>
            <w:r>
              <w:rPr>
                <w:rFonts w:hint="eastAsia"/>
                <w:lang w:bidi="ar"/>
              </w:rPr>
              <w:t>本项目废气排污口设置情况见下表：</w:t>
            </w:r>
          </w:p>
          <w:p w14:paraId="37C2DFAA">
            <w:pPr>
              <w:autoSpaceDE w:val="0"/>
              <w:autoSpaceDN w:val="0"/>
              <w:adjustRightInd w:val="0"/>
              <w:snapToGrid w:val="0"/>
              <w:jc w:val="center"/>
              <w:rPr>
                <w:b/>
              </w:rPr>
            </w:pPr>
            <w:r>
              <w:rPr>
                <w:b/>
              </w:rPr>
              <w:t>表5-</w:t>
            </w:r>
            <w:r>
              <w:rPr>
                <w:rFonts w:hint="eastAsia"/>
                <w:b/>
              </w:rPr>
              <w:t>2</w:t>
            </w:r>
            <w:r>
              <w:rPr>
                <w:b/>
              </w:rPr>
              <w:t xml:space="preserve">   </w:t>
            </w:r>
            <w:r>
              <w:rPr>
                <w:rFonts w:hint="eastAsia"/>
                <w:b/>
              </w:rPr>
              <w:t>废气排放口设置情况</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1623"/>
              <w:gridCol w:w="652"/>
              <w:gridCol w:w="951"/>
              <w:gridCol w:w="1042"/>
              <w:gridCol w:w="2582"/>
            </w:tblGrid>
            <w:tr w14:paraId="55B2D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7" w:type="dxa"/>
                  <w:shd w:val="clear" w:color="auto" w:fill="auto"/>
                  <w:vAlign w:val="center"/>
                </w:tcPr>
                <w:p w14:paraId="4A0B594B">
                  <w:pPr>
                    <w:widowControl/>
                    <w:jc w:val="center"/>
                    <w:rPr>
                      <w:b/>
                      <w:bCs/>
                      <w:lang w:bidi="ar"/>
                    </w:rPr>
                  </w:pPr>
                  <w:r>
                    <w:rPr>
                      <w:rFonts w:hint="eastAsia"/>
                      <w:b/>
                      <w:bCs/>
                      <w:lang w:bidi="ar"/>
                    </w:rPr>
                    <w:t>类别</w:t>
                  </w:r>
                </w:p>
              </w:tc>
              <w:tc>
                <w:tcPr>
                  <w:tcW w:w="1623" w:type="dxa"/>
                  <w:shd w:val="clear" w:color="auto" w:fill="auto"/>
                  <w:vAlign w:val="center"/>
                </w:tcPr>
                <w:p w14:paraId="306D7899">
                  <w:pPr>
                    <w:widowControl/>
                    <w:jc w:val="center"/>
                    <w:rPr>
                      <w:b/>
                      <w:bCs/>
                      <w:lang w:bidi="ar"/>
                    </w:rPr>
                  </w:pPr>
                  <w:r>
                    <w:rPr>
                      <w:rFonts w:hint="eastAsia"/>
                      <w:b/>
                      <w:bCs/>
                      <w:lang w:bidi="ar"/>
                    </w:rPr>
                    <w:t>污染物种类</w:t>
                  </w:r>
                </w:p>
              </w:tc>
              <w:tc>
                <w:tcPr>
                  <w:tcW w:w="652" w:type="dxa"/>
                  <w:shd w:val="clear" w:color="auto" w:fill="auto"/>
                  <w:vAlign w:val="center"/>
                </w:tcPr>
                <w:p w14:paraId="72B86410">
                  <w:pPr>
                    <w:widowControl/>
                    <w:jc w:val="center"/>
                    <w:rPr>
                      <w:b/>
                      <w:bCs/>
                      <w:lang w:bidi="ar"/>
                    </w:rPr>
                  </w:pPr>
                  <w:r>
                    <w:rPr>
                      <w:rFonts w:hint="eastAsia"/>
                      <w:b/>
                      <w:bCs/>
                      <w:lang w:bidi="ar"/>
                    </w:rPr>
                    <w:t>数量</w:t>
                  </w:r>
                </w:p>
              </w:tc>
              <w:tc>
                <w:tcPr>
                  <w:tcW w:w="951" w:type="dxa"/>
                  <w:shd w:val="clear" w:color="auto" w:fill="auto"/>
                  <w:vAlign w:val="center"/>
                </w:tcPr>
                <w:p w14:paraId="26E3BBE4">
                  <w:pPr>
                    <w:widowControl/>
                    <w:jc w:val="center"/>
                    <w:rPr>
                      <w:b/>
                      <w:bCs/>
                      <w:lang w:bidi="ar"/>
                    </w:rPr>
                  </w:pPr>
                  <w:r>
                    <w:rPr>
                      <w:rFonts w:hint="eastAsia"/>
                      <w:b/>
                      <w:bCs/>
                      <w:lang w:bidi="ar"/>
                    </w:rPr>
                    <w:t>编号</w:t>
                  </w:r>
                </w:p>
              </w:tc>
              <w:tc>
                <w:tcPr>
                  <w:tcW w:w="1042" w:type="dxa"/>
                  <w:shd w:val="clear" w:color="auto" w:fill="auto"/>
                  <w:vAlign w:val="center"/>
                </w:tcPr>
                <w:p w14:paraId="09ABD9E5">
                  <w:pPr>
                    <w:widowControl/>
                    <w:jc w:val="center"/>
                    <w:rPr>
                      <w:b/>
                      <w:bCs/>
                      <w:lang w:bidi="ar"/>
                    </w:rPr>
                  </w:pPr>
                  <w:r>
                    <w:rPr>
                      <w:rFonts w:hint="eastAsia"/>
                      <w:b/>
                      <w:bCs/>
                      <w:lang w:bidi="ar"/>
                    </w:rPr>
                    <w:t>排气筒高度</w:t>
                  </w:r>
                </w:p>
              </w:tc>
              <w:tc>
                <w:tcPr>
                  <w:tcW w:w="2582" w:type="dxa"/>
                  <w:shd w:val="clear" w:color="auto" w:fill="auto"/>
                  <w:vAlign w:val="center"/>
                </w:tcPr>
                <w:p w14:paraId="20D2E549">
                  <w:pPr>
                    <w:widowControl/>
                    <w:jc w:val="center"/>
                    <w:rPr>
                      <w:b/>
                      <w:bCs/>
                      <w:lang w:bidi="ar"/>
                    </w:rPr>
                  </w:pPr>
                  <w:r>
                    <w:rPr>
                      <w:rFonts w:hint="eastAsia"/>
                      <w:b/>
                      <w:bCs/>
                      <w:lang w:bidi="ar"/>
                    </w:rPr>
                    <w:t>标识标牌示意图</w:t>
                  </w:r>
                </w:p>
              </w:tc>
            </w:tr>
            <w:tr w14:paraId="1C001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47" w:type="dxa"/>
                  <w:vMerge w:val="restart"/>
                  <w:shd w:val="clear" w:color="auto" w:fill="auto"/>
                  <w:vAlign w:val="center"/>
                </w:tcPr>
                <w:p w14:paraId="484BD030">
                  <w:pPr>
                    <w:widowControl/>
                    <w:jc w:val="center"/>
                    <w:rPr>
                      <w:lang w:bidi="ar"/>
                    </w:rPr>
                  </w:pPr>
                  <w:r>
                    <w:rPr>
                      <w:rFonts w:hint="eastAsia"/>
                      <w:lang w:bidi="ar"/>
                    </w:rPr>
                    <w:t>废气排口</w:t>
                  </w:r>
                </w:p>
              </w:tc>
              <w:tc>
                <w:tcPr>
                  <w:tcW w:w="1623" w:type="dxa"/>
                  <w:shd w:val="clear" w:color="auto" w:fill="auto"/>
                  <w:vAlign w:val="center"/>
                </w:tcPr>
                <w:p w14:paraId="1F7EA35F">
                  <w:pPr>
                    <w:widowControl/>
                    <w:jc w:val="center"/>
                    <w:rPr>
                      <w:lang w:bidi="ar"/>
                    </w:rPr>
                  </w:pPr>
                  <w:r>
                    <w:rPr>
                      <w:rFonts w:hint="eastAsia"/>
                      <w:lang w:bidi="ar"/>
                    </w:rPr>
                    <w:t>臭气浓度</w:t>
                  </w:r>
                </w:p>
              </w:tc>
              <w:tc>
                <w:tcPr>
                  <w:tcW w:w="652" w:type="dxa"/>
                  <w:shd w:val="clear" w:color="auto" w:fill="auto"/>
                  <w:vAlign w:val="center"/>
                </w:tcPr>
                <w:p w14:paraId="584E367F">
                  <w:pPr>
                    <w:widowControl/>
                    <w:jc w:val="center"/>
                    <w:rPr>
                      <w:lang w:bidi="ar"/>
                    </w:rPr>
                  </w:pPr>
                  <w:r>
                    <w:rPr>
                      <w:rFonts w:hint="eastAsia"/>
                      <w:lang w:bidi="ar"/>
                    </w:rPr>
                    <w:t>1</w:t>
                  </w:r>
                </w:p>
              </w:tc>
              <w:tc>
                <w:tcPr>
                  <w:tcW w:w="951" w:type="dxa"/>
                  <w:shd w:val="clear" w:color="auto" w:fill="auto"/>
                  <w:vAlign w:val="center"/>
                </w:tcPr>
                <w:p w14:paraId="4B8D8ED0">
                  <w:pPr>
                    <w:widowControl/>
                    <w:jc w:val="center"/>
                    <w:rPr>
                      <w:lang w:bidi="ar"/>
                    </w:rPr>
                  </w:pPr>
                  <w:r>
                    <w:rPr>
                      <w:lang w:bidi="ar"/>
                    </w:rPr>
                    <w:t>DA001</w:t>
                  </w:r>
                </w:p>
              </w:tc>
              <w:tc>
                <w:tcPr>
                  <w:tcW w:w="1042" w:type="dxa"/>
                  <w:shd w:val="clear" w:color="auto" w:fill="auto"/>
                  <w:vAlign w:val="center"/>
                </w:tcPr>
                <w:p w14:paraId="10AC91E4">
                  <w:pPr>
                    <w:widowControl/>
                    <w:jc w:val="center"/>
                    <w:rPr>
                      <w:lang w:bidi="ar"/>
                    </w:rPr>
                  </w:pPr>
                  <w:r>
                    <w:rPr>
                      <w:rFonts w:hint="eastAsia"/>
                      <w:lang w:bidi="ar"/>
                    </w:rPr>
                    <w:t>20m</w:t>
                  </w:r>
                </w:p>
              </w:tc>
              <w:tc>
                <w:tcPr>
                  <w:tcW w:w="2582" w:type="dxa"/>
                  <w:vMerge w:val="restart"/>
                  <w:shd w:val="clear" w:color="auto" w:fill="auto"/>
                  <w:vAlign w:val="center"/>
                </w:tcPr>
                <w:p w14:paraId="47658084">
                  <w:pPr>
                    <w:widowControl/>
                    <w:jc w:val="center"/>
                    <w:rPr>
                      <w:lang w:bidi="ar"/>
                    </w:rPr>
                  </w:pPr>
                  <w:r>
                    <w:rPr>
                      <w:lang w:bidi="ar"/>
                    </w:rPr>
                    <w:drawing>
                      <wp:inline distT="0" distB="0" distL="0" distR="0">
                        <wp:extent cx="1264285" cy="787400"/>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264285" cy="787400"/>
                                </a:xfrm>
                                <a:prstGeom prst="rect">
                                  <a:avLst/>
                                </a:prstGeom>
                                <a:noFill/>
                                <a:ln>
                                  <a:noFill/>
                                </a:ln>
                              </pic:spPr>
                            </pic:pic>
                          </a:graphicData>
                        </a:graphic>
                      </wp:inline>
                    </w:drawing>
                  </w:r>
                </w:p>
              </w:tc>
            </w:tr>
            <w:tr w14:paraId="0ADAC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47" w:type="dxa"/>
                  <w:vMerge w:val="continue"/>
                  <w:shd w:val="clear" w:color="auto" w:fill="auto"/>
                  <w:vAlign w:val="center"/>
                </w:tcPr>
                <w:p w14:paraId="49FDF2DC">
                  <w:pPr>
                    <w:widowControl/>
                    <w:ind w:firstLine="420"/>
                    <w:jc w:val="center"/>
                    <w:rPr>
                      <w:lang w:bidi="ar"/>
                    </w:rPr>
                  </w:pPr>
                </w:p>
              </w:tc>
              <w:tc>
                <w:tcPr>
                  <w:tcW w:w="1623" w:type="dxa"/>
                  <w:shd w:val="clear" w:color="auto" w:fill="auto"/>
                  <w:vAlign w:val="center"/>
                </w:tcPr>
                <w:p w14:paraId="2E5AC6ED">
                  <w:pPr>
                    <w:widowControl/>
                    <w:jc w:val="center"/>
                    <w:rPr>
                      <w:lang w:bidi="ar"/>
                    </w:rPr>
                  </w:pPr>
                  <w:r>
                    <w:rPr>
                      <w:rFonts w:hint="eastAsia"/>
                      <w:lang w:bidi="ar"/>
                    </w:rPr>
                    <w:t>颗粒物</w:t>
                  </w:r>
                </w:p>
              </w:tc>
              <w:tc>
                <w:tcPr>
                  <w:tcW w:w="652" w:type="dxa"/>
                  <w:shd w:val="clear" w:color="auto" w:fill="auto"/>
                  <w:vAlign w:val="center"/>
                </w:tcPr>
                <w:p w14:paraId="6B8E463D">
                  <w:pPr>
                    <w:widowControl/>
                    <w:jc w:val="center"/>
                    <w:rPr>
                      <w:lang w:bidi="ar"/>
                    </w:rPr>
                  </w:pPr>
                  <w:r>
                    <w:rPr>
                      <w:rFonts w:hint="eastAsia"/>
                      <w:lang w:bidi="ar"/>
                    </w:rPr>
                    <w:t>1</w:t>
                  </w:r>
                </w:p>
              </w:tc>
              <w:tc>
                <w:tcPr>
                  <w:tcW w:w="951" w:type="dxa"/>
                  <w:shd w:val="clear" w:color="auto" w:fill="auto"/>
                  <w:vAlign w:val="center"/>
                </w:tcPr>
                <w:p w14:paraId="4C2991B0">
                  <w:pPr>
                    <w:widowControl/>
                    <w:jc w:val="center"/>
                    <w:rPr>
                      <w:lang w:bidi="ar"/>
                    </w:rPr>
                  </w:pPr>
                  <w:r>
                    <w:rPr>
                      <w:lang w:bidi="ar"/>
                    </w:rPr>
                    <w:t>DA00</w:t>
                  </w:r>
                  <w:r>
                    <w:rPr>
                      <w:rFonts w:hint="eastAsia"/>
                      <w:lang w:bidi="ar"/>
                    </w:rPr>
                    <w:t>2</w:t>
                  </w:r>
                </w:p>
              </w:tc>
              <w:tc>
                <w:tcPr>
                  <w:tcW w:w="1042" w:type="dxa"/>
                  <w:shd w:val="clear" w:color="auto" w:fill="auto"/>
                  <w:vAlign w:val="center"/>
                </w:tcPr>
                <w:p w14:paraId="71C6ECC5">
                  <w:pPr>
                    <w:widowControl/>
                    <w:jc w:val="center"/>
                    <w:rPr>
                      <w:lang w:bidi="ar"/>
                    </w:rPr>
                  </w:pPr>
                  <w:r>
                    <w:rPr>
                      <w:rFonts w:hint="eastAsia"/>
                      <w:lang w:bidi="ar"/>
                    </w:rPr>
                    <w:t>20m</w:t>
                  </w:r>
                </w:p>
              </w:tc>
              <w:tc>
                <w:tcPr>
                  <w:tcW w:w="2582" w:type="dxa"/>
                  <w:vMerge w:val="continue"/>
                  <w:shd w:val="clear" w:color="auto" w:fill="auto"/>
                  <w:vAlign w:val="center"/>
                </w:tcPr>
                <w:p w14:paraId="7776279E">
                  <w:pPr>
                    <w:widowControl/>
                    <w:ind w:firstLine="420"/>
                    <w:jc w:val="center"/>
                    <w:rPr>
                      <w:lang w:bidi="ar"/>
                    </w:rPr>
                  </w:pPr>
                </w:p>
              </w:tc>
            </w:tr>
            <w:tr w14:paraId="5DC3C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97" w:type="dxa"/>
                  <w:gridSpan w:val="6"/>
                  <w:shd w:val="clear" w:color="auto" w:fill="auto"/>
                  <w:vAlign w:val="center"/>
                </w:tcPr>
                <w:p w14:paraId="053F0587">
                  <w:pPr>
                    <w:widowControl/>
                    <w:ind w:firstLine="420"/>
                    <w:jc w:val="center"/>
                    <w:rPr>
                      <w:lang w:bidi="ar"/>
                    </w:rPr>
                  </w:pPr>
                  <w:r>
                    <w:rPr>
                      <w:rFonts w:hint="eastAsia"/>
                      <w:lang w:bidi="ar"/>
                    </w:rPr>
                    <w:t>外形尺寸：4</w:t>
                  </w:r>
                  <w:r>
                    <w:rPr>
                      <w:lang w:bidi="ar"/>
                    </w:rPr>
                    <w:t>80</w:t>
                  </w:r>
                  <w:r>
                    <w:rPr>
                      <w:rFonts w:hint="eastAsia"/>
                      <w:lang w:bidi="ar"/>
                    </w:rPr>
                    <w:t>×3</w:t>
                  </w:r>
                  <w:r>
                    <w:rPr>
                      <w:lang w:bidi="ar"/>
                    </w:rPr>
                    <w:t>00</w:t>
                  </w:r>
                  <w:r>
                    <w:rPr>
                      <w:rFonts w:hint="eastAsia"/>
                      <w:lang w:bidi="ar"/>
                    </w:rPr>
                    <w:t>mm</w:t>
                  </w:r>
                </w:p>
              </w:tc>
            </w:tr>
          </w:tbl>
          <w:p w14:paraId="3B0FB20C">
            <w:pPr>
              <w:widowControl/>
              <w:spacing w:line="360" w:lineRule="auto"/>
              <w:ind w:firstLine="422" w:firstLineChars="200"/>
              <w:rPr>
                <w:b/>
                <w:bCs/>
                <w:lang w:bidi="ar"/>
              </w:rPr>
            </w:pPr>
            <w:r>
              <w:rPr>
                <w:rFonts w:hint="eastAsia"/>
                <w:b/>
                <w:bCs/>
                <w:lang w:bidi="ar"/>
              </w:rPr>
              <w:t>（</w:t>
            </w:r>
            <w:r>
              <w:rPr>
                <w:b/>
                <w:bCs/>
                <w:lang w:bidi="ar"/>
              </w:rPr>
              <w:t>3</w:t>
            </w:r>
            <w:r>
              <w:rPr>
                <w:rFonts w:hint="eastAsia"/>
                <w:b/>
                <w:bCs/>
                <w:lang w:bidi="ar"/>
              </w:rPr>
              <w:t>）噪声</w:t>
            </w:r>
          </w:p>
          <w:p w14:paraId="642E4CF9">
            <w:pPr>
              <w:widowControl/>
              <w:spacing w:line="360" w:lineRule="auto"/>
              <w:ind w:firstLine="420" w:firstLineChars="200"/>
              <w:rPr>
                <w:lang w:bidi="ar"/>
              </w:rPr>
            </w:pPr>
            <w:r>
              <w:rPr>
                <w:rFonts w:hint="eastAsia"/>
                <w:lang w:bidi="ar"/>
              </w:rPr>
              <w:t>按有关规定对固定噪声源进行治理，并在对外界影响最大处设置标志牌。</w:t>
            </w:r>
          </w:p>
          <w:p w14:paraId="5F4BEBC2">
            <w:pPr>
              <w:autoSpaceDE w:val="0"/>
              <w:autoSpaceDN w:val="0"/>
              <w:adjustRightInd w:val="0"/>
              <w:snapToGrid w:val="0"/>
              <w:jc w:val="center"/>
              <w:rPr>
                <w:b/>
              </w:rPr>
            </w:pPr>
            <w:r>
              <w:rPr>
                <w:b/>
              </w:rPr>
              <w:t>表5-</w:t>
            </w:r>
            <w:r>
              <w:rPr>
                <w:rFonts w:hint="eastAsia"/>
                <w:b/>
              </w:rPr>
              <w:t>3</w:t>
            </w:r>
            <w:r>
              <w:rPr>
                <w:b/>
              </w:rPr>
              <w:t xml:space="preserve"> </w:t>
            </w:r>
            <w:r>
              <w:rPr>
                <w:rFonts w:hint="eastAsia"/>
                <w:b/>
              </w:rPr>
              <w:t>噪声标识标牌设置情况</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4111"/>
              <w:gridCol w:w="1891"/>
            </w:tblGrid>
            <w:tr w14:paraId="6BA14B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52" w:type="pct"/>
                  <w:shd w:val="clear" w:color="auto" w:fill="auto"/>
                  <w:vAlign w:val="center"/>
                </w:tcPr>
                <w:p w14:paraId="7EA0629D">
                  <w:pPr>
                    <w:widowControl/>
                    <w:jc w:val="center"/>
                    <w:rPr>
                      <w:b/>
                      <w:bCs/>
                      <w:lang w:bidi="ar"/>
                    </w:rPr>
                  </w:pPr>
                  <w:r>
                    <w:rPr>
                      <w:rFonts w:hint="eastAsia"/>
                      <w:b/>
                      <w:bCs/>
                      <w:lang w:bidi="ar"/>
                    </w:rPr>
                    <w:t>类别</w:t>
                  </w:r>
                </w:p>
              </w:tc>
              <w:tc>
                <w:tcPr>
                  <w:tcW w:w="2704" w:type="pct"/>
                  <w:shd w:val="clear" w:color="auto" w:fill="auto"/>
                  <w:vAlign w:val="center"/>
                </w:tcPr>
                <w:p w14:paraId="69F42BE0">
                  <w:pPr>
                    <w:widowControl/>
                    <w:jc w:val="center"/>
                    <w:rPr>
                      <w:b/>
                      <w:bCs/>
                      <w:lang w:bidi="ar"/>
                    </w:rPr>
                  </w:pPr>
                  <w:r>
                    <w:rPr>
                      <w:rFonts w:hint="eastAsia"/>
                      <w:b/>
                      <w:bCs/>
                      <w:lang w:bidi="ar"/>
                    </w:rPr>
                    <w:t>标识标牌示意图</w:t>
                  </w:r>
                </w:p>
              </w:tc>
              <w:tc>
                <w:tcPr>
                  <w:tcW w:w="1244" w:type="pct"/>
                  <w:shd w:val="clear" w:color="auto" w:fill="auto"/>
                  <w:vAlign w:val="center"/>
                </w:tcPr>
                <w:p w14:paraId="5744208B">
                  <w:pPr>
                    <w:widowControl/>
                    <w:jc w:val="center"/>
                    <w:rPr>
                      <w:b/>
                      <w:bCs/>
                      <w:lang w:bidi="ar"/>
                    </w:rPr>
                  </w:pPr>
                  <w:r>
                    <w:rPr>
                      <w:rFonts w:hint="eastAsia"/>
                      <w:b/>
                      <w:bCs/>
                      <w:lang w:bidi="ar"/>
                    </w:rPr>
                    <w:t>备注</w:t>
                  </w:r>
                </w:p>
              </w:tc>
            </w:tr>
            <w:tr w14:paraId="65CBB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052" w:type="pct"/>
                  <w:shd w:val="clear" w:color="auto" w:fill="auto"/>
                  <w:vAlign w:val="center"/>
                </w:tcPr>
                <w:p w14:paraId="25CB707A">
                  <w:pPr>
                    <w:widowControl/>
                    <w:jc w:val="center"/>
                    <w:rPr>
                      <w:lang w:bidi="ar"/>
                    </w:rPr>
                  </w:pPr>
                  <w:r>
                    <w:rPr>
                      <w:rFonts w:hint="eastAsia"/>
                      <w:lang w:bidi="ar"/>
                    </w:rPr>
                    <w:t>噪声</w:t>
                  </w:r>
                </w:p>
              </w:tc>
              <w:tc>
                <w:tcPr>
                  <w:tcW w:w="2704" w:type="pct"/>
                  <w:shd w:val="clear" w:color="auto" w:fill="auto"/>
                  <w:vAlign w:val="center"/>
                </w:tcPr>
                <w:p w14:paraId="08A6C32D">
                  <w:pPr>
                    <w:widowControl/>
                    <w:ind w:firstLine="420"/>
                    <w:jc w:val="center"/>
                    <w:rPr>
                      <w:lang w:bidi="ar"/>
                    </w:rPr>
                  </w:pPr>
                  <w:r>
                    <w:rPr>
                      <w:lang w:bidi="ar"/>
                    </w:rPr>
                    <w:drawing>
                      <wp:inline distT="0" distB="0" distL="0" distR="0">
                        <wp:extent cx="1271905" cy="810895"/>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71905" cy="810895"/>
                                </a:xfrm>
                                <a:prstGeom prst="rect">
                                  <a:avLst/>
                                </a:prstGeom>
                                <a:noFill/>
                                <a:ln>
                                  <a:noFill/>
                                </a:ln>
                              </pic:spPr>
                            </pic:pic>
                          </a:graphicData>
                        </a:graphic>
                      </wp:inline>
                    </w:drawing>
                  </w:r>
                </w:p>
              </w:tc>
              <w:tc>
                <w:tcPr>
                  <w:tcW w:w="1244" w:type="pct"/>
                  <w:shd w:val="clear" w:color="auto" w:fill="auto"/>
                  <w:vAlign w:val="center"/>
                </w:tcPr>
                <w:p w14:paraId="009A5A70">
                  <w:pPr>
                    <w:widowControl/>
                    <w:jc w:val="center"/>
                    <w:rPr>
                      <w:lang w:bidi="ar"/>
                    </w:rPr>
                  </w:pPr>
                  <w:r>
                    <w:rPr>
                      <w:rFonts w:hint="eastAsia"/>
                      <w:lang w:bidi="ar"/>
                    </w:rPr>
                    <w:t>外形尺寸：</w:t>
                  </w:r>
                </w:p>
                <w:p w14:paraId="3C8C19EF">
                  <w:pPr>
                    <w:widowControl/>
                    <w:jc w:val="center"/>
                    <w:rPr>
                      <w:lang w:bidi="ar"/>
                    </w:rPr>
                  </w:pPr>
                  <w:r>
                    <w:rPr>
                      <w:rFonts w:hint="eastAsia"/>
                      <w:lang w:bidi="ar"/>
                    </w:rPr>
                    <w:t>4</w:t>
                  </w:r>
                  <w:r>
                    <w:rPr>
                      <w:lang w:bidi="ar"/>
                    </w:rPr>
                    <w:t>80</w:t>
                  </w:r>
                  <w:r>
                    <w:rPr>
                      <w:rFonts w:hint="eastAsia"/>
                      <w:lang w:bidi="ar"/>
                    </w:rPr>
                    <w:t>×3</w:t>
                  </w:r>
                  <w:r>
                    <w:rPr>
                      <w:lang w:bidi="ar"/>
                    </w:rPr>
                    <w:t>00</w:t>
                  </w:r>
                  <w:r>
                    <w:rPr>
                      <w:rFonts w:hint="eastAsia"/>
                      <w:lang w:bidi="ar"/>
                    </w:rPr>
                    <w:t>mm</w:t>
                  </w:r>
                </w:p>
              </w:tc>
            </w:tr>
          </w:tbl>
          <w:p w14:paraId="530C2AD6">
            <w:pPr>
              <w:widowControl/>
              <w:spacing w:line="360" w:lineRule="auto"/>
              <w:ind w:firstLine="422" w:firstLineChars="200"/>
              <w:rPr>
                <w:b/>
                <w:bCs/>
                <w:lang w:bidi="ar"/>
              </w:rPr>
            </w:pPr>
            <w:r>
              <w:rPr>
                <w:rFonts w:hint="eastAsia"/>
                <w:b/>
                <w:bCs/>
                <w:lang w:bidi="ar"/>
              </w:rPr>
              <w:t>（</w:t>
            </w:r>
            <w:r>
              <w:rPr>
                <w:b/>
                <w:bCs/>
                <w:lang w:bidi="ar"/>
              </w:rPr>
              <w:t>4</w:t>
            </w:r>
            <w:r>
              <w:rPr>
                <w:rFonts w:hint="eastAsia"/>
                <w:b/>
                <w:bCs/>
                <w:lang w:bidi="ar"/>
              </w:rPr>
              <w:t>）固体废弃物</w:t>
            </w:r>
          </w:p>
          <w:p w14:paraId="14D427E4">
            <w:pPr>
              <w:widowControl/>
              <w:spacing w:line="360" w:lineRule="auto"/>
              <w:ind w:firstLine="420" w:firstLineChars="200"/>
              <w:rPr>
                <w:lang w:bidi="ar"/>
              </w:rPr>
            </w:pPr>
            <w:r>
              <w:rPr>
                <w:rFonts w:hint="eastAsia"/>
                <w:lang w:bidi="ar"/>
              </w:rPr>
              <w:t>各种固体废物处置设施和堆放场所必须有防火、防扬散、防流失、防渗漏或者其他防止污染环境的措施，贮存（堆放）处进出路口应设置标示牌。危险废物经厂内暂存后，定期交由具有相应资质类别的危险废物单位处置。</w:t>
            </w:r>
          </w:p>
          <w:p w14:paraId="2A0B08A2">
            <w:pPr>
              <w:widowControl/>
              <w:spacing w:line="360" w:lineRule="auto"/>
              <w:ind w:firstLine="420" w:firstLineChars="200"/>
              <w:rPr>
                <w:lang w:bidi="ar"/>
              </w:rPr>
            </w:pPr>
            <w:r>
              <w:rPr>
                <w:rFonts w:hint="eastAsia"/>
                <w:lang w:bidi="ar"/>
              </w:rPr>
              <w:t>本项目固体废物贮存（处置）场所规范化设置情况见下表：</w:t>
            </w:r>
          </w:p>
          <w:p w14:paraId="0456E82D">
            <w:pPr>
              <w:autoSpaceDE w:val="0"/>
              <w:autoSpaceDN w:val="0"/>
              <w:adjustRightInd w:val="0"/>
              <w:snapToGrid w:val="0"/>
              <w:jc w:val="center"/>
              <w:rPr>
                <w:b/>
              </w:rPr>
            </w:pPr>
            <w:r>
              <w:rPr>
                <w:b/>
              </w:rPr>
              <w:t>表5-</w:t>
            </w:r>
            <w:r>
              <w:rPr>
                <w:rFonts w:hint="eastAsia"/>
                <w:b/>
              </w:rPr>
              <w:t xml:space="preserve">4 </w:t>
            </w:r>
            <w:r>
              <w:rPr>
                <w:b/>
              </w:rPr>
              <w:t xml:space="preserve"> </w:t>
            </w:r>
            <w:r>
              <w:rPr>
                <w:rFonts w:hint="eastAsia"/>
                <w:b/>
              </w:rPr>
              <w:t>项目固体废物贮存（处置）场所规范化设置情况</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960"/>
              <w:gridCol w:w="960"/>
              <w:gridCol w:w="1641"/>
              <w:gridCol w:w="3112"/>
            </w:tblGrid>
            <w:tr w14:paraId="12B6C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24" w:type="dxa"/>
                  <w:shd w:val="clear" w:color="auto" w:fill="auto"/>
                  <w:vAlign w:val="center"/>
                </w:tcPr>
                <w:p w14:paraId="1515B81A">
                  <w:pPr>
                    <w:widowControl/>
                    <w:jc w:val="center"/>
                    <w:rPr>
                      <w:b/>
                      <w:bCs/>
                      <w:lang w:bidi="ar"/>
                    </w:rPr>
                  </w:pPr>
                  <w:r>
                    <w:rPr>
                      <w:rFonts w:hint="eastAsia"/>
                      <w:b/>
                      <w:bCs/>
                      <w:lang w:bidi="ar"/>
                    </w:rPr>
                    <w:t>类别</w:t>
                  </w:r>
                </w:p>
              </w:tc>
              <w:tc>
                <w:tcPr>
                  <w:tcW w:w="960" w:type="dxa"/>
                  <w:shd w:val="clear" w:color="auto" w:fill="auto"/>
                  <w:vAlign w:val="center"/>
                </w:tcPr>
                <w:p w14:paraId="7D44884C">
                  <w:pPr>
                    <w:widowControl/>
                    <w:jc w:val="center"/>
                    <w:rPr>
                      <w:b/>
                      <w:bCs/>
                      <w:lang w:bidi="ar"/>
                    </w:rPr>
                  </w:pPr>
                  <w:r>
                    <w:rPr>
                      <w:rFonts w:hint="eastAsia"/>
                      <w:b/>
                      <w:bCs/>
                      <w:lang w:bidi="ar"/>
                    </w:rPr>
                    <w:t>污染物种类</w:t>
                  </w:r>
                </w:p>
              </w:tc>
              <w:tc>
                <w:tcPr>
                  <w:tcW w:w="960" w:type="dxa"/>
                  <w:shd w:val="clear" w:color="auto" w:fill="auto"/>
                  <w:vAlign w:val="center"/>
                </w:tcPr>
                <w:p w14:paraId="492DB70E">
                  <w:pPr>
                    <w:widowControl/>
                    <w:jc w:val="center"/>
                    <w:rPr>
                      <w:b/>
                      <w:bCs/>
                      <w:lang w:bidi="ar"/>
                    </w:rPr>
                  </w:pPr>
                  <w:r>
                    <w:rPr>
                      <w:rFonts w:hint="eastAsia"/>
                      <w:b/>
                      <w:bCs/>
                      <w:lang w:bidi="ar"/>
                    </w:rPr>
                    <w:t>数量</w:t>
                  </w:r>
                </w:p>
              </w:tc>
              <w:tc>
                <w:tcPr>
                  <w:tcW w:w="1641" w:type="dxa"/>
                  <w:shd w:val="clear" w:color="auto" w:fill="auto"/>
                  <w:vAlign w:val="center"/>
                </w:tcPr>
                <w:p w14:paraId="79D48034">
                  <w:pPr>
                    <w:widowControl/>
                    <w:jc w:val="center"/>
                    <w:rPr>
                      <w:b/>
                      <w:bCs/>
                      <w:lang w:bidi="ar"/>
                    </w:rPr>
                  </w:pPr>
                  <w:r>
                    <w:rPr>
                      <w:rFonts w:hint="eastAsia"/>
                      <w:b/>
                      <w:bCs/>
                      <w:lang w:bidi="ar"/>
                    </w:rPr>
                    <w:t>编号</w:t>
                  </w:r>
                </w:p>
              </w:tc>
              <w:tc>
                <w:tcPr>
                  <w:tcW w:w="3112" w:type="dxa"/>
                  <w:shd w:val="clear" w:color="auto" w:fill="auto"/>
                  <w:vAlign w:val="center"/>
                </w:tcPr>
                <w:p w14:paraId="68474F36">
                  <w:pPr>
                    <w:widowControl/>
                    <w:jc w:val="center"/>
                    <w:rPr>
                      <w:b/>
                      <w:bCs/>
                      <w:lang w:bidi="ar"/>
                    </w:rPr>
                  </w:pPr>
                  <w:r>
                    <w:rPr>
                      <w:rFonts w:hint="eastAsia"/>
                      <w:b/>
                      <w:bCs/>
                      <w:lang w:bidi="ar"/>
                    </w:rPr>
                    <w:t>标识标牌示意图</w:t>
                  </w:r>
                </w:p>
              </w:tc>
            </w:tr>
            <w:tr w14:paraId="627D65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24" w:type="dxa"/>
                  <w:shd w:val="clear" w:color="auto" w:fill="auto"/>
                  <w:vAlign w:val="center"/>
                </w:tcPr>
                <w:p w14:paraId="084DBA73">
                  <w:pPr>
                    <w:widowControl/>
                    <w:jc w:val="center"/>
                    <w:rPr>
                      <w:lang w:bidi="ar"/>
                    </w:rPr>
                  </w:pPr>
                  <w:r>
                    <w:rPr>
                      <w:rFonts w:hint="eastAsia"/>
                      <w:lang w:bidi="ar"/>
                    </w:rPr>
                    <w:t>固废暂存场所</w:t>
                  </w:r>
                </w:p>
              </w:tc>
              <w:tc>
                <w:tcPr>
                  <w:tcW w:w="960" w:type="dxa"/>
                  <w:shd w:val="clear" w:color="auto" w:fill="auto"/>
                  <w:vAlign w:val="center"/>
                </w:tcPr>
                <w:p w14:paraId="28F68201">
                  <w:pPr>
                    <w:widowControl/>
                    <w:jc w:val="center"/>
                    <w:rPr>
                      <w:lang w:bidi="ar"/>
                    </w:rPr>
                  </w:pPr>
                  <w:r>
                    <w:rPr>
                      <w:rFonts w:hint="eastAsia"/>
                      <w:lang w:bidi="ar"/>
                    </w:rPr>
                    <w:t>一般工业固废</w:t>
                  </w:r>
                </w:p>
              </w:tc>
              <w:tc>
                <w:tcPr>
                  <w:tcW w:w="960" w:type="dxa"/>
                  <w:shd w:val="clear" w:color="auto" w:fill="auto"/>
                  <w:vAlign w:val="center"/>
                </w:tcPr>
                <w:p w14:paraId="13E62AFF">
                  <w:pPr>
                    <w:widowControl/>
                    <w:jc w:val="center"/>
                    <w:rPr>
                      <w:lang w:bidi="ar"/>
                    </w:rPr>
                  </w:pPr>
                  <w:r>
                    <w:rPr>
                      <w:rFonts w:hint="eastAsia"/>
                      <w:lang w:bidi="ar"/>
                    </w:rPr>
                    <w:t>1</w:t>
                  </w:r>
                </w:p>
              </w:tc>
              <w:tc>
                <w:tcPr>
                  <w:tcW w:w="1641" w:type="dxa"/>
                  <w:shd w:val="clear" w:color="auto" w:fill="auto"/>
                  <w:vAlign w:val="center"/>
                </w:tcPr>
                <w:p w14:paraId="000C28D2">
                  <w:pPr>
                    <w:widowControl/>
                    <w:jc w:val="center"/>
                    <w:rPr>
                      <w:lang w:bidi="ar"/>
                    </w:rPr>
                  </w:pPr>
                  <w:r>
                    <w:rPr>
                      <w:lang w:bidi="ar"/>
                    </w:rPr>
                    <w:t>GF-*</w:t>
                  </w:r>
                  <w:r>
                    <w:rPr>
                      <w:rFonts w:hint="eastAsia"/>
                      <w:lang w:bidi="ar"/>
                    </w:rPr>
                    <w:t>（*为一般工业固废名称）</w:t>
                  </w:r>
                </w:p>
              </w:tc>
              <w:tc>
                <w:tcPr>
                  <w:tcW w:w="3112" w:type="dxa"/>
                  <w:shd w:val="clear" w:color="auto" w:fill="auto"/>
                  <w:vAlign w:val="center"/>
                </w:tcPr>
                <w:p w14:paraId="6D86ABE5">
                  <w:pPr>
                    <w:widowControl/>
                    <w:jc w:val="center"/>
                    <w:rPr>
                      <w:lang w:bidi="ar"/>
                    </w:rPr>
                  </w:pPr>
                  <w:r>
                    <w:rPr>
                      <w:lang w:bidi="ar"/>
                    </w:rPr>
                    <w:drawing>
                      <wp:inline distT="0" distB="0" distL="0" distR="0">
                        <wp:extent cx="1466215" cy="906780"/>
                        <wp:effectExtent l="0" t="0" r="635" b="7620"/>
                        <wp:docPr id="9978807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8070" name="图片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492634" cy="923499"/>
                                </a:xfrm>
                                <a:prstGeom prst="rect">
                                  <a:avLst/>
                                </a:prstGeom>
                                <a:noFill/>
                              </pic:spPr>
                            </pic:pic>
                          </a:graphicData>
                        </a:graphic>
                      </wp:inline>
                    </w:drawing>
                  </w:r>
                </w:p>
              </w:tc>
            </w:tr>
            <w:tr w14:paraId="57E6D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97" w:type="dxa"/>
                  <w:gridSpan w:val="5"/>
                  <w:shd w:val="clear" w:color="auto" w:fill="auto"/>
                  <w:vAlign w:val="center"/>
                </w:tcPr>
                <w:p w14:paraId="3D8FFCED">
                  <w:pPr>
                    <w:widowControl/>
                    <w:jc w:val="center"/>
                    <w:rPr>
                      <w:lang w:bidi="ar"/>
                    </w:rPr>
                  </w:pPr>
                  <w:r>
                    <w:rPr>
                      <w:rFonts w:hint="eastAsia"/>
                      <w:lang w:bidi="ar"/>
                    </w:rPr>
                    <w:t>外形尺寸：4</w:t>
                  </w:r>
                  <w:r>
                    <w:rPr>
                      <w:lang w:bidi="ar"/>
                    </w:rPr>
                    <w:t>80</w:t>
                  </w:r>
                  <w:r>
                    <w:rPr>
                      <w:rFonts w:hint="eastAsia"/>
                      <w:lang w:bidi="ar"/>
                    </w:rPr>
                    <w:t>×3</w:t>
                  </w:r>
                  <w:r>
                    <w:rPr>
                      <w:lang w:bidi="ar"/>
                    </w:rPr>
                    <w:t>00</w:t>
                  </w:r>
                  <w:r>
                    <w:rPr>
                      <w:rFonts w:hint="eastAsia"/>
                      <w:lang w:bidi="ar"/>
                    </w:rPr>
                    <w:t>mm</w:t>
                  </w:r>
                </w:p>
              </w:tc>
            </w:tr>
          </w:tbl>
          <w:p w14:paraId="4DDACE31">
            <w:pPr>
              <w:widowControl/>
              <w:spacing w:line="360" w:lineRule="auto"/>
              <w:ind w:firstLine="422" w:firstLineChars="200"/>
              <w:rPr>
                <w:b/>
                <w:bCs/>
                <w:lang w:bidi="ar"/>
              </w:rPr>
            </w:pPr>
            <w:r>
              <w:rPr>
                <w:rFonts w:hint="eastAsia"/>
                <w:b/>
                <w:bCs/>
                <w:lang w:bidi="ar"/>
              </w:rPr>
              <w:t>（</w:t>
            </w:r>
            <w:r>
              <w:rPr>
                <w:b/>
                <w:bCs/>
                <w:lang w:bidi="ar"/>
              </w:rPr>
              <w:t>5</w:t>
            </w:r>
            <w:r>
              <w:rPr>
                <w:rFonts w:hint="eastAsia"/>
                <w:b/>
                <w:bCs/>
                <w:lang w:bidi="ar"/>
              </w:rPr>
              <w:t>）排放口标志</w:t>
            </w:r>
          </w:p>
          <w:p w14:paraId="5E2501A5">
            <w:pPr>
              <w:widowControl/>
              <w:spacing w:line="360" w:lineRule="auto"/>
              <w:ind w:firstLine="420" w:firstLineChars="200"/>
              <w:rPr>
                <w:lang w:bidi="ar"/>
              </w:rPr>
            </w:pPr>
            <w:r>
              <w:rPr>
                <w:rFonts w:hint="eastAsia"/>
                <w:lang w:bidi="ar"/>
              </w:rPr>
              <w:t>环境保护图形标志牌按国家生态环境部统一规范要求定点制作，各建设单位排污口分布图由环境监理部门统一绘制。排放口应设置明显标志，标志清晰完整。一般性污染物设置提示性标志牌，排放剧毒、致癌物及对人体有严重危害物质设置警告性标志牌。图形符号类型、形状颜色应满足标准要求。</w:t>
            </w:r>
          </w:p>
          <w:p w14:paraId="4CBCFA98">
            <w:pPr>
              <w:widowControl/>
              <w:spacing w:line="360" w:lineRule="auto"/>
              <w:ind w:firstLine="420" w:firstLineChars="200"/>
              <w:rPr>
                <w:lang w:bidi="ar"/>
              </w:rPr>
            </w:pPr>
            <w:r>
              <w:rPr>
                <w:rFonts w:hint="eastAsia"/>
                <w:lang w:bidi="ar"/>
              </w:rPr>
              <w:t>标识牌应包括排放单位名称、地理位置信息、主要排放污染物、排放去向、执行排放标准等信息。</w:t>
            </w:r>
          </w:p>
          <w:p w14:paraId="08E68964">
            <w:pPr>
              <w:widowControl/>
              <w:spacing w:line="360" w:lineRule="auto"/>
              <w:ind w:firstLine="420" w:firstLineChars="200"/>
              <w:rPr>
                <w:lang w:bidi="ar"/>
              </w:rPr>
            </w:pPr>
            <w:r>
              <w:rPr>
                <w:rFonts w:hint="eastAsia"/>
                <w:lang w:bidi="ar"/>
              </w:rPr>
              <w:t>①污染物排放口的环保图形标志牌应设置在排污口（采样点）附近且醒目处，高度为标志牌上缘离地面约2m。</w:t>
            </w:r>
          </w:p>
          <w:p w14:paraId="0F317196">
            <w:pPr>
              <w:widowControl/>
              <w:spacing w:line="360" w:lineRule="auto"/>
              <w:ind w:firstLine="420" w:firstLineChars="200"/>
              <w:rPr>
                <w:lang w:bidi="ar"/>
              </w:rPr>
            </w:pPr>
            <w:r>
              <w:rPr>
                <w:rFonts w:hint="eastAsia"/>
                <w:lang w:bidi="ar"/>
              </w:rPr>
              <w:t>②排污口附近1m范围内有建筑物的，设平面式标志牌，无建筑物的设立式标志牌。一般排污单位的污染物排放口，可根据情况设置立式或平面固定式标志牌。</w:t>
            </w:r>
          </w:p>
          <w:p w14:paraId="76DF3A11">
            <w:pPr>
              <w:widowControl/>
              <w:spacing w:line="360" w:lineRule="auto"/>
              <w:ind w:firstLine="420" w:firstLineChars="200"/>
              <w:rPr>
                <w:lang w:bidi="ar"/>
              </w:rPr>
            </w:pPr>
            <w:r>
              <w:rPr>
                <w:rFonts w:hint="eastAsia"/>
                <w:lang w:bidi="ar"/>
              </w:rPr>
              <w:t>③规范化排污口的有关设置（如图形标志牌、计量装置、监控装置等）属于环保设施，排污单位必须负责日常的维护保养，任何单位和个人不得擅自拆除，如需要变更的需报环境监管部门同意并办理相关变更手续。</w:t>
            </w:r>
          </w:p>
          <w:p w14:paraId="6CC38F51">
            <w:pPr>
              <w:widowControl/>
              <w:spacing w:line="360" w:lineRule="auto"/>
              <w:ind w:firstLine="420" w:firstLineChars="200"/>
            </w:pPr>
          </w:p>
        </w:tc>
      </w:tr>
    </w:tbl>
    <w:p w14:paraId="21751FD4">
      <w:pPr>
        <w:pStyle w:val="15"/>
        <w:adjustRightInd/>
        <w:snapToGrid/>
        <w:spacing w:before="100" w:beforeAutospacing="1" w:after="100" w:afterAutospacing="1"/>
        <w:ind w:firstLine="480"/>
        <w:outlineLvl w:val="0"/>
        <w:rPr>
          <w:rFonts w:hint="eastAsia"/>
          <w:snapToGrid w:val="0"/>
        </w:rPr>
      </w:pPr>
      <w:r>
        <w:rPr>
          <w:snapToGrid w:val="0"/>
        </w:rPr>
        <w:br w:type="page"/>
      </w:r>
      <w:bookmarkStart w:id="16" w:name="_Toc77234838"/>
      <w:r>
        <w:rPr>
          <w:rFonts w:hint="eastAsia" w:ascii="黑体" w:hAnsi="黑体" w:eastAsia="黑体"/>
          <w:snapToGrid w:val="0"/>
          <w:sz w:val="30"/>
          <w:szCs w:val="30"/>
        </w:rPr>
        <w:t>六、结论</w:t>
      </w:r>
      <w:bookmarkEnd w:id="16"/>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75F79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14:paraId="2552D664">
            <w:pPr>
              <w:widowControl/>
              <w:spacing w:line="360" w:lineRule="auto"/>
              <w:ind w:firstLine="420" w:firstLineChars="200"/>
              <w:rPr>
                <w:rFonts w:ascii="宋体"/>
                <w:sz w:val="24"/>
              </w:rPr>
            </w:pPr>
            <w:r>
              <w:rPr>
                <w:rFonts w:hint="eastAsia"/>
                <w:lang w:bidi="ar"/>
              </w:rPr>
              <w:t>综上所述，本项目符合国家产业政策，选址符合当地规划，外环境对本项目无明显制约因素，本评价对项目建设和生产工程中产生的环境问题提出了有针对性</w:t>
            </w:r>
            <w:r>
              <w:rPr>
                <w:rFonts w:hint="eastAsia"/>
                <w:lang w:val="en-US" w:eastAsia="zh-CN" w:bidi="ar"/>
              </w:rPr>
              <w:t>地</w:t>
            </w:r>
            <w:r>
              <w:rPr>
                <w:rFonts w:hint="eastAsia"/>
                <w:lang w:bidi="ar"/>
              </w:rPr>
              <w:t>污染防治措施，项目在按照本报告所提出的各项环保对策、措施实施后，能实现达标排放，可使项目对环境的影响降到最低程度，因此，从环境角</w:t>
            </w:r>
            <w:bookmarkStart w:id="18" w:name="_GoBack"/>
            <w:bookmarkEnd w:id="18"/>
            <w:r>
              <w:rPr>
                <w:rFonts w:hint="eastAsia"/>
                <w:lang w:bidi="ar"/>
              </w:rPr>
              <w:t>度来说，本项目在四川省达州市通川经开区医药产业园11 栋3 层建设是可行的。</w:t>
            </w:r>
          </w:p>
        </w:tc>
      </w:tr>
    </w:tbl>
    <w:p w14:paraId="2C85A492">
      <w:pPr>
        <w:ind w:firstLine="420"/>
        <w:rPr>
          <w:rFonts w:ascii="宋体"/>
        </w:rPr>
        <w:sectPr>
          <w:pgSz w:w="11906" w:h="16838"/>
          <w:pgMar w:top="1701" w:right="1531" w:bottom="1701" w:left="1531" w:header="851" w:footer="851" w:gutter="0"/>
          <w:cols w:space="720" w:num="1"/>
          <w:docGrid w:linePitch="312" w:charSpace="0"/>
        </w:sectPr>
      </w:pPr>
    </w:p>
    <w:p w14:paraId="4423CDDB">
      <w:pPr>
        <w:pStyle w:val="15"/>
        <w:ind w:firstLine="760"/>
        <w:outlineLvl w:val="0"/>
        <w:rPr>
          <w:rFonts w:hint="eastAsia"/>
        </w:rPr>
      </w:pPr>
      <w:bookmarkStart w:id="17" w:name="_Toc77234839"/>
      <w:r>
        <w:rPr>
          <w:rFonts w:hint="eastAsia" w:ascii="方正小标宋_GBK" w:hAnsi="黑体"/>
          <w:sz w:val="38"/>
        </w:rPr>
        <w:t>建设项目污染物排放量汇总表</w:t>
      </w:r>
      <w:bookmarkEnd w:id="17"/>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701"/>
        <w:gridCol w:w="1701"/>
        <w:gridCol w:w="1275"/>
        <w:gridCol w:w="1701"/>
        <w:gridCol w:w="1701"/>
        <w:gridCol w:w="1416"/>
        <w:gridCol w:w="1702"/>
        <w:gridCol w:w="1473"/>
      </w:tblGrid>
      <w:tr w14:paraId="2CCB4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20" w:type="pct"/>
            <w:tcBorders>
              <w:tl2br w:val="single" w:color="auto" w:sz="4" w:space="0"/>
            </w:tcBorders>
            <w:tcMar>
              <w:left w:w="28" w:type="dxa"/>
              <w:right w:w="28" w:type="dxa"/>
            </w:tcMar>
            <w:vAlign w:val="center"/>
          </w:tcPr>
          <w:p w14:paraId="2C9D1809">
            <w:pPr>
              <w:pStyle w:val="50"/>
              <w:spacing w:beforeLines="0" w:afterLines="0" w:line="240" w:lineRule="auto"/>
              <w:rPr>
                <w:rFonts w:ascii="Times New Roman"/>
                <w:snapToGrid w:val="0"/>
                <w:spacing w:val="-6"/>
                <w:kern w:val="21"/>
                <w:szCs w:val="21"/>
                <w:lang w:val="en-US"/>
              </w:rPr>
            </w:pPr>
            <w:r>
              <w:rPr>
                <w:rFonts w:hint="eastAsia" w:ascii="Times New Roman"/>
                <w:snapToGrid w:val="0"/>
                <w:spacing w:val="-6"/>
                <w:kern w:val="21"/>
                <w:szCs w:val="21"/>
                <w:lang w:val="en-US"/>
              </w:rPr>
              <w:t xml:space="preserve">            </w:t>
            </w:r>
            <w:r>
              <w:rPr>
                <w:rFonts w:ascii="Times New Roman"/>
                <w:snapToGrid w:val="0"/>
                <w:spacing w:val="-6"/>
                <w:kern w:val="21"/>
                <w:szCs w:val="21"/>
                <w:lang w:val="en-US"/>
              </w:rPr>
              <w:t>项目</w:t>
            </w:r>
          </w:p>
          <w:p w14:paraId="21AFE411">
            <w:pPr>
              <w:pStyle w:val="50"/>
              <w:spacing w:beforeLines="0" w:afterLines="0" w:line="240" w:lineRule="auto"/>
              <w:jc w:val="both"/>
              <w:rPr>
                <w:rFonts w:ascii="Times New Roman"/>
                <w:snapToGrid w:val="0"/>
                <w:spacing w:val="-6"/>
                <w:kern w:val="21"/>
                <w:szCs w:val="21"/>
                <w:lang w:val="en-US"/>
              </w:rPr>
            </w:pPr>
            <w:r>
              <w:rPr>
                <w:rFonts w:ascii="Times New Roman"/>
                <w:snapToGrid w:val="0"/>
                <w:spacing w:val="-6"/>
                <w:kern w:val="21"/>
                <w:szCs w:val="21"/>
                <w:lang w:val="en-US"/>
              </w:rPr>
              <w:t>分类</w:t>
            </w:r>
          </w:p>
        </w:tc>
        <w:tc>
          <w:tcPr>
            <w:tcW w:w="615" w:type="pct"/>
            <w:tcMar>
              <w:left w:w="28" w:type="dxa"/>
              <w:right w:w="28" w:type="dxa"/>
            </w:tcMar>
            <w:vAlign w:val="center"/>
          </w:tcPr>
          <w:p w14:paraId="73CD2EFF">
            <w:pPr>
              <w:pStyle w:val="50"/>
              <w:spacing w:beforeLines="0" w:afterLines="0" w:line="240" w:lineRule="auto"/>
              <w:rPr>
                <w:rFonts w:ascii="Times New Roman"/>
                <w:snapToGrid w:val="0"/>
                <w:spacing w:val="-6"/>
                <w:kern w:val="21"/>
                <w:szCs w:val="21"/>
                <w:lang w:val="en-US"/>
              </w:rPr>
            </w:pPr>
            <w:r>
              <w:rPr>
                <w:rFonts w:ascii="Times New Roman"/>
                <w:snapToGrid w:val="0"/>
                <w:spacing w:val="-6"/>
                <w:kern w:val="21"/>
                <w:szCs w:val="21"/>
                <w:lang w:val="en-US"/>
              </w:rPr>
              <w:t>污染物名称</w:t>
            </w:r>
          </w:p>
        </w:tc>
        <w:tc>
          <w:tcPr>
            <w:tcW w:w="615" w:type="pct"/>
            <w:tcMar>
              <w:left w:w="28" w:type="dxa"/>
              <w:right w:w="28" w:type="dxa"/>
            </w:tcMar>
            <w:vAlign w:val="center"/>
          </w:tcPr>
          <w:p w14:paraId="2190F023">
            <w:pPr>
              <w:pStyle w:val="50"/>
              <w:spacing w:beforeLines="0" w:afterLines="0" w:line="240" w:lineRule="auto"/>
              <w:rPr>
                <w:rFonts w:ascii="Times New Roman"/>
                <w:snapToGrid w:val="0"/>
                <w:spacing w:val="-6"/>
                <w:kern w:val="21"/>
                <w:szCs w:val="21"/>
                <w:lang w:val="en-US"/>
              </w:rPr>
            </w:pPr>
            <w:r>
              <w:rPr>
                <w:rFonts w:ascii="Times New Roman"/>
                <w:snapToGrid w:val="0"/>
                <w:spacing w:val="-6"/>
                <w:kern w:val="21"/>
                <w:szCs w:val="21"/>
                <w:lang w:val="en-US"/>
              </w:rPr>
              <w:t>现有工程排放量（固体废物产生量）</w:t>
            </w:r>
            <w:r>
              <w:rPr>
                <w:rFonts w:ascii="Times New Roman"/>
                <w:snapToGrid w:val="0"/>
                <w:spacing w:val="-6"/>
                <w:kern w:val="21"/>
                <w:szCs w:val="21"/>
                <w:lang w:val="en-US"/>
              </w:rPr>
              <w:fldChar w:fldCharType="begin"/>
            </w:r>
            <w:r>
              <w:rPr>
                <w:rFonts w:ascii="Times New Roman"/>
                <w:snapToGrid w:val="0"/>
                <w:spacing w:val="-6"/>
                <w:kern w:val="21"/>
                <w:szCs w:val="21"/>
                <w:lang w:val="en-US"/>
              </w:rPr>
              <w:instrText xml:space="preserve"> = 1 \* GB3 \* MERGEFORMAT </w:instrText>
            </w:r>
            <w:r>
              <w:rPr>
                <w:rFonts w:ascii="Times New Roman"/>
                <w:snapToGrid w:val="0"/>
                <w:spacing w:val="-6"/>
                <w:kern w:val="21"/>
                <w:szCs w:val="21"/>
                <w:lang w:val="en-US"/>
              </w:rPr>
              <w:fldChar w:fldCharType="separate"/>
            </w:r>
            <w:r>
              <w:rPr>
                <w:rFonts w:hint="eastAsia" w:hAnsi="宋体"/>
                <w:kern w:val="2"/>
                <w:szCs w:val="21"/>
                <w:lang w:val="en-US"/>
              </w:rPr>
              <w:t>①</w:t>
            </w:r>
            <w:r>
              <w:rPr>
                <w:rFonts w:ascii="Times New Roman"/>
                <w:snapToGrid w:val="0"/>
                <w:spacing w:val="-6"/>
                <w:kern w:val="21"/>
                <w:szCs w:val="21"/>
                <w:lang w:val="en-US"/>
              </w:rPr>
              <w:fldChar w:fldCharType="end"/>
            </w:r>
          </w:p>
        </w:tc>
        <w:tc>
          <w:tcPr>
            <w:tcW w:w="461" w:type="pct"/>
            <w:tcMar>
              <w:left w:w="28" w:type="dxa"/>
              <w:right w:w="28" w:type="dxa"/>
            </w:tcMar>
            <w:vAlign w:val="center"/>
          </w:tcPr>
          <w:p w14:paraId="50594029">
            <w:pPr>
              <w:pStyle w:val="50"/>
              <w:spacing w:beforeLines="0" w:afterLines="0" w:line="240" w:lineRule="auto"/>
              <w:rPr>
                <w:rFonts w:ascii="Times New Roman"/>
                <w:snapToGrid w:val="0"/>
                <w:spacing w:val="-6"/>
                <w:kern w:val="21"/>
                <w:szCs w:val="21"/>
                <w:lang w:val="en-US"/>
              </w:rPr>
            </w:pPr>
            <w:r>
              <w:rPr>
                <w:rFonts w:ascii="Times New Roman"/>
                <w:snapToGrid w:val="0"/>
                <w:spacing w:val="-6"/>
                <w:kern w:val="21"/>
                <w:szCs w:val="21"/>
                <w:lang w:val="en-US"/>
              </w:rPr>
              <w:t>现有工程许可排放量</w:t>
            </w:r>
          </w:p>
          <w:p w14:paraId="0AFF4FBF">
            <w:pPr>
              <w:pStyle w:val="50"/>
              <w:spacing w:beforeLines="0" w:afterLines="0"/>
              <w:rPr>
                <w:rFonts w:ascii="Times New Roman"/>
                <w:snapToGrid w:val="0"/>
                <w:spacing w:val="-6"/>
                <w:kern w:val="21"/>
                <w:szCs w:val="21"/>
                <w:lang w:val="en-US"/>
              </w:rPr>
            </w:pPr>
            <w:r>
              <w:rPr>
                <w:rFonts w:ascii="Times New Roman"/>
                <w:snapToGrid w:val="0"/>
                <w:spacing w:val="-6"/>
                <w:kern w:val="21"/>
                <w:szCs w:val="21"/>
                <w:lang w:val="en-US"/>
              </w:rPr>
              <w:fldChar w:fldCharType="begin"/>
            </w:r>
            <w:r>
              <w:rPr>
                <w:rFonts w:ascii="Times New Roman"/>
                <w:snapToGrid w:val="0"/>
                <w:spacing w:val="-6"/>
                <w:kern w:val="21"/>
                <w:szCs w:val="21"/>
                <w:lang w:val="en-US"/>
              </w:rPr>
              <w:instrText xml:space="preserve"> = 2 \* GB3 \* MERGEFORMAT </w:instrText>
            </w:r>
            <w:r>
              <w:rPr>
                <w:rFonts w:ascii="Times New Roman"/>
                <w:snapToGrid w:val="0"/>
                <w:spacing w:val="-6"/>
                <w:kern w:val="21"/>
                <w:szCs w:val="21"/>
                <w:lang w:val="en-US"/>
              </w:rPr>
              <w:fldChar w:fldCharType="separate"/>
            </w:r>
            <w:r>
              <w:rPr>
                <w:rFonts w:hint="eastAsia" w:hAnsi="宋体"/>
                <w:snapToGrid w:val="0"/>
                <w:spacing w:val="-6"/>
                <w:kern w:val="21"/>
                <w:szCs w:val="21"/>
                <w:lang w:val="en-US"/>
              </w:rPr>
              <w:t>②</w:t>
            </w:r>
            <w:r>
              <w:rPr>
                <w:rFonts w:ascii="Times New Roman"/>
                <w:snapToGrid w:val="0"/>
                <w:spacing w:val="-6"/>
                <w:kern w:val="21"/>
                <w:szCs w:val="21"/>
                <w:lang w:val="en-US"/>
              </w:rPr>
              <w:fldChar w:fldCharType="end"/>
            </w:r>
          </w:p>
        </w:tc>
        <w:tc>
          <w:tcPr>
            <w:tcW w:w="615" w:type="pct"/>
            <w:tcMar>
              <w:left w:w="28" w:type="dxa"/>
              <w:right w:w="28" w:type="dxa"/>
            </w:tcMar>
            <w:vAlign w:val="center"/>
          </w:tcPr>
          <w:p w14:paraId="7FA3069C">
            <w:pPr>
              <w:pStyle w:val="50"/>
              <w:spacing w:beforeLines="0" w:afterLines="0" w:line="240" w:lineRule="auto"/>
              <w:rPr>
                <w:rFonts w:ascii="Times New Roman"/>
                <w:snapToGrid w:val="0"/>
                <w:spacing w:val="-6"/>
                <w:kern w:val="21"/>
                <w:szCs w:val="21"/>
                <w:lang w:val="en-US"/>
              </w:rPr>
            </w:pPr>
            <w:r>
              <w:rPr>
                <w:rFonts w:ascii="Times New Roman"/>
                <w:snapToGrid w:val="0"/>
                <w:spacing w:val="-6"/>
                <w:kern w:val="21"/>
                <w:szCs w:val="21"/>
                <w:lang w:val="en-US"/>
              </w:rPr>
              <w:t>在建工程排放量（固体废物产生量）</w:t>
            </w:r>
            <w:r>
              <w:rPr>
                <w:rFonts w:ascii="Times New Roman"/>
                <w:snapToGrid w:val="0"/>
                <w:spacing w:val="-6"/>
                <w:kern w:val="21"/>
                <w:szCs w:val="21"/>
                <w:lang w:val="en-US"/>
              </w:rPr>
              <w:fldChar w:fldCharType="begin"/>
            </w:r>
            <w:r>
              <w:rPr>
                <w:rFonts w:ascii="Times New Roman"/>
                <w:snapToGrid w:val="0"/>
                <w:spacing w:val="-6"/>
                <w:kern w:val="21"/>
                <w:szCs w:val="21"/>
                <w:lang w:val="en-US"/>
              </w:rPr>
              <w:instrText xml:space="preserve"> = 3 \* GB3 \* MERGEFORMAT </w:instrText>
            </w:r>
            <w:r>
              <w:rPr>
                <w:rFonts w:ascii="Times New Roman"/>
                <w:snapToGrid w:val="0"/>
                <w:spacing w:val="-6"/>
                <w:kern w:val="21"/>
                <w:szCs w:val="21"/>
                <w:lang w:val="en-US"/>
              </w:rPr>
              <w:fldChar w:fldCharType="separate"/>
            </w:r>
            <w:r>
              <w:rPr>
                <w:rFonts w:hint="eastAsia" w:hAnsi="宋体"/>
                <w:kern w:val="2"/>
                <w:szCs w:val="21"/>
                <w:lang w:val="en-US"/>
              </w:rPr>
              <w:t>③</w:t>
            </w:r>
            <w:r>
              <w:rPr>
                <w:rFonts w:ascii="Times New Roman"/>
                <w:snapToGrid w:val="0"/>
                <w:spacing w:val="-6"/>
                <w:kern w:val="21"/>
                <w:szCs w:val="21"/>
                <w:lang w:val="en-US"/>
              </w:rPr>
              <w:fldChar w:fldCharType="end"/>
            </w:r>
          </w:p>
        </w:tc>
        <w:tc>
          <w:tcPr>
            <w:tcW w:w="615" w:type="pct"/>
            <w:tcMar>
              <w:left w:w="28" w:type="dxa"/>
              <w:right w:w="28" w:type="dxa"/>
            </w:tcMar>
            <w:vAlign w:val="center"/>
          </w:tcPr>
          <w:p w14:paraId="2C417FAA">
            <w:pPr>
              <w:pStyle w:val="50"/>
              <w:spacing w:beforeLines="0" w:afterLines="0" w:line="240" w:lineRule="auto"/>
              <w:rPr>
                <w:rFonts w:ascii="Times New Roman"/>
                <w:snapToGrid w:val="0"/>
                <w:spacing w:val="-6"/>
                <w:kern w:val="21"/>
                <w:szCs w:val="21"/>
                <w:lang w:val="en-US"/>
              </w:rPr>
            </w:pPr>
            <w:r>
              <w:rPr>
                <w:rFonts w:ascii="Times New Roman"/>
                <w:snapToGrid w:val="0"/>
                <w:spacing w:val="-6"/>
                <w:kern w:val="21"/>
                <w:szCs w:val="21"/>
                <w:lang w:val="en-US"/>
              </w:rPr>
              <w:t>本项目排放量（固体废物产生量）</w:t>
            </w:r>
            <w:r>
              <w:rPr>
                <w:rFonts w:ascii="Times New Roman"/>
                <w:snapToGrid w:val="0"/>
                <w:spacing w:val="-6"/>
                <w:kern w:val="21"/>
                <w:szCs w:val="21"/>
                <w:lang w:val="en-US"/>
              </w:rPr>
              <w:fldChar w:fldCharType="begin"/>
            </w:r>
            <w:r>
              <w:rPr>
                <w:rFonts w:ascii="Times New Roman"/>
                <w:snapToGrid w:val="0"/>
                <w:spacing w:val="-6"/>
                <w:kern w:val="21"/>
                <w:szCs w:val="21"/>
                <w:lang w:val="en-US"/>
              </w:rPr>
              <w:instrText xml:space="preserve"> = 4 \* GB3 \* MERGEFORMAT </w:instrText>
            </w:r>
            <w:r>
              <w:rPr>
                <w:rFonts w:ascii="Times New Roman"/>
                <w:snapToGrid w:val="0"/>
                <w:spacing w:val="-6"/>
                <w:kern w:val="21"/>
                <w:szCs w:val="21"/>
                <w:lang w:val="en-US"/>
              </w:rPr>
              <w:fldChar w:fldCharType="separate"/>
            </w:r>
            <w:r>
              <w:rPr>
                <w:rFonts w:hint="eastAsia" w:hAnsi="宋体"/>
                <w:kern w:val="2"/>
                <w:szCs w:val="21"/>
                <w:lang w:val="en-US"/>
              </w:rPr>
              <w:t>④</w:t>
            </w:r>
            <w:r>
              <w:rPr>
                <w:rFonts w:ascii="Times New Roman"/>
                <w:snapToGrid w:val="0"/>
                <w:spacing w:val="-6"/>
                <w:kern w:val="21"/>
                <w:szCs w:val="21"/>
                <w:lang w:val="en-US"/>
              </w:rPr>
              <w:fldChar w:fldCharType="end"/>
            </w:r>
          </w:p>
        </w:tc>
        <w:tc>
          <w:tcPr>
            <w:tcW w:w="512" w:type="pct"/>
            <w:tcMar>
              <w:left w:w="28" w:type="dxa"/>
              <w:right w:w="28" w:type="dxa"/>
            </w:tcMar>
            <w:vAlign w:val="center"/>
          </w:tcPr>
          <w:p w14:paraId="67CB734C">
            <w:pPr>
              <w:pStyle w:val="50"/>
              <w:spacing w:beforeLines="0" w:afterLines="0" w:line="240" w:lineRule="auto"/>
              <w:rPr>
                <w:rFonts w:ascii="Times New Roman"/>
                <w:snapToGrid w:val="0"/>
                <w:spacing w:val="-16"/>
                <w:kern w:val="21"/>
                <w:szCs w:val="21"/>
                <w:lang w:val="en-US"/>
              </w:rPr>
            </w:pPr>
            <w:r>
              <w:rPr>
                <w:rFonts w:ascii="Times New Roman"/>
                <w:snapToGrid w:val="0"/>
                <w:spacing w:val="-16"/>
                <w:kern w:val="21"/>
                <w:szCs w:val="21"/>
                <w:lang w:val="en-US"/>
              </w:rPr>
              <w:t>以新带老削减量（新建项目不填）</w:t>
            </w:r>
            <w:r>
              <w:rPr>
                <w:rFonts w:ascii="Times New Roman"/>
                <w:snapToGrid w:val="0"/>
                <w:spacing w:val="-16"/>
                <w:kern w:val="21"/>
                <w:szCs w:val="21"/>
                <w:lang w:val="en-US"/>
              </w:rPr>
              <w:fldChar w:fldCharType="begin"/>
            </w:r>
            <w:r>
              <w:rPr>
                <w:rFonts w:ascii="Times New Roman"/>
                <w:snapToGrid w:val="0"/>
                <w:spacing w:val="-16"/>
                <w:kern w:val="21"/>
                <w:szCs w:val="21"/>
                <w:lang w:val="en-US"/>
              </w:rPr>
              <w:instrText xml:space="preserve"> = 5 \* GB3 \* MERGEFORMAT </w:instrText>
            </w:r>
            <w:r>
              <w:rPr>
                <w:rFonts w:ascii="Times New Roman"/>
                <w:snapToGrid w:val="0"/>
                <w:spacing w:val="-16"/>
                <w:kern w:val="21"/>
                <w:szCs w:val="21"/>
                <w:lang w:val="en-US"/>
              </w:rPr>
              <w:fldChar w:fldCharType="separate"/>
            </w:r>
            <w:r>
              <w:rPr>
                <w:rFonts w:hint="eastAsia" w:hAnsi="宋体"/>
                <w:kern w:val="2"/>
                <w:szCs w:val="21"/>
                <w:lang w:val="en-US"/>
              </w:rPr>
              <w:t>⑤</w:t>
            </w:r>
            <w:r>
              <w:rPr>
                <w:rFonts w:ascii="Times New Roman"/>
                <w:snapToGrid w:val="0"/>
                <w:spacing w:val="-16"/>
                <w:kern w:val="21"/>
                <w:szCs w:val="21"/>
                <w:lang w:val="en-US"/>
              </w:rPr>
              <w:fldChar w:fldCharType="end"/>
            </w:r>
          </w:p>
        </w:tc>
        <w:tc>
          <w:tcPr>
            <w:tcW w:w="615" w:type="pct"/>
            <w:tcMar>
              <w:left w:w="28" w:type="dxa"/>
              <w:right w:w="28" w:type="dxa"/>
            </w:tcMar>
            <w:vAlign w:val="center"/>
          </w:tcPr>
          <w:p w14:paraId="031322F3">
            <w:pPr>
              <w:pStyle w:val="50"/>
              <w:spacing w:beforeLines="0" w:afterLines="0" w:line="240" w:lineRule="auto"/>
              <w:rPr>
                <w:rFonts w:ascii="Times New Roman"/>
                <w:snapToGrid w:val="0"/>
                <w:spacing w:val="-16"/>
                <w:kern w:val="21"/>
                <w:szCs w:val="21"/>
                <w:lang w:val="en-US"/>
              </w:rPr>
            </w:pPr>
            <w:r>
              <w:rPr>
                <w:rFonts w:ascii="Times New Roman"/>
                <w:snapToGrid w:val="0"/>
                <w:spacing w:val="-16"/>
                <w:kern w:val="21"/>
                <w:szCs w:val="21"/>
                <w:lang w:val="en-US"/>
              </w:rPr>
              <w:t>本项目建成后全厂排放量（固体废物产生量）</w:t>
            </w:r>
            <w:r>
              <w:rPr>
                <w:rFonts w:ascii="Times New Roman"/>
                <w:snapToGrid w:val="0"/>
                <w:spacing w:val="-16"/>
                <w:kern w:val="21"/>
                <w:szCs w:val="21"/>
                <w:lang w:val="en-US"/>
              </w:rPr>
              <w:fldChar w:fldCharType="begin"/>
            </w:r>
            <w:r>
              <w:rPr>
                <w:rFonts w:ascii="Times New Roman"/>
                <w:snapToGrid w:val="0"/>
                <w:spacing w:val="-16"/>
                <w:kern w:val="21"/>
                <w:szCs w:val="21"/>
                <w:lang w:val="en-US"/>
              </w:rPr>
              <w:instrText xml:space="preserve"> = 6 \* GB3 \* MERGEFORMAT </w:instrText>
            </w:r>
            <w:r>
              <w:rPr>
                <w:rFonts w:ascii="Times New Roman"/>
                <w:snapToGrid w:val="0"/>
                <w:spacing w:val="-16"/>
                <w:kern w:val="21"/>
                <w:szCs w:val="21"/>
                <w:lang w:val="en-US"/>
              </w:rPr>
              <w:fldChar w:fldCharType="separate"/>
            </w:r>
            <w:r>
              <w:rPr>
                <w:rFonts w:hint="eastAsia" w:hAnsi="宋体"/>
                <w:kern w:val="2"/>
                <w:szCs w:val="21"/>
                <w:lang w:val="en-US"/>
              </w:rPr>
              <w:t>⑥</w:t>
            </w:r>
            <w:r>
              <w:rPr>
                <w:rFonts w:ascii="Times New Roman"/>
                <w:snapToGrid w:val="0"/>
                <w:spacing w:val="-16"/>
                <w:kern w:val="21"/>
                <w:szCs w:val="21"/>
                <w:lang w:val="en-US"/>
              </w:rPr>
              <w:fldChar w:fldCharType="end"/>
            </w:r>
          </w:p>
        </w:tc>
        <w:tc>
          <w:tcPr>
            <w:tcW w:w="532" w:type="pct"/>
            <w:tcMar>
              <w:left w:w="28" w:type="dxa"/>
              <w:right w:w="28" w:type="dxa"/>
            </w:tcMar>
            <w:vAlign w:val="center"/>
          </w:tcPr>
          <w:p w14:paraId="10306CD1">
            <w:pPr>
              <w:pStyle w:val="50"/>
              <w:spacing w:beforeLines="0" w:afterLines="0" w:line="240" w:lineRule="auto"/>
              <w:rPr>
                <w:rFonts w:ascii="Times New Roman"/>
                <w:snapToGrid w:val="0"/>
                <w:spacing w:val="-6"/>
                <w:kern w:val="21"/>
                <w:szCs w:val="21"/>
                <w:lang w:val="en-US"/>
              </w:rPr>
            </w:pPr>
            <w:r>
              <w:rPr>
                <w:rFonts w:ascii="Times New Roman"/>
                <w:snapToGrid w:val="0"/>
                <w:spacing w:val="-6"/>
                <w:kern w:val="21"/>
                <w:szCs w:val="21"/>
                <w:lang w:val="en-US"/>
              </w:rPr>
              <w:t>变化量</w:t>
            </w:r>
            <w:r>
              <w:rPr>
                <w:rFonts w:ascii="Times New Roman"/>
                <w:snapToGrid w:val="0"/>
                <w:spacing w:val="-6"/>
                <w:kern w:val="21"/>
                <w:szCs w:val="21"/>
                <w:lang w:val="en-US"/>
              </w:rPr>
              <w:fldChar w:fldCharType="begin"/>
            </w:r>
            <w:r>
              <w:rPr>
                <w:rFonts w:ascii="Times New Roman"/>
                <w:snapToGrid w:val="0"/>
                <w:spacing w:val="-6"/>
                <w:kern w:val="21"/>
                <w:szCs w:val="21"/>
                <w:lang w:val="en-US"/>
              </w:rPr>
              <w:instrText xml:space="preserve"> = 7 \* GB3 \* MERGEFORMAT </w:instrText>
            </w:r>
            <w:r>
              <w:rPr>
                <w:rFonts w:ascii="Times New Roman"/>
                <w:snapToGrid w:val="0"/>
                <w:spacing w:val="-6"/>
                <w:kern w:val="21"/>
                <w:szCs w:val="21"/>
                <w:lang w:val="en-US"/>
              </w:rPr>
              <w:fldChar w:fldCharType="separate"/>
            </w:r>
            <w:r>
              <w:rPr>
                <w:rFonts w:hint="eastAsia" w:hAnsi="宋体"/>
                <w:kern w:val="2"/>
                <w:szCs w:val="21"/>
                <w:lang w:val="en-US"/>
              </w:rPr>
              <w:t>⑦</w:t>
            </w:r>
            <w:r>
              <w:rPr>
                <w:rFonts w:ascii="Times New Roman"/>
                <w:snapToGrid w:val="0"/>
                <w:spacing w:val="-6"/>
                <w:kern w:val="21"/>
                <w:szCs w:val="21"/>
                <w:lang w:val="en-US"/>
              </w:rPr>
              <w:fldChar w:fldCharType="end"/>
            </w:r>
          </w:p>
        </w:tc>
      </w:tr>
      <w:tr w14:paraId="7F195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Align w:val="center"/>
          </w:tcPr>
          <w:p w14:paraId="0E22C361">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废气</w:t>
            </w:r>
          </w:p>
        </w:tc>
        <w:tc>
          <w:tcPr>
            <w:tcW w:w="615" w:type="pct"/>
            <w:vAlign w:val="center"/>
          </w:tcPr>
          <w:p w14:paraId="66AE1510">
            <w:pPr>
              <w:pStyle w:val="50"/>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颗粒物</w:t>
            </w:r>
          </w:p>
        </w:tc>
        <w:tc>
          <w:tcPr>
            <w:tcW w:w="615" w:type="pct"/>
            <w:vAlign w:val="center"/>
          </w:tcPr>
          <w:p w14:paraId="3F6AE2D3">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461" w:type="pct"/>
            <w:vAlign w:val="center"/>
          </w:tcPr>
          <w:p w14:paraId="028C9498">
            <w:pPr>
              <w:pStyle w:val="50"/>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615" w:type="pct"/>
            <w:vAlign w:val="center"/>
          </w:tcPr>
          <w:p w14:paraId="662D39D2">
            <w:pPr>
              <w:pStyle w:val="50"/>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615" w:type="pct"/>
            <w:vAlign w:val="center"/>
          </w:tcPr>
          <w:p w14:paraId="70102CBE">
            <w:pPr>
              <w:pStyle w:val="50"/>
              <w:spacing w:beforeLines="0" w:afterLines="0" w:line="240" w:lineRule="auto"/>
              <w:rPr>
                <w:bCs/>
                <w:szCs w:val="21"/>
                <w:lang w:bidi="ar"/>
              </w:rPr>
            </w:pPr>
            <w:r>
              <w:rPr>
                <w:bCs/>
                <w:szCs w:val="21"/>
                <w:lang w:bidi="ar"/>
              </w:rPr>
              <w:t>0.0008</w:t>
            </w:r>
          </w:p>
        </w:tc>
        <w:tc>
          <w:tcPr>
            <w:tcW w:w="512" w:type="pct"/>
            <w:vAlign w:val="center"/>
          </w:tcPr>
          <w:p w14:paraId="379164BE">
            <w:pPr>
              <w:pStyle w:val="50"/>
              <w:spacing w:beforeLines="0" w:afterLines="0" w:line="240" w:lineRule="auto"/>
              <w:rPr>
                <w:bCs/>
                <w:szCs w:val="21"/>
                <w:lang w:bidi="ar"/>
              </w:rPr>
            </w:pPr>
            <w:r>
              <w:rPr>
                <w:rFonts w:hint="eastAsia" w:ascii="Times New Roman"/>
                <w:snapToGrid w:val="0"/>
                <w:kern w:val="21"/>
                <w:szCs w:val="21"/>
                <w:lang w:val="en-US"/>
              </w:rPr>
              <w:t>/</w:t>
            </w:r>
          </w:p>
        </w:tc>
        <w:tc>
          <w:tcPr>
            <w:tcW w:w="615" w:type="pct"/>
            <w:vAlign w:val="center"/>
          </w:tcPr>
          <w:p w14:paraId="5FD2A044">
            <w:pPr>
              <w:pStyle w:val="50"/>
              <w:spacing w:beforeLines="0" w:afterLines="0" w:line="240" w:lineRule="auto"/>
              <w:rPr>
                <w:bCs/>
                <w:szCs w:val="21"/>
                <w:lang w:bidi="ar"/>
              </w:rPr>
            </w:pPr>
            <w:r>
              <w:rPr>
                <w:bCs/>
                <w:szCs w:val="21"/>
                <w:lang w:bidi="ar"/>
              </w:rPr>
              <w:t>0.0008</w:t>
            </w:r>
          </w:p>
        </w:tc>
        <w:tc>
          <w:tcPr>
            <w:tcW w:w="532" w:type="pct"/>
            <w:vAlign w:val="center"/>
          </w:tcPr>
          <w:p w14:paraId="2E5B4957">
            <w:pPr>
              <w:pStyle w:val="50"/>
              <w:spacing w:beforeLines="0" w:afterLines="0" w:line="240" w:lineRule="auto"/>
              <w:rPr>
                <w:bCs/>
                <w:szCs w:val="21"/>
                <w:lang w:bidi="ar"/>
              </w:rPr>
            </w:pPr>
            <w:r>
              <w:rPr>
                <w:bCs/>
                <w:szCs w:val="21"/>
                <w:lang w:bidi="ar"/>
              </w:rPr>
              <w:t>0.0008</w:t>
            </w:r>
          </w:p>
        </w:tc>
      </w:tr>
      <w:tr w14:paraId="7D4D34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restart"/>
            <w:vAlign w:val="center"/>
          </w:tcPr>
          <w:p w14:paraId="761BE929">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废水</w:t>
            </w:r>
          </w:p>
        </w:tc>
        <w:tc>
          <w:tcPr>
            <w:tcW w:w="615" w:type="pct"/>
            <w:vAlign w:val="center"/>
          </w:tcPr>
          <w:p w14:paraId="27CCC3BB">
            <w:pPr>
              <w:pStyle w:val="50"/>
              <w:spacing w:beforeLines="0" w:afterLines="0" w:line="240" w:lineRule="auto"/>
              <w:rPr>
                <w:rFonts w:ascii="Times New Roman"/>
                <w:snapToGrid w:val="0"/>
                <w:kern w:val="21"/>
                <w:szCs w:val="21"/>
                <w:lang w:val="en-US"/>
              </w:rPr>
            </w:pPr>
            <w:r>
              <w:rPr>
                <w:rFonts w:ascii="Times New Roman"/>
                <w:bCs/>
                <w:snapToGrid w:val="0"/>
                <w:szCs w:val="21"/>
                <w:lang w:val="en-US" w:bidi="ar"/>
              </w:rPr>
              <w:t>COD</w:t>
            </w:r>
          </w:p>
        </w:tc>
        <w:tc>
          <w:tcPr>
            <w:tcW w:w="615" w:type="pct"/>
            <w:vAlign w:val="center"/>
          </w:tcPr>
          <w:p w14:paraId="757D9DE5">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461" w:type="pct"/>
            <w:vAlign w:val="center"/>
          </w:tcPr>
          <w:p w14:paraId="6F1F4689">
            <w:pPr>
              <w:pStyle w:val="50"/>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615" w:type="pct"/>
            <w:vAlign w:val="center"/>
          </w:tcPr>
          <w:p w14:paraId="1DE1E8C9">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615" w:type="pct"/>
            <w:vAlign w:val="center"/>
          </w:tcPr>
          <w:p w14:paraId="7EAC39F6">
            <w:pPr>
              <w:pStyle w:val="50"/>
              <w:spacing w:beforeLines="0" w:afterLines="0" w:line="240" w:lineRule="auto"/>
              <w:rPr>
                <w:bCs/>
                <w:szCs w:val="21"/>
                <w:lang w:bidi="ar"/>
              </w:rPr>
            </w:pPr>
            <w:r>
              <w:rPr>
                <w:rFonts w:hint="eastAsia" w:eastAsia="等线"/>
              </w:rPr>
              <w:t>1.7367</w:t>
            </w:r>
          </w:p>
        </w:tc>
        <w:tc>
          <w:tcPr>
            <w:tcW w:w="512" w:type="pct"/>
            <w:vAlign w:val="center"/>
          </w:tcPr>
          <w:p w14:paraId="3038957E">
            <w:pPr>
              <w:pStyle w:val="50"/>
              <w:spacing w:beforeLines="0" w:afterLines="0" w:line="240" w:lineRule="auto"/>
              <w:rPr>
                <w:bCs/>
                <w:szCs w:val="21"/>
                <w:lang w:bidi="ar"/>
              </w:rPr>
            </w:pPr>
            <w:r>
              <w:rPr>
                <w:rFonts w:ascii="Times New Roman"/>
                <w:snapToGrid w:val="0"/>
                <w:kern w:val="21"/>
                <w:szCs w:val="21"/>
                <w:lang w:val="en-US"/>
              </w:rPr>
              <w:t>/</w:t>
            </w:r>
          </w:p>
        </w:tc>
        <w:tc>
          <w:tcPr>
            <w:tcW w:w="615" w:type="pct"/>
            <w:vAlign w:val="center"/>
          </w:tcPr>
          <w:p w14:paraId="05CBD7D2">
            <w:pPr>
              <w:pStyle w:val="50"/>
              <w:spacing w:beforeLines="0" w:afterLines="0" w:line="240" w:lineRule="auto"/>
              <w:rPr>
                <w:bCs/>
                <w:szCs w:val="21"/>
                <w:lang w:bidi="ar"/>
              </w:rPr>
            </w:pPr>
            <w:r>
              <w:rPr>
                <w:rFonts w:hint="eastAsia" w:eastAsia="等线"/>
              </w:rPr>
              <w:t>1.7367</w:t>
            </w:r>
          </w:p>
        </w:tc>
        <w:tc>
          <w:tcPr>
            <w:tcW w:w="532" w:type="pct"/>
            <w:vAlign w:val="center"/>
          </w:tcPr>
          <w:p w14:paraId="78234CFB">
            <w:pPr>
              <w:pStyle w:val="50"/>
              <w:spacing w:beforeLines="0" w:afterLines="0" w:line="240" w:lineRule="auto"/>
              <w:rPr>
                <w:bCs/>
                <w:szCs w:val="21"/>
                <w:lang w:bidi="ar"/>
              </w:rPr>
            </w:pPr>
            <w:r>
              <w:rPr>
                <w:rFonts w:hint="eastAsia" w:eastAsia="等线"/>
              </w:rPr>
              <w:t>1.7367</w:t>
            </w:r>
          </w:p>
        </w:tc>
      </w:tr>
      <w:tr w14:paraId="717DF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vAlign w:val="center"/>
          </w:tcPr>
          <w:p w14:paraId="15D625C4">
            <w:pPr>
              <w:pStyle w:val="50"/>
              <w:spacing w:beforeLines="0" w:afterLines="0" w:line="240" w:lineRule="auto"/>
              <w:rPr>
                <w:rFonts w:ascii="Times New Roman"/>
                <w:snapToGrid w:val="0"/>
                <w:kern w:val="21"/>
                <w:szCs w:val="21"/>
                <w:lang w:val="en-US"/>
              </w:rPr>
            </w:pPr>
          </w:p>
        </w:tc>
        <w:tc>
          <w:tcPr>
            <w:tcW w:w="615" w:type="pct"/>
            <w:vAlign w:val="center"/>
          </w:tcPr>
          <w:p w14:paraId="53739E34">
            <w:pPr>
              <w:pStyle w:val="50"/>
              <w:spacing w:beforeLines="0" w:afterLines="0" w:line="240" w:lineRule="auto"/>
              <w:rPr>
                <w:rFonts w:ascii="Times New Roman"/>
                <w:snapToGrid w:val="0"/>
                <w:kern w:val="21"/>
                <w:szCs w:val="21"/>
                <w:lang w:val="en-US"/>
              </w:rPr>
            </w:pPr>
            <w:r>
              <w:rPr>
                <w:rFonts w:ascii="Times New Roman"/>
                <w:bCs/>
                <w:snapToGrid w:val="0"/>
                <w:szCs w:val="21"/>
                <w:lang w:val="en-US" w:bidi="ar"/>
              </w:rPr>
              <w:t>NH</w:t>
            </w:r>
            <w:r>
              <w:rPr>
                <w:rFonts w:ascii="Times New Roman"/>
                <w:bCs/>
                <w:snapToGrid w:val="0"/>
                <w:szCs w:val="21"/>
                <w:vertAlign w:val="subscript"/>
                <w:lang w:val="en-US" w:bidi="ar"/>
              </w:rPr>
              <w:t>3</w:t>
            </w:r>
            <w:r>
              <w:rPr>
                <w:rFonts w:ascii="Times New Roman"/>
                <w:bCs/>
                <w:snapToGrid w:val="0"/>
                <w:szCs w:val="21"/>
                <w:lang w:val="en-US" w:bidi="ar"/>
              </w:rPr>
              <w:t>-N</w:t>
            </w:r>
          </w:p>
        </w:tc>
        <w:tc>
          <w:tcPr>
            <w:tcW w:w="615" w:type="pct"/>
            <w:vAlign w:val="center"/>
          </w:tcPr>
          <w:p w14:paraId="15890E1B">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461" w:type="pct"/>
            <w:vAlign w:val="center"/>
          </w:tcPr>
          <w:p w14:paraId="45EED3C9">
            <w:pPr>
              <w:pStyle w:val="50"/>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615" w:type="pct"/>
            <w:vAlign w:val="center"/>
          </w:tcPr>
          <w:p w14:paraId="763FA5C6">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615" w:type="pct"/>
            <w:vAlign w:val="center"/>
          </w:tcPr>
          <w:p w14:paraId="02C7A262">
            <w:pPr>
              <w:pStyle w:val="50"/>
              <w:spacing w:beforeLines="0" w:afterLines="0" w:line="240" w:lineRule="auto"/>
              <w:rPr>
                <w:bCs/>
                <w:szCs w:val="21"/>
                <w:lang w:bidi="ar"/>
              </w:rPr>
            </w:pPr>
            <w:r>
              <w:rPr>
                <w:rFonts w:eastAsia="等线"/>
              </w:rPr>
              <w:t>0.</w:t>
            </w:r>
            <w:r>
              <w:rPr>
                <w:rFonts w:hint="eastAsia" w:eastAsia="等线"/>
              </w:rPr>
              <w:t>1563</w:t>
            </w:r>
          </w:p>
        </w:tc>
        <w:tc>
          <w:tcPr>
            <w:tcW w:w="512" w:type="pct"/>
            <w:vAlign w:val="center"/>
          </w:tcPr>
          <w:p w14:paraId="3FAD2A0C">
            <w:pPr>
              <w:pStyle w:val="50"/>
              <w:spacing w:beforeLines="0" w:afterLines="0" w:line="240" w:lineRule="auto"/>
              <w:rPr>
                <w:bCs/>
                <w:szCs w:val="21"/>
                <w:lang w:bidi="ar"/>
              </w:rPr>
            </w:pPr>
            <w:r>
              <w:rPr>
                <w:rFonts w:ascii="Times New Roman"/>
                <w:snapToGrid w:val="0"/>
                <w:kern w:val="21"/>
                <w:szCs w:val="21"/>
                <w:lang w:val="en-US"/>
              </w:rPr>
              <w:t>/</w:t>
            </w:r>
          </w:p>
        </w:tc>
        <w:tc>
          <w:tcPr>
            <w:tcW w:w="615" w:type="pct"/>
            <w:vAlign w:val="center"/>
          </w:tcPr>
          <w:p w14:paraId="7132DAC9">
            <w:pPr>
              <w:pStyle w:val="50"/>
              <w:spacing w:beforeLines="0" w:afterLines="0" w:line="240" w:lineRule="auto"/>
              <w:rPr>
                <w:bCs/>
                <w:szCs w:val="21"/>
                <w:lang w:bidi="ar"/>
              </w:rPr>
            </w:pPr>
            <w:r>
              <w:rPr>
                <w:rFonts w:eastAsia="等线"/>
              </w:rPr>
              <w:t>0.</w:t>
            </w:r>
            <w:r>
              <w:rPr>
                <w:rFonts w:hint="eastAsia" w:eastAsia="等线"/>
              </w:rPr>
              <w:t>1563</w:t>
            </w:r>
          </w:p>
        </w:tc>
        <w:tc>
          <w:tcPr>
            <w:tcW w:w="532" w:type="pct"/>
            <w:vAlign w:val="center"/>
          </w:tcPr>
          <w:p w14:paraId="47004C5A">
            <w:pPr>
              <w:pStyle w:val="50"/>
              <w:spacing w:beforeLines="0" w:afterLines="0" w:line="240" w:lineRule="auto"/>
              <w:rPr>
                <w:bCs/>
                <w:szCs w:val="21"/>
                <w:lang w:bidi="ar"/>
              </w:rPr>
            </w:pPr>
            <w:r>
              <w:rPr>
                <w:rFonts w:eastAsia="等线"/>
              </w:rPr>
              <w:t>0.</w:t>
            </w:r>
            <w:r>
              <w:rPr>
                <w:rFonts w:hint="eastAsia" w:eastAsia="等线"/>
              </w:rPr>
              <w:t>1563</w:t>
            </w:r>
          </w:p>
        </w:tc>
      </w:tr>
      <w:tr w14:paraId="2004E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restart"/>
            <w:vAlign w:val="center"/>
          </w:tcPr>
          <w:p w14:paraId="6F7294DC">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一般工业</w:t>
            </w:r>
          </w:p>
          <w:p w14:paraId="19C59F21">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固体废物</w:t>
            </w:r>
          </w:p>
        </w:tc>
        <w:tc>
          <w:tcPr>
            <w:tcW w:w="615" w:type="pct"/>
            <w:vAlign w:val="center"/>
          </w:tcPr>
          <w:p w14:paraId="4D767B58">
            <w:pPr>
              <w:widowControl/>
              <w:jc w:val="center"/>
            </w:pPr>
            <w:r>
              <w:rPr>
                <w:rFonts w:hint="eastAsia"/>
                <w:lang w:bidi="ar"/>
              </w:rPr>
              <w:t>药渣</w:t>
            </w:r>
          </w:p>
        </w:tc>
        <w:tc>
          <w:tcPr>
            <w:tcW w:w="615" w:type="pct"/>
            <w:vAlign w:val="center"/>
          </w:tcPr>
          <w:p w14:paraId="5566CE50">
            <w:pPr>
              <w:widowControl/>
              <w:jc w:val="center"/>
            </w:pPr>
            <w:r>
              <w:rPr>
                <w:snapToGrid w:val="0"/>
                <w:kern w:val="21"/>
              </w:rPr>
              <w:t>/</w:t>
            </w:r>
          </w:p>
        </w:tc>
        <w:tc>
          <w:tcPr>
            <w:tcW w:w="461" w:type="pct"/>
            <w:vAlign w:val="center"/>
          </w:tcPr>
          <w:p w14:paraId="6405A9C1">
            <w:pPr>
              <w:pStyle w:val="50"/>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615" w:type="pct"/>
            <w:vAlign w:val="center"/>
          </w:tcPr>
          <w:p w14:paraId="484E3105">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615" w:type="pct"/>
            <w:vAlign w:val="center"/>
          </w:tcPr>
          <w:p w14:paraId="7ABB79D5">
            <w:pPr>
              <w:pStyle w:val="50"/>
              <w:spacing w:beforeLines="0" w:afterLines="0" w:line="240" w:lineRule="auto"/>
              <w:rPr>
                <w:bCs/>
                <w:szCs w:val="21"/>
                <w:lang w:bidi="ar"/>
              </w:rPr>
            </w:pPr>
            <w:r>
              <w:rPr>
                <w:rFonts w:hint="eastAsia"/>
                <w:lang w:bidi="ar"/>
              </w:rPr>
              <w:t>72</w:t>
            </w:r>
          </w:p>
        </w:tc>
        <w:tc>
          <w:tcPr>
            <w:tcW w:w="512" w:type="pct"/>
            <w:vAlign w:val="center"/>
          </w:tcPr>
          <w:p w14:paraId="053DEB99">
            <w:pPr>
              <w:pStyle w:val="50"/>
              <w:spacing w:beforeLines="0" w:afterLines="0" w:line="240" w:lineRule="auto"/>
              <w:rPr>
                <w:bCs/>
                <w:szCs w:val="21"/>
                <w:lang w:bidi="ar"/>
              </w:rPr>
            </w:pPr>
            <w:r>
              <w:rPr>
                <w:rFonts w:ascii="Times New Roman"/>
                <w:snapToGrid w:val="0"/>
                <w:kern w:val="21"/>
                <w:szCs w:val="21"/>
                <w:lang w:val="en-US"/>
              </w:rPr>
              <w:t>/</w:t>
            </w:r>
          </w:p>
        </w:tc>
        <w:tc>
          <w:tcPr>
            <w:tcW w:w="615" w:type="pct"/>
            <w:vAlign w:val="center"/>
          </w:tcPr>
          <w:p w14:paraId="338412F1">
            <w:pPr>
              <w:pStyle w:val="50"/>
              <w:spacing w:beforeLines="0" w:afterLines="0" w:line="240" w:lineRule="auto"/>
              <w:rPr>
                <w:bCs/>
                <w:szCs w:val="21"/>
                <w:lang w:bidi="ar"/>
              </w:rPr>
            </w:pPr>
            <w:r>
              <w:rPr>
                <w:rFonts w:hint="eastAsia"/>
                <w:lang w:bidi="ar"/>
              </w:rPr>
              <w:t>72</w:t>
            </w:r>
          </w:p>
        </w:tc>
        <w:tc>
          <w:tcPr>
            <w:tcW w:w="532" w:type="pct"/>
            <w:vAlign w:val="center"/>
          </w:tcPr>
          <w:p w14:paraId="6CD77087">
            <w:pPr>
              <w:pStyle w:val="50"/>
              <w:spacing w:beforeLines="0" w:afterLines="0" w:line="240" w:lineRule="auto"/>
              <w:rPr>
                <w:bCs/>
                <w:szCs w:val="21"/>
                <w:lang w:bidi="ar"/>
              </w:rPr>
            </w:pPr>
            <w:r>
              <w:rPr>
                <w:rFonts w:hint="eastAsia"/>
                <w:lang w:bidi="ar"/>
              </w:rPr>
              <w:t>72</w:t>
            </w:r>
          </w:p>
        </w:tc>
      </w:tr>
      <w:tr w14:paraId="15CBC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vAlign w:val="center"/>
          </w:tcPr>
          <w:p w14:paraId="7748E710">
            <w:pPr>
              <w:pStyle w:val="50"/>
              <w:spacing w:beforeLines="0" w:afterLines="0" w:line="240" w:lineRule="auto"/>
              <w:rPr>
                <w:rFonts w:ascii="Times New Roman"/>
                <w:snapToGrid w:val="0"/>
                <w:kern w:val="21"/>
                <w:szCs w:val="21"/>
                <w:lang w:val="en-US"/>
              </w:rPr>
            </w:pPr>
          </w:p>
        </w:tc>
        <w:tc>
          <w:tcPr>
            <w:tcW w:w="615" w:type="pct"/>
            <w:vAlign w:val="center"/>
          </w:tcPr>
          <w:p w14:paraId="42D544CD">
            <w:pPr>
              <w:widowControl/>
              <w:jc w:val="center"/>
              <w:rPr>
                <w:lang w:bidi="ar"/>
              </w:rPr>
            </w:pPr>
            <w:r>
              <w:rPr>
                <w:rFonts w:hint="eastAsia"/>
                <w:lang w:bidi="ar"/>
              </w:rPr>
              <w:t>废药渣袋</w:t>
            </w:r>
          </w:p>
        </w:tc>
        <w:tc>
          <w:tcPr>
            <w:tcW w:w="615" w:type="pct"/>
            <w:vAlign w:val="center"/>
          </w:tcPr>
          <w:p w14:paraId="0ABD4D35">
            <w:pPr>
              <w:widowControl/>
              <w:jc w:val="center"/>
              <w:rPr>
                <w:snapToGrid w:val="0"/>
                <w:kern w:val="21"/>
              </w:rPr>
            </w:pPr>
            <w:r>
              <w:rPr>
                <w:snapToGrid w:val="0"/>
                <w:kern w:val="21"/>
              </w:rPr>
              <w:t>/</w:t>
            </w:r>
          </w:p>
        </w:tc>
        <w:tc>
          <w:tcPr>
            <w:tcW w:w="461" w:type="pct"/>
            <w:vAlign w:val="center"/>
          </w:tcPr>
          <w:p w14:paraId="1B47B0D7">
            <w:pPr>
              <w:pStyle w:val="50"/>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615" w:type="pct"/>
            <w:vAlign w:val="center"/>
          </w:tcPr>
          <w:p w14:paraId="2857DFA1">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615" w:type="pct"/>
            <w:vAlign w:val="center"/>
          </w:tcPr>
          <w:p w14:paraId="4E2AEDD1">
            <w:pPr>
              <w:pStyle w:val="50"/>
              <w:spacing w:beforeLines="0" w:afterLines="0" w:line="240" w:lineRule="auto"/>
              <w:rPr>
                <w:bCs/>
                <w:szCs w:val="21"/>
                <w:lang w:bidi="ar"/>
              </w:rPr>
            </w:pPr>
            <w:r>
              <w:rPr>
                <w:rFonts w:hint="eastAsia"/>
                <w:lang w:bidi="ar"/>
              </w:rPr>
              <w:t>0.2</w:t>
            </w:r>
          </w:p>
        </w:tc>
        <w:tc>
          <w:tcPr>
            <w:tcW w:w="512" w:type="pct"/>
            <w:vAlign w:val="center"/>
          </w:tcPr>
          <w:p w14:paraId="5FF24BF5">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615" w:type="pct"/>
            <w:vAlign w:val="center"/>
          </w:tcPr>
          <w:p w14:paraId="6D58D875">
            <w:pPr>
              <w:pStyle w:val="50"/>
              <w:spacing w:beforeLines="0" w:afterLines="0" w:line="240" w:lineRule="auto"/>
              <w:rPr>
                <w:szCs w:val="21"/>
                <w:lang w:bidi="ar"/>
              </w:rPr>
            </w:pPr>
            <w:r>
              <w:rPr>
                <w:rFonts w:hint="eastAsia"/>
                <w:lang w:bidi="ar"/>
              </w:rPr>
              <w:t>0.2</w:t>
            </w:r>
          </w:p>
        </w:tc>
        <w:tc>
          <w:tcPr>
            <w:tcW w:w="532" w:type="pct"/>
            <w:vAlign w:val="center"/>
          </w:tcPr>
          <w:p w14:paraId="0474F446">
            <w:pPr>
              <w:pStyle w:val="50"/>
              <w:spacing w:beforeLines="0" w:afterLines="0" w:line="240" w:lineRule="auto"/>
              <w:rPr>
                <w:szCs w:val="21"/>
                <w:lang w:bidi="ar"/>
              </w:rPr>
            </w:pPr>
            <w:r>
              <w:rPr>
                <w:rFonts w:hint="eastAsia"/>
                <w:lang w:bidi="ar"/>
              </w:rPr>
              <w:t>0.2</w:t>
            </w:r>
          </w:p>
        </w:tc>
      </w:tr>
      <w:tr w14:paraId="5DCE4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vAlign w:val="center"/>
          </w:tcPr>
          <w:p w14:paraId="459CF202">
            <w:pPr>
              <w:pStyle w:val="50"/>
              <w:spacing w:beforeLines="0" w:afterLines="0" w:line="240" w:lineRule="auto"/>
              <w:rPr>
                <w:rFonts w:ascii="Times New Roman"/>
                <w:snapToGrid w:val="0"/>
                <w:kern w:val="21"/>
                <w:szCs w:val="21"/>
                <w:lang w:val="en-US"/>
              </w:rPr>
            </w:pPr>
          </w:p>
        </w:tc>
        <w:tc>
          <w:tcPr>
            <w:tcW w:w="615" w:type="pct"/>
            <w:vAlign w:val="center"/>
          </w:tcPr>
          <w:p w14:paraId="30FD0F5E">
            <w:pPr>
              <w:widowControl/>
              <w:jc w:val="center"/>
              <w:rPr>
                <w:lang w:bidi="ar"/>
              </w:rPr>
            </w:pPr>
            <w:r>
              <w:rPr>
                <w:rFonts w:hint="eastAsia"/>
                <w:lang w:bidi="ar"/>
              </w:rPr>
              <w:t>包装垃圾</w:t>
            </w:r>
          </w:p>
        </w:tc>
        <w:tc>
          <w:tcPr>
            <w:tcW w:w="615" w:type="pct"/>
            <w:vAlign w:val="center"/>
          </w:tcPr>
          <w:p w14:paraId="77435E6A">
            <w:pPr>
              <w:widowControl/>
              <w:jc w:val="center"/>
              <w:rPr>
                <w:snapToGrid w:val="0"/>
                <w:kern w:val="21"/>
              </w:rPr>
            </w:pPr>
            <w:r>
              <w:rPr>
                <w:snapToGrid w:val="0"/>
                <w:kern w:val="21"/>
              </w:rPr>
              <w:t>/</w:t>
            </w:r>
          </w:p>
        </w:tc>
        <w:tc>
          <w:tcPr>
            <w:tcW w:w="461" w:type="pct"/>
            <w:vAlign w:val="center"/>
          </w:tcPr>
          <w:p w14:paraId="6E89FD78">
            <w:pPr>
              <w:pStyle w:val="50"/>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615" w:type="pct"/>
            <w:vAlign w:val="center"/>
          </w:tcPr>
          <w:p w14:paraId="3ECDD343">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615" w:type="pct"/>
            <w:vAlign w:val="center"/>
          </w:tcPr>
          <w:p w14:paraId="792E961D">
            <w:pPr>
              <w:pStyle w:val="50"/>
              <w:spacing w:beforeLines="0" w:afterLines="0" w:line="240" w:lineRule="auto"/>
              <w:rPr>
                <w:bCs/>
                <w:szCs w:val="21"/>
                <w:lang w:bidi="ar"/>
              </w:rPr>
            </w:pPr>
            <w:r>
              <w:rPr>
                <w:rFonts w:hint="eastAsia"/>
                <w:lang w:bidi="ar"/>
              </w:rPr>
              <w:t>0.5</w:t>
            </w:r>
          </w:p>
        </w:tc>
        <w:tc>
          <w:tcPr>
            <w:tcW w:w="512" w:type="pct"/>
            <w:vAlign w:val="center"/>
          </w:tcPr>
          <w:p w14:paraId="0B41E281">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615" w:type="pct"/>
            <w:vAlign w:val="center"/>
          </w:tcPr>
          <w:p w14:paraId="799B2E06">
            <w:pPr>
              <w:pStyle w:val="50"/>
              <w:spacing w:beforeLines="0" w:afterLines="0" w:line="240" w:lineRule="auto"/>
              <w:rPr>
                <w:szCs w:val="21"/>
                <w:lang w:bidi="ar"/>
              </w:rPr>
            </w:pPr>
            <w:r>
              <w:rPr>
                <w:rFonts w:hint="eastAsia"/>
                <w:lang w:bidi="ar"/>
              </w:rPr>
              <w:t>0.5</w:t>
            </w:r>
          </w:p>
        </w:tc>
        <w:tc>
          <w:tcPr>
            <w:tcW w:w="532" w:type="pct"/>
            <w:vAlign w:val="center"/>
          </w:tcPr>
          <w:p w14:paraId="5141A11A">
            <w:pPr>
              <w:pStyle w:val="50"/>
              <w:spacing w:beforeLines="0" w:afterLines="0" w:line="240" w:lineRule="auto"/>
              <w:rPr>
                <w:szCs w:val="21"/>
                <w:lang w:bidi="ar"/>
              </w:rPr>
            </w:pPr>
            <w:r>
              <w:rPr>
                <w:rFonts w:hint="eastAsia"/>
                <w:lang w:bidi="ar"/>
              </w:rPr>
              <w:t>0.5</w:t>
            </w:r>
          </w:p>
        </w:tc>
      </w:tr>
      <w:tr w14:paraId="3C434B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vAlign w:val="center"/>
          </w:tcPr>
          <w:p w14:paraId="4D447EAC">
            <w:pPr>
              <w:pStyle w:val="50"/>
              <w:spacing w:beforeLines="0" w:afterLines="0" w:line="240" w:lineRule="auto"/>
              <w:rPr>
                <w:rFonts w:ascii="Times New Roman"/>
                <w:snapToGrid w:val="0"/>
                <w:kern w:val="21"/>
                <w:szCs w:val="21"/>
                <w:lang w:val="en-US"/>
              </w:rPr>
            </w:pPr>
          </w:p>
        </w:tc>
        <w:tc>
          <w:tcPr>
            <w:tcW w:w="615" w:type="pct"/>
            <w:vAlign w:val="center"/>
          </w:tcPr>
          <w:p w14:paraId="57BC6A12">
            <w:pPr>
              <w:widowControl/>
              <w:jc w:val="center"/>
              <w:rPr>
                <w:lang w:bidi="ar"/>
              </w:rPr>
            </w:pPr>
            <w:r>
              <w:rPr>
                <w:rFonts w:hint="eastAsia"/>
                <w:lang w:bidi="ar"/>
              </w:rPr>
              <w:t>废滤水材料</w:t>
            </w:r>
          </w:p>
        </w:tc>
        <w:tc>
          <w:tcPr>
            <w:tcW w:w="615" w:type="pct"/>
            <w:vAlign w:val="center"/>
          </w:tcPr>
          <w:p w14:paraId="723E095B">
            <w:pPr>
              <w:widowControl/>
              <w:jc w:val="center"/>
              <w:rPr>
                <w:snapToGrid w:val="0"/>
                <w:kern w:val="21"/>
              </w:rPr>
            </w:pPr>
            <w:r>
              <w:rPr>
                <w:snapToGrid w:val="0"/>
                <w:kern w:val="21"/>
              </w:rPr>
              <w:t>/</w:t>
            </w:r>
          </w:p>
        </w:tc>
        <w:tc>
          <w:tcPr>
            <w:tcW w:w="461" w:type="pct"/>
            <w:vAlign w:val="center"/>
          </w:tcPr>
          <w:p w14:paraId="50F9D993">
            <w:pPr>
              <w:pStyle w:val="50"/>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615" w:type="pct"/>
            <w:vAlign w:val="center"/>
          </w:tcPr>
          <w:p w14:paraId="1C1CBD70">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615" w:type="pct"/>
            <w:vAlign w:val="center"/>
          </w:tcPr>
          <w:p w14:paraId="159C2DC8">
            <w:pPr>
              <w:pStyle w:val="50"/>
              <w:spacing w:beforeLines="0" w:afterLines="0" w:line="240" w:lineRule="auto"/>
              <w:rPr>
                <w:bCs/>
                <w:szCs w:val="21"/>
                <w:lang w:bidi="ar"/>
              </w:rPr>
            </w:pPr>
            <w:r>
              <w:rPr>
                <w:rFonts w:hint="eastAsia"/>
                <w:lang w:bidi="ar"/>
              </w:rPr>
              <w:t>1.5</w:t>
            </w:r>
          </w:p>
        </w:tc>
        <w:tc>
          <w:tcPr>
            <w:tcW w:w="512" w:type="pct"/>
            <w:vAlign w:val="center"/>
          </w:tcPr>
          <w:p w14:paraId="23951F0F">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615" w:type="pct"/>
            <w:vAlign w:val="center"/>
          </w:tcPr>
          <w:p w14:paraId="2AD54E47">
            <w:pPr>
              <w:pStyle w:val="50"/>
              <w:spacing w:beforeLines="0" w:afterLines="0" w:line="240" w:lineRule="auto"/>
              <w:rPr>
                <w:szCs w:val="21"/>
                <w:lang w:bidi="ar"/>
              </w:rPr>
            </w:pPr>
            <w:r>
              <w:rPr>
                <w:rFonts w:hint="eastAsia"/>
                <w:lang w:bidi="ar"/>
              </w:rPr>
              <w:t>1.5</w:t>
            </w:r>
          </w:p>
        </w:tc>
        <w:tc>
          <w:tcPr>
            <w:tcW w:w="532" w:type="pct"/>
            <w:vAlign w:val="center"/>
          </w:tcPr>
          <w:p w14:paraId="5428CCBD">
            <w:pPr>
              <w:pStyle w:val="50"/>
              <w:spacing w:beforeLines="0" w:afterLines="0" w:line="240" w:lineRule="auto"/>
              <w:rPr>
                <w:szCs w:val="21"/>
                <w:lang w:bidi="ar"/>
              </w:rPr>
            </w:pPr>
            <w:r>
              <w:rPr>
                <w:rFonts w:hint="eastAsia"/>
                <w:lang w:bidi="ar"/>
              </w:rPr>
              <w:t>1.5</w:t>
            </w:r>
          </w:p>
        </w:tc>
      </w:tr>
      <w:tr w14:paraId="76E01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vAlign w:val="center"/>
          </w:tcPr>
          <w:p w14:paraId="7CB14320">
            <w:pPr>
              <w:pStyle w:val="50"/>
              <w:spacing w:beforeLines="0" w:afterLines="0" w:line="240" w:lineRule="auto"/>
              <w:rPr>
                <w:rFonts w:ascii="Times New Roman"/>
                <w:snapToGrid w:val="0"/>
                <w:kern w:val="21"/>
                <w:szCs w:val="21"/>
                <w:lang w:val="en-US"/>
              </w:rPr>
            </w:pPr>
          </w:p>
        </w:tc>
        <w:tc>
          <w:tcPr>
            <w:tcW w:w="615" w:type="pct"/>
            <w:vAlign w:val="center"/>
          </w:tcPr>
          <w:p w14:paraId="37691B1C">
            <w:pPr>
              <w:widowControl/>
              <w:jc w:val="center"/>
              <w:rPr>
                <w:lang w:bidi="ar"/>
              </w:rPr>
            </w:pPr>
            <w:r>
              <w:rPr>
                <w:rFonts w:hint="eastAsia"/>
                <w:lang w:bidi="ar"/>
              </w:rPr>
              <w:t>生产废水处理设施污泥</w:t>
            </w:r>
          </w:p>
        </w:tc>
        <w:tc>
          <w:tcPr>
            <w:tcW w:w="615" w:type="pct"/>
            <w:vAlign w:val="center"/>
          </w:tcPr>
          <w:p w14:paraId="5641DE02">
            <w:pPr>
              <w:widowControl/>
              <w:jc w:val="center"/>
              <w:rPr>
                <w:snapToGrid w:val="0"/>
                <w:kern w:val="21"/>
              </w:rPr>
            </w:pPr>
            <w:r>
              <w:rPr>
                <w:snapToGrid w:val="0"/>
                <w:kern w:val="21"/>
              </w:rPr>
              <w:t>/</w:t>
            </w:r>
          </w:p>
        </w:tc>
        <w:tc>
          <w:tcPr>
            <w:tcW w:w="461" w:type="pct"/>
            <w:vAlign w:val="center"/>
          </w:tcPr>
          <w:p w14:paraId="37EECE97">
            <w:pPr>
              <w:pStyle w:val="50"/>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615" w:type="pct"/>
            <w:vAlign w:val="center"/>
          </w:tcPr>
          <w:p w14:paraId="5F7844DB">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615" w:type="pct"/>
            <w:vAlign w:val="center"/>
          </w:tcPr>
          <w:p w14:paraId="23F662C5">
            <w:pPr>
              <w:pStyle w:val="50"/>
              <w:spacing w:beforeLines="0" w:afterLines="0" w:line="240" w:lineRule="auto"/>
              <w:rPr>
                <w:bCs/>
                <w:szCs w:val="21"/>
                <w:lang w:bidi="ar"/>
              </w:rPr>
            </w:pPr>
            <w:r>
              <w:rPr>
                <w:rFonts w:hint="eastAsia"/>
                <w:lang w:bidi="ar"/>
              </w:rPr>
              <w:t>4.22</w:t>
            </w:r>
          </w:p>
        </w:tc>
        <w:tc>
          <w:tcPr>
            <w:tcW w:w="512" w:type="pct"/>
            <w:vAlign w:val="center"/>
          </w:tcPr>
          <w:p w14:paraId="3E37F7E8">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615" w:type="pct"/>
            <w:vAlign w:val="center"/>
          </w:tcPr>
          <w:p w14:paraId="042E5F0B">
            <w:pPr>
              <w:pStyle w:val="50"/>
              <w:spacing w:beforeLines="0" w:afterLines="0" w:line="240" w:lineRule="auto"/>
              <w:rPr>
                <w:szCs w:val="21"/>
                <w:lang w:bidi="ar"/>
              </w:rPr>
            </w:pPr>
            <w:r>
              <w:rPr>
                <w:rFonts w:hint="eastAsia"/>
                <w:lang w:bidi="ar"/>
              </w:rPr>
              <w:t>4.22</w:t>
            </w:r>
          </w:p>
        </w:tc>
        <w:tc>
          <w:tcPr>
            <w:tcW w:w="532" w:type="pct"/>
            <w:vAlign w:val="center"/>
          </w:tcPr>
          <w:p w14:paraId="0200E1B9">
            <w:pPr>
              <w:pStyle w:val="50"/>
              <w:spacing w:beforeLines="0" w:afterLines="0" w:line="240" w:lineRule="auto"/>
              <w:rPr>
                <w:szCs w:val="21"/>
                <w:lang w:bidi="ar"/>
              </w:rPr>
            </w:pPr>
            <w:r>
              <w:rPr>
                <w:rFonts w:hint="eastAsia"/>
                <w:lang w:bidi="ar"/>
              </w:rPr>
              <w:t>4.22</w:t>
            </w:r>
          </w:p>
        </w:tc>
      </w:tr>
      <w:tr w14:paraId="77911A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vAlign w:val="center"/>
          </w:tcPr>
          <w:p w14:paraId="0DCEF13B">
            <w:pPr>
              <w:pStyle w:val="50"/>
              <w:spacing w:beforeLines="0" w:afterLines="0" w:line="240" w:lineRule="auto"/>
              <w:rPr>
                <w:rFonts w:ascii="Times New Roman"/>
                <w:snapToGrid w:val="0"/>
                <w:kern w:val="21"/>
                <w:szCs w:val="21"/>
                <w:lang w:val="en-US"/>
              </w:rPr>
            </w:pPr>
          </w:p>
        </w:tc>
        <w:tc>
          <w:tcPr>
            <w:tcW w:w="615" w:type="pct"/>
            <w:vAlign w:val="center"/>
          </w:tcPr>
          <w:p w14:paraId="57091729">
            <w:pPr>
              <w:widowControl/>
              <w:jc w:val="center"/>
              <w:rPr>
                <w:lang w:bidi="ar"/>
              </w:rPr>
            </w:pPr>
            <w:r>
              <w:rPr>
                <w:rFonts w:hint="eastAsia"/>
                <w:lang w:bidi="ar"/>
              </w:rPr>
              <w:t>除尘器收集粉尘</w:t>
            </w:r>
          </w:p>
        </w:tc>
        <w:tc>
          <w:tcPr>
            <w:tcW w:w="615" w:type="pct"/>
            <w:vAlign w:val="center"/>
          </w:tcPr>
          <w:p w14:paraId="12CA589D">
            <w:pPr>
              <w:widowControl/>
              <w:jc w:val="center"/>
              <w:rPr>
                <w:snapToGrid w:val="0"/>
                <w:kern w:val="21"/>
              </w:rPr>
            </w:pPr>
            <w:r>
              <w:rPr>
                <w:snapToGrid w:val="0"/>
                <w:kern w:val="21"/>
              </w:rPr>
              <w:t>/</w:t>
            </w:r>
          </w:p>
        </w:tc>
        <w:tc>
          <w:tcPr>
            <w:tcW w:w="461" w:type="pct"/>
            <w:vAlign w:val="center"/>
          </w:tcPr>
          <w:p w14:paraId="77B634E8">
            <w:pPr>
              <w:pStyle w:val="50"/>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615" w:type="pct"/>
            <w:vAlign w:val="center"/>
          </w:tcPr>
          <w:p w14:paraId="24189920">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615" w:type="pct"/>
            <w:vAlign w:val="center"/>
          </w:tcPr>
          <w:p w14:paraId="5EB72961">
            <w:pPr>
              <w:pStyle w:val="50"/>
              <w:spacing w:beforeLines="0" w:afterLines="0" w:line="240" w:lineRule="auto"/>
              <w:rPr>
                <w:bCs/>
                <w:szCs w:val="21"/>
                <w:lang w:bidi="ar"/>
              </w:rPr>
            </w:pPr>
            <w:r>
              <w:rPr>
                <w:rFonts w:hint="eastAsia"/>
                <w:lang w:bidi="ar"/>
              </w:rPr>
              <w:t>0.0063</w:t>
            </w:r>
          </w:p>
        </w:tc>
        <w:tc>
          <w:tcPr>
            <w:tcW w:w="512" w:type="pct"/>
            <w:vAlign w:val="center"/>
          </w:tcPr>
          <w:p w14:paraId="33BB5664">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615" w:type="pct"/>
            <w:vAlign w:val="center"/>
          </w:tcPr>
          <w:p w14:paraId="34EE003D">
            <w:pPr>
              <w:pStyle w:val="50"/>
              <w:spacing w:beforeLines="0" w:afterLines="0" w:line="240" w:lineRule="auto"/>
              <w:rPr>
                <w:szCs w:val="21"/>
                <w:lang w:bidi="ar"/>
              </w:rPr>
            </w:pPr>
            <w:r>
              <w:rPr>
                <w:rFonts w:hint="eastAsia"/>
                <w:lang w:bidi="ar"/>
              </w:rPr>
              <w:t>0.0063</w:t>
            </w:r>
          </w:p>
        </w:tc>
        <w:tc>
          <w:tcPr>
            <w:tcW w:w="532" w:type="pct"/>
            <w:vAlign w:val="center"/>
          </w:tcPr>
          <w:p w14:paraId="298BE9B2">
            <w:pPr>
              <w:pStyle w:val="50"/>
              <w:spacing w:beforeLines="0" w:afterLines="0" w:line="240" w:lineRule="auto"/>
              <w:rPr>
                <w:szCs w:val="21"/>
                <w:lang w:bidi="ar"/>
              </w:rPr>
            </w:pPr>
            <w:r>
              <w:rPr>
                <w:rFonts w:hint="eastAsia"/>
                <w:lang w:bidi="ar"/>
              </w:rPr>
              <w:t>0.0063</w:t>
            </w:r>
          </w:p>
        </w:tc>
      </w:tr>
      <w:tr w14:paraId="22DD7F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20" w:type="pct"/>
            <w:vMerge w:val="continue"/>
            <w:vAlign w:val="center"/>
          </w:tcPr>
          <w:p w14:paraId="14BAE282">
            <w:pPr>
              <w:pStyle w:val="50"/>
              <w:spacing w:beforeLines="0" w:afterLines="0" w:line="240" w:lineRule="auto"/>
              <w:rPr>
                <w:rFonts w:ascii="Times New Roman"/>
                <w:snapToGrid w:val="0"/>
                <w:kern w:val="21"/>
                <w:szCs w:val="21"/>
                <w:lang w:val="en-US"/>
              </w:rPr>
            </w:pPr>
          </w:p>
        </w:tc>
        <w:tc>
          <w:tcPr>
            <w:tcW w:w="615" w:type="pct"/>
            <w:vAlign w:val="center"/>
          </w:tcPr>
          <w:p w14:paraId="60904ACC">
            <w:pPr>
              <w:widowControl/>
              <w:jc w:val="center"/>
              <w:rPr>
                <w:lang w:bidi="ar"/>
              </w:rPr>
            </w:pPr>
            <w:r>
              <w:rPr>
                <w:rFonts w:hint="eastAsia"/>
                <w:lang w:bidi="ar"/>
              </w:rPr>
              <w:t>生活垃圾</w:t>
            </w:r>
          </w:p>
        </w:tc>
        <w:tc>
          <w:tcPr>
            <w:tcW w:w="615" w:type="pct"/>
            <w:vAlign w:val="center"/>
          </w:tcPr>
          <w:p w14:paraId="1A926F72">
            <w:pPr>
              <w:widowControl/>
              <w:jc w:val="center"/>
              <w:rPr>
                <w:snapToGrid w:val="0"/>
                <w:kern w:val="21"/>
              </w:rPr>
            </w:pPr>
            <w:r>
              <w:rPr>
                <w:snapToGrid w:val="0"/>
                <w:kern w:val="21"/>
              </w:rPr>
              <w:t>/</w:t>
            </w:r>
          </w:p>
        </w:tc>
        <w:tc>
          <w:tcPr>
            <w:tcW w:w="461" w:type="pct"/>
            <w:vAlign w:val="center"/>
          </w:tcPr>
          <w:p w14:paraId="7ECA1B23">
            <w:pPr>
              <w:pStyle w:val="50"/>
              <w:spacing w:beforeLines="0" w:afterLines="0" w:line="240" w:lineRule="auto"/>
              <w:rPr>
                <w:rFonts w:ascii="Times New Roman"/>
                <w:snapToGrid w:val="0"/>
                <w:kern w:val="21"/>
                <w:szCs w:val="21"/>
                <w:lang w:val="en-US"/>
              </w:rPr>
            </w:pPr>
            <w:r>
              <w:rPr>
                <w:rFonts w:hint="eastAsia" w:ascii="Times New Roman"/>
                <w:snapToGrid w:val="0"/>
                <w:kern w:val="21"/>
                <w:szCs w:val="21"/>
                <w:lang w:val="en-US"/>
              </w:rPr>
              <w:t>/</w:t>
            </w:r>
          </w:p>
        </w:tc>
        <w:tc>
          <w:tcPr>
            <w:tcW w:w="615" w:type="pct"/>
            <w:vAlign w:val="center"/>
          </w:tcPr>
          <w:p w14:paraId="2A800CCB">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615" w:type="pct"/>
            <w:vAlign w:val="center"/>
          </w:tcPr>
          <w:p w14:paraId="0D77A3FC">
            <w:pPr>
              <w:pStyle w:val="50"/>
              <w:spacing w:beforeLines="0" w:afterLines="0" w:line="240" w:lineRule="auto"/>
              <w:rPr>
                <w:bCs/>
                <w:szCs w:val="21"/>
                <w:lang w:bidi="ar"/>
              </w:rPr>
            </w:pPr>
            <w:r>
              <w:rPr>
                <w:rFonts w:hint="eastAsia"/>
                <w:lang w:bidi="ar"/>
              </w:rPr>
              <w:t>9</w:t>
            </w:r>
          </w:p>
        </w:tc>
        <w:tc>
          <w:tcPr>
            <w:tcW w:w="512" w:type="pct"/>
            <w:vAlign w:val="center"/>
          </w:tcPr>
          <w:p w14:paraId="41DAC507">
            <w:pPr>
              <w:pStyle w:val="50"/>
              <w:spacing w:beforeLines="0" w:afterLines="0" w:line="240" w:lineRule="auto"/>
              <w:rPr>
                <w:rFonts w:ascii="Times New Roman"/>
                <w:snapToGrid w:val="0"/>
                <w:kern w:val="21"/>
                <w:szCs w:val="21"/>
                <w:lang w:val="en-US"/>
              </w:rPr>
            </w:pPr>
            <w:r>
              <w:rPr>
                <w:rFonts w:ascii="Times New Roman"/>
                <w:snapToGrid w:val="0"/>
                <w:kern w:val="21"/>
                <w:szCs w:val="21"/>
                <w:lang w:val="en-US"/>
              </w:rPr>
              <w:t>/</w:t>
            </w:r>
          </w:p>
        </w:tc>
        <w:tc>
          <w:tcPr>
            <w:tcW w:w="615" w:type="pct"/>
            <w:vAlign w:val="center"/>
          </w:tcPr>
          <w:p w14:paraId="00C56627">
            <w:pPr>
              <w:pStyle w:val="50"/>
              <w:spacing w:beforeLines="0" w:afterLines="0" w:line="240" w:lineRule="auto"/>
              <w:rPr>
                <w:szCs w:val="21"/>
                <w:lang w:bidi="ar"/>
              </w:rPr>
            </w:pPr>
            <w:r>
              <w:rPr>
                <w:rFonts w:hint="eastAsia"/>
                <w:lang w:bidi="ar"/>
              </w:rPr>
              <w:t>9</w:t>
            </w:r>
          </w:p>
        </w:tc>
        <w:tc>
          <w:tcPr>
            <w:tcW w:w="532" w:type="pct"/>
            <w:vAlign w:val="center"/>
          </w:tcPr>
          <w:p w14:paraId="2FEC9A05">
            <w:pPr>
              <w:pStyle w:val="50"/>
              <w:spacing w:beforeLines="0" w:afterLines="0" w:line="240" w:lineRule="auto"/>
              <w:rPr>
                <w:szCs w:val="21"/>
                <w:lang w:bidi="ar"/>
              </w:rPr>
            </w:pPr>
            <w:r>
              <w:rPr>
                <w:rFonts w:hint="eastAsia"/>
                <w:lang w:bidi="ar"/>
              </w:rPr>
              <w:t>9</w:t>
            </w:r>
          </w:p>
        </w:tc>
      </w:tr>
    </w:tbl>
    <w:p w14:paraId="7405D8A3">
      <w:pPr>
        <w:pStyle w:val="50"/>
        <w:spacing w:before="192" w:beforeLines="80" w:after="24"/>
        <w:ind w:firstLine="420"/>
        <w:jc w:val="left"/>
        <w:rPr>
          <w:rFonts w:hint="eastAsia" w:hAnsi="宋体"/>
          <w:snapToGrid w:val="0"/>
          <w:spacing w:val="-6"/>
          <w:kern w:val="21"/>
          <w:szCs w:val="21"/>
          <w:lang w:val="en-US"/>
        </w:rPr>
      </w:pPr>
      <w:r>
        <w:rPr>
          <w:rFonts w:hAnsi="宋体"/>
          <w:snapToGrid w:val="0"/>
          <w:kern w:val="21"/>
          <w:szCs w:val="21"/>
        </w:rPr>
        <w:t>注</w:t>
      </w:r>
      <w:r>
        <w:rPr>
          <w:rFonts w:hAnsi="宋体"/>
          <w:snapToGrid w:val="0"/>
          <w:kern w:val="21"/>
          <w:szCs w:val="21"/>
          <w:lang w:val="en-US"/>
        </w:rPr>
        <w:t>：</w:t>
      </w:r>
      <w:r>
        <w:rPr>
          <w:rFonts w:hAnsi="宋体"/>
          <w:snapToGrid w:val="0"/>
          <w:spacing w:val="-16"/>
          <w:kern w:val="21"/>
          <w:szCs w:val="21"/>
        </w:rPr>
        <w:fldChar w:fldCharType="begin"/>
      </w:r>
      <w:r>
        <w:rPr>
          <w:rFonts w:hAnsi="宋体"/>
          <w:snapToGrid w:val="0"/>
          <w:spacing w:val="-16"/>
          <w:kern w:val="21"/>
          <w:szCs w:val="21"/>
          <w:lang w:val="en-US"/>
        </w:rPr>
        <w:instrText xml:space="preserve"> = 6 \* GB3 \* MERGEFORMAT </w:instrText>
      </w:r>
      <w:r>
        <w:rPr>
          <w:rFonts w:hAnsi="宋体"/>
          <w:snapToGrid w:val="0"/>
          <w:spacing w:val="-16"/>
          <w:kern w:val="21"/>
          <w:szCs w:val="21"/>
        </w:rPr>
        <w:fldChar w:fldCharType="separate"/>
      </w:r>
      <w:r>
        <w:rPr>
          <w:rFonts w:hint="eastAsia" w:hAnsi="宋体"/>
          <w:szCs w:val="21"/>
          <w:lang w:val="en-US"/>
        </w:rPr>
        <w:t>⑥</w:t>
      </w:r>
      <w:r>
        <w:rPr>
          <w:rFonts w:hAnsi="宋体"/>
          <w:snapToGrid w:val="0"/>
          <w:spacing w:val="-16"/>
          <w:kern w:val="21"/>
          <w:szCs w:val="21"/>
        </w:rPr>
        <w:fldChar w:fldCharType="end"/>
      </w:r>
      <w:r>
        <w:rPr>
          <w:rFonts w:hAnsi="宋体"/>
          <w:snapToGrid w:val="0"/>
          <w:spacing w:val="-16"/>
          <w:kern w:val="21"/>
          <w:szCs w:val="21"/>
          <w:lang w:val="en-US"/>
        </w:rPr>
        <w:t>=</w:t>
      </w:r>
      <w:r>
        <w:rPr>
          <w:rFonts w:hAnsi="宋体"/>
          <w:snapToGrid w:val="0"/>
          <w:spacing w:val="-6"/>
          <w:kern w:val="21"/>
          <w:szCs w:val="21"/>
        </w:rPr>
        <w:fldChar w:fldCharType="begin"/>
      </w:r>
      <w:r>
        <w:rPr>
          <w:rFonts w:hAnsi="宋体"/>
          <w:snapToGrid w:val="0"/>
          <w:spacing w:val="-6"/>
          <w:kern w:val="21"/>
          <w:szCs w:val="21"/>
          <w:lang w:val="en-US"/>
        </w:rPr>
        <w:instrText xml:space="preserve"> = 1 \* GB3 \* MERGEFORMAT </w:instrText>
      </w:r>
      <w:r>
        <w:rPr>
          <w:rFonts w:hAnsi="宋体"/>
          <w:snapToGrid w:val="0"/>
          <w:spacing w:val="-6"/>
          <w:kern w:val="21"/>
          <w:szCs w:val="21"/>
        </w:rPr>
        <w:fldChar w:fldCharType="separate"/>
      </w:r>
      <w:r>
        <w:rPr>
          <w:rFonts w:hint="eastAsia" w:hAnsi="宋体"/>
          <w:szCs w:val="21"/>
          <w:lang w:val="en-US"/>
        </w:rPr>
        <w:t>①</w:t>
      </w:r>
      <w:r>
        <w:rPr>
          <w:rFonts w:hAnsi="宋体"/>
          <w:snapToGrid w:val="0"/>
          <w:spacing w:val="-6"/>
          <w:kern w:val="21"/>
          <w:szCs w:val="21"/>
        </w:rPr>
        <w:fldChar w:fldCharType="end"/>
      </w:r>
      <w:r>
        <w:rPr>
          <w:rFonts w:hAnsi="宋体"/>
          <w:snapToGrid w:val="0"/>
          <w:spacing w:val="-6"/>
          <w:kern w:val="21"/>
          <w:szCs w:val="21"/>
          <w:lang w:val="en-US"/>
        </w:rPr>
        <w:t>+</w:t>
      </w:r>
      <w:r>
        <w:rPr>
          <w:rFonts w:hAnsi="宋体"/>
          <w:snapToGrid w:val="0"/>
          <w:spacing w:val="-6"/>
          <w:kern w:val="21"/>
          <w:szCs w:val="21"/>
        </w:rPr>
        <w:fldChar w:fldCharType="begin"/>
      </w:r>
      <w:r>
        <w:rPr>
          <w:rFonts w:hAnsi="宋体"/>
          <w:snapToGrid w:val="0"/>
          <w:spacing w:val="-6"/>
          <w:kern w:val="21"/>
          <w:szCs w:val="21"/>
          <w:lang w:val="en-US"/>
        </w:rPr>
        <w:instrText xml:space="preserve"> = 3 \* GB3 \* MERGEFORMAT </w:instrText>
      </w:r>
      <w:r>
        <w:rPr>
          <w:rFonts w:hAnsi="宋体"/>
          <w:snapToGrid w:val="0"/>
          <w:spacing w:val="-6"/>
          <w:kern w:val="21"/>
          <w:szCs w:val="21"/>
        </w:rPr>
        <w:fldChar w:fldCharType="separate"/>
      </w:r>
      <w:r>
        <w:rPr>
          <w:rFonts w:hint="eastAsia" w:hAnsi="宋体"/>
          <w:szCs w:val="21"/>
          <w:lang w:val="en-US"/>
        </w:rPr>
        <w:t>③</w:t>
      </w:r>
      <w:r>
        <w:rPr>
          <w:rFonts w:hAnsi="宋体"/>
          <w:snapToGrid w:val="0"/>
          <w:spacing w:val="-6"/>
          <w:kern w:val="21"/>
          <w:szCs w:val="21"/>
        </w:rPr>
        <w:fldChar w:fldCharType="end"/>
      </w:r>
      <w:r>
        <w:rPr>
          <w:rFonts w:hAnsi="宋体"/>
          <w:snapToGrid w:val="0"/>
          <w:spacing w:val="-6"/>
          <w:kern w:val="21"/>
          <w:szCs w:val="21"/>
          <w:lang w:val="en-US"/>
        </w:rPr>
        <w:t>+</w:t>
      </w:r>
      <w:r>
        <w:rPr>
          <w:rFonts w:hAnsi="宋体"/>
          <w:snapToGrid w:val="0"/>
          <w:spacing w:val="-6"/>
          <w:kern w:val="21"/>
          <w:szCs w:val="21"/>
        </w:rPr>
        <w:fldChar w:fldCharType="begin"/>
      </w:r>
      <w:r>
        <w:rPr>
          <w:rFonts w:hAnsi="宋体"/>
          <w:snapToGrid w:val="0"/>
          <w:spacing w:val="-6"/>
          <w:kern w:val="21"/>
          <w:szCs w:val="21"/>
          <w:lang w:val="en-US"/>
        </w:rPr>
        <w:instrText xml:space="preserve"> = 4 \* GB3 \* MERGEFORMAT </w:instrText>
      </w:r>
      <w:r>
        <w:rPr>
          <w:rFonts w:hAnsi="宋体"/>
          <w:snapToGrid w:val="0"/>
          <w:spacing w:val="-6"/>
          <w:kern w:val="21"/>
          <w:szCs w:val="21"/>
        </w:rPr>
        <w:fldChar w:fldCharType="separate"/>
      </w:r>
      <w:r>
        <w:rPr>
          <w:rFonts w:hint="eastAsia" w:hAnsi="宋体"/>
          <w:szCs w:val="21"/>
          <w:lang w:val="en-US"/>
        </w:rPr>
        <w:t>④</w:t>
      </w:r>
      <w:r>
        <w:rPr>
          <w:rFonts w:hAnsi="宋体"/>
          <w:snapToGrid w:val="0"/>
          <w:spacing w:val="-6"/>
          <w:kern w:val="21"/>
          <w:szCs w:val="21"/>
        </w:rPr>
        <w:fldChar w:fldCharType="end"/>
      </w:r>
      <w:r>
        <w:rPr>
          <w:rFonts w:hAnsi="宋体"/>
          <w:snapToGrid w:val="0"/>
          <w:spacing w:val="-6"/>
          <w:kern w:val="21"/>
          <w:szCs w:val="21"/>
          <w:lang w:val="en-US"/>
        </w:rPr>
        <w:t>-</w:t>
      </w:r>
      <w:r>
        <w:rPr>
          <w:rFonts w:hAnsi="宋体"/>
          <w:snapToGrid w:val="0"/>
          <w:spacing w:val="-16"/>
          <w:kern w:val="21"/>
          <w:szCs w:val="21"/>
        </w:rPr>
        <w:fldChar w:fldCharType="begin"/>
      </w:r>
      <w:r>
        <w:rPr>
          <w:rFonts w:hAnsi="宋体"/>
          <w:snapToGrid w:val="0"/>
          <w:spacing w:val="-16"/>
          <w:kern w:val="21"/>
          <w:szCs w:val="21"/>
          <w:lang w:val="en-US"/>
        </w:rPr>
        <w:instrText xml:space="preserve"> = 5 \* GB3 \* MERGEFORMAT </w:instrText>
      </w:r>
      <w:r>
        <w:rPr>
          <w:rFonts w:hAnsi="宋体"/>
          <w:snapToGrid w:val="0"/>
          <w:spacing w:val="-16"/>
          <w:kern w:val="21"/>
          <w:szCs w:val="21"/>
        </w:rPr>
        <w:fldChar w:fldCharType="separate"/>
      </w:r>
      <w:r>
        <w:rPr>
          <w:rFonts w:hint="eastAsia" w:hAnsi="宋体"/>
          <w:szCs w:val="21"/>
          <w:lang w:val="en-US"/>
        </w:rPr>
        <w:t>⑤</w:t>
      </w:r>
      <w:r>
        <w:rPr>
          <w:rFonts w:hAnsi="宋体"/>
          <w:snapToGrid w:val="0"/>
          <w:spacing w:val="-16"/>
          <w:kern w:val="21"/>
          <w:szCs w:val="21"/>
        </w:rPr>
        <w:fldChar w:fldCharType="end"/>
      </w:r>
      <w:r>
        <w:rPr>
          <w:rFonts w:hAnsi="宋体"/>
          <w:snapToGrid w:val="0"/>
          <w:spacing w:val="-16"/>
          <w:kern w:val="21"/>
          <w:szCs w:val="21"/>
          <w:lang w:val="en-US"/>
        </w:rPr>
        <w:t>；</w:t>
      </w:r>
      <w:r>
        <w:rPr>
          <w:rFonts w:hAnsi="宋体"/>
          <w:snapToGrid w:val="0"/>
          <w:spacing w:val="-6"/>
          <w:kern w:val="21"/>
          <w:szCs w:val="21"/>
        </w:rPr>
        <w:fldChar w:fldCharType="begin"/>
      </w:r>
      <w:r>
        <w:rPr>
          <w:rFonts w:hAnsi="宋体"/>
          <w:snapToGrid w:val="0"/>
          <w:spacing w:val="-6"/>
          <w:kern w:val="21"/>
          <w:szCs w:val="21"/>
          <w:lang w:val="en-US"/>
        </w:rPr>
        <w:instrText xml:space="preserve"> = 7 \* GB3 \* MERGEFORMAT </w:instrText>
      </w:r>
      <w:r>
        <w:rPr>
          <w:rFonts w:hAnsi="宋体"/>
          <w:snapToGrid w:val="0"/>
          <w:spacing w:val="-6"/>
          <w:kern w:val="21"/>
          <w:szCs w:val="21"/>
        </w:rPr>
        <w:fldChar w:fldCharType="separate"/>
      </w:r>
      <w:r>
        <w:rPr>
          <w:rFonts w:hint="eastAsia" w:hAnsi="宋体"/>
          <w:szCs w:val="21"/>
          <w:lang w:val="en-US"/>
        </w:rPr>
        <w:t>⑦</w:t>
      </w:r>
      <w:r>
        <w:rPr>
          <w:rFonts w:hAnsi="宋体"/>
          <w:snapToGrid w:val="0"/>
          <w:spacing w:val="-6"/>
          <w:kern w:val="21"/>
          <w:szCs w:val="21"/>
        </w:rPr>
        <w:fldChar w:fldCharType="end"/>
      </w:r>
      <w:r>
        <w:rPr>
          <w:rFonts w:hAnsi="宋体"/>
          <w:snapToGrid w:val="0"/>
          <w:spacing w:val="-6"/>
          <w:kern w:val="21"/>
          <w:szCs w:val="21"/>
          <w:lang w:val="en-US"/>
        </w:rPr>
        <w:t>=</w:t>
      </w:r>
      <w:r>
        <w:rPr>
          <w:rFonts w:hAnsi="宋体"/>
          <w:snapToGrid w:val="0"/>
          <w:spacing w:val="-16"/>
          <w:kern w:val="21"/>
          <w:szCs w:val="21"/>
        </w:rPr>
        <w:fldChar w:fldCharType="begin"/>
      </w:r>
      <w:r>
        <w:rPr>
          <w:rFonts w:hAnsi="宋体"/>
          <w:snapToGrid w:val="0"/>
          <w:spacing w:val="-16"/>
          <w:kern w:val="21"/>
          <w:szCs w:val="21"/>
          <w:lang w:val="en-US"/>
        </w:rPr>
        <w:instrText xml:space="preserve"> = 6 \* GB3 \* MERGEFORMAT </w:instrText>
      </w:r>
      <w:r>
        <w:rPr>
          <w:rFonts w:hAnsi="宋体"/>
          <w:snapToGrid w:val="0"/>
          <w:spacing w:val="-16"/>
          <w:kern w:val="21"/>
          <w:szCs w:val="21"/>
        </w:rPr>
        <w:fldChar w:fldCharType="separate"/>
      </w:r>
      <w:r>
        <w:rPr>
          <w:rFonts w:hint="eastAsia" w:hAnsi="宋体"/>
          <w:szCs w:val="21"/>
          <w:lang w:val="en-US"/>
        </w:rPr>
        <w:t>⑥</w:t>
      </w:r>
      <w:r>
        <w:rPr>
          <w:rFonts w:hAnsi="宋体"/>
          <w:snapToGrid w:val="0"/>
          <w:spacing w:val="-16"/>
          <w:kern w:val="21"/>
          <w:szCs w:val="21"/>
        </w:rPr>
        <w:fldChar w:fldCharType="end"/>
      </w:r>
      <w:r>
        <w:rPr>
          <w:rFonts w:hAnsi="宋体"/>
          <w:snapToGrid w:val="0"/>
          <w:spacing w:val="-16"/>
          <w:kern w:val="21"/>
          <w:szCs w:val="21"/>
          <w:lang w:val="en-US"/>
        </w:rPr>
        <w:t>-</w:t>
      </w:r>
      <w:r>
        <w:rPr>
          <w:rFonts w:hAnsi="宋体"/>
          <w:snapToGrid w:val="0"/>
          <w:spacing w:val="-6"/>
          <w:kern w:val="21"/>
          <w:szCs w:val="21"/>
        </w:rPr>
        <w:fldChar w:fldCharType="begin"/>
      </w:r>
      <w:r>
        <w:rPr>
          <w:rFonts w:hAnsi="宋体"/>
          <w:snapToGrid w:val="0"/>
          <w:spacing w:val="-6"/>
          <w:kern w:val="21"/>
          <w:szCs w:val="21"/>
          <w:lang w:val="en-US"/>
        </w:rPr>
        <w:instrText xml:space="preserve"> = 1 \* GB3 \* MERGEFORMAT </w:instrText>
      </w:r>
      <w:r>
        <w:rPr>
          <w:rFonts w:hAnsi="宋体"/>
          <w:snapToGrid w:val="0"/>
          <w:spacing w:val="-6"/>
          <w:kern w:val="21"/>
          <w:szCs w:val="21"/>
        </w:rPr>
        <w:fldChar w:fldCharType="separate"/>
      </w:r>
      <w:r>
        <w:rPr>
          <w:rFonts w:hint="eastAsia" w:hAnsi="宋体"/>
          <w:szCs w:val="21"/>
          <w:lang w:val="en-US"/>
        </w:rPr>
        <w:t>①</w:t>
      </w:r>
      <w:r>
        <w:rPr>
          <w:rFonts w:hAnsi="宋体"/>
          <w:snapToGrid w:val="0"/>
          <w:spacing w:val="-6"/>
          <w:kern w:val="21"/>
          <w:szCs w:val="21"/>
        </w:rPr>
        <w:fldChar w:fldCharType="end"/>
      </w:r>
    </w:p>
    <w:sectPr>
      <w:pgSz w:w="16838" w:h="11906" w:orient="landscape"/>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TimesNewRomanPS-BoldMT">
    <w:altName w:val="微软雅黑"/>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20B0504020202020204"/>
    <w:charset w:val="00"/>
    <w:family w:val="roman"/>
    <w:pitch w:val="default"/>
    <w:sig w:usb0="00000000" w:usb1="00000000" w:usb2="00000000" w:usb3="00000000" w:csb0="00000001" w:csb1="00000000"/>
  </w:font>
  <w:font w:name="方正小标宋_GBK">
    <w:altName w:val="微软雅黑"/>
    <w:panose1 w:val="00000000000000000000"/>
    <w:charset w:val="86"/>
    <w:family w:val="script"/>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FC5F2">
    <w:pPr>
      <w:pStyle w:val="1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10CDB">
    <w:pPr>
      <w:pStyle w:val="11"/>
      <w:framePr w:wrap="around" w:vAnchor="text" w:hAnchor="margin" w:xAlign="center" w:y="1"/>
      <w:rPr>
        <w:rStyle w:val="31"/>
      </w:rPr>
    </w:pPr>
    <w:r>
      <w:fldChar w:fldCharType="begin"/>
    </w:r>
    <w:r>
      <w:rPr>
        <w:rStyle w:val="31"/>
      </w:rPr>
      <w:instrText xml:space="preserve">PAGE  </w:instrText>
    </w:r>
    <w:r>
      <w:fldChar w:fldCharType="separate"/>
    </w:r>
    <w:r>
      <w:rPr>
        <w:rStyle w:val="31"/>
      </w:rPr>
      <w:t>7</w:t>
    </w:r>
    <w:r>
      <w:fldChar w:fldCharType="end"/>
    </w:r>
  </w:p>
  <w:p w14:paraId="64D6F437">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40483">
    <w:pPr>
      <w:pStyle w:val="11"/>
      <w:ind w:firstLine="360"/>
      <w:jc w:val="center"/>
    </w:pPr>
    <w:r>
      <w:fldChar w:fldCharType="begin"/>
    </w:r>
    <w:r>
      <w:instrText xml:space="preserve">PAGE   \* MERGEFORMAT</w:instrText>
    </w:r>
    <w:r>
      <w:fldChar w:fldCharType="separate"/>
    </w:r>
    <w:r>
      <w:t>18</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UzY2E4Mzg5YmZjMzcxNGU1NzY5YmQ2NDA1YTE1MzIifQ=="/>
  </w:docVars>
  <w:rsids>
    <w:rsidRoot w:val="00A14947"/>
    <w:rsid w:val="000004F1"/>
    <w:rsid w:val="00000C78"/>
    <w:rsid w:val="00001C98"/>
    <w:rsid w:val="000021BC"/>
    <w:rsid w:val="00002787"/>
    <w:rsid w:val="00002D94"/>
    <w:rsid w:val="00003129"/>
    <w:rsid w:val="00003678"/>
    <w:rsid w:val="0000389B"/>
    <w:rsid w:val="00003F41"/>
    <w:rsid w:val="000043E3"/>
    <w:rsid w:val="00004BDE"/>
    <w:rsid w:val="00005359"/>
    <w:rsid w:val="000056BC"/>
    <w:rsid w:val="00005E3E"/>
    <w:rsid w:val="000060B3"/>
    <w:rsid w:val="000075A4"/>
    <w:rsid w:val="00007DED"/>
    <w:rsid w:val="00007DFE"/>
    <w:rsid w:val="00010DC1"/>
    <w:rsid w:val="0001133A"/>
    <w:rsid w:val="000116ED"/>
    <w:rsid w:val="000118BD"/>
    <w:rsid w:val="000118F6"/>
    <w:rsid w:val="00011CB6"/>
    <w:rsid w:val="0001220B"/>
    <w:rsid w:val="000125DE"/>
    <w:rsid w:val="00012F59"/>
    <w:rsid w:val="000137F3"/>
    <w:rsid w:val="00013F6E"/>
    <w:rsid w:val="00013FE2"/>
    <w:rsid w:val="000143E9"/>
    <w:rsid w:val="000145A0"/>
    <w:rsid w:val="00014C8B"/>
    <w:rsid w:val="00014E86"/>
    <w:rsid w:val="0001509D"/>
    <w:rsid w:val="000150A4"/>
    <w:rsid w:val="000150EE"/>
    <w:rsid w:val="00016157"/>
    <w:rsid w:val="0001699F"/>
    <w:rsid w:val="00017231"/>
    <w:rsid w:val="000172AE"/>
    <w:rsid w:val="00017946"/>
    <w:rsid w:val="00017E46"/>
    <w:rsid w:val="00020974"/>
    <w:rsid w:val="00020F06"/>
    <w:rsid w:val="0002128F"/>
    <w:rsid w:val="0002144E"/>
    <w:rsid w:val="000217A9"/>
    <w:rsid w:val="00021C66"/>
    <w:rsid w:val="00021DB3"/>
    <w:rsid w:val="00022B96"/>
    <w:rsid w:val="00023183"/>
    <w:rsid w:val="00023A1E"/>
    <w:rsid w:val="00023DD0"/>
    <w:rsid w:val="0002453F"/>
    <w:rsid w:val="00024F7B"/>
    <w:rsid w:val="00025296"/>
    <w:rsid w:val="00026761"/>
    <w:rsid w:val="00026F13"/>
    <w:rsid w:val="00027082"/>
    <w:rsid w:val="0002786A"/>
    <w:rsid w:val="0003102A"/>
    <w:rsid w:val="000317D0"/>
    <w:rsid w:val="00032D82"/>
    <w:rsid w:val="000330BA"/>
    <w:rsid w:val="00035761"/>
    <w:rsid w:val="000358A5"/>
    <w:rsid w:val="00035B81"/>
    <w:rsid w:val="00037869"/>
    <w:rsid w:val="00040704"/>
    <w:rsid w:val="0004099E"/>
    <w:rsid w:val="000419DF"/>
    <w:rsid w:val="000427A5"/>
    <w:rsid w:val="00042B1B"/>
    <w:rsid w:val="00042B1F"/>
    <w:rsid w:val="00042B57"/>
    <w:rsid w:val="0004364B"/>
    <w:rsid w:val="000437F9"/>
    <w:rsid w:val="00044261"/>
    <w:rsid w:val="00045A1D"/>
    <w:rsid w:val="00045BF1"/>
    <w:rsid w:val="00045E70"/>
    <w:rsid w:val="00045EC8"/>
    <w:rsid w:val="0004662E"/>
    <w:rsid w:val="0004695B"/>
    <w:rsid w:val="00046A0C"/>
    <w:rsid w:val="00046D4A"/>
    <w:rsid w:val="00046D84"/>
    <w:rsid w:val="00046E22"/>
    <w:rsid w:val="0004774F"/>
    <w:rsid w:val="00047B7C"/>
    <w:rsid w:val="00047F9A"/>
    <w:rsid w:val="00050D66"/>
    <w:rsid w:val="000511E7"/>
    <w:rsid w:val="000513AB"/>
    <w:rsid w:val="00051683"/>
    <w:rsid w:val="000519A4"/>
    <w:rsid w:val="00051F9A"/>
    <w:rsid w:val="00052CFB"/>
    <w:rsid w:val="000539B3"/>
    <w:rsid w:val="00054115"/>
    <w:rsid w:val="00054493"/>
    <w:rsid w:val="00054D55"/>
    <w:rsid w:val="0005517A"/>
    <w:rsid w:val="00055BB1"/>
    <w:rsid w:val="0005602C"/>
    <w:rsid w:val="00056937"/>
    <w:rsid w:val="00057088"/>
    <w:rsid w:val="00057692"/>
    <w:rsid w:val="00057D77"/>
    <w:rsid w:val="00057F15"/>
    <w:rsid w:val="000619C3"/>
    <w:rsid w:val="00061B1F"/>
    <w:rsid w:val="00062257"/>
    <w:rsid w:val="00062915"/>
    <w:rsid w:val="00063036"/>
    <w:rsid w:val="000633C6"/>
    <w:rsid w:val="000637F0"/>
    <w:rsid w:val="0006408A"/>
    <w:rsid w:val="000644D2"/>
    <w:rsid w:val="00064E0B"/>
    <w:rsid w:val="00065B56"/>
    <w:rsid w:val="00066611"/>
    <w:rsid w:val="00066F90"/>
    <w:rsid w:val="0006725D"/>
    <w:rsid w:val="000673E2"/>
    <w:rsid w:val="00070006"/>
    <w:rsid w:val="000702A2"/>
    <w:rsid w:val="00071EFA"/>
    <w:rsid w:val="000722BE"/>
    <w:rsid w:val="00072A60"/>
    <w:rsid w:val="000731BC"/>
    <w:rsid w:val="000731C9"/>
    <w:rsid w:val="000733C4"/>
    <w:rsid w:val="00073D51"/>
    <w:rsid w:val="00073F68"/>
    <w:rsid w:val="00074174"/>
    <w:rsid w:val="0007445E"/>
    <w:rsid w:val="00074743"/>
    <w:rsid w:val="00074783"/>
    <w:rsid w:val="00074B13"/>
    <w:rsid w:val="00074E8B"/>
    <w:rsid w:val="00075690"/>
    <w:rsid w:val="0007621A"/>
    <w:rsid w:val="00076F2D"/>
    <w:rsid w:val="00077C5D"/>
    <w:rsid w:val="0008070B"/>
    <w:rsid w:val="0008071C"/>
    <w:rsid w:val="00080876"/>
    <w:rsid w:val="00080C32"/>
    <w:rsid w:val="000810AC"/>
    <w:rsid w:val="00081735"/>
    <w:rsid w:val="00081A02"/>
    <w:rsid w:val="00081BA3"/>
    <w:rsid w:val="00082231"/>
    <w:rsid w:val="000825D5"/>
    <w:rsid w:val="00082682"/>
    <w:rsid w:val="00082EE9"/>
    <w:rsid w:val="00082F80"/>
    <w:rsid w:val="00083727"/>
    <w:rsid w:val="000846D0"/>
    <w:rsid w:val="000855D1"/>
    <w:rsid w:val="00086826"/>
    <w:rsid w:val="00086E9E"/>
    <w:rsid w:val="0008723E"/>
    <w:rsid w:val="000877A7"/>
    <w:rsid w:val="00087C1F"/>
    <w:rsid w:val="00090614"/>
    <w:rsid w:val="00090BF5"/>
    <w:rsid w:val="00091845"/>
    <w:rsid w:val="00092352"/>
    <w:rsid w:val="0009290D"/>
    <w:rsid w:val="00092B8B"/>
    <w:rsid w:val="00092D38"/>
    <w:rsid w:val="00092DE0"/>
    <w:rsid w:val="0009377B"/>
    <w:rsid w:val="0009466E"/>
    <w:rsid w:val="00094E3A"/>
    <w:rsid w:val="00094FD3"/>
    <w:rsid w:val="0009505C"/>
    <w:rsid w:val="00095127"/>
    <w:rsid w:val="000954DB"/>
    <w:rsid w:val="000957EA"/>
    <w:rsid w:val="000959A4"/>
    <w:rsid w:val="00095DFE"/>
    <w:rsid w:val="00096359"/>
    <w:rsid w:val="00096C49"/>
    <w:rsid w:val="00097261"/>
    <w:rsid w:val="00097F1E"/>
    <w:rsid w:val="000A049C"/>
    <w:rsid w:val="000A20C9"/>
    <w:rsid w:val="000A29A0"/>
    <w:rsid w:val="000A2B9F"/>
    <w:rsid w:val="000A2BEC"/>
    <w:rsid w:val="000A2FFF"/>
    <w:rsid w:val="000A3A73"/>
    <w:rsid w:val="000A3DF0"/>
    <w:rsid w:val="000A51AD"/>
    <w:rsid w:val="000A6DB8"/>
    <w:rsid w:val="000A6E81"/>
    <w:rsid w:val="000A6F7D"/>
    <w:rsid w:val="000A7046"/>
    <w:rsid w:val="000A7F7D"/>
    <w:rsid w:val="000B006A"/>
    <w:rsid w:val="000B03E4"/>
    <w:rsid w:val="000B058F"/>
    <w:rsid w:val="000B0637"/>
    <w:rsid w:val="000B22EB"/>
    <w:rsid w:val="000B28A4"/>
    <w:rsid w:val="000B2D4C"/>
    <w:rsid w:val="000B3D59"/>
    <w:rsid w:val="000B4467"/>
    <w:rsid w:val="000B4DB9"/>
    <w:rsid w:val="000B4E61"/>
    <w:rsid w:val="000B583D"/>
    <w:rsid w:val="000B5EB6"/>
    <w:rsid w:val="000B63D5"/>
    <w:rsid w:val="000B7A77"/>
    <w:rsid w:val="000B7B08"/>
    <w:rsid w:val="000C0003"/>
    <w:rsid w:val="000C0307"/>
    <w:rsid w:val="000C03CB"/>
    <w:rsid w:val="000C09AC"/>
    <w:rsid w:val="000C169F"/>
    <w:rsid w:val="000C1ACF"/>
    <w:rsid w:val="000C2549"/>
    <w:rsid w:val="000C30E8"/>
    <w:rsid w:val="000C33FB"/>
    <w:rsid w:val="000C3895"/>
    <w:rsid w:val="000C3A63"/>
    <w:rsid w:val="000C3D28"/>
    <w:rsid w:val="000C58E9"/>
    <w:rsid w:val="000C5EE3"/>
    <w:rsid w:val="000C63B9"/>
    <w:rsid w:val="000C7413"/>
    <w:rsid w:val="000C767F"/>
    <w:rsid w:val="000D0611"/>
    <w:rsid w:val="000D09DD"/>
    <w:rsid w:val="000D0B5B"/>
    <w:rsid w:val="000D157D"/>
    <w:rsid w:val="000D1AF8"/>
    <w:rsid w:val="000D2E55"/>
    <w:rsid w:val="000D40BC"/>
    <w:rsid w:val="000D4C57"/>
    <w:rsid w:val="000D50B8"/>
    <w:rsid w:val="000D55B8"/>
    <w:rsid w:val="000D5A44"/>
    <w:rsid w:val="000D5EDC"/>
    <w:rsid w:val="000D6409"/>
    <w:rsid w:val="000E0898"/>
    <w:rsid w:val="000E0917"/>
    <w:rsid w:val="000E0AC5"/>
    <w:rsid w:val="000E1A34"/>
    <w:rsid w:val="000E2438"/>
    <w:rsid w:val="000E284D"/>
    <w:rsid w:val="000E3CF8"/>
    <w:rsid w:val="000E3ED2"/>
    <w:rsid w:val="000E3F18"/>
    <w:rsid w:val="000E4504"/>
    <w:rsid w:val="000E4E72"/>
    <w:rsid w:val="000E6E70"/>
    <w:rsid w:val="000E7042"/>
    <w:rsid w:val="000E7933"/>
    <w:rsid w:val="000E7D12"/>
    <w:rsid w:val="000F00AE"/>
    <w:rsid w:val="000F022D"/>
    <w:rsid w:val="000F174B"/>
    <w:rsid w:val="000F1787"/>
    <w:rsid w:val="000F192B"/>
    <w:rsid w:val="000F27A1"/>
    <w:rsid w:val="000F3225"/>
    <w:rsid w:val="000F37A0"/>
    <w:rsid w:val="000F42FE"/>
    <w:rsid w:val="000F4928"/>
    <w:rsid w:val="000F6873"/>
    <w:rsid w:val="000F6FEB"/>
    <w:rsid w:val="000F7754"/>
    <w:rsid w:val="000F79ED"/>
    <w:rsid w:val="001003C0"/>
    <w:rsid w:val="0010145C"/>
    <w:rsid w:val="00101A72"/>
    <w:rsid w:val="00102060"/>
    <w:rsid w:val="001026E4"/>
    <w:rsid w:val="00102A63"/>
    <w:rsid w:val="0010335E"/>
    <w:rsid w:val="0010345F"/>
    <w:rsid w:val="00103D87"/>
    <w:rsid w:val="00103E40"/>
    <w:rsid w:val="001045B8"/>
    <w:rsid w:val="00104A88"/>
    <w:rsid w:val="001050B6"/>
    <w:rsid w:val="001058A5"/>
    <w:rsid w:val="00105D4A"/>
    <w:rsid w:val="00106B9B"/>
    <w:rsid w:val="00106C07"/>
    <w:rsid w:val="00107057"/>
    <w:rsid w:val="00107442"/>
    <w:rsid w:val="0010759A"/>
    <w:rsid w:val="001107FD"/>
    <w:rsid w:val="00110AC8"/>
    <w:rsid w:val="00112F3D"/>
    <w:rsid w:val="00112FD6"/>
    <w:rsid w:val="00113EED"/>
    <w:rsid w:val="00114B96"/>
    <w:rsid w:val="00115891"/>
    <w:rsid w:val="00116267"/>
    <w:rsid w:val="00116739"/>
    <w:rsid w:val="0011678B"/>
    <w:rsid w:val="00116DD3"/>
    <w:rsid w:val="0011718B"/>
    <w:rsid w:val="00117A54"/>
    <w:rsid w:val="00120438"/>
    <w:rsid w:val="00120AED"/>
    <w:rsid w:val="001210F3"/>
    <w:rsid w:val="001219EC"/>
    <w:rsid w:val="00123133"/>
    <w:rsid w:val="001231AC"/>
    <w:rsid w:val="001236E3"/>
    <w:rsid w:val="00123C0E"/>
    <w:rsid w:val="0012474F"/>
    <w:rsid w:val="00124857"/>
    <w:rsid w:val="00124918"/>
    <w:rsid w:val="00125199"/>
    <w:rsid w:val="00125405"/>
    <w:rsid w:val="00126230"/>
    <w:rsid w:val="00126C3E"/>
    <w:rsid w:val="00127239"/>
    <w:rsid w:val="0012776B"/>
    <w:rsid w:val="00127F58"/>
    <w:rsid w:val="00131434"/>
    <w:rsid w:val="001317C3"/>
    <w:rsid w:val="00131F42"/>
    <w:rsid w:val="00131F44"/>
    <w:rsid w:val="0013205A"/>
    <w:rsid w:val="0013224A"/>
    <w:rsid w:val="00132999"/>
    <w:rsid w:val="00133669"/>
    <w:rsid w:val="001341D6"/>
    <w:rsid w:val="00134420"/>
    <w:rsid w:val="001345B6"/>
    <w:rsid w:val="00134E46"/>
    <w:rsid w:val="00134F09"/>
    <w:rsid w:val="00135714"/>
    <w:rsid w:val="001357F1"/>
    <w:rsid w:val="00137112"/>
    <w:rsid w:val="00137303"/>
    <w:rsid w:val="001377DB"/>
    <w:rsid w:val="00137CD3"/>
    <w:rsid w:val="001404BA"/>
    <w:rsid w:val="001407E3"/>
    <w:rsid w:val="00140B72"/>
    <w:rsid w:val="00140FA8"/>
    <w:rsid w:val="00140FEB"/>
    <w:rsid w:val="001413C0"/>
    <w:rsid w:val="0014180D"/>
    <w:rsid w:val="0014237E"/>
    <w:rsid w:val="001426A6"/>
    <w:rsid w:val="00142768"/>
    <w:rsid w:val="00142FEB"/>
    <w:rsid w:val="001435B1"/>
    <w:rsid w:val="001436C6"/>
    <w:rsid w:val="00143714"/>
    <w:rsid w:val="00143A2D"/>
    <w:rsid w:val="00143D43"/>
    <w:rsid w:val="00143DA6"/>
    <w:rsid w:val="00143EB6"/>
    <w:rsid w:val="00143F9C"/>
    <w:rsid w:val="00144936"/>
    <w:rsid w:val="00145A41"/>
    <w:rsid w:val="00145B29"/>
    <w:rsid w:val="0014603A"/>
    <w:rsid w:val="001461CA"/>
    <w:rsid w:val="001468A6"/>
    <w:rsid w:val="00146948"/>
    <w:rsid w:val="00146967"/>
    <w:rsid w:val="00146E39"/>
    <w:rsid w:val="001475ED"/>
    <w:rsid w:val="00147B6C"/>
    <w:rsid w:val="00147C6C"/>
    <w:rsid w:val="00150417"/>
    <w:rsid w:val="00150432"/>
    <w:rsid w:val="001505F3"/>
    <w:rsid w:val="0015100F"/>
    <w:rsid w:val="0015134A"/>
    <w:rsid w:val="00151675"/>
    <w:rsid w:val="001518B0"/>
    <w:rsid w:val="0015234E"/>
    <w:rsid w:val="00152784"/>
    <w:rsid w:val="00153495"/>
    <w:rsid w:val="001536A5"/>
    <w:rsid w:val="00154260"/>
    <w:rsid w:val="001545B8"/>
    <w:rsid w:val="00154B44"/>
    <w:rsid w:val="00154BB2"/>
    <w:rsid w:val="00154E18"/>
    <w:rsid w:val="001556D2"/>
    <w:rsid w:val="0015631F"/>
    <w:rsid w:val="001564A9"/>
    <w:rsid w:val="001567DD"/>
    <w:rsid w:val="001569D5"/>
    <w:rsid w:val="0015705D"/>
    <w:rsid w:val="00157435"/>
    <w:rsid w:val="0015756E"/>
    <w:rsid w:val="001576B4"/>
    <w:rsid w:val="00160DAA"/>
    <w:rsid w:val="001618D8"/>
    <w:rsid w:val="00162528"/>
    <w:rsid w:val="00163045"/>
    <w:rsid w:val="0016390C"/>
    <w:rsid w:val="00165104"/>
    <w:rsid w:val="00165829"/>
    <w:rsid w:val="00165EED"/>
    <w:rsid w:val="00167142"/>
    <w:rsid w:val="001677A9"/>
    <w:rsid w:val="001710B5"/>
    <w:rsid w:val="001711D9"/>
    <w:rsid w:val="0017125A"/>
    <w:rsid w:val="00171587"/>
    <w:rsid w:val="00171D6D"/>
    <w:rsid w:val="001723AF"/>
    <w:rsid w:val="0017253C"/>
    <w:rsid w:val="00172B00"/>
    <w:rsid w:val="00172DEB"/>
    <w:rsid w:val="001733B9"/>
    <w:rsid w:val="00173C4E"/>
    <w:rsid w:val="00173E2D"/>
    <w:rsid w:val="00174E63"/>
    <w:rsid w:val="00175020"/>
    <w:rsid w:val="0017504D"/>
    <w:rsid w:val="001757BE"/>
    <w:rsid w:val="001766F6"/>
    <w:rsid w:val="0017671A"/>
    <w:rsid w:val="00177196"/>
    <w:rsid w:val="00177422"/>
    <w:rsid w:val="001774FC"/>
    <w:rsid w:val="001779C5"/>
    <w:rsid w:val="001801F7"/>
    <w:rsid w:val="00180565"/>
    <w:rsid w:val="00180570"/>
    <w:rsid w:val="00180ED2"/>
    <w:rsid w:val="00181013"/>
    <w:rsid w:val="00181493"/>
    <w:rsid w:val="00181EB8"/>
    <w:rsid w:val="00181F88"/>
    <w:rsid w:val="00181F92"/>
    <w:rsid w:val="00181FB8"/>
    <w:rsid w:val="00182420"/>
    <w:rsid w:val="00182C56"/>
    <w:rsid w:val="00182F6F"/>
    <w:rsid w:val="0018304C"/>
    <w:rsid w:val="00183422"/>
    <w:rsid w:val="001837C5"/>
    <w:rsid w:val="00183814"/>
    <w:rsid w:val="00183FB3"/>
    <w:rsid w:val="001840A5"/>
    <w:rsid w:val="00184590"/>
    <w:rsid w:val="00185E3A"/>
    <w:rsid w:val="00186211"/>
    <w:rsid w:val="00186213"/>
    <w:rsid w:val="00186273"/>
    <w:rsid w:val="00186F11"/>
    <w:rsid w:val="001870D1"/>
    <w:rsid w:val="00187387"/>
    <w:rsid w:val="0018781E"/>
    <w:rsid w:val="001906D3"/>
    <w:rsid w:val="00191313"/>
    <w:rsid w:val="0019162F"/>
    <w:rsid w:val="0019163A"/>
    <w:rsid w:val="00191F48"/>
    <w:rsid w:val="0019214B"/>
    <w:rsid w:val="0019262D"/>
    <w:rsid w:val="001937CC"/>
    <w:rsid w:val="0019414E"/>
    <w:rsid w:val="00195027"/>
    <w:rsid w:val="00195822"/>
    <w:rsid w:val="00195C42"/>
    <w:rsid w:val="00196685"/>
    <w:rsid w:val="0019700E"/>
    <w:rsid w:val="00197282"/>
    <w:rsid w:val="00197604"/>
    <w:rsid w:val="001979A5"/>
    <w:rsid w:val="001A0264"/>
    <w:rsid w:val="001A0DC7"/>
    <w:rsid w:val="001A0DE8"/>
    <w:rsid w:val="001A1349"/>
    <w:rsid w:val="001A15FD"/>
    <w:rsid w:val="001A1B35"/>
    <w:rsid w:val="001A2188"/>
    <w:rsid w:val="001A2F47"/>
    <w:rsid w:val="001A36F0"/>
    <w:rsid w:val="001A48A2"/>
    <w:rsid w:val="001A4CB1"/>
    <w:rsid w:val="001A4F4E"/>
    <w:rsid w:val="001A5588"/>
    <w:rsid w:val="001A56C8"/>
    <w:rsid w:val="001A6396"/>
    <w:rsid w:val="001A6F61"/>
    <w:rsid w:val="001A70A7"/>
    <w:rsid w:val="001A7352"/>
    <w:rsid w:val="001A7885"/>
    <w:rsid w:val="001A7E53"/>
    <w:rsid w:val="001B09A2"/>
    <w:rsid w:val="001B129B"/>
    <w:rsid w:val="001B12D5"/>
    <w:rsid w:val="001B14B9"/>
    <w:rsid w:val="001B1938"/>
    <w:rsid w:val="001B1F7C"/>
    <w:rsid w:val="001B2A13"/>
    <w:rsid w:val="001B2DFF"/>
    <w:rsid w:val="001B358B"/>
    <w:rsid w:val="001B36AE"/>
    <w:rsid w:val="001B3AE2"/>
    <w:rsid w:val="001B45D8"/>
    <w:rsid w:val="001B5162"/>
    <w:rsid w:val="001B591E"/>
    <w:rsid w:val="001B5ACC"/>
    <w:rsid w:val="001B5FC7"/>
    <w:rsid w:val="001B6073"/>
    <w:rsid w:val="001B7023"/>
    <w:rsid w:val="001B72B8"/>
    <w:rsid w:val="001B780E"/>
    <w:rsid w:val="001B7AC1"/>
    <w:rsid w:val="001B7BD7"/>
    <w:rsid w:val="001C05EF"/>
    <w:rsid w:val="001C0C33"/>
    <w:rsid w:val="001C0DDB"/>
    <w:rsid w:val="001C18C4"/>
    <w:rsid w:val="001C2140"/>
    <w:rsid w:val="001C2644"/>
    <w:rsid w:val="001C3FD8"/>
    <w:rsid w:val="001C4415"/>
    <w:rsid w:val="001C4B30"/>
    <w:rsid w:val="001C58A2"/>
    <w:rsid w:val="001C6001"/>
    <w:rsid w:val="001C69B3"/>
    <w:rsid w:val="001C6B7A"/>
    <w:rsid w:val="001C6C75"/>
    <w:rsid w:val="001C6DC5"/>
    <w:rsid w:val="001C71E4"/>
    <w:rsid w:val="001C7977"/>
    <w:rsid w:val="001C7B69"/>
    <w:rsid w:val="001D08CF"/>
    <w:rsid w:val="001D0F5F"/>
    <w:rsid w:val="001D21F7"/>
    <w:rsid w:val="001D28B6"/>
    <w:rsid w:val="001D2942"/>
    <w:rsid w:val="001D35A5"/>
    <w:rsid w:val="001D3F96"/>
    <w:rsid w:val="001D410D"/>
    <w:rsid w:val="001D43D7"/>
    <w:rsid w:val="001D463E"/>
    <w:rsid w:val="001D52DF"/>
    <w:rsid w:val="001D5595"/>
    <w:rsid w:val="001D63BF"/>
    <w:rsid w:val="001D7355"/>
    <w:rsid w:val="001D7874"/>
    <w:rsid w:val="001D7F22"/>
    <w:rsid w:val="001E0CE7"/>
    <w:rsid w:val="001E1088"/>
    <w:rsid w:val="001E1226"/>
    <w:rsid w:val="001E1721"/>
    <w:rsid w:val="001E2D70"/>
    <w:rsid w:val="001E3D82"/>
    <w:rsid w:val="001E5C96"/>
    <w:rsid w:val="001E6151"/>
    <w:rsid w:val="001E62A5"/>
    <w:rsid w:val="001E63F5"/>
    <w:rsid w:val="001E6D1E"/>
    <w:rsid w:val="001E6E9E"/>
    <w:rsid w:val="001E762A"/>
    <w:rsid w:val="001F0F17"/>
    <w:rsid w:val="001F115E"/>
    <w:rsid w:val="001F11E0"/>
    <w:rsid w:val="001F14B9"/>
    <w:rsid w:val="001F1A16"/>
    <w:rsid w:val="001F2590"/>
    <w:rsid w:val="001F2A76"/>
    <w:rsid w:val="001F2C7F"/>
    <w:rsid w:val="001F31BD"/>
    <w:rsid w:val="001F3347"/>
    <w:rsid w:val="001F3C28"/>
    <w:rsid w:val="001F3E9F"/>
    <w:rsid w:val="001F43FC"/>
    <w:rsid w:val="001F466B"/>
    <w:rsid w:val="001F4E4C"/>
    <w:rsid w:val="001F550C"/>
    <w:rsid w:val="001F5553"/>
    <w:rsid w:val="001F5902"/>
    <w:rsid w:val="001F5A33"/>
    <w:rsid w:val="001F5E9C"/>
    <w:rsid w:val="001F63F5"/>
    <w:rsid w:val="001F65EA"/>
    <w:rsid w:val="001F69E4"/>
    <w:rsid w:val="001F73D9"/>
    <w:rsid w:val="001F73EA"/>
    <w:rsid w:val="001F7555"/>
    <w:rsid w:val="00200213"/>
    <w:rsid w:val="00200852"/>
    <w:rsid w:val="00201351"/>
    <w:rsid w:val="00201912"/>
    <w:rsid w:val="00201BD2"/>
    <w:rsid w:val="002020DA"/>
    <w:rsid w:val="0020285D"/>
    <w:rsid w:val="00202E0A"/>
    <w:rsid w:val="0020310C"/>
    <w:rsid w:val="00203914"/>
    <w:rsid w:val="002039E0"/>
    <w:rsid w:val="00203A2E"/>
    <w:rsid w:val="00204261"/>
    <w:rsid w:val="00204476"/>
    <w:rsid w:val="002045E8"/>
    <w:rsid w:val="00204898"/>
    <w:rsid w:val="002049B9"/>
    <w:rsid w:val="00204B26"/>
    <w:rsid w:val="00204D9E"/>
    <w:rsid w:val="00205BC6"/>
    <w:rsid w:val="00205C98"/>
    <w:rsid w:val="00205FBD"/>
    <w:rsid w:val="002068E7"/>
    <w:rsid w:val="00206F34"/>
    <w:rsid w:val="002077A8"/>
    <w:rsid w:val="002078A3"/>
    <w:rsid w:val="00207F58"/>
    <w:rsid w:val="00210085"/>
    <w:rsid w:val="002100DB"/>
    <w:rsid w:val="00210946"/>
    <w:rsid w:val="00210AEA"/>
    <w:rsid w:val="00210B63"/>
    <w:rsid w:val="00210C93"/>
    <w:rsid w:val="0021108F"/>
    <w:rsid w:val="00211937"/>
    <w:rsid w:val="00212433"/>
    <w:rsid w:val="002125B4"/>
    <w:rsid w:val="0021305F"/>
    <w:rsid w:val="002137DC"/>
    <w:rsid w:val="002141D1"/>
    <w:rsid w:val="0021445D"/>
    <w:rsid w:val="00214AFB"/>
    <w:rsid w:val="00214DC2"/>
    <w:rsid w:val="002150ED"/>
    <w:rsid w:val="002155B8"/>
    <w:rsid w:val="00215B16"/>
    <w:rsid w:val="00215BE6"/>
    <w:rsid w:val="00216B9E"/>
    <w:rsid w:val="00216BE0"/>
    <w:rsid w:val="0021775E"/>
    <w:rsid w:val="0022007C"/>
    <w:rsid w:val="00220CD7"/>
    <w:rsid w:val="00220FF2"/>
    <w:rsid w:val="0022108C"/>
    <w:rsid w:val="00221C4B"/>
    <w:rsid w:val="002221DC"/>
    <w:rsid w:val="002229AF"/>
    <w:rsid w:val="00223604"/>
    <w:rsid w:val="00223B7F"/>
    <w:rsid w:val="00223E39"/>
    <w:rsid w:val="00224839"/>
    <w:rsid w:val="002249B2"/>
    <w:rsid w:val="002249DE"/>
    <w:rsid w:val="00224F3C"/>
    <w:rsid w:val="00225262"/>
    <w:rsid w:val="00225B11"/>
    <w:rsid w:val="0022639C"/>
    <w:rsid w:val="002263D7"/>
    <w:rsid w:val="00226574"/>
    <w:rsid w:val="00226954"/>
    <w:rsid w:val="002278EC"/>
    <w:rsid w:val="0023110D"/>
    <w:rsid w:val="0023280E"/>
    <w:rsid w:val="00233365"/>
    <w:rsid w:val="0023442C"/>
    <w:rsid w:val="00234F63"/>
    <w:rsid w:val="002350C1"/>
    <w:rsid w:val="0023550A"/>
    <w:rsid w:val="0023560A"/>
    <w:rsid w:val="00236C6E"/>
    <w:rsid w:val="00236CEC"/>
    <w:rsid w:val="00236ED0"/>
    <w:rsid w:val="002377D1"/>
    <w:rsid w:val="00240176"/>
    <w:rsid w:val="00240373"/>
    <w:rsid w:val="0024087D"/>
    <w:rsid w:val="00240ED0"/>
    <w:rsid w:val="0024129D"/>
    <w:rsid w:val="0024151D"/>
    <w:rsid w:val="0024152C"/>
    <w:rsid w:val="002415E6"/>
    <w:rsid w:val="0024166F"/>
    <w:rsid w:val="00241FB3"/>
    <w:rsid w:val="002421C2"/>
    <w:rsid w:val="00242490"/>
    <w:rsid w:val="00242E36"/>
    <w:rsid w:val="002432C1"/>
    <w:rsid w:val="00243FA7"/>
    <w:rsid w:val="002440F5"/>
    <w:rsid w:val="00244E6A"/>
    <w:rsid w:val="00245AAC"/>
    <w:rsid w:val="00245F74"/>
    <w:rsid w:val="0024601D"/>
    <w:rsid w:val="002466A7"/>
    <w:rsid w:val="00246B0E"/>
    <w:rsid w:val="00246E4D"/>
    <w:rsid w:val="00247E55"/>
    <w:rsid w:val="00250255"/>
    <w:rsid w:val="00250562"/>
    <w:rsid w:val="002506BC"/>
    <w:rsid w:val="00250FCF"/>
    <w:rsid w:val="0025130C"/>
    <w:rsid w:val="002531D1"/>
    <w:rsid w:val="002539CF"/>
    <w:rsid w:val="0025423F"/>
    <w:rsid w:val="00254345"/>
    <w:rsid w:val="002545B8"/>
    <w:rsid w:val="00255054"/>
    <w:rsid w:val="0025548D"/>
    <w:rsid w:val="002563D1"/>
    <w:rsid w:val="00257A80"/>
    <w:rsid w:val="00257FF2"/>
    <w:rsid w:val="002600BA"/>
    <w:rsid w:val="002601BE"/>
    <w:rsid w:val="002603B7"/>
    <w:rsid w:val="00260A75"/>
    <w:rsid w:val="00262392"/>
    <w:rsid w:val="00262F5D"/>
    <w:rsid w:val="00262FF8"/>
    <w:rsid w:val="002640E8"/>
    <w:rsid w:val="0026415F"/>
    <w:rsid w:val="00264291"/>
    <w:rsid w:val="00264557"/>
    <w:rsid w:val="00264A78"/>
    <w:rsid w:val="00264DF1"/>
    <w:rsid w:val="002661B2"/>
    <w:rsid w:val="0026624C"/>
    <w:rsid w:val="00266D7E"/>
    <w:rsid w:val="00267683"/>
    <w:rsid w:val="002678BF"/>
    <w:rsid w:val="00267B6C"/>
    <w:rsid w:val="00267D3A"/>
    <w:rsid w:val="002702C7"/>
    <w:rsid w:val="00270760"/>
    <w:rsid w:val="00270869"/>
    <w:rsid w:val="00271573"/>
    <w:rsid w:val="00271FF7"/>
    <w:rsid w:val="00272479"/>
    <w:rsid w:val="00273B35"/>
    <w:rsid w:val="00274016"/>
    <w:rsid w:val="00274450"/>
    <w:rsid w:val="00274D91"/>
    <w:rsid w:val="002750BE"/>
    <w:rsid w:val="00275C5C"/>
    <w:rsid w:val="0027771F"/>
    <w:rsid w:val="00280062"/>
    <w:rsid w:val="002801FC"/>
    <w:rsid w:val="002805AB"/>
    <w:rsid w:val="002805C3"/>
    <w:rsid w:val="0028083D"/>
    <w:rsid w:val="00280D99"/>
    <w:rsid w:val="00281B6F"/>
    <w:rsid w:val="00281D0B"/>
    <w:rsid w:val="00281F6C"/>
    <w:rsid w:val="00281FD6"/>
    <w:rsid w:val="00282076"/>
    <w:rsid w:val="002821BB"/>
    <w:rsid w:val="00282785"/>
    <w:rsid w:val="00282C9A"/>
    <w:rsid w:val="00283302"/>
    <w:rsid w:val="00284204"/>
    <w:rsid w:val="00284D85"/>
    <w:rsid w:val="0028531E"/>
    <w:rsid w:val="002854FD"/>
    <w:rsid w:val="0028612E"/>
    <w:rsid w:val="00286A16"/>
    <w:rsid w:val="00286C4D"/>
    <w:rsid w:val="00287D8A"/>
    <w:rsid w:val="00287ED0"/>
    <w:rsid w:val="002905C4"/>
    <w:rsid w:val="00290CA3"/>
    <w:rsid w:val="002913B0"/>
    <w:rsid w:val="002915B6"/>
    <w:rsid w:val="00291773"/>
    <w:rsid w:val="00291B35"/>
    <w:rsid w:val="00291EB1"/>
    <w:rsid w:val="00292203"/>
    <w:rsid w:val="00292E3E"/>
    <w:rsid w:val="00293221"/>
    <w:rsid w:val="00294ED3"/>
    <w:rsid w:val="00295197"/>
    <w:rsid w:val="00295257"/>
    <w:rsid w:val="00295694"/>
    <w:rsid w:val="00295956"/>
    <w:rsid w:val="0029620E"/>
    <w:rsid w:val="00296751"/>
    <w:rsid w:val="00296C28"/>
    <w:rsid w:val="00297025"/>
    <w:rsid w:val="0029738E"/>
    <w:rsid w:val="0029776B"/>
    <w:rsid w:val="002A06F3"/>
    <w:rsid w:val="002A168C"/>
    <w:rsid w:val="002A16F5"/>
    <w:rsid w:val="002A1D1F"/>
    <w:rsid w:val="002A2114"/>
    <w:rsid w:val="002A2558"/>
    <w:rsid w:val="002A255B"/>
    <w:rsid w:val="002A2A36"/>
    <w:rsid w:val="002A2B4A"/>
    <w:rsid w:val="002A2CB5"/>
    <w:rsid w:val="002A2E2D"/>
    <w:rsid w:val="002A3366"/>
    <w:rsid w:val="002A3DC7"/>
    <w:rsid w:val="002A499F"/>
    <w:rsid w:val="002A4B49"/>
    <w:rsid w:val="002A4CD1"/>
    <w:rsid w:val="002A4F04"/>
    <w:rsid w:val="002A5376"/>
    <w:rsid w:val="002A5C42"/>
    <w:rsid w:val="002A5D1E"/>
    <w:rsid w:val="002A67E2"/>
    <w:rsid w:val="002A76B4"/>
    <w:rsid w:val="002A79D7"/>
    <w:rsid w:val="002A7AB6"/>
    <w:rsid w:val="002A7F49"/>
    <w:rsid w:val="002B01C4"/>
    <w:rsid w:val="002B0CA7"/>
    <w:rsid w:val="002B0D21"/>
    <w:rsid w:val="002B23F1"/>
    <w:rsid w:val="002B25B1"/>
    <w:rsid w:val="002B2C8E"/>
    <w:rsid w:val="002B35A4"/>
    <w:rsid w:val="002B3DAA"/>
    <w:rsid w:val="002B4627"/>
    <w:rsid w:val="002B49E2"/>
    <w:rsid w:val="002B4ECF"/>
    <w:rsid w:val="002B4F88"/>
    <w:rsid w:val="002B5036"/>
    <w:rsid w:val="002B5D9E"/>
    <w:rsid w:val="002B62FB"/>
    <w:rsid w:val="002B657E"/>
    <w:rsid w:val="002B69DC"/>
    <w:rsid w:val="002B6B50"/>
    <w:rsid w:val="002B6E04"/>
    <w:rsid w:val="002B6FA5"/>
    <w:rsid w:val="002B7706"/>
    <w:rsid w:val="002B7AFA"/>
    <w:rsid w:val="002B7B00"/>
    <w:rsid w:val="002B7C44"/>
    <w:rsid w:val="002B7ED9"/>
    <w:rsid w:val="002C0053"/>
    <w:rsid w:val="002C04A9"/>
    <w:rsid w:val="002C100A"/>
    <w:rsid w:val="002C1165"/>
    <w:rsid w:val="002C1C9B"/>
    <w:rsid w:val="002C232F"/>
    <w:rsid w:val="002C2B17"/>
    <w:rsid w:val="002C2B77"/>
    <w:rsid w:val="002C2CED"/>
    <w:rsid w:val="002C2D88"/>
    <w:rsid w:val="002C5F20"/>
    <w:rsid w:val="002C5FC7"/>
    <w:rsid w:val="002C64D7"/>
    <w:rsid w:val="002C6D66"/>
    <w:rsid w:val="002C6F1F"/>
    <w:rsid w:val="002C71C4"/>
    <w:rsid w:val="002C793C"/>
    <w:rsid w:val="002D07F6"/>
    <w:rsid w:val="002D132C"/>
    <w:rsid w:val="002D17D4"/>
    <w:rsid w:val="002D1B73"/>
    <w:rsid w:val="002D2CA1"/>
    <w:rsid w:val="002D34D9"/>
    <w:rsid w:val="002D367B"/>
    <w:rsid w:val="002D385A"/>
    <w:rsid w:val="002D3DD0"/>
    <w:rsid w:val="002D3E02"/>
    <w:rsid w:val="002D47E3"/>
    <w:rsid w:val="002D4BF7"/>
    <w:rsid w:val="002D5136"/>
    <w:rsid w:val="002D5B6D"/>
    <w:rsid w:val="002D6189"/>
    <w:rsid w:val="002D76BC"/>
    <w:rsid w:val="002D790D"/>
    <w:rsid w:val="002E13B2"/>
    <w:rsid w:val="002E1F3A"/>
    <w:rsid w:val="002E210F"/>
    <w:rsid w:val="002E298A"/>
    <w:rsid w:val="002E29EB"/>
    <w:rsid w:val="002E3657"/>
    <w:rsid w:val="002E479A"/>
    <w:rsid w:val="002E4A9D"/>
    <w:rsid w:val="002E4C56"/>
    <w:rsid w:val="002E4E4F"/>
    <w:rsid w:val="002E6315"/>
    <w:rsid w:val="002E67D3"/>
    <w:rsid w:val="002E6FEF"/>
    <w:rsid w:val="002F005C"/>
    <w:rsid w:val="002F0B32"/>
    <w:rsid w:val="002F0D1C"/>
    <w:rsid w:val="002F0D98"/>
    <w:rsid w:val="002F1DC9"/>
    <w:rsid w:val="002F2513"/>
    <w:rsid w:val="002F34FA"/>
    <w:rsid w:val="002F3C09"/>
    <w:rsid w:val="002F3D64"/>
    <w:rsid w:val="002F4046"/>
    <w:rsid w:val="002F4ADF"/>
    <w:rsid w:val="002F57F6"/>
    <w:rsid w:val="002F667A"/>
    <w:rsid w:val="002F6859"/>
    <w:rsid w:val="002F6A16"/>
    <w:rsid w:val="002F6D4A"/>
    <w:rsid w:val="002F750F"/>
    <w:rsid w:val="00300097"/>
    <w:rsid w:val="0030058C"/>
    <w:rsid w:val="0030182C"/>
    <w:rsid w:val="00301978"/>
    <w:rsid w:val="00301DEB"/>
    <w:rsid w:val="003021CD"/>
    <w:rsid w:val="0030246B"/>
    <w:rsid w:val="003028EE"/>
    <w:rsid w:val="00302DC7"/>
    <w:rsid w:val="0030332C"/>
    <w:rsid w:val="003041B8"/>
    <w:rsid w:val="00304426"/>
    <w:rsid w:val="00304D33"/>
    <w:rsid w:val="003051C2"/>
    <w:rsid w:val="00305727"/>
    <w:rsid w:val="0030585A"/>
    <w:rsid w:val="00305D08"/>
    <w:rsid w:val="00305D60"/>
    <w:rsid w:val="003067A4"/>
    <w:rsid w:val="00307102"/>
    <w:rsid w:val="0030726D"/>
    <w:rsid w:val="00307529"/>
    <w:rsid w:val="0031013C"/>
    <w:rsid w:val="00310822"/>
    <w:rsid w:val="00310E53"/>
    <w:rsid w:val="00312296"/>
    <w:rsid w:val="0031399D"/>
    <w:rsid w:val="00314542"/>
    <w:rsid w:val="00314554"/>
    <w:rsid w:val="0031455A"/>
    <w:rsid w:val="00314815"/>
    <w:rsid w:val="00314F0E"/>
    <w:rsid w:val="00315591"/>
    <w:rsid w:val="003157EF"/>
    <w:rsid w:val="00315B71"/>
    <w:rsid w:val="00315F2D"/>
    <w:rsid w:val="00316490"/>
    <w:rsid w:val="00316782"/>
    <w:rsid w:val="00317173"/>
    <w:rsid w:val="00317B16"/>
    <w:rsid w:val="00321417"/>
    <w:rsid w:val="003215C2"/>
    <w:rsid w:val="00321A61"/>
    <w:rsid w:val="00321CE4"/>
    <w:rsid w:val="00321D8E"/>
    <w:rsid w:val="00322412"/>
    <w:rsid w:val="00322B07"/>
    <w:rsid w:val="003242DA"/>
    <w:rsid w:val="00324446"/>
    <w:rsid w:val="00324454"/>
    <w:rsid w:val="003247E4"/>
    <w:rsid w:val="00324C89"/>
    <w:rsid w:val="00324F76"/>
    <w:rsid w:val="003254E9"/>
    <w:rsid w:val="00325896"/>
    <w:rsid w:val="00325928"/>
    <w:rsid w:val="003259B8"/>
    <w:rsid w:val="00325B7E"/>
    <w:rsid w:val="00326B7B"/>
    <w:rsid w:val="00326D7C"/>
    <w:rsid w:val="00326F0C"/>
    <w:rsid w:val="0032728F"/>
    <w:rsid w:val="003272C8"/>
    <w:rsid w:val="0032734E"/>
    <w:rsid w:val="003278AD"/>
    <w:rsid w:val="00327BCD"/>
    <w:rsid w:val="00331D9D"/>
    <w:rsid w:val="00332863"/>
    <w:rsid w:val="00332A63"/>
    <w:rsid w:val="0033317A"/>
    <w:rsid w:val="003331C3"/>
    <w:rsid w:val="003333A5"/>
    <w:rsid w:val="00333E19"/>
    <w:rsid w:val="00333F25"/>
    <w:rsid w:val="00334384"/>
    <w:rsid w:val="003345EB"/>
    <w:rsid w:val="003349CD"/>
    <w:rsid w:val="0033551B"/>
    <w:rsid w:val="00335875"/>
    <w:rsid w:val="0033684D"/>
    <w:rsid w:val="00336E01"/>
    <w:rsid w:val="00337447"/>
    <w:rsid w:val="0033759A"/>
    <w:rsid w:val="00337B42"/>
    <w:rsid w:val="00337C03"/>
    <w:rsid w:val="0034080D"/>
    <w:rsid w:val="0034140A"/>
    <w:rsid w:val="003414B9"/>
    <w:rsid w:val="003417F3"/>
    <w:rsid w:val="00341954"/>
    <w:rsid w:val="00341B42"/>
    <w:rsid w:val="00341E40"/>
    <w:rsid w:val="00341EB4"/>
    <w:rsid w:val="0034259B"/>
    <w:rsid w:val="003425BC"/>
    <w:rsid w:val="00343272"/>
    <w:rsid w:val="0034348F"/>
    <w:rsid w:val="0034390F"/>
    <w:rsid w:val="00343BD1"/>
    <w:rsid w:val="00343F16"/>
    <w:rsid w:val="00344E83"/>
    <w:rsid w:val="003457D4"/>
    <w:rsid w:val="00345C05"/>
    <w:rsid w:val="00345CF6"/>
    <w:rsid w:val="003460AE"/>
    <w:rsid w:val="003463F5"/>
    <w:rsid w:val="00346B9B"/>
    <w:rsid w:val="00346E31"/>
    <w:rsid w:val="003470FB"/>
    <w:rsid w:val="00347667"/>
    <w:rsid w:val="003513DB"/>
    <w:rsid w:val="00352088"/>
    <w:rsid w:val="003524F9"/>
    <w:rsid w:val="0035389B"/>
    <w:rsid w:val="00353E06"/>
    <w:rsid w:val="00353FB2"/>
    <w:rsid w:val="00354033"/>
    <w:rsid w:val="003547FB"/>
    <w:rsid w:val="003553C6"/>
    <w:rsid w:val="00356653"/>
    <w:rsid w:val="00356923"/>
    <w:rsid w:val="003571A8"/>
    <w:rsid w:val="0035743F"/>
    <w:rsid w:val="00357542"/>
    <w:rsid w:val="0035795C"/>
    <w:rsid w:val="00357BE2"/>
    <w:rsid w:val="00360EF9"/>
    <w:rsid w:val="003613C3"/>
    <w:rsid w:val="0036170C"/>
    <w:rsid w:val="00361767"/>
    <w:rsid w:val="00361D9D"/>
    <w:rsid w:val="00361F0A"/>
    <w:rsid w:val="0036284F"/>
    <w:rsid w:val="003635BB"/>
    <w:rsid w:val="00363E0E"/>
    <w:rsid w:val="003644B2"/>
    <w:rsid w:val="00364848"/>
    <w:rsid w:val="0036485E"/>
    <w:rsid w:val="0036592A"/>
    <w:rsid w:val="00365A18"/>
    <w:rsid w:val="00365A9A"/>
    <w:rsid w:val="00366B3D"/>
    <w:rsid w:val="00366E0F"/>
    <w:rsid w:val="00370856"/>
    <w:rsid w:val="0037115E"/>
    <w:rsid w:val="003715A8"/>
    <w:rsid w:val="003720E9"/>
    <w:rsid w:val="003724D6"/>
    <w:rsid w:val="0037256A"/>
    <w:rsid w:val="00372E36"/>
    <w:rsid w:val="00372FAA"/>
    <w:rsid w:val="003738B0"/>
    <w:rsid w:val="003738EA"/>
    <w:rsid w:val="003741C3"/>
    <w:rsid w:val="0037458E"/>
    <w:rsid w:val="00374BBC"/>
    <w:rsid w:val="00375066"/>
    <w:rsid w:val="003757CF"/>
    <w:rsid w:val="0037585D"/>
    <w:rsid w:val="00375929"/>
    <w:rsid w:val="00375D71"/>
    <w:rsid w:val="00375DFC"/>
    <w:rsid w:val="003761CC"/>
    <w:rsid w:val="00376651"/>
    <w:rsid w:val="003767F6"/>
    <w:rsid w:val="00376D62"/>
    <w:rsid w:val="00377C1B"/>
    <w:rsid w:val="0038011C"/>
    <w:rsid w:val="00380233"/>
    <w:rsid w:val="00380361"/>
    <w:rsid w:val="00380524"/>
    <w:rsid w:val="00380BEA"/>
    <w:rsid w:val="00380D03"/>
    <w:rsid w:val="00381043"/>
    <w:rsid w:val="00381A72"/>
    <w:rsid w:val="00381C32"/>
    <w:rsid w:val="003822D7"/>
    <w:rsid w:val="00383888"/>
    <w:rsid w:val="0038461D"/>
    <w:rsid w:val="00384676"/>
    <w:rsid w:val="0038556A"/>
    <w:rsid w:val="0038596A"/>
    <w:rsid w:val="0038617D"/>
    <w:rsid w:val="0038716B"/>
    <w:rsid w:val="0038723F"/>
    <w:rsid w:val="0038756B"/>
    <w:rsid w:val="00387D4B"/>
    <w:rsid w:val="00390143"/>
    <w:rsid w:val="00390436"/>
    <w:rsid w:val="00390857"/>
    <w:rsid w:val="0039136E"/>
    <w:rsid w:val="0039262F"/>
    <w:rsid w:val="00393C31"/>
    <w:rsid w:val="00393E81"/>
    <w:rsid w:val="003942FA"/>
    <w:rsid w:val="00394D2D"/>
    <w:rsid w:val="00395A40"/>
    <w:rsid w:val="00395A46"/>
    <w:rsid w:val="00395E09"/>
    <w:rsid w:val="00396426"/>
    <w:rsid w:val="0039664F"/>
    <w:rsid w:val="003968C6"/>
    <w:rsid w:val="00396F5C"/>
    <w:rsid w:val="003A0CC2"/>
    <w:rsid w:val="003A0EB6"/>
    <w:rsid w:val="003A0FE2"/>
    <w:rsid w:val="003A13ED"/>
    <w:rsid w:val="003A18A1"/>
    <w:rsid w:val="003A1EE0"/>
    <w:rsid w:val="003A24DE"/>
    <w:rsid w:val="003A2908"/>
    <w:rsid w:val="003A2DD2"/>
    <w:rsid w:val="003A372D"/>
    <w:rsid w:val="003A39E0"/>
    <w:rsid w:val="003A49EC"/>
    <w:rsid w:val="003A4BF3"/>
    <w:rsid w:val="003A59D7"/>
    <w:rsid w:val="003A628A"/>
    <w:rsid w:val="003A71E0"/>
    <w:rsid w:val="003A7269"/>
    <w:rsid w:val="003B0059"/>
    <w:rsid w:val="003B0450"/>
    <w:rsid w:val="003B0DC0"/>
    <w:rsid w:val="003B186D"/>
    <w:rsid w:val="003B21D4"/>
    <w:rsid w:val="003B27E8"/>
    <w:rsid w:val="003B3064"/>
    <w:rsid w:val="003B34E6"/>
    <w:rsid w:val="003B3715"/>
    <w:rsid w:val="003B3991"/>
    <w:rsid w:val="003B3C4B"/>
    <w:rsid w:val="003B420D"/>
    <w:rsid w:val="003B43AE"/>
    <w:rsid w:val="003B4C04"/>
    <w:rsid w:val="003B4DFD"/>
    <w:rsid w:val="003B522C"/>
    <w:rsid w:val="003B533F"/>
    <w:rsid w:val="003B63E7"/>
    <w:rsid w:val="003B6A54"/>
    <w:rsid w:val="003B6D62"/>
    <w:rsid w:val="003B713D"/>
    <w:rsid w:val="003B7286"/>
    <w:rsid w:val="003B7BCE"/>
    <w:rsid w:val="003C004F"/>
    <w:rsid w:val="003C00A6"/>
    <w:rsid w:val="003C2D7B"/>
    <w:rsid w:val="003C3519"/>
    <w:rsid w:val="003C3642"/>
    <w:rsid w:val="003C3990"/>
    <w:rsid w:val="003C3D84"/>
    <w:rsid w:val="003C41C0"/>
    <w:rsid w:val="003C4342"/>
    <w:rsid w:val="003C43DD"/>
    <w:rsid w:val="003C4E3D"/>
    <w:rsid w:val="003C5F7D"/>
    <w:rsid w:val="003C6457"/>
    <w:rsid w:val="003C6C16"/>
    <w:rsid w:val="003C6FB3"/>
    <w:rsid w:val="003C7382"/>
    <w:rsid w:val="003C74E4"/>
    <w:rsid w:val="003C76A0"/>
    <w:rsid w:val="003C7954"/>
    <w:rsid w:val="003C7C73"/>
    <w:rsid w:val="003D105F"/>
    <w:rsid w:val="003D14A4"/>
    <w:rsid w:val="003D1605"/>
    <w:rsid w:val="003D291D"/>
    <w:rsid w:val="003D3B73"/>
    <w:rsid w:val="003D3C82"/>
    <w:rsid w:val="003D3D33"/>
    <w:rsid w:val="003D4D61"/>
    <w:rsid w:val="003D521C"/>
    <w:rsid w:val="003D572E"/>
    <w:rsid w:val="003D5EED"/>
    <w:rsid w:val="003D6C94"/>
    <w:rsid w:val="003D7091"/>
    <w:rsid w:val="003D7892"/>
    <w:rsid w:val="003D794D"/>
    <w:rsid w:val="003D7ED2"/>
    <w:rsid w:val="003E1387"/>
    <w:rsid w:val="003E1B8A"/>
    <w:rsid w:val="003E1F84"/>
    <w:rsid w:val="003E24BC"/>
    <w:rsid w:val="003E2DEC"/>
    <w:rsid w:val="003E3058"/>
    <w:rsid w:val="003E3651"/>
    <w:rsid w:val="003E432B"/>
    <w:rsid w:val="003E4937"/>
    <w:rsid w:val="003E513E"/>
    <w:rsid w:val="003E5809"/>
    <w:rsid w:val="003E65D9"/>
    <w:rsid w:val="003E69E9"/>
    <w:rsid w:val="003E6CE5"/>
    <w:rsid w:val="003E7180"/>
    <w:rsid w:val="003E76A9"/>
    <w:rsid w:val="003F001A"/>
    <w:rsid w:val="003F06B1"/>
    <w:rsid w:val="003F0809"/>
    <w:rsid w:val="003F0FE1"/>
    <w:rsid w:val="003F1644"/>
    <w:rsid w:val="003F16A0"/>
    <w:rsid w:val="003F246A"/>
    <w:rsid w:val="003F29EB"/>
    <w:rsid w:val="003F2A07"/>
    <w:rsid w:val="003F2BEB"/>
    <w:rsid w:val="003F2D22"/>
    <w:rsid w:val="003F2ED5"/>
    <w:rsid w:val="003F2F8F"/>
    <w:rsid w:val="003F38D8"/>
    <w:rsid w:val="003F38DA"/>
    <w:rsid w:val="003F3C4B"/>
    <w:rsid w:val="003F451D"/>
    <w:rsid w:val="003F4C24"/>
    <w:rsid w:val="003F50DD"/>
    <w:rsid w:val="003F528A"/>
    <w:rsid w:val="003F6A8C"/>
    <w:rsid w:val="003F6CAD"/>
    <w:rsid w:val="003F6CD1"/>
    <w:rsid w:val="003F7023"/>
    <w:rsid w:val="003F755C"/>
    <w:rsid w:val="003F7846"/>
    <w:rsid w:val="003F7880"/>
    <w:rsid w:val="003F7934"/>
    <w:rsid w:val="003F7A35"/>
    <w:rsid w:val="003F7B82"/>
    <w:rsid w:val="003F7BB5"/>
    <w:rsid w:val="0040026D"/>
    <w:rsid w:val="00400ED0"/>
    <w:rsid w:val="0040115E"/>
    <w:rsid w:val="004012C8"/>
    <w:rsid w:val="004039E7"/>
    <w:rsid w:val="00403BC6"/>
    <w:rsid w:val="004041C8"/>
    <w:rsid w:val="004045B0"/>
    <w:rsid w:val="00404619"/>
    <w:rsid w:val="004049CE"/>
    <w:rsid w:val="00404B69"/>
    <w:rsid w:val="00404C43"/>
    <w:rsid w:val="00404C72"/>
    <w:rsid w:val="00405057"/>
    <w:rsid w:val="00405D3D"/>
    <w:rsid w:val="00406772"/>
    <w:rsid w:val="00406C9D"/>
    <w:rsid w:val="00406F01"/>
    <w:rsid w:val="0040797F"/>
    <w:rsid w:val="00407B34"/>
    <w:rsid w:val="00410AF9"/>
    <w:rsid w:val="00411264"/>
    <w:rsid w:val="0041164C"/>
    <w:rsid w:val="0041315B"/>
    <w:rsid w:val="00413DFA"/>
    <w:rsid w:val="00414037"/>
    <w:rsid w:val="004140F5"/>
    <w:rsid w:val="00414826"/>
    <w:rsid w:val="00414A9E"/>
    <w:rsid w:val="0041542B"/>
    <w:rsid w:val="0041544C"/>
    <w:rsid w:val="0041667D"/>
    <w:rsid w:val="00416D50"/>
    <w:rsid w:val="00416F65"/>
    <w:rsid w:val="00416FD5"/>
    <w:rsid w:val="004174BA"/>
    <w:rsid w:val="004174DA"/>
    <w:rsid w:val="004175B2"/>
    <w:rsid w:val="00417654"/>
    <w:rsid w:val="00417772"/>
    <w:rsid w:val="00417C8F"/>
    <w:rsid w:val="00417E90"/>
    <w:rsid w:val="00420192"/>
    <w:rsid w:val="0042019B"/>
    <w:rsid w:val="00420406"/>
    <w:rsid w:val="0042063C"/>
    <w:rsid w:val="00420678"/>
    <w:rsid w:val="00420E6A"/>
    <w:rsid w:val="00422147"/>
    <w:rsid w:val="00422F5E"/>
    <w:rsid w:val="004243CB"/>
    <w:rsid w:val="00424841"/>
    <w:rsid w:val="00424958"/>
    <w:rsid w:val="00424EDE"/>
    <w:rsid w:val="00425002"/>
    <w:rsid w:val="00425A9E"/>
    <w:rsid w:val="00425BC5"/>
    <w:rsid w:val="00425F5E"/>
    <w:rsid w:val="00426BDF"/>
    <w:rsid w:val="00426D6B"/>
    <w:rsid w:val="00426DDC"/>
    <w:rsid w:val="004272F8"/>
    <w:rsid w:val="004275D2"/>
    <w:rsid w:val="00427990"/>
    <w:rsid w:val="00427AAE"/>
    <w:rsid w:val="00427E8A"/>
    <w:rsid w:val="00427F4E"/>
    <w:rsid w:val="00430AE7"/>
    <w:rsid w:val="00430DEF"/>
    <w:rsid w:val="00430F28"/>
    <w:rsid w:val="00431825"/>
    <w:rsid w:val="00431967"/>
    <w:rsid w:val="00431E03"/>
    <w:rsid w:val="00431E6C"/>
    <w:rsid w:val="00432329"/>
    <w:rsid w:val="00432930"/>
    <w:rsid w:val="00433A33"/>
    <w:rsid w:val="00433B34"/>
    <w:rsid w:val="00433CE7"/>
    <w:rsid w:val="00434807"/>
    <w:rsid w:val="00435109"/>
    <w:rsid w:val="00435355"/>
    <w:rsid w:val="004359C5"/>
    <w:rsid w:val="00435D36"/>
    <w:rsid w:val="0043626E"/>
    <w:rsid w:val="004364B4"/>
    <w:rsid w:val="004365B9"/>
    <w:rsid w:val="00436A94"/>
    <w:rsid w:val="00436CF1"/>
    <w:rsid w:val="004375D5"/>
    <w:rsid w:val="00437AEA"/>
    <w:rsid w:val="00437E39"/>
    <w:rsid w:val="0044027F"/>
    <w:rsid w:val="00440474"/>
    <w:rsid w:val="00440ACE"/>
    <w:rsid w:val="004420C6"/>
    <w:rsid w:val="0044256D"/>
    <w:rsid w:val="00442BF1"/>
    <w:rsid w:val="00442C87"/>
    <w:rsid w:val="00442D7C"/>
    <w:rsid w:val="00443704"/>
    <w:rsid w:val="00443938"/>
    <w:rsid w:val="0044401F"/>
    <w:rsid w:val="00444962"/>
    <w:rsid w:val="00446881"/>
    <w:rsid w:val="004477B9"/>
    <w:rsid w:val="00447F4F"/>
    <w:rsid w:val="004505A8"/>
    <w:rsid w:val="00452672"/>
    <w:rsid w:val="00452738"/>
    <w:rsid w:val="00452DBB"/>
    <w:rsid w:val="00453CDD"/>
    <w:rsid w:val="00453DC4"/>
    <w:rsid w:val="00453F43"/>
    <w:rsid w:val="004543D1"/>
    <w:rsid w:val="00454789"/>
    <w:rsid w:val="00455068"/>
    <w:rsid w:val="00456091"/>
    <w:rsid w:val="004577C1"/>
    <w:rsid w:val="00457825"/>
    <w:rsid w:val="00457A03"/>
    <w:rsid w:val="004603AA"/>
    <w:rsid w:val="004603D3"/>
    <w:rsid w:val="004604C2"/>
    <w:rsid w:val="00460501"/>
    <w:rsid w:val="00460606"/>
    <w:rsid w:val="00460744"/>
    <w:rsid w:val="00460DFE"/>
    <w:rsid w:val="00461032"/>
    <w:rsid w:val="00461737"/>
    <w:rsid w:val="00463B40"/>
    <w:rsid w:val="00463D6D"/>
    <w:rsid w:val="00464661"/>
    <w:rsid w:val="00466321"/>
    <w:rsid w:val="004664E2"/>
    <w:rsid w:val="004669D4"/>
    <w:rsid w:val="0046713E"/>
    <w:rsid w:val="004674E5"/>
    <w:rsid w:val="00467D68"/>
    <w:rsid w:val="00467F44"/>
    <w:rsid w:val="00470177"/>
    <w:rsid w:val="00470F2E"/>
    <w:rsid w:val="00472C91"/>
    <w:rsid w:val="004739DA"/>
    <w:rsid w:val="00473BA0"/>
    <w:rsid w:val="00473ED6"/>
    <w:rsid w:val="004743B9"/>
    <w:rsid w:val="00474F1F"/>
    <w:rsid w:val="00475FCF"/>
    <w:rsid w:val="00476902"/>
    <w:rsid w:val="004769E0"/>
    <w:rsid w:val="00476BC6"/>
    <w:rsid w:val="00477A40"/>
    <w:rsid w:val="00477AEB"/>
    <w:rsid w:val="00480311"/>
    <w:rsid w:val="00480705"/>
    <w:rsid w:val="0048130C"/>
    <w:rsid w:val="00481913"/>
    <w:rsid w:val="00482E5E"/>
    <w:rsid w:val="00483022"/>
    <w:rsid w:val="00483A75"/>
    <w:rsid w:val="00484250"/>
    <w:rsid w:val="00484683"/>
    <w:rsid w:val="004846D6"/>
    <w:rsid w:val="00484B9B"/>
    <w:rsid w:val="00484D4F"/>
    <w:rsid w:val="0048514B"/>
    <w:rsid w:val="00485208"/>
    <w:rsid w:val="004855EB"/>
    <w:rsid w:val="004855F6"/>
    <w:rsid w:val="00485865"/>
    <w:rsid w:val="00485FEB"/>
    <w:rsid w:val="0048661E"/>
    <w:rsid w:val="00487784"/>
    <w:rsid w:val="00487E0F"/>
    <w:rsid w:val="00490358"/>
    <w:rsid w:val="00490FDB"/>
    <w:rsid w:val="00491027"/>
    <w:rsid w:val="004918C8"/>
    <w:rsid w:val="00491AAC"/>
    <w:rsid w:val="004923BA"/>
    <w:rsid w:val="00492E60"/>
    <w:rsid w:val="00492E7C"/>
    <w:rsid w:val="004933F5"/>
    <w:rsid w:val="00493D99"/>
    <w:rsid w:val="00494670"/>
    <w:rsid w:val="00494E06"/>
    <w:rsid w:val="00495DE7"/>
    <w:rsid w:val="00496381"/>
    <w:rsid w:val="00496CA2"/>
    <w:rsid w:val="004979D1"/>
    <w:rsid w:val="004A0371"/>
    <w:rsid w:val="004A0784"/>
    <w:rsid w:val="004A07E1"/>
    <w:rsid w:val="004A08FB"/>
    <w:rsid w:val="004A1577"/>
    <w:rsid w:val="004A2ED2"/>
    <w:rsid w:val="004A3183"/>
    <w:rsid w:val="004A36C5"/>
    <w:rsid w:val="004A3823"/>
    <w:rsid w:val="004A419A"/>
    <w:rsid w:val="004A4594"/>
    <w:rsid w:val="004A476A"/>
    <w:rsid w:val="004A48E6"/>
    <w:rsid w:val="004A4923"/>
    <w:rsid w:val="004A4F6C"/>
    <w:rsid w:val="004A5380"/>
    <w:rsid w:val="004A5D5A"/>
    <w:rsid w:val="004A752D"/>
    <w:rsid w:val="004A7594"/>
    <w:rsid w:val="004A772E"/>
    <w:rsid w:val="004B02EC"/>
    <w:rsid w:val="004B03F5"/>
    <w:rsid w:val="004B0CC5"/>
    <w:rsid w:val="004B158F"/>
    <w:rsid w:val="004B19ED"/>
    <w:rsid w:val="004B3903"/>
    <w:rsid w:val="004B411C"/>
    <w:rsid w:val="004B41D0"/>
    <w:rsid w:val="004B4FE1"/>
    <w:rsid w:val="004B5635"/>
    <w:rsid w:val="004B581C"/>
    <w:rsid w:val="004B5DF0"/>
    <w:rsid w:val="004B6051"/>
    <w:rsid w:val="004B682A"/>
    <w:rsid w:val="004B6CFB"/>
    <w:rsid w:val="004C09E3"/>
    <w:rsid w:val="004C1064"/>
    <w:rsid w:val="004C107C"/>
    <w:rsid w:val="004C1449"/>
    <w:rsid w:val="004C16C9"/>
    <w:rsid w:val="004C3921"/>
    <w:rsid w:val="004C3A7C"/>
    <w:rsid w:val="004C3C04"/>
    <w:rsid w:val="004C3F87"/>
    <w:rsid w:val="004C439C"/>
    <w:rsid w:val="004C47AB"/>
    <w:rsid w:val="004C4E94"/>
    <w:rsid w:val="004C5061"/>
    <w:rsid w:val="004C506D"/>
    <w:rsid w:val="004C67D9"/>
    <w:rsid w:val="004C72A8"/>
    <w:rsid w:val="004C78A6"/>
    <w:rsid w:val="004C7CC6"/>
    <w:rsid w:val="004D0162"/>
    <w:rsid w:val="004D031E"/>
    <w:rsid w:val="004D07B9"/>
    <w:rsid w:val="004D087E"/>
    <w:rsid w:val="004D0BAC"/>
    <w:rsid w:val="004D0ECE"/>
    <w:rsid w:val="004D10EA"/>
    <w:rsid w:val="004D2934"/>
    <w:rsid w:val="004D40E2"/>
    <w:rsid w:val="004D47F7"/>
    <w:rsid w:val="004D48C9"/>
    <w:rsid w:val="004D49A7"/>
    <w:rsid w:val="004D4E4D"/>
    <w:rsid w:val="004D5531"/>
    <w:rsid w:val="004D5B4D"/>
    <w:rsid w:val="004D672E"/>
    <w:rsid w:val="004D6B23"/>
    <w:rsid w:val="004D7ED4"/>
    <w:rsid w:val="004E0099"/>
    <w:rsid w:val="004E24E7"/>
    <w:rsid w:val="004E3EE4"/>
    <w:rsid w:val="004E4391"/>
    <w:rsid w:val="004E459C"/>
    <w:rsid w:val="004E4A62"/>
    <w:rsid w:val="004E4BC6"/>
    <w:rsid w:val="004E52BE"/>
    <w:rsid w:val="004E595B"/>
    <w:rsid w:val="004E5B80"/>
    <w:rsid w:val="004E6946"/>
    <w:rsid w:val="004E6CB2"/>
    <w:rsid w:val="004E7685"/>
    <w:rsid w:val="004E790C"/>
    <w:rsid w:val="004E7F3C"/>
    <w:rsid w:val="004F05BB"/>
    <w:rsid w:val="004F0822"/>
    <w:rsid w:val="004F17FB"/>
    <w:rsid w:val="004F1AD8"/>
    <w:rsid w:val="004F2553"/>
    <w:rsid w:val="004F279B"/>
    <w:rsid w:val="004F27C9"/>
    <w:rsid w:val="004F27FF"/>
    <w:rsid w:val="004F314A"/>
    <w:rsid w:val="004F3157"/>
    <w:rsid w:val="004F35DF"/>
    <w:rsid w:val="004F36E1"/>
    <w:rsid w:val="004F3DD5"/>
    <w:rsid w:val="004F40BE"/>
    <w:rsid w:val="004F47AE"/>
    <w:rsid w:val="004F520D"/>
    <w:rsid w:val="004F546A"/>
    <w:rsid w:val="004F5512"/>
    <w:rsid w:val="004F6178"/>
    <w:rsid w:val="004F64F7"/>
    <w:rsid w:val="004F67EB"/>
    <w:rsid w:val="004F72E8"/>
    <w:rsid w:val="004F7530"/>
    <w:rsid w:val="004F7639"/>
    <w:rsid w:val="00500858"/>
    <w:rsid w:val="0050118B"/>
    <w:rsid w:val="0050126A"/>
    <w:rsid w:val="00501394"/>
    <w:rsid w:val="00501DA8"/>
    <w:rsid w:val="0050248A"/>
    <w:rsid w:val="005039CB"/>
    <w:rsid w:val="00503AC7"/>
    <w:rsid w:val="00503E48"/>
    <w:rsid w:val="00504DD9"/>
    <w:rsid w:val="00504E29"/>
    <w:rsid w:val="00505150"/>
    <w:rsid w:val="0050532E"/>
    <w:rsid w:val="0050554D"/>
    <w:rsid w:val="0050558F"/>
    <w:rsid w:val="00505908"/>
    <w:rsid w:val="00506286"/>
    <w:rsid w:val="00506585"/>
    <w:rsid w:val="0050724F"/>
    <w:rsid w:val="00507417"/>
    <w:rsid w:val="0050752F"/>
    <w:rsid w:val="005076F9"/>
    <w:rsid w:val="005107DC"/>
    <w:rsid w:val="00510813"/>
    <w:rsid w:val="00510BDC"/>
    <w:rsid w:val="00511642"/>
    <w:rsid w:val="005117ED"/>
    <w:rsid w:val="00511990"/>
    <w:rsid w:val="00511DE0"/>
    <w:rsid w:val="0051242E"/>
    <w:rsid w:val="00512CFF"/>
    <w:rsid w:val="00512E58"/>
    <w:rsid w:val="0051344B"/>
    <w:rsid w:val="00513542"/>
    <w:rsid w:val="00513801"/>
    <w:rsid w:val="00513AB1"/>
    <w:rsid w:val="00513EB9"/>
    <w:rsid w:val="0051441A"/>
    <w:rsid w:val="00514870"/>
    <w:rsid w:val="00514B7E"/>
    <w:rsid w:val="00514B9B"/>
    <w:rsid w:val="00514C9F"/>
    <w:rsid w:val="00516B1A"/>
    <w:rsid w:val="00516B24"/>
    <w:rsid w:val="00516FB0"/>
    <w:rsid w:val="00517201"/>
    <w:rsid w:val="0051780E"/>
    <w:rsid w:val="00517F02"/>
    <w:rsid w:val="0052146F"/>
    <w:rsid w:val="00521648"/>
    <w:rsid w:val="00521734"/>
    <w:rsid w:val="00521930"/>
    <w:rsid w:val="005222C4"/>
    <w:rsid w:val="005222D1"/>
    <w:rsid w:val="00522759"/>
    <w:rsid w:val="00523331"/>
    <w:rsid w:val="00523A93"/>
    <w:rsid w:val="00523B3B"/>
    <w:rsid w:val="00523B3C"/>
    <w:rsid w:val="00523D06"/>
    <w:rsid w:val="00524303"/>
    <w:rsid w:val="00524CC0"/>
    <w:rsid w:val="005258A2"/>
    <w:rsid w:val="00525B23"/>
    <w:rsid w:val="00525B34"/>
    <w:rsid w:val="00525BDB"/>
    <w:rsid w:val="00525C0B"/>
    <w:rsid w:val="00525F1B"/>
    <w:rsid w:val="00526445"/>
    <w:rsid w:val="0052745F"/>
    <w:rsid w:val="0052771C"/>
    <w:rsid w:val="005307D7"/>
    <w:rsid w:val="00531588"/>
    <w:rsid w:val="005319BC"/>
    <w:rsid w:val="00531E8E"/>
    <w:rsid w:val="0053224E"/>
    <w:rsid w:val="00532839"/>
    <w:rsid w:val="00533255"/>
    <w:rsid w:val="00533E77"/>
    <w:rsid w:val="005344D6"/>
    <w:rsid w:val="005347B1"/>
    <w:rsid w:val="00534E28"/>
    <w:rsid w:val="005350CF"/>
    <w:rsid w:val="00535632"/>
    <w:rsid w:val="005359C5"/>
    <w:rsid w:val="00535E14"/>
    <w:rsid w:val="0053666F"/>
    <w:rsid w:val="00536FAE"/>
    <w:rsid w:val="005373DA"/>
    <w:rsid w:val="00540089"/>
    <w:rsid w:val="005401AE"/>
    <w:rsid w:val="005404D2"/>
    <w:rsid w:val="00540BCC"/>
    <w:rsid w:val="005418A5"/>
    <w:rsid w:val="00541D49"/>
    <w:rsid w:val="0054200F"/>
    <w:rsid w:val="005422B5"/>
    <w:rsid w:val="00542E07"/>
    <w:rsid w:val="00543220"/>
    <w:rsid w:val="005433CC"/>
    <w:rsid w:val="00543C93"/>
    <w:rsid w:val="0054408E"/>
    <w:rsid w:val="005442E8"/>
    <w:rsid w:val="00544D5D"/>
    <w:rsid w:val="0054522B"/>
    <w:rsid w:val="00545424"/>
    <w:rsid w:val="0054546F"/>
    <w:rsid w:val="00545E0A"/>
    <w:rsid w:val="00545E5C"/>
    <w:rsid w:val="005466F7"/>
    <w:rsid w:val="00546BE3"/>
    <w:rsid w:val="00546D11"/>
    <w:rsid w:val="0054711E"/>
    <w:rsid w:val="0054738D"/>
    <w:rsid w:val="005474B9"/>
    <w:rsid w:val="00547AAC"/>
    <w:rsid w:val="0055010E"/>
    <w:rsid w:val="00550FC5"/>
    <w:rsid w:val="00551313"/>
    <w:rsid w:val="00552081"/>
    <w:rsid w:val="00552BA8"/>
    <w:rsid w:val="00552BF0"/>
    <w:rsid w:val="00553D3D"/>
    <w:rsid w:val="005543C8"/>
    <w:rsid w:val="005544B9"/>
    <w:rsid w:val="00554A0D"/>
    <w:rsid w:val="00554A7B"/>
    <w:rsid w:val="00554AD4"/>
    <w:rsid w:val="0055572C"/>
    <w:rsid w:val="005559E3"/>
    <w:rsid w:val="00555B30"/>
    <w:rsid w:val="0055620C"/>
    <w:rsid w:val="00556789"/>
    <w:rsid w:val="00556890"/>
    <w:rsid w:val="00556C26"/>
    <w:rsid w:val="0055742D"/>
    <w:rsid w:val="00557619"/>
    <w:rsid w:val="0055799B"/>
    <w:rsid w:val="00557E4B"/>
    <w:rsid w:val="00557FD3"/>
    <w:rsid w:val="005608C8"/>
    <w:rsid w:val="00560B06"/>
    <w:rsid w:val="00560B98"/>
    <w:rsid w:val="00560DA1"/>
    <w:rsid w:val="0056106A"/>
    <w:rsid w:val="00561A81"/>
    <w:rsid w:val="00562ED6"/>
    <w:rsid w:val="00563E5C"/>
    <w:rsid w:val="00564AD5"/>
    <w:rsid w:val="00564EDB"/>
    <w:rsid w:val="0056503B"/>
    <w:rsid w:val="00566200"/>
    <w:rsid w:val="005667F2"/>
    <w:rsid w:val="00566EBE"/>
    <w:rsid w:val="0056751E"/>
    <w:rsid w:val="00567B3B"/>
    <w:rsid w:val="005700B0"/>
    <w:rsid w:val="0057073C"/>
    <w:rsid w:val="00570DD0"/>
    <w:rsid w:val="00571187"/>
    <w:rsid w:val="0057155C"/>
    <w:rsid w:val="005720AE"/>
    <w:rsid w:val="00572138"/>
    <w:rsid w:val="0057236D"/>
    <w:rsid w:val="00572FE9"/>
    <w:rsid w:val="00573193"/>
    <w:rsid w:val="00573A70"/>
    <w:rsid w:val="00574D31"/>
    <w:rsid w:val="005756CB"/>
    <w:rsid w:val="00575A93"/>
    <w:rsid w:val="00575AB6"/>
    <w:rsid w:val="00576243"/>
    <w:rsid w:val="005766BB"/>
    <w:rsid w:val="00576AB6"/>
    <w:rsid w:val="00576F42"/>
    <w:rsid w:val="00576FE2"/>
    <w:rsid w:val="00577DEB"/>
    <w:rsid w:val="0058015A"/>
    <w:rsid w:val="005802A8"/>
    <w:rsid w:val="00580453"/>
    <w:rsid w:val="0058053E"/>
    <w:rsid w:val="005811B1"/>
    <w:rsid w:val="005817B7"/>
    <w:rsid w:val="00581A5C"/>
    <w:rsid w:val="00581FED"/>
    <w:rsid w:val="00582822"/>
    <w:rsid w:val="005829EA"/>
    <w:rsid w:val="00582B52"/>
    <w:rsid w:val="00582E39"/>
    <w:rsid w:val="005833F6"/>
    <w:rsid w:val="0058494C"/>
    <w:rsid w:val="005849C1"/>
    <w:rsid w:val="00584DB1"/>
    <w:rsid w:val="005866EF"/>
    <w:rsid w:val="00586A4E"/>
    <w:rsid w:val="00586F76"/>
    <w:rsid w:val="0058725E"/>
    <w:rsid w:val="0058761C"/>
    <w:rsid w:val="005908CB"/>
    <w:rsid w:val="00590FED"/>
    <w:rsid w:val="00591402"/>
    <w:rsid w:val="00591B16"/>
    <w:rsid w:val="00591C0F"/>
    <w:rsid w:val="005920BB"/>
    <w:rsid w:val="005926DB"/>
    <w:rsid w:val="00592A17"/>
    <w:rsid w:val="00592CFC"/>
    <w:rsid w:val="005931EB"/>
    <w:rsid w:val="0059421C"/>
    <w:rsid w:val="00594C7C"/>
    <w:rsid w:val="00594D77"/>
    <w:rsid w:val="00594F66"/>
    <w:rsid w:val="0059568C"/>
    <w:rsid w:val="005958C1"/>
    <w:rsid w:val="00596160"/>
    <w:rsid w:val="005968F6"/>
    <w:rsid w:val="005969E4"/>
    <w:rsid w:val="005A03FC"/>
    <w:rsid w:val="005A0473"/>
    <w:rsid w:val="005A053A"/>
    <w:rsid w:val="005A06B7"/>
    <w:rsid w:val="005A1759"/>
    <w:rsid w:val="005A1EBA"/>
    <w:rsid w:val="005A2109"/>
    <w:rsid w:val="005A2354"/>
    <w:rsid w:val="005A2484"/>
    <w:rsid w:val="005A28BC"/>
    <w:rsid w:val="005A3446"/>
    <w:rsid w:val="005A359B"/>
    <w:rsid w:val="005A3CD2"/>
    <w:rsid w:val="005A42DE"/>
    <w:rsid w:val="005A477C"/>
    <w:rsid w:val="005A4C2A"/>
    <w:rsid w:val="005A4C59"/>
    <w:rsid w:val="005A4FB9"/>
    <w:rsid w:val="005A52D0"/>
    <w:rsid w:val="005A5709"/>
    <w:rsid w:val="005A5BE1"/>
    <w:rsid w:val="005A668D"/>
    <w:rsid w:val="005A68A7"/>
    <w:rsid w:val="005A693F"/>
    <w:rsid w:val="005A697C"/>
    <w:rsid w:val="005A6FF8"/>
    <w:rsid w:val="005A7453"/>
    <w:rsid w:val="005B04E6"/>
    <w:rsid w:val="005B12BE"/>
    <w:rsid w:val="005B312E"/>
    <w:rsid w:val="005B353E"/>
    <w:rsid w:val="005B36B7"/>
    <w:rsid w:val="005B3A5D"/>
    <w:rsid w:val="005B3F48"/>
    <w:rsid w:val="005B4DDC"/>
    <w:rsid w:val="005B5057"/>
    <w:rsid w:val="005B5261"/>
    <w:rsid w:val="005B5486"/>
    <w:rsid w:val="005B5F6C"/>
    <w:rsid w:val="005B61DC"/>
    <w:rsid w:val="005B6F68"/>
    <w:rsid w:val="005B7951"/>
    <w:rsid w:val="005C04A4"/>
    <w:rsid w:val="005C12EE"/>
    <w:rsid w:val="005C1B8F"/>
    <w:rsid w:val="005C1C44"/>
    <w:rsid w:val="005C3966"/>
    <w:rsid w:val="005C4F92"/>
    <w:rsid w:val="005C52FF"/>
    <w:rsid w:val="005C58AC"/>
    <w:rsid w:val="005C5DAD"/>
    <w:rsid w:val="005C6144"/>
    <w:rsid w:val="005C65C9"/>
    <w:rsid w:val="005C66A6"/>
    <w:rsid w:val="005C6935"/>
    <w:rsid w:val="005D01FF"/>
    <w:rsid w:val="005D0E04"/>
    <w:rsid w:val="005D1476"/>
    <w:rsid w:val="005D153D"/>
    <w:rsid w:val="005D1876"/>
    <w:rsid w:val="005D1A3F"/>
    <w:rsid w:val="005D1B7D"/>
    <w:rsid w:val="005D2422"/>
    <w:rsid w:val="005D289C"/>
    <w:rsid w:val="005D2B80"/>
    <w:rsid w:val="005D36AB"/>
    <w:rsid w:val="005D3AF4"/>
    <w:rsid w:val="005D42E7"/>
    <w:rsid w:val="005D5E86"/>
    <w:rsid w:val="005D6500"/>
    <w:rsid w:val="005D65B0"/>
    <w:rsid w:val="005D6CCE"/>
    <w:rsid w:val="005D6D9A"/>
    <w:rsid w:val="005D7BB8"/>
    <w:rsid w:val="005E1864"/>
    <w:rsid w:val="005E1D59"/>
    <w:rsid w:val="005E1ED3"/>
    <w:rsid w:val="005E1F6F"/>
    <w:rsid w:val="005E25A9"/>
    <w:rsid w:val="005E29F3"/>
    <w:rsid w:val="005E4053"/>
    <w:rsid w:val="005E46D1"/>
    <w:rsid w:val="005E47F1"/>
    <w:rsid w:val="005E4D2D"/>
    <w:rsid w:val="005E63EC"/>
    <w:rsid w:val="005E792D"/>
    <w:rsid w:val="005F0236"/>
    <w:rsid w:val="005F0CEF"/>
    <w:rsid w:val="005F1081"/>
    <w:rsid w:val="005F1337"/>
    <w:rsid w:val="005F170A"/>
    <w:rsid w:val="005F1774"/>
    <w:rsid w:val="005F181A"/>
    <w:rsid w:val="005F1884"/>
    <w:rsid w:val="005F1A4A"/>
    <w:rsid w:val="005F1D93"/>
    <w:rsid w:val="005F2DFE"/>
    <w:rsid w:val="005F328A"/>
    <w:rsid w:val="005F3D7F"/>
    <w:rsid w:val="005F4425"/>
    <w:rsid w:val="005F562C"/>
    <w:rsid w:val="005F5739"/>
    <w:rsid w:val="005F6E48"/>
    <w:rsid w:val="00600AC5"/>
    <w:rsid w:val="00600BFB"/>
    <w:rsid w:val="00600D30"/>
    <w:rsid w:val="006013E5"/>
    <w:rsid w:val="0060208A"/>
    <w:rsid w:val="00602853"/>
    <w:rsid w:val="006031A0"/>
    <w:rsid w:val="00603738"/>
    <w:rsid w:val="00603979"/>
    <w:rsid w:val="00604331"/>
    <w:rsid w:val="0060467F"/>
    <w:rsid w:val="0060483A"/>
    <w:rsid w:val="00604D9B"/>
    <w:rsid w:val="006053D2"/>
    <w:rsid w:val="00605AED"/>
    <w:rsid w:val="00605D64"/>
    <w:rsid w:val="006079C7"/>
    <w:rsid w:val="00610026"/>
    <w:rsid w:val="00610401"/>
    <w:rsid w:val="00610454"/>
    <w:rsid w:val="006113D1"/>
    <w:rsid w:val="00612153"/>
    <w:rsid w:val="00612ACA"/>
    <w:rsid w:val="00613229"/>
    <w:rsid w:val="00613813"/>
    <w:rsid w:val="0061407C"/>
    <w:rsid w:val="00614C7C"/>
    <w:rsid w:val="006163AE"/>
    <w:rsid w:val="0061661E"/>
    <w:rsid w:val="006167EE"/>
    <w:rsid w:val="00616CBA"/>
    <w:rsid w:val="006173C9"/>
    <w:rsid w:val="0061752D"/>
    <w:rsid w:val="006176AF"/>
    <w:rsid w:val="006177FA"/>
    <w:rsid w:val="00617CC3"/>
    <w:rsid w:val="00620103"/>
    <w:rsid w:val="00621014"/>
    <w:rsid w:val="00621487"/>
    <w:rsid w:val="00621A43"/>
    <w:rsid w:val="0062272F"/>
    <w:rsid w:val="006231C8"/>
    <w:rsid w:val="0062332B"/>
    <w:rsid w:val="0062361A"/>
    <w:rsid w:val="006238C1"/>
    <w:rsid w:val="006239FB"/>
    <w:rsid w:val="00624275"/>
    <w:rsid w:val="00624357"/>
    <w:rsid w:val="00624A6B"/>
    <w:rsid w:val="00625117"/>
    <w:rsid w:val="00625E1D"/>
    <w:rsid w:val="0062630B"/>
    <w:rsid w:val="006264F3"/>
    <w:rsid w:val="0062670C"/>
    <w:rsid w:val="00626D58"/>
    <w:rsid w:val="00626DC8"/>
    <w:rsid w:val="006305C0"/>
    <w:rsid w:val="00631FDA"/>
    <w:rsid w:val="00632754"/>
    <w:rsid w:val="00634002"/>
    <w:rsid w:val="006343D3"/>
    <w:rsid w:val="006353C2"/>
    <w:rsid w:val="00635C40"/>
    <w:rsid w:val="00636B57"/>
    <w:rsid w:val="006377A6"/>
    <w:rsid w:val="00637A3D"/>
    <w:rsid w:val="00637BB4"/>
    <w:rsid w:val="006400A2"/>
    <w:rsid w:val="006409FC"/>
    <w:rsid w:val="00640BE5"/>
    <w:rsid w:val="00641100"/>
    <w:rsid w:val="006411EF"/>
    <w:rsid w:val="006416CF"/>
    <w:rsid w:val="006427BB"/>
    <w:rsid w:val="006428E5"/>
    <w:rsid w:val="00642C0E"/>
    <w:rsid w:val="00643B68"/>
    <w:rsid w:val="00643C93"/>
    <w:rsid w:val="006442E4"/>
    <w:rsid w:val="00645548"/>
    <w:rsid w:val="00645AC7"/>
    <w:rsid w:val="00645BBA"/>
    <w:rsid w:val="006464C2"/>
    <w:rsid w:val="006467C7"/>
    <w:rsid w:val="00647645"/>
    <w:rsid w:val="00647804"/>
    <w:rsid w:val="0065020F"/>
    <w:rsid w:val="00651097"/>
    <w:rsid w:val="00652391"/>
    <w:rsid w:val="00652A0E"/>
    <w:rsid w:val="00653AA2"/>
    <w:rsid w:val="00654257"/>
    <w:rsid w:val="006544C9"/>
    <w:rsid w:val="00654901"/>
    <w:rsid w:val="00655142"/>
    <w:rsid w:val="0065525F"/>
    <w:rsid w:val="006559DA"/>
    <w:rsid w:val="00655BFA"/>
    <w:rsid w:val="00655D7D"/>
    <w:rsid w:val="00655ECA"/>
    <w:rsid w:val="00657068"/>
    <w:rsid w:val="00660380"/>
    <w:rsid w:val="00660B7A"/>
    <w:rsid w:val="00661D7D"/>
    <w:rsid w:val="0066207E"/>
    <w:rsid w:val="00662920"/>
    <w:rsid w:val="00663656"/>
    <w:rsid w:val="00663B07"/>
    <w:rsid w:val="00663B7E"/>
    <w:rsid w:val="00664621"/>
    <w:rsid w:val="00665943"/>
    <w:rsid w:val="006662BA"/>
    <w:rsid w:val="00666300"/>
    <w:rsid w:val="006665D5"/>
    <w:rsid w:val="00667333"/>
    <w:rsid w:val="00667A3E"/>
    <w:rsid w:val="00667EBA"/>
    <w:rsid w:val="00670DFA"/>
    <w:rsid w:val="00670ED5"/>
    <w:rsid w:val="0067119D"/>
    <w:rsid w:val="00672184"/>
    <w:rsid w:val="0067221A"/>
    <w:rsid w:val="00672DD0"/>
    <w:rsid w:val="00673925"/>
    <w:rsid w:val="00673D47"/>
    <w:rsid w:val="00673DF1"/>
    <w:rsid w:val="006748B8"/>
    <w:rsid w:val="00674A6D"/>
    <w:rsid w:val="00674AD3"/>
    <w:rsid w:val="00674F14"/>
    <w:rsid w:val="0067504A"/>
    <w:rsid w:val="006753B0"/>
    <w:rsid w:val="006755DD"/>
    <w:rsid w:val="00675CF3"/>
    <w:rsid w:val="0067626A"/>
    <w:rsid w:val="00676402"/>
    <w:rsid w:val="0067661F"/>
    <w:rsid w:val="00676BDD"/>
    <w:rsid w:val="00676C1D"/>
    <w:rsid w:val="00676D24"/>
    <w:rsid w:val="006775C3"/>
    <w:rsid w:val="006777C7"/>
    <w:rsid w:val="00680358"/>
    <w:rsid w:val="006803AA"/>
    <w:rsid w:val="00680409"/>
    <w:rsid w:val="00680BB0"/>
    <w:rsid w:val="00680BF8"/>
    <w:rsid w:val="00681202"/>
    <w:rsid w:val="006812A6"/>
    <w:rsid w:val="00681312"/>
    <w:rsid w:val="00681CE3"/>
    <w:rsid w:val="006821CC"/>
    <w:rsid w:val="006828C3"/>
    <w:rsid w:val="00682A30"/>
    <w:rsid w:val="00682C3F"/>
    <w:rsid w:val="00683BB1"/>
    <w:rsid w:val="006840BE"/>
    <w:rsid w:val="006842A7"/>
    <w:rsid w:val="006843D6"/>
    <w:rsid w:val="00684A3D"/>
    <w:rsid w:val="00684BEC"/>
    <w:rsid w:val="00684EB2"/>
    <w:rsid w:val="00685756"/>
    <w:rsid w:val="00685779"/>
    <w:rsid w:val="00685C18"/>
    <w:rsid w:val="00686D4A"/>
    <w:rsid w:val="00687666"/>
    <w:rsid w:val="00687713"/>
    <w:rsid w:val="006908DD"/>
    <w:rsid w:val="00690C02"/>
    <w:rsid w:val="006917A2"/>
    <w:rsid w:val="00691BAB"/>
    <w:rsid w:val="00691FB6"/>
    <w:rsid w:val="00691FEC"/>
    <w:rsid w:val="0069290A"/>
    <w:rsid w:val="00692C39"/>
    <w:rsid w:val="00693433"/>
    <w:rsid w:val="00693DB1"/>
    <w:rsid w:val="006945B7"/>
    <w:rsid w:val="00694A6F"/>
    <w:rsid w:val="00694AEE"/>
    <w:rsid w:val="00695092"/>
    <w:rsid w:val="00695E8F"/>
    <w:rsid w:val="006967DB"/>
    <w:rsid w:val="00696C73"/>
    <w:rsid w:val="00697236"/>
    <w:rsid w:val="006972D1"/>
    <w:rsid w:val="0069775A"/>
    <w:rsid w:val="00697805"/>
    <w:rsid w:val="00697813"/>
    <w:rsid w:val="00697858"/>
    <w:rsid w:val="006A0629"/>
    <w:rsid w:val="006A0A22"/>
    <w:rsid w:val="006A0B00"/>
    <w:rsid w:val="006A1417"/>
    <w:rsid w:val="006A178D"/>
    <w:rsid w:val="006A197C"/>
    <w:rsid w:val="006A2037"/>
    <w:rsid w:val="006A22A9"/>
    <w:rsid w:val="006A257C"/>
    <w:rsid w:val="006A2645"/>
    <w:rsid w:val="006A2706"/>
    <w:rsid w:val="006A2EB8"/>
    <w:rsid w:val="006A3085"/>
    <w:rsid w:val="006A3D4B"/>
    <w:rsid w:val="006A3EE8"/>
    <w:rsid w:val="006A429B"/>
    <w:rsid w:val="006A43ED"/>
    <w:rsid w:val="006A4886"/>
    <w:rsid w:val="006A4B13"/>
    <w:rsid w:val="006A4BE5"/>
    <w:rsid w:val="006A5E2A"/>
    <w:rsid w:val="006A6717"/>
    <w:rsid w:val="006A7077"/>
    <w:rsid w:val="006A71A0"/>
    <w:rsid w:val="006A72BF"/>
    <w:rsid w:val="006A73D8"/>
    <w:rsid w:val="006A7479"/>
    <w:rsid w:val="006A7A8E"/>
    <w:rsid w:val="006A7B05"/>
    <w:rsid w:val="006B03F2"/>
    <w:rsid w:val="006B0738"/>
    <w:rsid w:val="006B087F"/>
    <w:rsid w:val="006B0FAA"/>
    <w:rsid w:val="006B12ED"/>
    <w:rsid w:val="006B13EC"/>
    <w:rsid w:val="006B19BF"/>
    <w:rsid w:val="006B1A5B"/>
    <w:rsid w:val="006B1ED1"/>
    <w:rsid w:val="006B2695"/>
    <w:rsid w:val="006B269E"/>
    <w:rsid w:val="006B26F8"/>
    <w:rsid w:val="006B28FA"/>
    <w:rsid w:val="006B2A23"/>
    <w:rsid w:val="006B3377"/>
    <w:rsid w:val="006B37DC"/>
    <w:rsid w:val="006B3D19"/>
    <w:rsid w:val="006B46C5"/>
    <w:rsid w:val="006B4F68"/>
    <w:rsid w:val="006B5474"/>
    <w:rsid w:val="006B5B22"/>
    <w:rsid w:val="006B5B9B"/>
    <w:rsid w:val="006B5DF1"/>
    <w:rsid w:val="006B636B"/>
    <w:rsid w:val="006B66C4"/>
    <w:rsid w:val="006B68C7"/>
    <w:rsid w:val="006B68FD"/>
    <w:rsid w:val="006B7954"/>
    <w:rsid w:val="006C0592"/>
    <w:rsid w:val="006C1434"/>
    <w:rsid w:val="006C17BE"/>
    <w:rsid w:val="006C22E0"/>
    <w:rsid w:val="006C272E"/>
    <w:rsid w:val="006C2919"/>
    <w:rsid w:val="006C2E05"/>
    <w:rsid w:val="006C3108"/>
    <w:rsid w:val="006C3821"/>
    <w:rsid w:val="006C3953"/>
    <w:rsid w:val="006C3A12"/>
    <w:rsid w:val="006C3D81"/>
    <w:rsid w:val="006C447C"/>
    <w:rsid w:val="006C4B6C"/>
    <w:rsid w:val="006C52DC"/>
    <w:rsid w:val="006C5479"/>
    <w:rsid w:val="006C5A2C"/>
    <w:rsid w:val="006C5C57"/>
    <w:rsid w:val="006C5DCE"/>
    <w:rsid w:val="006C6107"/>
    <w:rsid w:val="006C6464"/>
    <w:rsid w:val="006C6503"/>
    <w:rsid w:val="006C6759"/>
    <w:rsid w:val="006C69CF"/>
    <w:rsid w:val="006C6B50"/>
    <w:rsid w:val="006C7ACB"/>
    <w:rsid w:val="006C7AE9"/>
    <w:rsid w:val="006D13B5"/>
    <w:rsid w:val="006D1A63"/>
    <w:rsid w:val="006D27C0"/>
    <w:rsid w:val="006D2877"/>
    <w:rsid w:val="006D2A33"/>
    <w:rsid w:val="006D2D87"/>
    <w:rsid w:val="006D2EC7"/>
    <w:rsid w:val="006D2F91"/>
    <w:rsid w:val="006D478F"/>
    <w:rsid w:val="006D4BDD"/>
    <w:rsid w:val="006D4C82"/>
    <w:rsid w:val="006D600C"/>
    <w:rsid w:val="006D6AC7"/>
    <w:rsid w:val="006D75F0"/>
    <w:rsid w:val="006E015E"/>
    <w:rsid w:val="006E0268"/>
    <w:rsid w:val="006E069A"/>
    <w:rsid w:val="006E0D41"/>
    <w:rsid w:val="006E0DC0"/>
    <w:rsid w:val="006E0F57"/>
    <w:rsid w:val="006E12AD"/>
    <w:rsid w:val="006E12FF"/>
    <w:rsid w:val="006E1791"/>
    <w:rsid w:val="006E1C62"/>
    <w:rsid w:val="006E2167"/>
    <w:rsid w:val="006E23AD"/>
    <w:rsid w:val="006E23C4"/>
    <w:rsid w:val="006E24FD"/>
    <w:rsid w:val="006E2575"/>
    <w:rsid w:val="006E2C1A"/>
    <w:rsid w:val="006E2F0E"/>
    <w:rsid w:val="006E4EDB"/>
    <w:rsid w:val="006E5BED"/>
    <w:rsid w:val="006E607E"/>
    <w:rsid w:val="006E60C3"/>
    <w:rsid w:val="006E711A"/>
    <w:rsid w:val="006E760E"/>
    <w:rsid w:val="006E79B7"/>
    <w:rsid w:val="006E7DA9"/>
    <w:rsid w:val="006E7DB0"/>
    <w:rsid w:val="006E7EDF"/>
    <w:rsid w:val="006F0136"/>
    <w:rsid w:val="006F0243"/>
    <w:rsid w:val="006F026E"/>
    <w:rsid w:val="006F14CB"/>
    <w:rsid w:val="006F15AB"/>
    <w:rsid w:val="006F1F20"/>
    <w:rsid w:val="006F22CC"/>
    <w:rsid w:val="006F254E"/>
    <w:rsid w:val="006F257B"/>
    <w:rsid w:val="006F28C6"/>
    <w:rsid w:val="006F2993"/>
    <w:rsid w:val="006F37AB"/>
    <w:rsid w:val="006F3836"/>
    <w:rsid w:val="006F3E99"/>
    <w:rsid w:val="006F5983"/>
    <w:rsid w:val="006F5C3C"/>
    <w:rsid w:val="006F616D"/>
    <w:rsid w:val="006F6193"/>
    <w:rsid w:val="006F63C5"/>
    <w:rsid w:val="006F6A26"/>
    <w:rsid w:val="006F7262"/>
    <w:rsid w:val="006F73C1"/>
    <w:rsid w:val="006F789A"/>
    <w:rsid w:val="006F7EDD"/>
    <w:rsid w:val="00700308"/>
    <w:rsid w:val="00700536"/>
    <w:rsid w:val="00700CB6"/>
    <w:rsid w:val="00700E19"/>
    <w:rsid w:val="00701385"/>
    <w:rsid w:val="00701421"/>
    <w:rsid w:val="00701CA4"/>
    <w:rsid w:val="0070207A"/>
    <w:rsid w:val="007024F2"/>
    <w:rsid w:val="007025BF"/>
    <w:rsid w:val="007025C1"/>
    <w:rsid w:val="00702E55"/>
    <w:rsid w:val="00703C45"/>
    <w:rsid w:val="00703CDC"/>
    <w:rsid w:val="00703D61"/>
    <w:rsid w:val="007047D8"/>
    <w:rsid w:val="00704CF4"/>
    <w:rsid w:val="00704DFD"/>
    <w:rsid w:val="00705691"/>
    <w:rsid w:val="00705976"/>
    <w:rsid w:val="00705DFA"/>
    <w:rsid w:val="0070619B"/>
    <w:rsid w:val="007069D0"/>
    <w:rsid w:val="00706C5D"/>
    <w:rsid w:val="00706D4F"/>
    <w:rsid w:val="00707191"/>
    <w:rsid w:val="007106D4"/>
    <w:rsid w:val="00710A28"/>
    <w:rsid w:val="007115CF"/>
    <w:rsid w:val="007118A1"/>
    <w:rsid w:val="00712B7E"/>
    <w:rsid w:val="0071301A"/>
    <w:rsid w:val="00713121"/>
    <w:rsid w:val="00713E57"/>
    <w:rsid w:val="007147BC"/>
    <w:rsid w:val="007153DA"/>
    <w:rsid w:val="0071559E"/>
    <w:rsid w:val="00715E6B"/>
    <w:rsid w:val="007168E6"/>
    <w:rsid w:val="0072079E"/>
    <w:rsid w:val="0072094F"/>
    <w:rsid w:val="00720A70"/>
    <w:rsid w:val="00722673"/>
    <w:rsid w:val="007227F6"/>
    <w:rsid w:val="00722ABA"/>
    <w:rsid w:val="00722B2D"/>
    <w:rsid w:val="00722DF0"/>
    <w:rsid w:val="00723B74"/>
    <w:rsid w:val="007244D2"/>
    <w:rsid w:val="00724520"/>
    <w:rsid w:val="0072482E"/>
    <w:rsid w:val="00724854"/>
    <w:rsid w:val="00724DCF"/>
    <w:rsid w:val="00725534"/>
    <w:rsid w:val="0072582D"/>
    <w:rsid w:val="00725A2A"/>
    <w:rsid w:val="00725CBF"/>
    <w:rsid w:val="00726BC1"/>
    <w:rsid w:val="00726D29"/>
    <w:rsid w:val="00727A30"/>
    <w:rsid w:val="00727A95"/>
    <w:rsid w:val="00727F5D"/>
    <w:rsid w:val="007301E3"/>
    <w:rsid w:val="00730796"/>
    <w:rsid w:val="007318A7"/>
    <w:rsid w:val="00731E10"/>
    <w:rsid w:val="007322E8"/>
    <w:rsid w:val="007323C7"/>
    <w:rsid w:val="00732922"/>
    <w:rsid w:val="00732BA6"/>
    <w:rsid w:val="00733276"/>
    <w:rsid w:val="00733605"/>
    <w:rsid w:val="0073382B"/>
    <w:rsid w:val="00733EE3"/>
    <w:rsid w:val="0073432D"/>
    <w:rsid w:val="00734448"/>
    <w:rsid w:val="00734DA1"/>
    <w:rsid w:val="0073601C"/>
    <w:rsid w:val="007366BE"/>
    <w:rsid w:val="00736CA4"/>
    <w:rsid w:val="00736F81"/>
    <w:rsid w:val="0073720B"/>
    <w:rsid w:val="00737E7C"/>
    <w:rsid w:val="00740C20"/>
    <w:rsid w:val="007413C4"/>
    <w:rsid w:val="00741905"/>
    <w:rsid w:val="00741BDF"/>
    <w:rsid w:val="00741ED6"/>
    <w:rsid w:val="00741EFF"/>
    <w:rsid w:val="00742012"/>
    <w:rsid w:val="0074205B"/>
    <w:rsid w:val="007421F3"/>
    <w:rsid w:val="00742BEB"/>
    <w:rsid w:val="00743095"/>
    <w:rsid w:val="0074328E"/>
    <w:rsid w:val="0074500A"/>
    <w:rsid w:val="007454BA"/>
    <w:rsid w:val="00745834"/>
    <w:rsid w:val="0074667B"/>
    <w:rsid w:val="007471A9"/>
    <w:rsid w:val="00747467"/>
    <w:rsid w:val="00747642"/>
    <w:rsid w:val="007502C7"/>
    <w:rsid w:val="007505BB"/>
    <w:rsid w:val="007507D3"/>
    <w:rsid w:val="0075162E"/>
    <w:rsid w:val="00752380"/>
    <w:rsid w:val="00753F8D"/>
    <w:rsid w:val="00754034"/>
    <w:rsid w:val="00754169"/>
    <w:rsid w:val="00754BAF"/>
    <w:rsid w:val="007550A4"/>
    <w:rsid w:val="0075544F"/>
    <w:rsid w:val="00755AB6"/>
    <w:rsid w:val="00756556"/>
    <w:rsid w:val="00756A7B"/>
    <w:rsid w:val="0075713A"/>
    <w:rsid w:val="00757715"/>
    <w:rsid w:val="00757DD2"/>
    <w:rsid w:val="007601CD"/>
    <w:rsid w:val="00760772"/>
    <w:rsid w:val="007608E2"/>
    <w:rsid w:val="007618C4"/>
    <w:rsid w:val="00761B49"/>
    <w:rsid w:val="00761DBE"/>
    <w:rsid w:val="00761E4C"/>
    <w:rsid w:val="00762454"/>
    <w:rsid w:val="0076255F"/>
    <w:rsid w:val="00762607"/>
    <w:rsid w:val="00762AF0"/>
    <w:rsid w:val="00763135"/>
    <w:rsid w:val="0076315C"/>
    <w:rsid w:val="00763546"/>
    <w:rsid w:val="0076387D"/>
    <w:rsid w:val="007638F0"/>
    <w:rsid w:val="007638FB"/>
    <w:rsid w:val="00763E1D"/>
    <w:rsid w:val="0076448D"/>
    <w:rsid w:val="007646ED"/>
    <w:rsid w:val="0076490B"/>
    <w:rsid w:val="00766AA3"/>
    <w:rsid w:val="00766B77"/>
    <w:rsid w:val="00766D83"/>
    <w:rsid w:val="00766FE4"/>
    <w:rsid w:val="00767709"/>
    <w:rsid w:val="007677C4"/>
    <w:rsid w:val="00767980"/>
    <w:rsid w:val="007702B0"/>
    <w:rsid w:val="00770B19"/>
    <w:rsid w:val="00770DA1"/>
    <w:rsid w:val="00770EA2"/>
    <w:rsid w:val="0077135E"/>
    <w:rsid w:val="00771365"/>
    <w:rsid w:val="00771710"/>
    <w:rsid w:val="00771997"/>
    <w:rsid w:val="00771A6E"/>
    <w:rsid w:val="007729FA"/>
    <w:rsid w:val="00772BA9"/>
    <w:rsid w:val="00773A8D"/>
    <w:rsid w:val="0077420F"/>
    <w:rsid w:val="00774454"/>
    <w:rsid w:val="0077463F"/>
    <w:rsid w:val="00775415"/>
    <w:rsid w:val="00775744"/>
    <w:rsid w:val="007757B3"/>
    <w:rsid w:val="0077644C"/>
    <w:rsid w:val="0077699D"/>
    <w:rsid w:val="007770C2"/>
    <w:rsid w:val="0077716C"/>
    <w:rsid w:val="00777809"/>
    <w:rsid w:val="0078071A"/>
    <w:rsid w:val="00780D83"/>
    <w:rsid w:val="00781702"/>
    <w:rsid w:val="00781BB9"/>
    <w:rsid w:val="0078237E"/>
    <w:rsid w:val="00782E76"/>
    <w:rsid w:val="00782FE8"/>
    <w:rsid w:val="0078325A"/>
    <w:rsid w:val="0078332F"/>
    <w:rsid w:val="007833FF"/>
    <w:rsid w:val="007836EA"/>
    <w:rsid w:val="00784CDA"/>
    <w:rsid w:val="00785A01"/>
    <w:rsid w:val="00786121"/>
    <w:rsid w:val="00786128"/>
    <w:rsid w:val="0078658B"/>
    <w:rsid w:val="00786AB3"/>
    <w:rsid w:val="00787315"/>
    <w:rsid w:val="0078741E"/>
    <w:rsid w:val="0078758F"/>
    <w:rsid w:val="00787B03"/>
    <w:rsid w:val="00787E23"/>
    <w:rsid w:val="007906C4"/>
    <w:rsid w:val="00791148"/>
    <w:rsid w:val="00791B9D"/>
    <w:rsid w:val="00792022"/>
    <w:rsid w:val="007922C0"/>
    <w:rsid w:val="00793031"/>
    <w:rsid w:val="007936D4"/>
    <w:rsid w:val="007937C3"/>
    <w:rsid w:val="0079385B"/>
    <w:rsid w:val="00793B30"/>
    <w:rsid w:val="00793E34"/>
    <w:rsid w:val="007940EA"/>
    <w:rsid w:val="0079429E"/>
    <w:rsid w:val="007944C4"/>
    <w:rsid w:val="00794D0B"/>
    <w:rsid w:val="00794DB4"/>
    <w:rsid w:val="00794F4E"/>
    <w:rsid w:val="007962FA"/>
    <w:rsid w:val="007964F2"/>
    <w:rsid w:val="007967E8"/>
    <w:rsid w:val="00796E43"/>
    <w:rsid w:val="00797635"/>
    <w:rsid w:val="0079797C"/>
    <w:rsid w:val="007A06F6"/>
    <w:rsid w:val="007A0CDC"/>
    <w:rsid w:val="007A0F56"/>
    <w:rsid w:val="007A114D"/>
    <w:rsid w:val="007A141E"/>
    <w:rsid w:val="007A2170"/>
    <w:rsid w:val="007A22BF"/>
    <w:rsid w:val="007A240C"/>
    <w:rsid w:val="007A2D09"/>
    <w:rsid w:val="007A3323"/>
    <w:rsid w:val="007A37D3"/>
    <w:rsid w:val="007A44D1"/>
    <w:rsid w:val="007A44D3"/>
    <w:rsid w:val="007A4833"/>
    <w:rsid w:val="007A4FBF"/>
    <w:rsid w:val="007A5062"/>
    <w:rsid w:val="007A6AE1"/>
    <w:rsid w:val="007A7E58"/>
    <w:rsid w:val="007B026C"/>
    <w:rsid w:val="007B0C1E"/>
    <w:rsid w:val="007B0F8B"/>
    <w:rsid w:val="007B1268"/>
    <w:rsid w:val="007B27AF"/>
    <w:rsid w:val="007B2F36"/>
    <w:rsid w:val="007B3592"/>
    <w:rsid w:val="007B37C2"/>
    <w:rsid w:val="007B3877"/>
    <w:rsid w:val="007B4283"/>
    <w:rsid w:val="007B42C7"/>
    <w:rsid w:val="007B4CFD"/>
    <w:rsid w:val="007B4F45"/>
    <w:rsid w:val="007B53B1"/>
    <w:rsid w:val="007B54BD"/>
    <w:rsid w:val="007B57E0"/>
    <w:rsid w:val="007B5BE4"/>
    <w:rsid w:val="007B5ED9"/>
    <w:rsid w:val="007B5FE7"/>
    <w:rsid w:val="007B65EA"/>
    <w:rsid w:val="007B67DD"/>
    <w:rsid w:val="007B6A50"/>
    <w:rsid w:val="007B6DD9"/>
    <w:rsid w:val="007B72B8"/>
    <w:rsid w:val="007B72B9"/>
    <w:rsid w:val="007B772B"/>
    <w:rsid w:val="007B7748"/>
    <w:rsid w:val="007B7A58"/>
    <w:rsid w:val="007C03E2"/>
    <w:rsid w:val="007C0427"/>
    <w:rsid w:val="007C075A"/>
    <w:rsid w:val="007C0975"/>
    <w:rsid w:val="007C0A5C"/>
    <w:rsid w:val="007C0D6D"/>
    <w:rsid w:val="007C1A92"/>
    <w:rsid w:val="007C1D51"/>
    <w:rsid w:val="007C21B5"/>
    <w:rsid w:val="007C2A59"/>
    <w:rsid w:val="007C2D63"/>
    <w:rsid w:val="007C2FD1"/>
    <w:rsid w:val="007C3164"/>
    <w:rsid w:val="007C32C9"/>
    <w:rsid w:val="007C3338"/>
    <w:rsid w:val="007C3A75"/>
    <w:rsid w:val="007C5580"/>
    <w:rsid w:val="007C566F"/>
    <w:rsid w:val="007C683C"/>
    <w:rsid w:val="007C7372"/>
    <w:rsid w:val="007C760F"/>
    <w:rsid w:val="007C7931"/>
    <w:rsid w:val="007D0048"/>
    <w:rsid w:val="007D090E"/>
    <w:rsid w:val="007D0D1B"/>
    <w:rsid w:val="007D0EA8"/>
    <w:rsid w:val="007D10F4"/>
    <w:rsid w:val="007D112A"/>
    <w:rsid w:val="007D15DF"/>
    <w:rsid w:val="007D176E"/>
    <w:rsid w:val="007D185B"/>
    <w:rsid w:val="007D295F"/>
    <w:rsid w:val="007D2982"/>
    <w:rsid w:val="007D2FD9"/>
    <w:rsid w:val="007D31AD"/>
    <w:rsid w:val="007D3731"/>
    <w:rsid w:val="007D4D4C"/>
    <w:rsid w:val="007D57D1"/>
    <w:rsid w:val="007D5E3C"/>
    <w:rsid w:val="007D63FD"/>
    <w:rsid w:val="007D72DB"/>
    <w:rsid w:val="007D7920"/>
    <w:rsid w:val="007D7FE7"/>
    <w:rsid w:val="007E03CD"/>
    <w:rsid w:val="007E106F"/>
    <w:rsid w:val="007E10C8"/>
    <w:rsid w:val="007E1235"/>
    <w:rsid w:val="007E1C9C"/>
    <w:rsid w:val="007E1D1E"/>
    <w:rsid w:val="007E2067"/>
    <w:rsid w:val="007E2300"/>
    <w:rsid w:val="007E2E03"/>
    <w:rsid w:val="007E3629"/>
    <w:rsid w:val="007E4210"/>
    <w:rsid w:val="007E424C"/>
    <w:rsid w:val="007E43B8"/>
    <w:rsid w:val="007E4435"/>
    <w:rsid w:val="007E4BD2"/>
    <w:rsid w:val="007E4C07"/>
    <w:rsid w:val="007E4DA1"/>
    <w:rsid w:val="007E53DF"/>
    <w:rsid w:val="007E5420"/>
    <w:rsid w:val="007E5914"/>
    <w:rsid w:val="007E5BBF"/>
    <w:rsid w:val="007E5D66"/>
    <w:rsid w:val="007E5FF6"/>
    <w:rsid w:val="007E60BF"/>
    <w:rsid w:val="007E6165"/>
    <w:rsid w:val="007E6570"/>
    <w:rsid w:val="007E681C"/>
    <w:rsid w:val="007E6A77"/>
    <w:rsid w:val="007E6B56"/>
    <w:rsid w:val="007E6CD9"/>
    <w:rsid w:val="007E7018"/>
    <w:rsid w:val="007E7028"/>
    <w:rsid w:val="007E7314"/>
    <w:rsid w:val="007E7B8D"/>
    <w:rsid w:val="007E7C1E"/>
    <w:rsid w:val="007F0339"/>
    <w:rsid w:val="007F0CD5"/>
    <w:rsid w:val="007F1C41"/>
    <w:rsid w:val="007F23B5"/>
    <w:rsid w:val="007F270C"/>
    <w:rsid w:val="007F2935"/>
    <w:rsid w:val="007F2B6E"/>
    <w:rsid w:val="007F35B5"/>
    <w:rsid w:val="007F3EEB"/>
    <w:rsid w:val="007F47AF"/>
    <w:rsid w:val="007F54C5"/>
    <w:rsid w:val="007F5D40"/>
    <w:rsid w:val="007F6491"/>
    <w:rsid w:val="007F64F9"/>
    <w:rsid w:val="007F6A03"/>
    <w:rsid w:val="007F6A84"/>
    <w:rsid w:val="007F7079"/>
    <w:rsid w:val="007F77F4"/>
    <w:rsid w:val="007F7E9F"/>
    <w:rsid w:val="008002BE"/>
    <w:rsid w:val="0080036A"/>
    <w:rsid w:val="00800391"/>
    <w:rsid w:val="0080043D"/>
    <w:rsid w:val="008005C9"/>
    <w:rsid w:val="00800923"/>
    <w:rsid w:val="00801393"/>
    <w:rsid w:val="00801904"/>
    <w:rsid w:val="00801A0D"/>
    <w:rsid w:val="00802F88"/>
    <w:rsid w:val="008036C3"/>
    <w:rsid w:val="00803CD9"/>
    <w:rsid w:val="00803D17"/>
    <w:rsid w:val="00803D39"/>
    <w:rsid w:val="008043AC"/>
    <w:rsid w:val="00804A57"/>
    <w:rsid w:val="00804D88"/>
    <w:rsid w:val="00805162"/>
    <w:rsid w:val="00805D72"/>
    <w:rsid w:val="0080618D"/>
    <w:rsid w:val="0080655E"/>
    <w:rsid w:val="008066EE"/>
    <w:rsid w:val="008068FD"/>
    <w:rsid w:val="008069BB"/>
    <w:rsid w:val="00806DAD"/>
    <w:rsid w:val="00807051"/>
    <w:rsid w:val="00807092"/>
    <w:rsid w:val="0081007B"/>
    <w:rsid w:val="00810226"/>
    <w:rsid w:val="00811184"/>
    <w:rsid w:val="008112D7"/>
    <w:rsid w:val="0081196A"/>
    <w:rsid w:val="00811EE5"/>
    <w:rsid w:val="008123EA"/>
    <w:rsid w:val="0081249C"/>
    <w:rsid w:val="0081293E"/>
    <w:rsid w:val="00815465"/>
    <w:rsid w:val="0081594F"/>
    <w:rsid w:val="00815E1B"/>
    <w:rsid w:val="00815E53"/>
    <w:rsid w:val="008163C4"/>
    <w:rsid w:val="008170EB"/>
    <w:rsid w:val="008171CF"/>
    <w:rsid w:val="00817A24"/>
    <w:rsid w:val="00817E96"/>
    <w:rsid w:val="00817E9A"/>
    <w:rsid w:val="0082077A"/>
    <w:rsid w:val="0082093E"/>
    <w:rsid w:val="00820E11"/>
    <w:rsid w:val="00821191"/>
    <w:rsid w:val="00821A49"/>
    <w:rsid w:val="00821B8B"/>
    <w:rsid w:val="00821E6B"/>
    <w:rsid w:val="008222B8"/>
    <w:rsid w:val="00822C59"/>
    <w:rsid w:val="0082305A"/>
    <w:rsid w:val="00823131"/>
    <w:rsid w:val="008234B7"/>
    <w:rsid w:val="00823537"/>
    <w:rsid w:val="008244BD"/>
    <w:rsid w:val="008250AB"/>
    <w:rsid w:val="008251A5"/>
    <w:rsid w:val="008252EB"/>
    <w:rsid w:val="008255B1"/>
    <w:rsid w:val="00825B35"/>
    <w:rsid w:val="008261DD"/>
    <w:rsid w:val="0082639A"/>
    <w:rsid w:val="008269F2"/>
    <w:rsid w:val="00826EEA"/>
    <w:rsid w:val="0082706D"/>
    <w:rsid w:val="0082758E"/>
    <w:rsid w:val="00827E9F"/>
    <w:rsid w:val="00830089"/>
    <w:rsid w:val="008306BD"/>
    <w:rsid w:val="008307D7"/>
    <w:rsid w:val="008308CB"/>
    <w:rsid w:val="0083107B"/>
    <w:rsid w:val="008319AD"/>
    <w:rsid w:val="00831A80"/>
    <w:rsid w:val="00832813"/>
    <w:rsid w:val="00832932"/>
    <w:rsid w:val="0083355E"/>
    <w:rsid w:val="00833743"/>
    <w:rsid w:val="008340A4"/>
    <w:rsid w:val="008345BF"/>
    <w:rsid w:val="0083498E"/>
    <w:rsid w:val="008349DE"/>
    <w:rsid w:val="00834A66"/>
    <w:rsid w:val="00835A18"/>
    <w:rsid w:val="00835E51"/>
    <w:rsid w:val="00836077"/>
    <w:rsid w:val="008363F3"/>
    <w:rsid w:val="00836FFB"/>
    <w:rsid w:val="00837008"/>
    <w:rsid w:val="00837E2D"/>
    <w:rsid w:val="0084072B"/>
    <w:rsid w:val="00840B72"/>
    <w:rsid w:val="00841706"/>
    <w:rsid w:val="00841E30"/>
    <w:rsid w:val="00841E47"/>
    <w:rsid w:val="00842B97"/>
    <w:rsid w:val="00843477"/>
    <w:rsid w:val="008437A8"/>
    <w:rsid w:val="00843C90"/>
    <w:rsid w:val="00844462"/>
    <w:rsid w:val="008446E4"/>
    <w:rsid w:val="0084514B"/>
    <w:rsid w:val="0084536E"/>
    <w:rsid w:val="00845D1B"/>
    <w:rsid w:val="00845E39"/>
    <w:rsid w:val="00846076"/>
    <w:rsid w:val="00846746"/>
    <w:rsid w:val="0084704F"/>
    <w:rsid w:val="00847AD8"/>
    <w:rsid w:val="00847E81"/>
    <w:rsid w:val="008503B3"/>
    <w:rsid w:val="00851FFA"/>
    <w:rsid w:val="00852108"/>
    <w:rsid w:val="008524F6"/>
    <w:rsid w:val="00852DBF"/>
    <w:rsid w:val="008530AB"/>
    <w:rsid w:val="00853464"/>
    <w:rsid w:val="008535D9"/>
    <w:rsid w:val="0085371D"/>
    <w:rsid w:val="00854541"/>
    <w:rsid w:val="00854AA4"/>
    <w:rsid w:val="00854C35"/>
    <w:rsid w:val="00855251"/>
    <w:rsid w:val="00855507"/>
    <w:rsid w:val="008564D0"/>
    <w:rsid w:val="00856894"/>
    <w:rsid w:val="008569E4"/>
    <w:rsid w:val="00857167"/>
    <w:rsid w:val="0085751E"/>
    <w:rsid w:val="008575E0"/>
    <w:rsid w:val="00857B28"/>
    <w:rsid w:val="00857F71"/>
    <w:rsid w:val="00860562"/>
    <w:rsid w:val="008608FF"/>
    <w:rsid w:val="00860AA8"/>
    <w:rsid w:val="00860D09"/>
    <w:rsid w:val="008618D1"/>
    <w:rsid w:val="00861CEE"/>
    <w:rsid w:val="00862317"/>
    <w:rsid w:val="008623E4"/>
    <w:rsid w:val="00862682"/>
    <w:rsid w:val="00862F66"/>
    <w:rsid w:val="00863557"/>
    <w:rsid w:val="00863808"/>
    <w:rsid w:val="00864052"/>
    <w:rsid w:val="008647EC"/>
    <w:rsid w:val="00864E46"/>
    <w:rsid w:val="0086547B"/>
    <w:rsid w:val="008655E8"/>
    <w:rsid w:val="0086584B"/>
    <w:rsid w:val="008661F9"/>
    <w:rsid w:val="008663CD"/>
    <w:rsid w:val="00866950"/>
    <w:rsid w:val="00866CCA"/>
    <w:rsid w:val="008678A0"/>
    <w:rsid w:val="00867B96"/>
    <w:rsid w:val="00867D70"/>
    <w:rsid w:val="00867F36"/>
    <w:rsid w:val="00870467"/>
    <w:rsid w:val="00871240"/>
    <w:rsid w:val="0087135F"/>
    <w:rsid w:val="00871CF3"/>
    <w:rsid w:val="00872467"/>
    <w:rsid w:val="00872596"/>
    <w:rsid w:val="00872A48"/>
    <w:rsid w:val="00872C7B"/>
    <w:rsid w:val="00872D94"/>
    <w:rsid w:val="0087351B"/>
    <w:rsid w:val="00873692"/>
    <w:rsid w:val="008736DB"/>
    <w:rsid w:val="0087400C"/>
    <w:rsid w:val="0087461C"/>
    <w:rsid w:val="00874948"/>
    <w:rsid w:val="0087532D"/>
    <w:rsid w:val="00875526"/>
    <w:rsid w:val="008757F6"/>
    <w:rsid w:val="00875DCC"/>
    <w:rsid w:val="008762FA"/>
    <w:rsid w:val="0087643E"/>
    <w:rsid w:val="00876E90"/>
    <w:rsid w:val="00876F6D"/>
    <w:rsid w:val="008772F2"/>
    <w:rsid w:val="00877431"/>
    <w:rsid w:val="008775C9"/>
    <w:rsid w:val="00877B4A"/>
    <w:rsid w:val="00880364"/>
    <w:rsid w:val="0088176E"/>
    <w:rsid w:val="00881A7E"/>
    <w:rsid w:val="00881FE6"/>
    <w:rsid w:val="008822FB"/>
    <w:rsid w:val="00882726"/>
    <w:rsid w:val="00883852"/>
    <w:rsid w:val="0088399A"/>
    <w:rsid w:val="00884261"/>
    <w:rsid w:val="00884BA9"/>
    <w:rsid w:val="00884C74"/>
    <w:rsid w:val="00884ED5"/>
    <w:rsid w:val="0088509A"/>
    <w:rsid w:val="00885390"/>
    <w:rsid w:val="00885708"/>
    <w:rsid w:val="00886152"/>
    <w:rsid w:val="008866CC"/>
    <w:rsid w:val="0088712B"/>
    <w:rsid w:val="008871C1"/>
    <w:rsid w:val="008875BF"/>
    <w:rsid w:val="00887762"/>
    <w:rsid w:val="008877C8"/>
    <w:rsid w:val="00887A99"/>
    <w:rsid w:val="008904F9"/>
    <w:rsid w:val="00891592"/>
    <w:rsid w:val="008916DA"/>
    <w:rsid w:val="00891907"/>
    <w:rsid w:val="00891CC8"/>
    <w:rsid w:val="00891E9E"/>
    <w:rsid w:val="00893062"/>
    <w:rsid w:val="0089389A"/>
    <w:rsid w:val="00893F44"/>
    <w:rsid w:val="008941A6"/>
    <w:rsid w:val="008949F6"/>
    <w:rsid w:val="00894D06"/>
    <w:rsid w:val="00894D3A"/>
    <w:rsid w:val="00894E63"/>
    <w:rsid w:val="008955C7"/>
    <w:rsid w:val="008956F9"/>
    <w:rsid w:val="008957DB"/>
    <w:rsid w:val="0089589D"/>
    <w:rsid w:val="00895F5D"/>
    <w:rsid w:val="00896A2F"/>
    <w:rsid w:val="00896D43"/>
    <w:rsid w:val="00896D5F"/>
    <w:rsid w:val="00897130"/>
    <w:rsid w:val="00897141"/>
    <w:rsid w:val="0089743C"/>
    <w:rsid w:val="008A020D"/>
    <w:rsid w:val="008A106D"/>
    <w:rsid w:val="008A1479"/>
    <w:rsid w:val="008A1511"/>
    <w:rsid w:val="008A24F1"/>
    <w:rsid w:val="008A2853"/>
    <w:rsid w:val="008A2A9F"/>
    <w:rsid w:val="008A2D31"/>
    <w:rsid w:val="008A2F68"/>
    <w:rsid w:val="008A312B"/>
    <w:rsid w:val="008A31D3"/>
    <w:rsid w:val="008A4608"/>
    <w:rsid w:val="008A470F"/>
    <w:rsid w:val="008A505B"/>
    <w:rsid w:val="008A5162"/>
    <w:rsid w:val="008A5EDB"/>
    <w:rsid w:val="008A7448"/>
    <w:rsid w:val="008A789A"/>
    <w:rsid w:val="008A796C"/>
    <w:rsid w:val="008A7AC7"/>
    <w:rsid w:val="008B0237"/>
    <w:rsid w:val="008B09F3"/>
    <w:rsid w:val="008B107D"/>
    <w:rsid w:val="008B16F3"/>
    <w:rsid w:val="008B3680"/>
    <w:rsid w:val="008B3C3C"/>
    <w:rsid w:val="008B3D7E"/>
    <w:rsid w:val="008B477C"/>
    <w:rsid w:val="008B47B5"/>
    <w:rsid w:val="008B4B09"/>
    <w:rsid w:val="008B4D5E"/>
    <w:rsid w:val="008B4FA6"/>
    <w:rsid w:val="008B5282"/>
    <w:rsid w:val="008B63C3"/>
    <w:rsid w:val="008B66E0"/>
    <w:rsid w:val="008B7C17"/>
    <w:rsid w:val="008B7C6A"/>
    <w:rsid w:val="008C18A8"/>
    <w:rsid w:val="008C1C24"/>
    <w:rsid w:val="008C2D01"/>
    <w:rsid w:val="008C3210"/>
    <w:rsid w:val="008C3255"/>
    <w:rsid w:val="008C3789"/>
    <w:rsid w:val="008C385F"/>
    <w:rsid w:val="008C40E6"/>
    <w:rsid w:val="008C4ACC"/>
    <w:rsid w:val="008C4D2A"/>
    <w:rsid w:val="008C51FC"/>
    <w:rsid w:val="008C583C"/>
    <w:rsid w:val="008C5B0E"/>
    <w:rsid w:val="008C6246"/>
    <w:rsid w:val="008C716C"/>
    <w:rsid w:val="008C7C2D"/>
    <w:rsid w:val="008D03C9"/>
    <w:rsid w:val="008D08E5"/>
    <w:rsid w:val="008D0A58"/>
    <w:rsid w:val="008D0F7A"/>
    <w:rsid w:val="008D13A8"/>
    <w:rsid w:val="008D1555"/>
    <w:rsid w:val="008D1CD9"/>
    <w:rsid w:val="008D20E4"/>
    <w:rsid w:val="008D332B"/>
    <w:rsid w:val="008D345E"/>
    <w:rsid w:val="008D4321"/>
    <w:rsid w:val="008D484A"/>
    <w:rsid w:val="008D5E61"/>
    <w:rsid w:val="008D6805"/>
    <w:rsid w:val="008D68E4"/>
    <w:rsid w:val="008D746B"/>
    <w:rsid w:val="008E01E1"/>
    <w:rsid w:val="008E0506"/>
    <w:rsid w:val="008E0CFF"/>
    <w:rsid w:val="008E0F3B"/>
    <w:rsid w:val="008E11CE"/>
    <w:rsid w:val="008E1594"/>
    <w:rsid w:val="008E1B6C"/>
    <w:rsid w:val="008E1E84"/>
    <w:rsid w:val="008E2211"/>
    <w:rsid w:val="008E2B38"/>
    <w:rsid w:val="008E34BE"/>
    <w:rsid w:val="008E387B"/>
    <w:rsid w:val="008E4011"/>
    <w:rsid w:val="008E417F"/>
    <w:rsid w:val="008E4318"/>
    <w:rsid w:val="008E5274"/>
    <w:rsid w:val="008E5452"/>
    <w:rsid w:val="008E553F"/>
    <w:rsid w:val="008E593D"/>
    <w:rsid w:val="008E5D6B"/>
    <w:rsid w:val="008E606C"/>
    <w:rsid w:val="008E6755"/>
    <w:rsid w:val="008E6813"/>
    <w:rsid w:val="008E76F0"/>
    <w:rsid w:val="008E78D7"/>
    <w:rsid w:val="008F09DA"/>
    <w:rsid w:val="008F110A"/>
    <w:rsid w:val="008F13D3"/>
    <w:rsid w:val="008F15FE"/>
    <w:rsid w:val="008F1BC7"/>
    <w:rsid w:val="008F22D1"/>
    <w:rsid w:val="008F233C"/>
    <w:rsid w:val="008F23DE"/>
    <w:rsid w:val="008F2D29"/>
    <w:rsid w:val="008F2E01"/>
    <w:rsid w:val="008F4230"/>
    <w:rsid w:val="008F5187"/>
    <w:rsid w:val="008F5296"/>
    <w:rsid w:val="008F5F23"/>
    <w:rsid w:val="008F60D8"/>
    <w:rsid w:val="008F6546"/>
    <w:rsid w:val="008F716B"/>
    <w:rsid w:val="008F7A3A"/>
    <w:rsid w:val="009001E3"/>
    <w:rsid w:val="00900F51"/>
    <w:rsid w:val="00901082"/>
    <w:rsid w:val="00901735"/>
    <w:rsid w:val="00901A58"/>
    <w:rsid w:val="00901C67"/>
    <w:rsid w:val="00902291"/>
    <w:rsid w:val="0090231E"/>
    <w:rsid w:val="00902727"/>
    <w:rsid w:val="0090312B"/>
    <w:rsid w:val="00903268"/>
    <w:rsid w:val="00903675"/>
    <w:rsid w:val="00904335"/>
    <w:rsid w:val="00904BA8"/>
    <w:rsid w:val="00904D37"/>
    <w:rsid w:val="009054DB"/>
    <w:rsid w:val="009057E7"/>
    <w:rsid w:val="00905AE8"/>
    <w:rsid w:val="009067C9"/>
    <w:rsid w:val="00906A7B"/>
    <w:rsid w:val="00907221"/>
    <w:rsid w:val="00907767"/>
    <w:rsid w:val="00907A73"/>
    <w:rsid w:val="0091023A"/>
    <w:rsid w:val="009112B5"/>
    <w:rsid w:val="00911543"/>
    <w:rsid w:val="0091222A"/>
    <w:rsid w:val="0091276E"/>
    <w:rsid w:val="009129F1"/>
    <w:rsid w:val="00912CA5"/>
    <w:rsid w:val="00912F37"/>
    <w:rsid w:val="0091333B"/>
    <w:rsid w:val="00913649"/>
    <w:rsid w:val="00913955"/>
    <w:rsid w:val="00914507"/>
    <w:rsid w:val="009153D7"/>
    <w:rsid w:val="009166DB"/>
    <w:rsid w:val="00916911"/>
    <w:rsid w:val="00916EFC"/>
    <w:rsid w:val="0091736D"/>
    <w:rsid w:val="00917E7C"/>
    <w:rsid w:val="00920535"/>
    <w:rsid w:val="00921AE1"/>
    <w:rsid w:val="00921B8B"/>
    <w:rsid w:val="0092261C"/>
    <w:rsid w:val="0092276D"/>
    <w:rsid w:val="00922A2F"/>
    <w:rsid w:val="009235A7"/>
    <w:rsid w:val="009235F5"/>
    <w:rsid w:val="00923657"/>
    <w:rsid w:val="00923E32"/>
    <w:rsid w:val="0092428E"/>
    <w:rsid w:val="009242E9"/>
    <w:rsid w:val="00924D9E"/>
    <w:rsid w:val="00926702"/>
    <w:rsid w:val="00927030"/>
    <w:rsid w:val="00927032"/>
    <w:rsid w:val="0092730E"/>
    <w:rsid w:val="00927F64"/>
    <w:rsid w:val="0093037A"/>
    <w:rsid w:val="00931043"/>
    <w:rsid w:val="00931853"/>
    <w:rsid w:val="0093203A"/>
    <w:rsid w:val="00932104"/>
    <w:rsid w:val="00932636"/>
    <w:rsid w:val="00933E34"/>
    <w:rsid w:val="0093426D"/>
    <w:rsid w:val="00934B1B"/>
    <w:rsid w:val="00934B84"/>
    <w:rsid w:val="00935195"/>
    <w:rsid w:val="00935F9B"/>
    <w:rsid w:val="009365AE"/>
    <w:rsid w:val="00936C2F"/>
    <w:rsid w:val="00936CAD"/>
    <w:rsid w:val="00937480"/>
    <w:rsid w:val="00937BDF"/>
    <w:rsid w:val="00937E24"/>
    <w:rsid w:val="009402AF"/>
    <w:rsid w:val="009409B2"/>
    <w:rsid w:val="00940B12"/>
    <w:rsid w:val="00940D80"/>
    <w:rsid w:val="00940E04"/>
    <w:rsid w:val="0094154D"/>
    <w:rsid w:val="009415A8"/>
    <w:rsid w:val="00942100"/>
    <w:rsid w:val="0094247C"/>
    <w:rsid w:val="00943255"/>
    <w:rsid w:val="00943395"/>
    <w:rsid w:val="00944271"/>
    <w:rsid w:val="00944489"/>
    <w:rsid w:val="00944AFE"/>
    <w:rsid w:val="00944D9D"/>
    <w:rsid w:val="009454E8"/>
    <w:rsid w:val="009458F9"/>
    <w:rsid w:val="0094662A"/>
    <w:rsid w:val="00947EB0"/>
    <w:rsid w:val="00950306"/>
    <w:rsid w:val="00950F26"/>
    <w:rsid w:val="00950F46"/>
    <w:rsid w:val="009510A1"/>
    <w:rsid w:val="0095155F"/>
    <w:rsid w:val="00951633"/>
    <w:rsid w:val="009516F3"/>
    <w:rsid w:val="009520D2"/>
    <w:rsid w:val="00952132"/>
    <w:rsid w:val="0095234A"/>
    <w:rsid w:val="00952C1B"/>
    <w:rsid w:val="00953651"/>
    <w:rsid w:val="00953726"/>
    <w:rsid w:val="009540C6"/>
    <w:rsid w:val="00954429"/>
    <w:rsid w:val="009555D3"/>
    <w:rsid w:val="0095585E"/>
    <w:rsid w:val="00955BA2"/>
    <w:rsid w:val="00955F27"/>
    <w:rsid w:val="009563CE"/>
    <w:rsid w:val="00956B69"/>
    <w:rsid w:val="00956BAC"/>
    <w:rsid w:val="00957097"/>
    <w:rsid w:val="009576B0"/>
    <w:rsid w:val="00957AAA"/>
    <w:rsid w:val="00960383"/>
    <w:rsid w:val="0096063E"/>
    <w:rsid w:val="00960D27"/>
    <w:rsid w:val="009610C3"/>
    <w:rsid w:val="0096138B"/>
    <w:rsid w:val="009618AB"/>
    <w:rsid w:val="00961B7F"/>
    <w:rsid w:val="0096204C"/>
    <w:rsid w:val="00962B29"/>
    <w:rsid w:val="0096341D"/>
    <w:rsid w:val="009636E9"/>
    <w:rsid w:val="00963C4C"/>
    <w:rsid w:val="00963F28"/>
    <w:rsid w:val="00963F9E"/>
    <w:rsid w:val="009647A4"/>
    <w:rsid w:val="00965CAE"/>
    <w:rsid w:val="00965D7A"/>
    <w:rsid w:val="00965F58"/>
    <w:rsid w:val="0096625A"/>
    <w:rsid w:val="00966906"/>
    <w:rsid w:val="00966B5E"/>
    <w:rsid w:val="00966CB9"/>
    <w:rsid w:val="00966CE8"/>
    <w:rsid w:val="009676D1"/>
    <w:rsid w:val="00967A46"/>
    <w:rsid w:val="00967D65"/>
    <w:rsid w:val="00970755"/>
    <w:rsid w:val="00971EE6"/>
    <w:rsid w:val="00972457"/>
    <w:rsid w:val="009726F2"/>
    <w:rsid w:val="00972DE8"/>
    <w:rsid w:val="00973398"/>
    <w:rsid w:val="009734EE"/>
    <w:rsid w:val="0097356B"/>
    <w:rsid w:val="009736CF"/>
    <w:rsid w:val="009738A9"/>
    <w:rsid w:val="00973C8A"/>
    <w:rsid w:val="00973FC9"/>
    <w:rsid w:val="0097424E"/>
    <w:rsid w:val="00975414"/>
    <w:rsid w:val="0097552D"/>
    <w:rsid w:val="00975935"/>
    <w:rsid w:val="00976328"/>
    <w:rsid w:val="0097680D"/>
    <w:rsid w:val="00976900"/>
    <w:rsid w:val="0097694F"/>
    <w:rsid w:val="00977049"/>
    <w:rsid w:val="0097713B"/>
    <w:rsid w:val="00977243"/>
    <w:rsid w:val="009772E5"/>
    <w:rsid w:val="0097739E"/>
    <w:rsid w:val="00977C02"/>
    <w:rsid w:val="009803D8"/>
    <w:rsid w:val="0098099E"/>
    <w:rsid w:val="00981318"/>
    <w:rsid w:val="00982438"/>
    <w:rsid w:val="009830A9"/>
    <w:rsid w:val="00983841"/>
    <w:rsid w:val="0098404C"/>
    <w:rsid w:val="0098417F"/>
    <w:rsid w:val="00984212"/>
    <w:rsid w:val="00984319"/>
    <w:rsid w:val="00984E32"/>
    <w:rsid w:val="00985283"/>
    <w:rsid w:val="00985FF6"/>
    <w:rsid w:val="0098600A"/>
    <w:rsid w:val="00986EB5"/>
    <w:rsid w:val="00987041"/>
    <w:rsid w:val="00987165"/>
    <w:rsid w:val="009873BD"/>
    <w:rsid w:val="00987825"/>
    <w:rsid w:val="00990D8C"/>
    <w:rsid w:val="00991BFA"/>
    <w:rsid w:val="00991CA2"/>
    <w:rsid w:val="00991E1A"/>
    <w:rsid w:val="009924B4"/>
    <w:rsid w:val="009931F3"/>
    <w:rsid w:val="009937E9"/>
    <w:rsid w:val="009946C3"/>
    <w:rsid w:val="009947B5"/>
    <w:rsid w:val="00994AEF"/>
    <w:rsid w:val="00994D9F"/>
    <w:rsid w:val="00995992"/>
    <w:rsid w:val="00995F89"/>
    <w:rsid w:val="0099653C"/>
    <w:rsid w:val="009967FA"/>
    <w:rsid w:val="00996A3F"/>
    <w:rsid w:val="00997284"/>
    <w:rsid w:val="00997597"/>
    <w:rsid w:val="00997CF4"/>
    <w:rsid w:val="009A021B"/>
    <w:rsid w:val="009A0337"/>
    <w:rsid w:val="009A03E5"/>
    <w:rsid w:val="009A0C29"/>
    <w:rsid w:val="009A0F3B"/>
    <w:rsid w:val="009A134F"/>
    <w:rsid w:val="009A1869"/>
    <w:rsid w:val="009A1BB4"/>
    <w:rsid w:val="009A2628"/>
    <w:rsid w:val="009A26A7"/>
    <w:rsid w:val="009A2D46"/>
    <w:rsid w:val="009A3200"/>
    <w:rsid w:val="009A3543"/>
    <w:rsid w:val="009A3BB4"/>
    <w:rsid w:val="009A42B6"/>
    <w:rsid w:val="009A4CC9"/>
    <w:rsid w:val="009A51F5"/>
    <w:rsid w:val="009A54E5"/>
    <w:rsid w:val="009A5F07"/>
    <w:rsid w:val="009A6C3B"/>
    <w:rsid w:val="009A71DE"/>
    <w:rsid w:val="009A77F6"/>
    <w:rsid w:val="009B022B"/>
    <w:rsid w:val="009B0759"/>
    <w:rsid w:val="009B078B"/>
    <w:rsid w:val="009B07D1"/>
    <w:rsid w:val="009B0897"/>
    <w:rsid w:val="009B091B"/>
    <w:rsid w:val="009B1148"/>
    <w:rsid w:val="009B1DA7"/>
    <w:rsid w:val="009B2067"/>
    <w:rsid w:val="009B2376"/>
    <w:rsid w:val="009B252D"/>
    <w:rsid w:val="009B2601"/>
    <w:rsid w:val="009B3336"/>
    <w:rsid w:val="009B34F8"/>
    <w:rsid w:val="009B405F"/>
    <w:rsid w:val="009B40B4"/>
    <w:rsid w:val="009B46DC"/>
    <w:rsid w:val="009B480B"/>
    <w:rsid w:val="009B506C"/>
    <w:rsid w:val="009B5C55"/>
    <w:rsid w:val="009B6B9B"/>
    <w:rsid w:val="009B6C98"/>
    <w:rsid w:val="009B7261"/>
    <w:rsid w:val="009B738F"/>
    <w:rsid w:val="009B76D7"/>
    <w:rsid w:val="009B7BD9"/>
    <w:rsid w:val="009B7CA5"/>
    <w:rsid w:val="009C0945"/>
    <w:rsid w:val="009C0C78"/>
    <w:rsid w:val="009C136E"/>
    <w:rsid w:val="009C1403"/>
    <w:rsid w:val="009C1717"/>
    <w:rsid w:val="009C1A38"/>
    <w:rsid w:val="009C1F02"/>
    <w:rsid w:val="009C22C8"/>
    <w:rsid w:val="009C2C3E"/>
    <w:rsid w:val="009C3B30"/>
    <w:rsid w:val="009C4108"/>
    <w:rsid w:val="009C532A"/>
    <w:rsid w:val="009C5E5D"/>
    <w:rsid w:val="009C6AE7"/>
    <w:rsid w:val="009C6E94"/>
    <w:rsid w:val="009C7016"/>
    <w:rsid w:val="009C7048"/>
    <w:rsid w:val="009C741B"/>
    <w:rsid w:val="009C7836"/>
    <w:rsid w:val="009C7DD5"/>
    <w:rsid w:val="009D0DCB"/>
    <w:rsid w:val="009D1AC7"/>
    <w:rsid w:val="009D253D"/>
    <w:rsid w:val="009D2724"/>
    <w:rsid w:val="009D28C6"/>
    <w:rsid w:val="009D49BE"/>
    <w:rsid w:val="009D4F22"/>
    <w:rsid w:val="009D5AF1"/>
    <w:rsid w:val="009D5B9C"/>
    <w:rsid w:val="009D639C"/>
    <w:rsid w:val="009D664A"/>
    <w:rsid w:val="009D67BB"/>
    <w:rsid w:val="009D7501"/>
    <w:rsid w:val="009E04CC"/>
    <w:rsid w:val="009E0926"/>
    <w:rsid w:val="009E0A1C"/>
    <w:rsid w:val="009E0BDA"/>
    <w:rsid w:val="009E0E81"/>
    <w:rsid w:val="009E110E"/>
    <w:rsid w:val="009E1BD5"/>
    <w:rsid w:val="009E1FD0"/>
    <w:rsid w:val="009E206F"/>
    <w:rsid w:val="009E227D"/>
    <w:rsid w:val="009E364E"/>
    <w:rsid w:val="009E421A"/>
    <w:rsid w:val="009E432B"/>
    <w:rsid w:val="009E5019"/>
    <w:rsid w:val="009E5328"/>
    <w:rsid w:val="009E570F"/>
    <w:rsid w:val="009E59E7"/>
    <w:rsid w:val="009E5C4F"/>
    <w:rsid w:val="009E6218"/>
    <w:rsid w:val="009E6BDD"/>
    <w:rsid w:val="009F062F"/>
    <w:rsid w:val="009F0D55"/>
    <w:rsid w:val="009F277E"/>
    <w:rsid w:val="009F3567"/>
    <w:rsid w:val="009F684A"/>
    <w:rsid w:val="009F7031"/>
    <w:rsid w:val="00A0076F"/>
    <w:rsid w:val="00A00C54"/>
    <w:rsid w:val="00A016CF"/>
    <w:rsid w:val="00A01AC4"/>
    <w:rsid w:val="00A02165"/>
    <w:rsid w:val="00A02284"/>
    <w:rsid w:val="00A02581"/>
    <w:rsid w:val="00A03592"/>
    <w:rsid w:val="00A0397C"/>
    <w:rsid w:val="00A03FBE"/>
    <w:rsid w:val="00A0445F"/>
    <w:rsid w:val="00A0481C"/>
    <w:rsid w:val="00A04F1B"/>
    <w:rsid w:val="00A0501B"/>
    <w:rsid w:val="00A05BDE"/>
    <w:rsid w:val="00A05F58"/>
    <w:rsid w:val="00A0779F"/>
    <w:rsid w:val="00A07BE3"/>
    <w:rsid w:val="00A104DA"/>
    <w:rsid w:val="00A10B6D"/>
    <w:rsid w:val="00A10D7F"/>
    <w:rsid w:val="00A1117A"/>
    <w:rsid w:val="00A11230"/>
    <w:rsid w:val="00A11276"/>
    <w:rsid w:val="00A118C5"/>
    <w:rsid w:val="00A1209D"/>
    <w:rsid w:val="00A12533"/>
    <w:rsid w:val="00A1258D"/>
    <w:rsid w:val="00A12690"/>
    <w:rsid w:val="00A12D74"/>
    <w:rsid w:val="00A12DBC"/>
    <w:rsid w:val="00A131EE"/>
    <w:rsid w:val="00A132CA"/>
    <w:rsid w:val="00A13574"/>
    <w:rsid w:val="00A1376C"/>
    <w:rsid w:val="00A13B1F"/>
    <w:rsid w:val="00A14947"/>
    <w:rsid w:val="00A15180"/>
    <w:rsid w:val="00A15B81"/>
    <w:rsid w:val="00A16322"/>
    <w:rsid w:val="00A1697A"/>
    <w:rsid w:val="00A17572"/>
    <w:rsid w:val="00A17D19"/>
    <w:rsid w:val="00A207EC"/>
    <w:rsid w:val="00A209AE"/>
    <w:rsid w:val="00A20C70"/>
    <w:rsid w:val="00A20D69"/>
    <w:rsid w:val="00A20E07"/>
    <w:rsid w:val="00A212E9"/>
    <w:rsid w:val="00A21503"/>
    <w:rsid w:val="00A2202D"/>
    <w:rsid w:val="00A2266C"/>
    <w:rsid w:val="00A22B12"/>
    <w:rsid w:val="00A22FCB"/>
    <w:rsid w:val="00A23571"/>
    <w:rsid w:val="00A23CC0"/>
    <w:rsid w:val="00A24556"/>
    <w:rsid w:val="00A2461D"/>
    <w:rsid w:val="00A24BA9"/>
    <w:rsid w:val="00A2504D"/>
    <w:rsid w:val="00A253EC"/>
    <w:rsid w:val="00A260F5"/>
    <w:rsid w:val="00A26803"/>
    <w:rsid w:val="00A2753A"/>
    <w:rsid w:val="00A27674"/>
    <w:rsid w:val="00A27E28"/>
    <w:rsid w:val="00A306BD"/>
    <w:rsid w:val="00A30797"/>
    <w:rsid w:val="00A31BC4"/>
    <w:rsid w:val="00A31DB7"/>
    <w:rsid w:val="00A32745"/>
    <w:rsid w:val="00A32A83"/>
    <w:rsid w:val="00A34466"/>
    <w:rsid w:val="00A34FFA"/>
    <w:rsid w:val="00A35198"/>
    <w:rsid w:val="00A35518"/>
    <w:rsid w:val="00A35546"/>
    <w:rsid w:val="00A35999"/>
    <w:rsid w:val="00A35A6A"/>
    <w:rsid w:val="00A35CAC"/>
    <w:rsid w:val="00A35CE9"/>
    <w:rsid w:val="00A36002"/>
    <w:rsid w:val="00A36286"/>
    <w:rsid w:val="00A368DB"/>
    <w:rsid w:val="00A36FF2"/>
    <w:rsid w:val="00A375DB"/>
    <w:rsid w:val="00A3774D"/>
    <w:rsid w:val="00A407E4"/>
    <w:rsid w:val="00A408A9"/>
    <w:rsid w:val="00A40CDD"/>
    <w:rsid w:val="00A40F5B"/>
    <w:rsid w:val="00A41100"/>
    <w:rsid w:val="00A412E8"/>
    <w:rsid w:val="00A415CE"/>
    <w:rsid w:val="00A423AA"/>
    <w:rsid w:val="00A42451"/>
    <w:rsid w:val="00A42BA7"/>
    <w:rsid w:val="00A42D8C"/>
    <w:rsid w:val="00A432DA"/>
    <w:rsid w:val="00A435B5"/>
    <w:rsid w:val="00A43816"/>
    <w:rsid w:val="00A43DB9"/>
    <w:rsid w:val="00A43DE5"/>
    <w:rsid w:val="00A43F27"/>
    <w:rsid w:val="00A43FE7"/>
    <w:rsid w:val="00A4416A"/>
    <w:rsid w:val="00A45648"/>
    <w:rsid w:val="00A45CF9"/>
    <w:rsid w:val="00A45F61"/>
    <w:rsid w:val="00A46232"/>
    <w:rsid w:val="00A46AEB"/>
    <w:rsid w:val="00A4711F"/>
    <w:rsid w:val="00A506DB"/>
    <w:rsid w:val="00A51014"/>
    <w:rsid w:val="00A51058"/>
    <w:rsid w:val="00A51370"/>
    <w:rsid w:val="00A5276F"/>
    <w:rsid w:val="00A5359E"/>
    <w:rsid w:val="00A53CB2"/>
    <w:rsid w:val="00A53EC6"/>
    <w:rsid w:val="00A5408F"/>
    <w:rsid w:val="00A541E0"/>
    <w:rsid w:val="00A549F4"/>
    <w:rsid w:val="00A54B13"/>
    <w:rsid w:val="00A54BA5"/>
    <w:rsid w:val="00A54CAD"/>
    <w:rsid w:val="00A55202"/>
    <w:rsid w:val="00A553A6"/>
    <w:rsid w:val="00A5574F"/>
    <w:rsid w:val="00A557FC"/>
    <w:rsid w:val="00A55B71"/>
    <w:rsid w:val="00A55C0F"/>
    <w:rsid w:val="00A55EA7"/>
    <w:rsid w:val="00A561C6"/>
    <w:rsid w:val="00A56684"/>
    <w:rsid w:val="00A60039"/>
    <w:rsid w:val="00A6033D"/>
    <w:rsid w:val="00A60D5D"/>
    <w:rsid w:val="00A61633"/>
    <w:rsid w:val="00A616A0"/>
    <w:rsid w:val="00A61E0D"/>
    <w:rsid w:val="00A63876"/>
    <w:rsid w:val="00A643B8"/>
    <w:rsid w:val="00A64692"/>
    <w:rsid w:val="00A655D9"/>
    <w:rsid w:val="00A656F0"/>
    <w:rsid w:val="00A65831"/>
    <w:rsid w:val="00A65A2C"/>
    <w:rsid w:val="00A65AFD"/>
    <w:rsid w:val="00A66474"/>
    <w:rsid w:val="00A677BB"/>
    <w:rsid w:val="00A705B4"/>
    <w:rsid w:val="00A70B2F"/>
    <w:rsid w:val="00A71346"/>
    <w:rsid w:val="00A716DE"/>
    <w:rsid w:val="00A71985"/>
    <w:rsid w:val="00A72579"/>
    <w:rsid w:val="00A73DB3"/>
    <w:rsid w:val="00A74361"/>
    <w:rsid w:val="00A7476D"/>
    <w:rsid w:val="00A747A6"/>
    <w:rsid w:val="00A74923"/>
    <w:rsid w:val="00A74AA1"/>
    <w:rsid w:val="00A74DAD"/>
    <w:rsid w:val="00A768C5"/>
    <w:rsid w:val="00A77932"/>
    <w:rsid w:val="00A77B62"/>
    <w:rsid w:val="00A77C25"/>
    <w:rsid w:val="00A81740"/>
    <w:rsid w:val="00A81B8E"/>
    <w:rsid w:val="00A82D8C"/>
    <w:rsid w:val="00A82DF9"/>
    <w:rsid w:val="00A8312D"/>
    <w:rsid w:val="00A84681"/>
    <w:rsid w:val="00A84D7B"/>
    <w:rsid w:val="00A8595A"/>
    <w:rsid w:val="00A85F35"/>
    <w:rsid w:val="00A86A97"/>
    <w:rsid w:val="00A8713F"/>
    <w:rsid w:val="00A87970"/>
    <w:rsid w:val="00A87BB7"/>
    <w:rsid w:val="00A87BF3"/>
    <w:rsid w:val="00A90937"/>
    <w:rsid w:val="00A909D3"/>
    <w:rsid w:val="00A90BA1"/>
    <w:rsid w:val="00A91907"/>
    <w:rsid w:val="00A92BBF"/>
    <w:rsid w:val="00A92CA2"/>
    <w:rsid w:val="00A932CB"/>
    <w:rsid w:val="00A93ABF"/>
    <w:rsid w:val="00A93AE5"/>
    <w:rsid w:val="00A93D30"/>
    <w:rsid w:val="00A95047"/>
    <w:rsid w:val="00A95316"/>
    <w:rsid w:val="00A95BF1"/>
    <w:rsid w:val="00A95F35"/>
    <w:rsid w:val="00A9657D"/>
    <w:rsid w:val="00A968F6"/>
    <w:rsid w:val="00A97736"/>
    <w:rsid w:val="00A9784C"/>
    <w:rsid w:val="00A97A9A"/>
    <w:rsid w:val="00AA011D"/>
    <w:rsid w:val="00AA0671"/>
    <w:rsid w:val="00AA1853"/>
    <w:rsid w:val="00AA1B37"/>
    <w:rsid w:val="00AA1BAE"/>
    <w:rsid w:val="00AA1CDF"/>
    <w:rsid w:val="00AA1E00"/>
    <w:rsid w:val="00AA2531"/>
    <w:rsid w:val="00AA2DF8"/>
    <w:rsid w:val="00AA328C"/>
    <w:rsid w:val="00AA3DEB"/>
    <w:rsid w:val="00AA4FF0"/>
    <w:rsid w:val="00AA5004"/>
    <w:rsid w:val="00AA5283"/>
    <w:rsid w:val="00AA5470"/>
    <w:rsid w:val="00AA5EF7"/>
    <w:rsid w:val="00AA68CA"/>
    <w:rsid w:val="00AA6A3C"/>
    <w:rsid w:val="00AA6A87"/>
    <w:rsid w:val="00AA6CD8"/>
    <w:rsid w:val="00AA70D8"/>
    <w:rsid w:val="00AA763F"/>
    <w:rsid w:val="00AB02A8"/>
    <w:rsid w:val="00AB1E09"/>
    <w:rsid w:val="00AB32E0"/>
    <w:rsid w:val="00AB3386"/>
    <w:rsid w:val="00AB3600"/>
    <w:rsid w:val="00AB3760"/>
    <w:rsid w:val="00AB3872"/>
    <w:rsid w:val="00AB4451"/>
    <w:rsid w:val="00AB4518"/>
    <w:rsid w:val="00AB5330"/>
    <w:rsid w:val="00AB5414"/>
    <w:rsid w:val="00AB59A4"/>
    <w:rsid w:val="00AB5B69"/>
    <w:rsid w:val="00AB6BFA"/>
    <w:rsid w:val="00AB7747"/>
    <w:rsid w:val="00AB7CAB"/>
    <w:rsid w:val="00AC0255"/>
    <w:rsid w:val="00AC0684"/>
    <w:rsid w:val="00AC0CD1"/>
    <w:rsid w:val="00AC14CE"/>
    <w:rsid w:val="00AC1FBD"/>
    <w:rsid w:val="00AC2360"/>
    <w:rsid w:val="00AC26C5"/>
    <w:rsid w:val="00AC283A"/>
    <w:rsid w:val="00AC2A56"/>
    <w:rsid w:val="00AC2E6D"/>
    <w:rsid w:val="00AC2F63"/>
    <w:rsid w:val="00AC33D4"/>
    <w:rsid w:val="00AC3B33"/>
    <w:rsid w:val="00AC4E12"/>
    <w:rsid w:val="00AC55C0"/>
    <w:rsid w:val="00AC5934"/>
    <w:rsid w:val="00AC69E0"/>
    <w:rsid w:val="00AC79E0"/>
    <w:rsid w:val="00AC7FA2"/>
    <w:rsid w:val="00AD055E"/>
    <w:rsid w:val="00AD0D7F"/>
    <w:rsid w:val="00AD213D"/>
    <w:rsid w:val="00AD21C0"/>
    <w:rsid w:val="00AD37DC"/>
    <w:rsid w:val="00AD390D"/>
    <w:rsid w:val="00AD47A7"/>
    <w:rsid w:val="00AD5105"/>
    <w:rsid w:val="00AD5BA3"/>
    <w:rsid w:val="00AE0FF2"/>
    <w:rsid w:val="00AE1027"/>
    <w:rsid w:val="00AE12F5"/>
    <w:rsid w:val="00AE13F8"/>
    <w:rsid w:val="00AE19CD"/>
    <w:rsid w:val="00AE1A96"/>
    <w:rsid w:val="00AE2C77"/>
    <w:rsid w:val="00AE34FF"/>
    <w:rsid w:val="00AE3656"/>
    <w:rsid w:val="00AE395E"/>
    <w:rsid w:val="00AE3D2A"/>
    <w:rsid w:val="00AE3D7B"/>
    <w:rsid w:val="00AE3E2B"/>
    <w:rsid w:val="00AE4401"/>
    <w:rsid w:val="00AE4739"/>
    <w:rsid w:val="00AE48A2"/>
    <w:rsid w:val="00AE4D4D"/>
    <w:rsid w:val="00AE56E0"/>
    <w:rsid w:val="00AE59A6"/>
    <w:rsid w:val="00AE6E2C"/>
    <w:rsid w:val="00AE7281"/>
    <w:rsid w:val="00AE7BC6"/>
    <w:rsid w:val="00AE7C1F"/>
    <w:rsid w:val="00AF00E1"/>
    <w:rsid w:val="00AF0CBF"/>
    <w:rsid w:val="00AF257F"/>
    <w:rsid w:val="00AF25C6"/>
    <w:rsid w:val="00AF2A6D"/>
    <w:rsid w:val="00AF3134"/>
    <w:rsid w:val="00AF32C3"/>
    <w:rsid w:val="00AF33CF"/>
    <w:rsid w:val="00AF369A"/>
    <w:rsid w:val="00AF4B6D"/>
    <w:rsid w:val="00AF4D50"/>
    <w:rsid w:val="00AF520C"/>
    <w:rsid w:val="00AF5AE6"/>
    <w:rsid w:val="00AF5C32"/>
    <w:rsid w:val="00AF6179"/>
    <w:rsid w:val="00AF6465"/>
    <w:rsid w:val="00AF70DB"/>
    <w:rsid w:val="00AF74EC"/>
    <w:rsid w:val="00AF7652"/>
    <w:rsid w:val="00AF7966"/>
    <w:rsid w:val="00AF7AE0"/>
    <w:rsid w:val="00AF7FD5"/>
    <w:rsid w:val="00B015D5"/>
    <w:rsid w:val="00B0163F"/>
    <w:rsid w:val="00B016D6"/>
    <w:rsid w:val="00B018CD"/>
    <w:rsid w:val="00B01DEC"/>
    <w:rsid w:val="00B024D3"/>
    <w:rsid w:val="00B02609"/>
    <w:rsid w:val="00B029D2"/>
    <w:rsid w:val="00B031C0"/>
    <w:rsid w:val="00B032CA"/>
    <w:rsid w:val="00B037CC"/>
    <w:rsid w:val="00B03CDE"/>
    <w:rsid w:val="00B059CE"/>
    <w:rsid w:val="00B05CCA"/>
    <w:rsid w:val="00B066DE"/>
    <w:rsid w:val="00B07133"/>
    <w:rsid w:val="00B07605"/>
    <w:rsid w:val="00B0787B"/>
    <w:rsid w:val="00B07A08"/>
    <w:rsid w:val="00B1049E"/>
    <w:rsid w:val="00B109D1"/>
    <w:rsid w:val="00B10DCD"/>
    <w:rsid w:val="00B118F6"/>
    <w:rsid w:val="00B119AC"/>
    <w:rsid w:val="00B12085"/>
    <w:rsid w:val="00B12339"/>
    <w:rsid w:val="00B1295A"/>
    <w:rsid w:val="00B12B14"/>
    <w:rsid w:val="00B131CA"/>
    <w:rsid w:val="00B13684"/>
    <w:rsid w:val="00B14CE3"/>
    <w:rsid w:val="00B14F35"/>
    <w:rsid w:val="00B158A2"/>
    <w:rsid w:val="00B15DBE"/>
    <w:rsid w:val="00B15FB0"/>
    <w:rsid w:val="00B16341"/>
    <w:rsid w:val="00B164A4"/>
    <w:rsid w:val="00B16541"/>
    <w:rsid w:val="00B166D5"/>
    <w:rsid w:val="00B16893"/>
    <w:rsid w:val="00B16A41"/>
    <w:rsid w:val="00B17412"/>
    <w:rsid w:val="00B1792B"/>
    <w:rsid w:val="00B179A1"/>
    <w:rsid w:val="00B2010B"/>
    <w:rsid w:val="00B20189"/>
    <w:rsid w:val="00B20611"/>
    <w:rsid w:val="00B20A45"/>
    <w:rsid w:val="00B21436"/>
    <w:rsid w:val="00B22C5C"/>
    <w:rsid w:val="00B236A0"/>
    <w:rsid w:val="00B236A4"/>
    <w:rsid w:val="00B24009"/>
    <w:rsid w:val="00B243FA"/>
    <w:rsid w:val="00B24537"/>
    <w:rsid w:val="00B24656"/>
    <w:rsid w:val="00B24872"/>
    <w:rsid w:val="00B24A86"/>
    <w:rsid w:val="00B24B2C"/>
    <w:rsid w:val="00B24B70"/>
    <w:rsid w:val="00B24F30"/>
    <w:rsid w:val="00B2538E"/>
    <w:rsid w:val="00B2594C"/>
    <w:rsid w:val="00B25D06"/>
    <w:rsid w:val="00B25D7F"/>
    <w:rsid w:val="00B25F15"/>
    <w:rsid w:val="00B2642E"/>
    <w:rsid w:val="00B27AAE"/>
    <w:rsid w:val="00B31519"/>
    <w:rsid w:val="00B315BF"/>
    <w:rsid w:val="00B318EB"/>
    <w:rsid w:val="00B31ABF"/>
    <w:rsid w:val="00B32601"/>
    <w:rsid w:val="00B32689"/>
    <w:rsid w:val="00B33163"/>
    <w:rsid w:val="00B33904"/>
    <w:rsid w:val="00B33BE0"/>
    <w:rsid w:val="00B33BE3"/>
    <w:rsid w:val="00B346FE"/>
    <w:rsid w:val="00B355E8"/>
    <w:rsid w:val="00B3590A"/>
    <w:rsid w:val="00B372E1"/>
    <w:rsid w:val="00B37723"/>
    <w:rsid w:val="00B40A16"/>
    <w:rsid w:val="00B40DF4"/>
    <w:rsid w:val="00B416C8"/>
    <w:rsid w:val="00B41C44"/>
    <w:rsid w:val="00B41EAA"/>
    <w:rsid w:val="00B423C4"/>
    <w:rsid w:val="00B42F17"/>
    <w:rsid w:val="00B43EAC"/>
    <w:rsid w:val="00B4416A"/>
    <w:rsid w:val="00B44210"/>
    <w:rsid w:val="00B444D3"/>
    <w:rsid w:val="00B44E11"/>
    <w:rsid w:val="00B45C9A"/>
    <w:rsid w:val="00B464F1"/>
    <w:rsid w:val="00B46535"/>
    <w:rsid w:val="00B46BC6"/>
    <w:rsid w:val="00B46C49"/>
    <w:rsid w:val="00B47F79"/>
    <w:rsid w:val="00B50229"/>
    <w:rsid w:val="00B50675"/>
    <w:rsid w:val="00B520A6"/>
    <w:rsid w:val="00B5226E"/>
    <w:rsid w:val="00B53593"/>
    <w:rsid w:val="00B53687"/>
    <w:rsid w:val="00B53AA1"/>
    <w:rsid w:val="00B53B5D"/>
    <w:rsid w:val="00B54100"/>
    <w:rsid w:val="00B54447"/>
    <w:rsid w:val="00B5474F"/>
    <w:rsid w:val="00B547ED"/>
    <w:rsid w:val="00B548F5"/>
    <w:rsid w:val="00B5536E"/>
    <w:rsid w:val="00B558D4"/>
    <w:rsid w:val="00B5598C"/>
    <w:rsid w:val="00B55FA7"/>
    <w:rsid w:val="00B57445"/>
    <w:rsid w:val="00B57543"/>
    <w:rsid w:val="00B57626"/>
    <w:rsid w:val="00B6055E"/>
    <w:rsid w:val="00B60606"/>
    <w:rsid w:val="00B6060E"/>
    <w:rsid w:val="00B61031"/>
    <w:rsid w:val="00B6181F"/>
    <w:rsid w:val="00B618DF"/>
    <w:rsid w:val="00B62838"/>
    <w:rsid w:val="00B6285A"/>
    <w:rsid w:val="00B62D1A"/>
    <w:rsid w:val="00B6300D"/>
    <w:rsid w:val="00B6317D"/>
    <w:rsid w:val="00B638A7"/>
    <w:rsid w:val="00B64EDD"/>
    <w:rsid w:val="00B6502F"/>
    <w:rsid w:val="00B65085"/>
    <w:rsid w:val="00B66DDA"/>
    <w:rsid w:val="00B671F7"/>
    <w:rsid w:val="00B67591"/>
    <w:rsid w:val="00B6791F"/>
    <w:rsid w:val="00B67F5F"/>
    <w:rsid w:val="00B700B4"/>
    <w:rsid w:val="00B7089C"/>
    <w:rsid w:val="00B70AD5"/>
    <w:rsid w:val="00B71A88"/>
    <w:rsid w:val="00B71C46"/>
    <w:rsid w:val="00B71F1B"/>
    <w:rsid w:val="00B7210C"/>
    <w:rsid w:val="00B72164"/>
    <w:rsid w:val="00B7287A"/>
    <w:rsid w:val="00B72E61"/>
    <w:rsid w:val="00B73003"/>
    <w:rsid w:val="00B738DB"/>
    <w:rsid w:val="00B7417B"/>
    <w:rsid w:val="00B743B4"/>
    <w:rsid w:val="00B747D3"/>
    <w:rsid w:val="00B750ED"/>
    <w:rsid w:val="00B75BA0"/>
    <w:rsid w:val="00B76845"/>
    <w:rsid w:val="00B7686F"/>
    <w:rsid w:val="00B7723F"/>
    <w:rsid w:val="00B7762C"/>
    <w:rsid w:val="00B77846"/>
    <w:rsid w:val="00B77CC3"/>
    <w:rsid w:val="00B80337"/>
    <w:rsid w:val="00B80409"/>
    <w:rsid w:val="00B80436"/>
    <w:rsid w:val="00B80534"/>
    <w:rsid w:val="00B807B9"/>
    <w:rsid w:val="00B807D2"/>
    <w:rsid w:val="00B80DBA"/>
    <w:rsid w:val="00B81367"/>
    <w:rsid w:val="00B81B7F"/>
    <w:rsid w:val="00B81C7E"/>
    <w:rsid w:val="00B81D6F"/>
    <w:rsid w:val="00B82200"/>
    <w:rsid w:val="00B82608"/>
    <w:rsid w:val="00B82914"/>
    <w:rsid w:val="00B82DB3"/>
    <w:rsid w:val="00B82F2C"/>
    <w:rsid w:val="00B8386B"/>
    <w:rsid w:val="00B83EEE"/>
    <w:rsid w:val="00B8409F"/>
    <w:rsid w:val="00B841CC"/>
    <w:rsid w:val="00B8433C"/>
    <w:rsid w:val="00B84A81"/>
    <w:rsid w:val="00B84C7A"/>
    <w:rsid w:val="00B84EAE"/>
    <w:rsid w:val="00B8561B"/>
    <w:rsid w:val="00B85E6B"/>
    <w:rsid w:val="00B85ECC"/>
    <w:rsid w:val="00B87491"/>
    <w:rsid w:val="00B9047A"/>
    <w:rsid w:val="00B90BD3"/>
    <w:rsid w:val="00B911B8"/>
    <w:rsid w:val="00B91817"/>
    <w:rsid w:val="00B91CE4"/>
    <w:rsid w:val="00B92A7A"/>
    <w:rsid w:val="00B92E81"/>
    <w:rsid w:val="00B9365D"/>
    <w:rsid w:val="00B93AF9"/>
    <w:rsid w:val="00B93F0A"/>
    <w:rsid w:val="00B94562"/>
    <w:rsid w:val="00B9517F"/>
    <w:rsid w:val="00B95B04"/>
    <w:rsid w:val="00B95BDC"/>
    <w:rsid w:val="00B961C6"/>
    <w:rsid w:val="00B96425"/>
    <w:rsid w:val="00B96D9D"/>
    <w:rsid w:val="00B96ECD"/>
    <w:rsid w:val="00B96FC7"/>
    <w:rsid w:val="00B97071"/>
    <w:rsid w:val="00B97E1C"/>
    <w:rsid w:val="00BA1422"/>
    <w:rsid w:val="00BA16FE"/>
    <w:rsid w:val="00BA1855"/>
    <w:rsid w:val="00BA1873"/>
    <w:rsid w:val="00BA22A2"/>
    <w:rsid w:val="00BA27EF"/>
    <w:rsid w:val="00BA29E9"/>
    <w:rsid w:val="00BA2AFC"/>
    <w:rsid w:val="00BA2E1A"/>
    <w:rsid w:val="00BA3C53"/>
    <w:rsid w:val="00BA3F45"/>
    <w:rsid w:val="00BA3F93"/>
    <w:rsid w:val="00BA4251"/>
    <w:rsid w:val="00BA440F"/>
    <w:rsid w:val="00BA46C3"/>
    <w:rsid w:val="00BA4710"/>
    <w:rsid w:val="00BA4925"/>
    <w:rsid w:val="00BA5333"/>
    <w:rsid w:val="00BA55D0"/>
    <w:rsid w:val="00BA58AC"/>
    <w:rsid w:val="00BA5BDD"/>
    <w:rsid w:val="00BA6337"/>
    <w:rsid w:val="00BA6662"/>
    <w:rsid w:val="00BA68CF"/>
    <w:rsid w:val="00BA6F5C"/>
    <w:rsid w:val="00BA7142"/>
    <w:rsid w:val="00BA7524"/>
    <w:rsid w:val="00BB0181"/>
    <w:rsid w:val="00BB15F2"/>
    <w:rsid w:val="00BB16EA"/>
    <w:rsid w:val="00BB1F25"/>
    <w:rsid w:val="00BB21F0"/>
    <w:rsid w:val="00BB237C"/>
    <w:rsid w:val="00BB2786"/>
    <w:rsid w:val="00BB41A3"/>
    <w:rsid w:val="00BB42FD"/>
    <w:rsid w:val="00BB48D9"/>
    <w:rsid w:val="00BB48EA"/>
    <w:rsid w:val="00BB5052"/>
    <w:rsid w:val="00BB5C9E"/>
    <w:rsid w:val="00BB5ED7"/>
    <w:rsid w:val="00BB610B"/>
    <w:rsid w:val="00BB70A4"/>
    <w:rsid w:val="00BB718F"/>
    <w:rsid w:val="00BC121E"/>
    <w:rsid w:val="00BC1336"/>
    <w:rsid w:val="00BC13FB"/>
    <w:rsid w:val="00BC2C90"/>
    <w:rsid w:val="00BC314C"/>
    <w:rsid w:val="00BC3182"/>
    <w:rsid w:val="00BC32DC"/>
    <w:rsid w:val="00BC35B6"/>
    <w:rsid w:val="00BC373C"/>
    <w:rsid w:val="00BC4197"/>
    <w:rsid w:val="00BC48A4"/>
    <w:rsid w:val="00BC4F91"/>
    <w:rsid w:val="00BC5AEF"/>
    <w:rsid w:val="00BC5DAC"/>
    <w:rsid w:val="00BC65E8"/>
    <w:rsid w:val="00BC66FC"/>
    <w:rsid w:val="00BC6DC5"/>
    <w:rsid w:val="00BC6FCE"/>
    <w:rsid w:val="00BC78AC"/>
    <w:rsid w:val="00BC7DE8"/>
    <w:rsid w:val="00BD1212"/>
    <w:rsid w:val="00BD1B51"/>
    <w:rsid w:val="00BD204E"/>
    <w:rsid w:val="00BD2500"/>
    <w:rsid w:val="00BD27BA"/>
    <w:rsid w:val="00BD3079"/>
    <w:rsid w:val="00BD3850"/>
    <w:rsid w:val="00BD406B"/>
    <w:rsid w:val="00BD4596"/>
    <w:rsid w:val="00BD665B"/>
    <w:rsid w:val="00BD6920"/>
    <w:rsid w:val="00BD6B73"/>
    <w:rsid w:val="00BD74FE"/>
    <w:rsid w:val="00BD7F13"/>
    <w:rsid w:val="00BE0218"/>
    <w:rsid w:val="00BE03A1"/>
    <w:rsid w:val="00BE03BD"/>
    <w:rsid w:val="00BE0F04"/>
    <w:rsid w:val="00BE103D"/>
    <w:rsid w:val="00BE1405"/>
    <w:rsid w:val="00BE18E6"/>
    <w:rsid w:val="00BE312D"/>
    <w:rsid w:val="00BE3492"/>
    <w:rsid w:val="00BE468B"/>
    <w:rsid w:val="00BE4BC1"/>
    <w:rsid w:val="00BE5078"/>
    <w:rsid w:val="00BE55AB"/>
    <w:rsid w:val="00BE5B58"/>
    <w:rsid w:val="00BE6961"/>
    <w:rsid w:val="00BE6F13"/>
    <w:rsid w:val="00BE77E1"/>
    <w:rsid w:val="00BE7DF1"/>
    <w:rsid w:val="00BE7F98"/>
    <w:rsid w:val="00BF04E3"/>
    <w:rsid w:val="00BF08E0"/>
    <w:rsid w:val="00BF1A64"/>
    <w:rsid w:val="00BF1C20"/>
    <w:rsid w:val="00BF27E9"/>
    <w:rsid w:val="00BF2A17"/>
    <w:rsid w:val="00BF3621"/>
    <w:rsid w:val="00BF3B4C"/>
    <w:rsid w:val="00BF4DF5"/>
    <w:rsid w:val="00BF4E99"/>
    <w:rsid w:val="00BF56D7"/>
    <w:rsid w:val="00BF57EE"/>
    <w:rsid w:val="00BF5C10"/>
    <w:rsid w:val="00BF5CDF"/>
    <w:rsid w:val="00BF5EA3"/>
    <w:rsid w:val="00BF5EB1"/>
    <w:rsid w:val="00BF5EC4"/>
    <w:rsid w:val="00BF62F8"/>
    <w:rsid w:val="00BF7E26"/>
    <w:rsid w:val="00C00413"/>
    <w:rsid w:val="00C01654"/>
    <w:rsid w:val="00C019B4"/>
    <w:rsid w:val="00C01BE0"/>
    <w:rsid w:val="00C02953"/>
    <w:rsid w:val="00C02E78"/>
    <w:rsid w:val="00C033E3"/>
    <w:rsid w:val="00C0419E"/>
    <w:rsid w:val="00C04996"/>
    <w:rsid w:val="00C04E88"/>
    <w:rsid w:val="00C051C5"/>
    <w:rsid w:val="00C06A04"/>
    <w:rsid w:val="00C06DFF"/>
    <w:rsid w:val="00C078C5"/>
    <w:rsid w:val="00C07901"/>
    <w:rsid w:val="00C10072"/>
    <w:rsid w:val="00C10578"/>
    <w:rsid w:val="00C10902"/>
    <w:rsid w:val="00C10F8C"/>
    <w:rsid w:val="00C1190D"/>
    <w:rsid w:val="00C11977"/>
    <w:rsid w:val="00C11D6B"/>
    <w:rsid w:val="00C11F13"/>
    <w:rsid w:val="00C12716"/>
    <w:rsid w:val="00C1276C"/>
    <w:rsid w:val="00C1298C"/>
    <w:rsid w:val="00C12CF9"/>
    <w:rsid w:val="00C12E07"/>
    <w:rsid w:val="00C12F43"/>
    <w:rsid w:val="00C135BC"/>
    <w:rsid w:val="00C14060"/>
    <w:rsid w:val="00C15094"/>
    <w:rsid w:val="00C1555C"/>
    <w:rsid w:val="00C15B45"/>
    <w:rsid w:val="00C15C95"/>
    <w:rsid w:val="00C16541"/>
    <w:rsid w:val="00C16D38"/>
    <w:rsid w:val="00C215F9"/>
    <w:rsid w:val="00C219EC"/>
    <w:rsid w:val="00C21D49"/>
    <w:rsid w:val="00C2273F"/>
    <w:rsid w:val="00C22D23"/>
    <w:rsid w:val="00C23394"/>
    <w:rsid w:val="00C24560"/>
    <w:rsid w:val="00C246F4"/>
    <w:rsid w:val="00C2487A"/>
    <w:rsid w:val="00C24DC6"/>
    <w:rsid w:val="00C24FC8"/>
    <w:rsid w:val="00C2596A"/>
    <w:rsid w:val="00C2625E"/>
    <w:rsid w:val="00C26590"/>
    <w:rsid w:val="00C26A34"/>
    <w:rsid w:val="00C26E60"/>
    <w:rsid w:val="00C2706F"/>
    <w:rsid w:val="00C2745B"/>
    <w:rsid w:val="00C27537"/>
    <w:rsid w:val="00C278FD"/>
    <w:rsid w:val="00C30213"/>
    <w:rsid w:val="00C31A38"/>
    <w:rsid w:val="00C32661"/>
    <w:rsid w:val="00C3275E"/>
    <w:rsid w:val="00C328FE"/>
    <w:rsid w:val="00C32BCC"/>
    <w:rsid w:val="00C33507"/>
    <w:rsid w:val="00C34946"/>
    <w:rsid w:val="00C351A0"/>
    <w:rsid w:val="00C35237"/>
    <w:rsid w:val="00C3554D"/>
    <w:rsid w:val="00C357C5"/>
    <w:rsid w:val="00C35BFA"/>
    <w:rsid w:val="00C35FAC"/>
    <w:rsid w:val="00C36610"/>
    <w:rsid w:val="00C366B3"/>
    <w:rsid w:val="00C36A8A"/>
    <w:rsid w:val="00C36BDC"/>
    <w:rsid w:val="00C36CF6"/>
    <w:rsid w:val="00C371D8"/>
    <w:rsid w:val="00C37B44"/>
    <w:rsid w:val="00C4000E"/>
    <w:rsid w:val="00C405F1"/>
    <w:rsid w:val="00C40C90"/>
    <w:rsid w:val="00C41058"/>
    <w:rsid w:val="00C4108D"/>
    <w:rsid w:val="00C41276"/>
    <w:rsid w:val="00C4147B"/>
    <w:rsid w:val="00C41847"/>
    <w:rsid w:val="00C41BF1"/>
    <w:rsid w:val="00C42280"/>
    <w:rsid w:val="00C42936"/>
    <w:rsid w:val="00C4409D"/>
    <w:rsid w:val="00C44503"/>
    <w:rsid w:val="00C44991"/>
    <w:rsid w:val="00C44AB8"/>
    <w:rsid w:val="00C44DB9"/>
    <w:rsid w:val="00C44E72"/>
    <w:rsid w:val="00C45A06"/>
    <w:rsid w:val="00C45B4E"/>
    <w:rsid w:val="00C45D16"/>
    <w:rsid w:val="00C45F36"/>
    <w:rsid w:val="00C4612F"/>
    <w:rsid w:val="00C4624C"/>
    <w:rsid w:val="00C46B64"/>
    <w:rsid w:val="00C473AD"/>
    <w:rsid w:val="00C475B9"/>
    <w:rsid w:val="00C476C2"/>
    <w:rsid w:val="00C47876"/>
    <w:rsid w:val="00C47E5B"/>
    <w:rsid w:val="00C50429"/>
    <w:rsid w:val="00C509B1"/>
    <w:rsid w:val="00C509B6"/>
    <w:rsid w:val="00C50D37"/>
    <w:rsid w:val="00C521CA"/>
    <w:rsid w:val="00C5253A"/>
    <w:rsid w:val="00C52B87"/>
    <w:rsid w:val="00C52C4F"/>
    <w:rsid w:val="00C52C6E"/>
    <w:rsid w:val="00C536EF"/>
    <w:rsid w:val="00C53D48"/>
    <w:rsid w:val="00C55C2B"/>
    <w:rsid w:val="00C5667A"/>
    <w:rsid w:val="00C571AA"/>
    <w:rsid w:val="00C57939"/>
    <w:rsid w:val="00C57A3C"/>
    <w:rsid w:val="00C60A79"/>
    <w:rsid w:val="00C60DDB"/>
    <w:rsid w:val="00C60E62"/>
    <w:rsid w:val="00C60E9F"/>
    <w:rsid w:val="00C6129C"/>
    <w:rsid w:val="00C6167C"/>
    <w:rsid w:val="00C61833"/>
    <w:rsid w:val="00C61E4B"/>
    <w:rsid w:val="00C626D7"/>
    <w:rsid w:val="00C62D56"/>
    <w:rsid w:val="00C630BA"/>
    <w:rsid w:val="00C64141"/>
    <w:rsid w:val="00C64145"/>
    <w:rsid w:val="00C645E0"/>
    <w:rsid w:val="00C64A59"/>
    <w:rsid w:val="00C64BFF"/>
    <w:rsid w:val="00C64F2C"/>
    <w:rsid w:val="00C64FE4"/>
    <w:rsid w:val="00C65138"/>
    <w:rsid w:val="00C65239"/>
    <w:rsid w:val="00C65CED"/>
    <w:rsid w:val="00C66014"/>
    <w:rsid w:val="00C66390"/>
    <w:rsid w:val="00C66964"/>
    <w:rsid w:val="00C66A2F"/>
    <w:rsid w:val="00C66D5C"/>
    <w:rsid w:val="00C67703"/>
    <w:rsid w:val="00C6794C"/>
    <w:rsid w:val="00C704E9"/>
    <w:rsid w:val="00C706E2"/>
    <w:rsid w:val="00C71088"/>
    <w:rsid w:val="00C717C7"/>
    <w:rsid w:val="00C72019"/>
    <w:rsid w:val="00C72400"/>
    <w:rsid w:val="00C726BB"/>
    <w:rsid w:val="00C72A30"/>
    <w:rsid w:val="00C72AE1"/>
    <w:rsid w:val="00C72E9E"/>
    <w:rsid w:val="00C72F98"/>
    <w:rsid w:val="00C73743"/>
    <w:rsid w:val="00C75B85"/>
    <w:rsid w:val="00C75B93"/>
    <w:rsid w:val="00C75ED5"/>
    <w:rsid w:val="00C760C1"/>
    <w:rsid w:val="00C7637B"/>
    <w:rsid w:val="00C763C9"/>
    <w:rsid w:val="00C763CD"/>
    <w:rsid w:val="00C7671D"/>
    <w:rsid w:val="00C77380"/>
    <w:rsid w:val="00C77ECA"/>
    <w:rsid w:val="00C80057"/>
    <w:rsid w:val="00C80168"/>
    <w:rsid w:val="00C80C56"/>
    <w:rsid w:val="00C80E6D"/>
    <w:rsid w:val="00C815E1"/>
    <w:rsid w:val="00C815F8"/>
    <w:rsid w:val="00C82232"/>
    <w:rsid w:val="00C82913"/>
    <w:rsid w:val="00C82C64"/>
    <w:rsid w:val="00C83C7D"/>
    <w:rsid w:val="00C844D6"/>
    <w:rsid w:val="00C849B5"/>
    <w:rsid w:val="00C85D72"/>
    <w:rsid w:val="00C86C44"/>
    <w:rsid w:val="00C86EC7"/>
    <w:rsid w:val="00C87082"/>
    <w:rsid w:val="00C8708C"/>
    <w:rsid w:val="00C874ED"/>
    <w:rsid w:val="00C8775F"/>
    <w:rsid w:val="00C8799A"/>
    <w:rsid w:val="00C87B73"/>
    <w:rsid w:val="00C9015E"/>
    <w:rsid w:val="00C905F4"/>
    <w:rsid w:val="00C91C60"/>
    <w:rsid w:val="00C91DA5"/>
    <w:rsid w:val="00C91EE3"/>
    <w:rsid w:val="00C92146"/>
    <w:rsid w:val="00C9293A"/>
    <w:rsid w:val="00C94508"/>
    <w:rsid w:val="00C951BE"/>
    <w:rsid w:val="00C95993"/>
    <w:rsid w:val="00C960A5"/>
    <w:rsid w:val="00C960EE"/>
    <w:rsid w:val="00C972B1"/>
    <w:rsid w:val="00C9782D"/>
    <w:rsid w:val="00CA0184"/>
    <w:rsid w:val="00CA0B30"/>
    <w:rsid w:val="00CA0C3A"/>
    <w:rsid w:val="00CA0F64"/>
    <w:rsid w:val="00CA116E"/>
    <w:rsid w:val="00CA14F5"/>
    <w:rsid w:val="00CA1631"/>
    <w:rsid w:val="00CA2371"/>
    <w:rsid w:val="00CA237F"/>
    <w:rsid w:val="00CA2976"/>
    <w:rsid w:val="00CA2CCE"/>
    <w:rsid w:val="00CA2D9C"/>
    <w:rsid w:val="00CA39D1"/>
    <w:rsid w:val="00CA3AFF"/>
    <w:rsid w:val="00CA3C1D"/>
    <w:rsid w:val="00CA43BC"/>
    <w:rsid w:val="00CA43FD"/>
    <w:rsid w:val="00CA4916"/>
    <w:rsid w:val="00CA4BD4"/>
    <w:rsid w:val="00CA4E3C"/>
    <w:rsid w:val="00CA4EF8"/>
    <w:rsid w:val="00CA534F"/>
    <w:rsid w:val="00CA66FF"/>
    <w:rsid w:val="00CA6923"/>
    <w:rsid w:val="00CA69FD"/>
    <w:rsid w:val="00CA723E"/>
    <w:rsid w:val="00CA75CB"/>
    <w:rsid w:val="00CA783F"/>
    <w:rsid w:val="00CA7966"/>
    <w:rsid w:val="00CA7EF8"/>
    <w:rsid w:val="00CB1039"/>
    <w:rsid w:val="00CB149E"/>
    <w:rsid w:val="00CB183C"/>
    <w:rsid w:val="00CB1B81"/>
    <w:rsid w:val="00CB1D71"/>
    <w:rsid w:val="00CB1DB4"/>
    <w:rsid w:val="00CB21F0"/>
    <w:rsid w:val="00CB230D"/>
    <w:rsid w:val="00CB26AA"/>
    <w:rsid w:val="00CB3746"/>
    <w:rsid w:val="00CB38ED"/>
    <w:rsid w:val="00CB396F"/>
    <w:rsid w:val="00CB3D5D"/>
    <w:rsid w:val="00CB3E9A"/>
    <w:rsid w:val="00CB42AF"/>
    <w:rsid w:val="00CB47C6"/>
    <w:rsid w:val="00CB4838"/>
    <w:rsid w:val="00CB4E47"/>
    <w:rsid w:val="00CB5CFF"/>
    <w:rsid w:val="00CB61CA"/>
    <w:rsid w:val="00CB7655"/>
    <w:rsid w:val="00CB7F4E"/>
    <w:rsid w:val="00CC0D7E"/>
    <w:rsid w:val="00CC1179"/>
    <w:rsid w:val="00CC215C"/>
    <w:rsid w:val="00CC2677"/>
    <w:rsid w:val="00CC2769"/>
    <w:rsid w:val="00CC2905"/>
    <w:rsid w:val="00CC29DE"/>
    <w:rsid w:val="00CC2EC2"/>
    <w:rsid w:val="00CC317F"/>
    <w:rsid w:val="00CC33AC"/>
    <w:rsid w:val="00CC34BB"/>
    <w:rsid w:val="00CC3D65"/>
    <w:rsid w:val="00CC3F49"/>
    <w:rsid w:val="00CC489B"/>
    <w:rsid w:val="00CC4FF6"/>
    <w:rsid w:val="00CC5029"/>
    <w:rsid w:val="00CC675A"/>
    <w:rsid w:val="00CC7129"/>
    <w:rsid w:val="00CC7281"/>
    <w:rsid w:val="00CC7C92"/>
    <w:rsid w:val="00CD04B5"/>
    <w:rsid w:val="00CD0866"/>
    <w:rsid w:val="00CD0BA4"/>
    <w:rsid w:val="00CD11B6"/>
    <w:rsid w:val="00CD165F"/>
    <w:rsid w:val="00CD21B6"/>
    <w:rsid w:val="00CD28D1"/>
    <w:rsid w:val="00CD2BCD"/>
    <w:rsid w:val="00CD3200"/>
    <w:rsid w:val="00CD3686"/>
    <w:rsid w:val="00CD3A4C"/>
    <w:rsid w:val="00CD4AFE"/>
    <w:rsid w:val="00CD510D"/>
    <w:rsid w:val="00CD6445"/>
    <w:rsid w:val="00CD6EFD"/>
    <w:rsid w:val="00CD7259"/>
    <w:rsid w:val="00CD727D"/>
    <w:rsid w:val="00CE10E9"/>
    <w:rsid w:val="00CE16E5"/>
    <w:rsid w:val="00CE2392"/>
    <w:rsid w:val="00CE240E"/>
    <w:rsid w:val="00CE2910"/>
    <w:rsid w:val="00CE3560"/>
    <w:rsid w:val="00CE3A12"/>
    <w:rsid w:val="00CE3CAF"/>
    <w:rsid w:val="00CE4A80"/>
    <w:rsid w:val="00CE5296"/>
    <w:rsid w:val="00CE5393"/>
    <w:rsid w:val="00CE5AAE"/>
    <w:rsid w:val="00CE5E3F"/>
    <w:rsid w:val="00CE6A12"/>
    <w:rsid w:val="00CE6F9C"/>
    <w:rsid w:val="00CE7240"/>
    <w:rsid w:val="00CE7628"/>
    <w:rsid w:val="00CE79FA"/>
    <w:rsid w:val="00CE7AC6"/>
    <w:rsid w:val="00CF19E9"/>
    <w:rsid w:val="00CF29B4"/>
    <w:rsid w:val="00CF2E25"/>
    <w:rsid w:val="00CF36BE"/>
    <w:rsid w:val="00CF39C1"/>
    <w:rsid w:val="00CF3E7B"/>
    <w:rsid w:val="00CF3F5C"/>
    <w:rsid w:val="00CF4426"/>
    <w:rsid w:val="00CF4730"/>
    <w:rsid w:val="00CF4874"/>
    <w:rsid w:val="00CF4899"/>
    <w:rsid w:val="00CF4E5B"/>
    <w:rsid w:val="00CF57C6"/>
    <w:rsid w:val="00CF5B2A"/>
    <w:rsid w:val="00CF6000"/>
    <w:rsid w:val="00CF6695"/>
    <w:rsid w:val="00CF6A4A"/>
    <w:rsid w:val="00CF778E"/>
    <w:rsid w:val="00D003F3"/>
    <w:rsid w:val="00D0057A"/>
    <w:rsid w:val="00D01244"/>
    <w:rsid w:val="00D0155F"/>
    <w:rsid w:val="00D0183A"/>
    <w:rsid w:val="00D025A6"/>
    <w:rsid w:val="00D026AE"/>
    <w:rsid w:val="00D030F8"/>
    <w:rsid w:val="00D031C1"/>
    <w:rsid w:val="00D031DC"/>
    <w:rsid w:val="00D0364F"/>
    <w:rsid w:val="00D0371A"/>
    <w:rsid w:val="00D03977"/>
    <w:rsid w:val="00D0449B"/>
    <w:rsid w:val="00D048DA"/>
    <w:rsid w:val="00D05395"/>
    <w:rsid w:val="00D06834"/>
    <w:rsid w:val="00D06BAD"/>
    <w:rsid w:val="00D06E04"/>
    <w:rsid w:val="00D06F85"/>
    <w:rsid w:val="00D07084"/>
    <w:rsid w:val="00D077D7"/>
    <w:rsid w:val="00D07A27"/>
    <w:rsid w:val="00D07AE7"/>
    <w:rsid w:val="00D10C35"/>
    <w:rsid w:val="00D110F5"/>
    <w:rsid w:val="00D119E4"/>
    <w:rsid w:val="00D11A27"/>
    <w:rsid w:val="00D11CE1"/>
    <w:rsid w:val="00D11E45"/>
    <w:rsid w:val="00D12200"/>
    <w:rsid w:val="00D1281F"/>
    <w:rsid w:val="00D12A0C"/>
    <w:rsid w:val="00D12DBE"/>
    <w:rsid w:val="00D136A3"/>
    <w:rsid w:val="00D13E66"/>
    <w:rsid w:val="00D14518"/>
    <w:rsid w:val="00D14567"/>
    <w:rsid w:val="00D1459D"/>
    <w:rsid w:val="00D1499A"/>
    <w:rsid w:val="00D14B8D"/>
    <w:rsid w:val="00D154BB"/>
    <w:rsid w:val="00D15C97"/>
    <w:rsid w:val="00D1640E"/>
    <w:rsid w:val="00D1692F"/>
    <w:rsid w:val="00D16AA0"/>
    <w:rsid w:val="00D17177"/>
    <w:rsid w:val="00D17773"/>
    <w:rsid w:val="00D17D01"/>
    <w:rsid w:val="00D17D78"/>
    <w:rsid w:val="00D20037"/>
    <w:rsid w:val="00D200A6"/>
    <w:rsid w:val="00D20256"/>
    <w:rsid w:val="00D2054E"/>
    <w:rsid w:val="00D211E6"/>
    <w:rsid w:val="00D21FAE"/>
    <w:rsid w:val="00D229E0"/>
    <w:rsid w:val="00D22D32"/>
    <w:rsid w:val="00D23F16"/>
    <w:rsid w:val="00D23FAD"/>
    <w:rsid w:val="00D24CE8"/>
    <w:rsid w:val="00D24EDB"/>
    <w:rsid w:val="00D25CE9"/>
    <w:rsid w:val="00D26B64"/>
    <w:rsid w:val="00D26E99"/>
    <w:rsid w:val="00D27351"/>
    <w:rsid w:val="00D2775F"/>
    <w:rsid w:val="00D27761"/>
    <w:rsid w:val="00D278FF"/>
    <w:rsid w:val="00D305AB"/>
    <w:rsid w:val="00D308ED"/>
    <w:rsid w:val="00D309A3"/>
    <w:rsid w:val="00D313A1"/>
    <w:rsid w:val="00D319D6"/>
    <w:rsid w:val="00D325E6"/>
    <w:rsid w:val="00D332B3"/>
    <w:rsid w:val="00D334C0"/>
    <w:rsid w:val="00D3395B"/>
    <w:rsid w:val="00D33D0F"/>
    <w:rsid w:val="00D34AC1"/>
    <w:rsid w:val="00D34C60"/>
    <w:rsid w:val="00D350E5"/>
    <w:rsid w:val="00D35A65"/>
    <w:rsid w:val="00D35ED9"/>
    <w:rsid w:val="00D36D86"/>
    <w:rsid w:val="00D375B6"/>
    <w:rsid w:val="00D37A6D"/>
    <w:rsid w:val="00D412A8"/>
    <w:rsid w:val="00D4166F"/>
    <w:rsid w:val="00D428AA"/>
    <w:rsid w:val="00D429C5"/>
    <w:rsid w:val="00D429D2"/>
    <w:rsid w:val="00D42BB7"/>
    <w:rsid w:val="00D42D43"/>
    <w:rsid w:val="00D42D9F"/>
    <w:rsid w:val="00D436B8"/>
    <w:rsid w:val="00D43F43"/>
    <w:rsid w:val="00D4416D"/>
    <w:rsid w:val="00D44B9C"/>
    <w:rsid w:val="00D45315"/>
    <w:rsid w:val="00D4586F"/>
    <w:rsid w:val="00D46356"/>
    <w:rsid w:val="00D46ABD"/>
    <w:rsid w:val="00D5062F"/>
    <w:rsid w:val="00D50A34"/>
    <w:rsid w:val="00D50B97"/>
    <w:rsid w:val="00D50C8E"/>
    <w:rsid w:val="00D52124"/>
    <w:rsid w:val="00D52DCF"/>
    <w:rsid w:val="00D530A6"/>
    <w:rsid w:val="00D534D9"/>
    <w:rsid w:val="00D53688"/>
    <w:rsid w:val="00D536B5"/>
    <w:rsid w:val="00D539FE"/>
    <w:rsid w:val="00D53DBE"/>
    <w:rsid w:val="00D53EFA"/>
    <w:rsid w:val="00D5419E"/>
    <w:rsid w:val="00D55CAE"/>
    <w:rsid w:val="00D55FA3"/>
    <w:rsid w:val="00D5654C"/>
    <w:rsid w:val="00D5695A"/>
    <w:rsid w:val="00D56A59"/>
    <w:rsid w:val="00D570F7"/>
    <w:rsid w:val="00D57A7D"/>
    <w:rsid w:val="00D6020E"/>
    <w:rsid w:val="00D6029A"/>
    <w:rsid w:val="00D60F61"/>
    <w:rsid w:val="00D60F73"/>
    <w:rsid w:val="00D611C8"/>
    <w:rsid w:val="00D62CAA"/>
    <w:rsid w:val="00D62D4B"/>
    <w:rsid w:val="00D63393"/>
    <w:rsid w:val="00D63958"/>
    <w:rsid w:val="00D63A70"/>
    <w:rsid w:val="00D6430D"/>
    <w:rsid w:val="00D6525E"/>
    <w:rsid w:val="00D65BEF"/>
    <w:rsid w:val="00D65D4B"/>
    <w:rsid w:val="00D65F7C"/>
    <w:rsid w:val="00D65FD4"/>
    <w:rsid w:val="00D6618F"/>
    <w:rsid w:val="00D66A9A"/>
    <w:rsid w:val="00D66DF8"/>
    <w:rsid w:val="00D67C57"/>
    <w:rsid w:val="00D67E25"/>
    <w:rsid w:val="00D70F06"/>
    <w:rsid w:val="00D71244"/>
    <w:rsid w:val="00D71728"/>
    <w:rsid w:val="00D7181B"/>
    <w:rsid w:val="00D71BCB"/>
    <w:rsid w:val="00D72508"/>
    <w:rsid w:val="00D727BD"/>
    <w:rsid w:val="00D72851"/>
    <w:rsid w:val="00D73073"/>
    <w:rsid w:val="00D732DF"/>
    <w:rsid w:val="00D736E1"/>
    <w:rsid w:val="00D737F1"/>
    <w:rsid w:val="00D74F45"/>
    <w:rsid w:val="00D75476"/>
    <w:rsid w:val="00D75711"/>
    <w:rsid w:val="00D75AC6"/>
    <w:rsid w:val="00D75CD5"/>
    <w:rsid w:val="00D76170"/>
    <w:rsid w:val="00D7680A"/>
    <w:rsid w:val="00D76F4B"/>
    <w:rsid w:val="00D77243"/>
    <w:rsid w:val="00D77449"/>
    <w:rsid w:val="00D775A5"/>
    <w:rsid w:val="00D77BAD"/>
    <w:rsid w:val="00D80C0E"/>
    <w:rsid w:val="00D80E87"/>
    <w:rsid w:val="00D80F73"/>
    <w:rsid w:val="00D81221"/>
    <w:rsid w:val="00D817CC"/>
    <w:rsid w:val="00D81C47"/>
    <w:rsid w:val="00D81E32"/>
    <w:rsid w:val="00D82A2A"/>
    <w:rsid w:val="00D82DBF"/>
    <w:rsid w:val="00D8302F"/>
    <w:rsid w:val="00D83A75"/>
    <w:rsid w:val="00D83D33"/>
    <w:rsid w:val="00D847DB"/>
    <w:rsid w:val="00D85DB5"/>
    <w:rsid w:val="00D86F89"/>
    <w:rsid w:val="00D87CF9"/>
    <w:rsid w:val="00D87DE9"/>
    <w:rsid w:val="00D908EC"/>
    <w:rsid w:val="00D90ACF"/>
    <w:rsid w:val="00D915F1"/>
    <w:rsid w:val="00D91679"/>
    <w:rsid w:val="00D91E7D"/>
    <w:rsid w:val="00D91EB9"/>
    <w:rsid w:val="00D92071"/>
    <w:rsid w:val="00D92584"/>
    <w:rsid w:val="00D92A4C"/>
    <w:rsid w:val="00D93A67"/>
    <w:rsid w:val="00D93BB7"/>
    <w:rsid w:val="00D94A7C"/>
    <w:rsid w:val="00D94C0B"/>
    <w:rsid w:val="00D95566"/>
    <w:rsid w:val="00D95896"/>
    <w:rsid w:val="00D96C12"/>
    <w:rsid w:val="00D977E3"/>
    <w:rsid w:val="00D9790E"/>
    <w:rsid w:val="00D97C18"/>
    <w:rsid w:val="00D97EB4"/>
    <w:rsid w:val="00DA022A"/>
    <w:rsid w:val="00DA183C"/>
    <w:rsid w:val="00DA2080"/>
    <w:rsid w:val="00DA291B"/>
    <w:rsid w:val="00DA2A66"/>
    <w:rsid w:val="00DA395B"/>
    <w:rsid w:val="00DA3A3F"/>
    <w:rsid w:val="00DA3E17"/>
    <w:rsid w:val="00DA43D8"/>
    <w:rsid w:val="00DA47A7"/>
    <w:rsid w:val="00DA4A33"/>
    <w:rsid w:val="00DA4D1D"/>
    <w:rsid w:val="00DA4E93"/>
    <w:rsid w:val="00DA4ED1"/>
    <w:rsid w:val="00DA5440"/>
    <w:rsid w:val="00DA5CB2"/>
    <w:rsid w:val="00DA6A28"/>
    <w:rsid w:val="00DA6E58"/>
    <w:rsid w:val="00DA6F1C"/>
    <w:rsid w:val="00DB02F4"/>
    <w:rsid w:val="00DB05B8"/>
    <w:rsid w:val="00DB08CA"/>
    <w:rsid w:val="00DB0919"/>
    <w:rsid w:val="00DB0EB1"/>
    <w:rsid w:val="00DB0FEB"/>
    <w:rsid w:val="00DB1123"/>
    <w:rsid w:val="00DB1F68"/>
    <w:rsid w:val="00DB2443"/>
    <w:rsid w:val="00DB2551"/>
    <w:rsid w:val="00DB2983"/>
    <w:rsid w:val="00DB4BF5"/>
    <w:rsid w:val="00DB5849"/>
    <w:rsid w:val="00DB58F8"/>
    <w:rsid w:val="00DB6FC7"/>
    <w:rsid w:val="00DB73B4"/>
    <w:rsid w:val="00DB7583"/>
    <w:rsid w:val="00DB7DAF"/>
    <w:rsid w:val="00DC0546"/>
    <w:rsid w:val="00DC058E"/>
    <w:rsid w:val="00DC084D"/>
    <w:rsid w:val="00DC1257"/>
    <w:rsid w:val="00DC19FC"/>
    <w:rsid w:val="00DC1B08"/>
    <w:rsid w:val="00DC1BDA"/>
    <w:rsid w:val="00DC25DA"/>
    <w:rsid w:val="00DC32CD"/>
    <w:rsid w:val="00DC3341"/>
    <w:rsid w:val="00DC38BD"/>
    <w:rsid w:val="00DC3DC0"/>
    <w:rsid w:val="00DC4156"/>
    <w:rsid w:val="00DC4293"/>
    <w:rsid w:val="00DC46C9"/>
    <w:rsid w:val="00DC4C11"/>
    <w:rsid w:val="00DC4D62"/>
    <w:rsid w:val="00DC5745"/>
    <w:rsid w:val="00DC5A9C"/>
    <w:rsid w:val="00DC5B2B"/>
    <w:rsid w:val="00DC60B1"/>
    <w:rsid w:val="00DD05E3"/>
    <w:rsid w:val="00DD065C"/>
    <w:rsid w:val="00DD09C1"/>
    <w:rsid w:val="00DD0B42"/>
    <w:rsid w:val="00DD0D81"/>
    <w:rsid w:val="00DD0F09"/>
    <w:rsid w:val="00DD15E8"/>
    <w:rsid w:val="00DD18FE"/>
    <w:rsid w:val="00DD1E0D"/>
    <w:rsid w:val="00DD206B"/>
    <w:rsid w:val="00DD318D"/>
    <w:rsid w:val="00DD3295"/>
    <w:rsid w:val="00DD3966"/>
    <w:rsid w:val="00DD4A06"/>
    <w:rsid w:val="00DD4AA6"/>
    <w:rsid w:val="00DD4AD4"/>
    <w:rsid w:val="00DD5476"/>
    <w:rsid w:val="00DD7470"/>
    <w:rsid w:val="00DD7A2B"/>
    <w:rsid w:val="00DD7B2B"/>
    <w:rsid w:val="00DE03C2"/>
    <w:rsid w:val="00DE0468"/>
    <w:rsid w:val="00DE0DC6"/>
    <w:rsid w:val="00DE15F8"/>
    <w:rsid w:val="00DE2287"/>
    <w:rsid w:val="00DE22FF"/>
    <w:rsid w:val="00DE24B8"/>
    <w:rsid w:val="00DE2C87"/>
    <w:rsid w:val="00DE3DBD"/>
    <w:rsid w:val="00DE3E5B"/>
    <w:rsid w:val="00DE4D3C"/>
    <w:rsid w:val="00DE50CA"/>
    <w:rsid w:val="00DE585E"/>
    <w:rsid w:val="00DE5DFF"/>
    <w:rsid w:val="00DE6EC1"/>
    <w:rsid w:val="00DE734C"/>
    <w:rsid w:val="00DE7AED"/>
    <w:rsid w:val="00DE7BB7"/>
    <w:rsid w:val="00DF044F"/>
    <w:rsid w:val="00DF0EF7"/>
    <w:rsid w:val="00DF193F"/>
    <w:rsid w:val="00DF1E37"/>
    <w:rsid w:val="00DF21A0"/>
    <w:rsid w:val="00DF22B1"/>
    <w:rsid w:val="00DF22E6"/>
    <w:rsid w:val="00DF2B12"/>
    <w:rsid w:val="00DF2E12"/>
    <w:rsid w:val="00DF3CE7"/>
    <w:rsid w:val="00DF3FDF"/>
    <w:rsid w:val="00DF457D"/>
    <w:rsid w:val="00DF4745"/>
    <w:rsid w:val="00DF4EEF"/>
    <w:rsid w:val="00DF514A"/>
    <w:rsid w:val="00DF5A57"/>
    <w:rsid w:val="00DF5B2C"/>
    <w:rsid w:val="00DF5DE5"/>
    <w:rsid w:val="00DF5EE3"/>
    <w:rsid w:val="00DF6145"/>
    <w:rsid w:val="00DF6690"/>
    <w:rsid w:val="00DF6804"/>
    <w:rsid w:val="00DF7092"/>
    <w:rsid w:val="00E00B29"/>
    <w:rsid w:val="00E00B5A"/>
    <w:rsid w:val="00E00C02"/>
    <w:rsid w:val="00E01650"/>
    <w:rsid w:val="00E01C79"/>
    <w:rsid w:val="00E02178"/>
    <w:rsid w:val="00E021CC"/>
    <w:rsid w:val="00E02502"/>
    <w:rsid w:val="00E029E8"/>
    <w:rsid w:val="00E02B1E"/>
    <w:rsid w:val="00E02E40"/>
    <w:rsid w:val="00E02F61"/>
    <w:rsid w:val="00E032FA"/>
    <w:rsid w:val="00E0358D"/>
    <w:rsid w:val="00E0398E"/>
    <w:rsid w:val="00E03B5A"/>
    <w:rsid w:val="00E03DBF"/>
    <w:rsid w:val="00E03F3E"/>
    <w:rsid w:val="00E04323"/>
    <w:rsid w:val="00E04351"/>
    <w:rsid w:val="00E044BC"/>
    <w:rsid w:val="00E045D7"/>
    <w:rsid w:val="00E05287"/>
    <w:rsid w:val="00E0584C"/>
    <w:rsid w:val="00E05916"/>
    <w:rsid w:val="00E05CAB"/>
    <w:rsid w:val="00E05CF1"/>
    <w:rsid w:val="00E05D63"/>
    <w:rsid w:val="00E05F34"/>
    <w:rsid w:val="00E070A2"/>
    <w:rsid w:val="00E07731"/>
    <w:rsid w:val="00E0789B"/>
    <w:rsid w:val="00E10FA2"/>
    <w:rsid w:val="00E113C5"/>
    <w:rsid w:val="00E11501"/>
    <w:rsid w:val="00E11834"/>
    <w:rsid w:val="00E11F6C"/>
    <w:rsid w:val="00E120C0"/>
    <w:rsid w:val="00E12C0C"/>
    <w:rsid w:val="00E138F2"/>
    <w:rsid w:val="00E13B64"/>
    <w:rsid w:val="00E13CC4"/>
    <w:rsid w:val="00E14010"/>
    <w:rsid w:val="00E14092"/>
    <w:rsid w:val="00E14793"/>
    <w:rsid w:val="00E14C94"/>
    <w:rsid w:val="00E14D3F"/>
    <w:rsid w:val="00E14D9F"/>
    <w:rsid w:val="00E14F37"/>
    <w:rsid w:val="00E150C4"/>
    <w:rsid w:val="00E1633A"/>
    <w:rsid w:val="00E1650A"/>
    <w:rsid w:val="00E167A6"/>
    <w:rsid w:val="00E16B66"/>
    <w:rsid w:val="00E16D06"/>
    <w:rsid w:val="00E16E66"/>
    <w:rsid w:val="00E16FEC"/>
    <w:rsid w:val="00E210C9"/>
    <w:rsid w:val="00E211BF"/>
    <w:rsid w:val="00E21374"/>
    <w:rsid w:val="00E215EA"/>
    <w:rsid w:val="00E2270A"/>
    <w:rsid w:val="00E23838"/>
    <w:rsid w:val="00E23EDA"/>
    <w:rsid w:val="00E247C9"/>
    <w:rsid w:val="00E250A1"/>
    <w:rsid w:val="00E25554"/>
    <w:rsid w:val="00E26047"/>
    <w:rsid w:val="00E26229"/>
    <w:rsid w:val="00E2656A"/>
    <w:rsid w:val="00E27378"/>
    <w:rsid w:val="00E2764C"/>
    <w:rsid w:val="00E30312"/>
    <w:rsid w:val="00E31FD5"/>
    <w:rsid w:val="00E3261C"/>
    <w:rsid w:val="00E326E4"/>
    <w:rsid w:val="00E3388B"/>
    <w:rsid w:val="00E342E2"/>
    <w:rsid w:val="00E34A8E"/>
    <w:rsid w:val="00E36C85"/>
    <w:rsid w:val="00E370A2"/>
    <w:rsid w:val="00E37531"/>
    <w:rsid w:val="00E376AD"/>
    <w:rsid w:val="00E37999"/>
    <w:rsid w:val="00E37CC7"/>
    <w:rsid w:val="00E37EAB"/>
    <w:rsid w:val="00E409FB"/>
    <w:rsid w:val="00E40E8D"/>
    <w:rsid w:val="00E412D0"/>
    <w:rsid w:val="00E41A66"/>
    <w:rsid w:val="00E41CA8"/>
    <w:rsid w:val="00E4289C"/>
    <w:rsid w:val="00E42906"/>
    <w:rsid w:val="00E438FA"/>
    <w:rsid w:val="00E43B08"/>
    <w:rsid w:val="00E43DBB"/>
    <w:rsid w:val="00E442BA"/>
    <w:rsid w:val="00E443AD"/>
    <w:rsid w:val="00E443FC"/>
    <w:rsid w:val="00E44712"/>
    <w:rsid w:val="00E454A2"/>
    <w:rsid w:val="00E458FC"/>
    <w:rsid w:val="00E45BD4"/>
    <w:rsid w:val="00E45C47"/>
    <w:rsid w:val="00E46BF7"/>
    <w:rsid w:val="00E50062"/>
    <w:rsid w:val="00E50C11"/>
    <w:rsid w:val="00E51A57"/>
    <w:rsid w:val="00E53178"/>
    <w:rsid w:val="00E5347D"/>
    <w:rsid w:val="00E53EF4"/>
    <w:rsid w:val="00E5470D"/>
    <w:rsid w:val="00E55267"/>
    <w:rsid w:val="00E5627F"/>
    <w:rsid w:val="00E56322"/>
    <w:rsid w:val="00E5655D"/>
    <w:rsid w:val="00E5658A"/>
    <w:rsid w:val="00E56A87"/>
    <w:rsid w:val="00E57EA9"/>
    <w:rsid w:val="00E60982"/>
    <w:rsid w:val="00E60C23"/>
    <w:rsid w:val="00E6101A"/>
    <w:rsid w:val="00E61C30"/>
    <w:rsid w:val="00E61EBD"/>
    <w:rsid w:val="00E625D0"/>
    <w:rsid w:val="00E62713"/>
    <w:rsid w:val="00E62745"/>
    <w:rsid w:val="00E62C62"/>
    <w:rsid w:val="00E633C5"/>
    <w:rsid w:val="00E6349B"/>
    <w:rsid w:val="00E63598"/>
    <w:rsid w:val="00E63843"/>
    <w:rsid w:val="00E63A7D"/>
    <w:rsid w:val="00E641FC"/>
    <w:rsid w:val="00E643AE"/>
    <w:rsid w:val="00E64A14"/>
    <w:rsid w:val="00E65399"/>
    <w:rsid w:val="00E654C1"/>
    <w:rsid w:val="00E65A6C"/>
    <w:rsid w:val="00E65D97"/>
    <w:rsid w:val="00E66540"/>
    <w:rsid w:val="00E675C8"/>
    <w:rsid w:val="00E67906"/>
    <w:rsid w:val="00E67A12"/>
    <w:rsid w:val="00E67FBE"/>
    <w:rsid w:val="00E70073"/>
    <w:rsid w:val="00E705A2"/>
    <w:rsid w:val="00E72A5A"/>
    <w:rsid w:val="00E73015"/>
    <w:rsid w:val="00E730BF"/>
    <w:rsid w:val="00E73354"/>
    <w:rsid w:val="00E73420"/>
    <w:rsid w:val="00E736AC"/>
    <w:rsid w:val="00E74085"/>
    <w:rsid w:val="00E7431E"/>
    <w:rsid w:val="00E74D43"/>
    <w:rsid w:val="00E754A0"/>
    <w:rsid w:val="00E7594B"/>
    <w:rsid w:val="00E75CEE"/>
    <w:rsid w:val="00E75FB9"/>
    <w:rsid w:val="00E769E8"/>
    <w:rsid w:val="00E76DBB"/>
    <w:rsid w:val="00E7738D"/>
    <w:rsid w:val="00E775FD"/>
    <w:rsid w:val="00E77D70"/>
    <w:rsid w:val="00E80BD3"/>
    <w:rsid w:val="00E80FC0"/>
    <w:rsid w:val="00E810E6"/>
    <w:rsid w:val="00E81611"/>
    <w:rsid w:val="00E82401"/>
    <w:rsid w:val="00E83584"/>
    <w:rsid w:val="00E84536"/>
    <w:rsid w:val="00E857ED"/>
    <w:rsid w:val="00E8687D"/>
    <w:rsid w:val="00E87138"/>
    <w:rsid w:val="00E87446"/>
    <w:rsid w:val="00E874A1"/>
    <w:rsid w:val="00E906F4"/>
    <w:rsid w:val="00E90829"/>
    <w:rsid w:val="00E90BD0"/>
    <w:rsid w:val="00E91E3E"/>
    <w:rsid w:val="00E9242D"/>
    <w:rsid w:val="00E9278C"/>
    <w:rsid w:val="00E927BA"/>
    <w:rsid w:val="00E92EA4"/>
    <w:rsid w:val="00E93BD8"/>
    <w:rsid w:val="00E93DCC"/>
    <w:rsid w:val="00E94CDE"/>
    <w:rsid w:val="00E94CF9"/>
    <w:rsid w:val="00E9517A"/>
    <w:rsid w:val="00E96000"/>
    <w:rsid w:val="00E9639B"/>
    <w:rsid w:val="00E96694"/>
    <w:rsid w:val="00E96809"/>
    <w:rsid w:val="00E96AF9"/>
    <w:rsid w:val="00E9772A"/>
    <w:rsid w:val="00EA0804"/>
    <w:rsid w:val="00EA0D34"/>
    <w:rsid w:val="00EA0E63"/>
    <w:rsid w:val="00EA1BA3"/>
    <w:rsid w:val="00EA1F6A"/>
    <w:rsid w:val="00EA209E"/>
    <w:rsid w:val="00EA309A"/>
    <w:rsid w:val="00EA3D9C"/>
    <w:rsid w:val="00EA42D2"/>
    <w:rsid w:val="00EA5C83"/>
    <w:rsid w:val="00EA61FC"/>
    <w:rsid w:val="00EA70A8"/>
    <w:rsid w:val="00EA7A0D"/>
    <w:rsid w:val="00EA7AC0"/>
    <w:rsid w:val="00EB0558"/>
    <w:rsid w:val="00EB0CD5"/>
    <w:rsid w:val="00EB1372"/>
    <w:rsid w:val="00EB19B9"/>
    <w:rsid w:val="00EB1A13"/>
    <w:rsid w:val="00EB1A72"/>
    <w:rsid w:val="00EB1DC1"/>
    <w:rsid w:val="00EB1DFC"/>
    <w:rsid w:val="00EB2406"/>
    <w:rsid w:val="00EB2780"/>
    <w:rsid w:val="00EB3836"/>
    <w:rsid w:val="00EB42B7"/>
    <w:rsid w:val="00EB43C6"/>
    <w:rsid w:val="00EB459F"/>
    <w:rsid w:val="00EB4EC2"/>
    <w:rsid w:val="00EB5255"/>
    <w:rsid w:val="00EB5390"/>
    <w:rsid w:val="00EB557B"/>
    <w:rsid w:val="00EB5908"/>
    <w:rsid w:val="00EB5C47"/>
    <w:rsid w:val="00EB6479"/>
    <w:rsid w:val="00EB6E4A"/>
    <w:rsid w:val="00EB7FA6"/>
    <w:rsid w:val="00EC02A4"/>
    <w:rsid w:val="00EC1897"/>
    <w:rsid w:val="00EC19FA"/>
    <w:rsid w:val="00EC1C67"/>
    <w:rsid w:val="00EC2EAF"/>
    <w:rsid w:val="00EC5696"/>
    <w:rsid w:val="00EC5D25"/>
    <w:rsid w:val="00EC65B6"/>
    <w:rsid w:val="00EC708F"/>
    <w:rsid w:val="00EC7203"/>
    <w:rsid w:val="00EC7858"/>
    <w:rsid w:val="00EC7E02"/>
    <w:rsid w:val="00ED0639"/>
    <w:rsid w:val="00ED07B1"/>
    <w:rsid w:val="00ED08B1"/>
    <w:rsid w:val="00ED08C9"/>
    <w:rsid w:val="00ED0F52"/>
    <w:rsid w:val="00ED1C95"/>
    <w:rsid w:val="00ED1E7E"/>
    <w:rsid w:val="00ED274B"/>
    <w:rsid w:val="00ED2CC6"/>
    <w:rsid w:val="00ED38B1"/>
    <w:rsid w:val="00ED4080"/>
    <w:rsid w:val="00ED41A0"/>
    <w:rsid w:val="00ED44D7"/>
    <w:rsid w:val="00ED4F11"/>
    <w:rsid w:val="00ED549F"/>
    <w:rsid w:val="00ED54F7"/>
    <w:rsid w:val="00ED762A"/>
    <w:rsid w:val="00ED78ED"/>
    <w:rsid w:val="00ED7E86"/>
    <w:rsid w:val="00EE1B18"/>
    <w:rsid w:val="00EE1BC5"/>
    <w:rsid w:val="00EE2622"/>
    <w:rsid w:val="00EE2AC7"/>
    <w:rsid w:val="00EE2E56"/>
    <w:rsid w:val="00EE2F73"/>
    <w:rsid w:val="00EE3224"/>
    <w:rsid w:val="00EE5451"/>
    <w:rsid w:val="00EE572B"/>
    <w:rsid w:val="00EE5B94"/>
    <w:rsid w:val="00EE5F67"/>
    <w:rsid w:val="00EE6A84"/>
    <w:rsid w:val="00EE6BA9"/>
    <w:rsid w:val="00EE6ED0"/>
    <w:rsid w:val="00EE776E"/>
    <w:rsid w:val="00EF0740"/>
    <w:rsid w:val="00EF07BB"/>
    <w:rsid w:val="00EF09B7"/>
    <w:rsid w:val="00EF14D7"/>
    <w:rsid w:val="00EF2F15"/>
    <w:rsid w:val="00EF3067"/>
    <w:rsid w:val="00EF3F97"/>
    <w:rsid w:val="00EF4755"/>
    <w:rsid w:val="00EF4BF9"/>
    <w:rsid w:val="00EF6B0E"/>
    <w:rsid w:val="00EF7135"/>
    <w:rsid w:val="00EF7173"/>
    <w:rsid w:val="00EF7945"/>
    <w:rsid w:val="00F001E2"/>
    <w:rsid w:val="00F00F32"/>
    <w:rsid w:val="00F00FBC"/>
    <w:rsid w:val="00F011AD"/>
    <w:rsid w:val="00F01535"/>
    <w:rsid w:val="00F01F30"/>
    <w:rsid w:val="00F027DB"/>
    <w:rsid w:val="00F02DD9"/>
    <w:rsid w:val="00F02E87"/>
    <w:rsid w:val="00F03460"/>
    <w:rsid w:val="00F03D33"/>
    <w:rsid w:val="00F03E18"/>
    <w:rsid w:val="00F04647"/>
    <w:rsid w:val="00F05053"/>
    <w:rsid w:val="00F05154"/>
    <w:rsid w:val="00F05833"/>
    <w:rsid w:val="00F06221"/>
    <w:rsid w:val="00F06616"/>
    <w:rsid w:val="00F06B84"/>
    <w:rsid w:val="00F06C5A"/>
    <w:rsid w:val="00F06D26"/>
    <w:rsid w:val="00F0748D"/>
    <w:rsid w:val="00F074D5"/>
    <w:rsid w:val="00F07D3C"/>
    <w:rsid w:val="00F07EE7"/>
    <w:rsid w:val="00F101C0"/>
    <w:rsid w:val="00F105E4"/>
    <w:rsid w:val="00F10EBA"/>
    <w:rsid w:val="00F113F7"/>
    <w:rsid w:val="00F11C4E"/>
    <w:rsid w:val="00F12DD0"/>
    <w:rsid w:val="00F13135"/>
    <w:rsid w:val="00F138B2"/>
    <w:rsid w:val="00F13A5A"/>
    <w:rsid w:val="00F14A7A"/>
    <w:rsid w:val="00F14BC8"/>
    <w:rsid w:val="00F156F7"/>
    <w:rsid w:val="00F15C66"/>
    <w:rsid w:val="00F15EEE"/>
    <w:rsid w:val="00F1689C"/>
    <w:rsid w:val="00F16DA7"/>
    <w:rsid w:val="00F1724A"/>
    <w:rsid w:val="00F178C1"/>
    <w:rsid w:val="00F17D7D"/>
    <w:rsid w:val="00F17E8F"/>
    <w:rsid w:val="00F17FCE"/>
    <w:rsid w:val="00F20061"/>
    <w:rsid w:val="00F200F0"/>
    <w:rsid w:val="00F21C66"/>
    <w:rsid w:val="00F21CB9"/>
    <w:rsid w:val="00F21D99"/>
    <w:rsid w:val="00F21FAD"/>
    <w:rsid w:val="00F2276B"/>
    <w:rsid w:val="00F22985"/>
    <w:rsid w:val="00F22DC3"/>
    <w:rsid w:val="00F22DD1"/>
    <w:rsid w:val="00F23B49"/>
    <w:rsid w:val="00F2471C"/>
    <w:rsid w:val="00F25494"/>
    <w:rsid w:val="00F25CE6"/>
    <w:rsid w:val="00F26AF6"/>
    <w:rsid w:val="00F26FF9"/>
    <w:rsid w:val="00F306A9"/>
    <w:rsid w:val="00F30922"/>
    <w:rsid w:val="00F30A24"/>
    <w:rsid w:val="00F30AD9"/>
    <w:rsid w:val="00F30E2D"/>
    <w:rsid w:val="00F31224"/>
    <w:rsid w:val="00F31350"/>
    <w:rsid w:val="00F315AC"/>
    <w:rsid w:val="00F31B06"/>
    <w:rsid w:val="00F32593"/>
    <w:rsid w:val="00F33058"/>
    <w:rsid w:val="00F3383E"/>
    <w:rsid w:val="00F34084"/>
    <w:rsid w:val="00F342F4"/>
    <w:rsid w:val="00F34932"/>
    <w:rsid w:val="00F353A1"/>
    <w:rsid w:val="00F3582B"/>
    <w:rsid w:val="00F35A0D"/>
    <w:rsid w:val="00F3651C"/>
    <w:rsid w:val="00F36B3A"/>
    <w:rsid w:val="00F3762C"/>
    <w:rsid w:val="00F37A45"/>
    <w:rsid w:val="00F37B82"/>
    <w:rsid w:val="00F41C56"/>
    <w:rsid w:val="00F421B0"/>
    <w:rsid w:val="00F42444"/>
    <w:rsid w:val="00F43101"/>
    <w:rsid w:val="00F43488"/>
    <w:rsid w:val="00F43690"/>
    <w:rsid w:val="00F43842"/>
    <w:rsid w:val="00F4389B"/>
    <w:rsid w:val="00F4474F"/>
    <w:rsid w:val="00F44E61"/>
    <w:rsid w:val="00F44F0F"/>
    <w:rsid w:val="00F45620"/>
    <w:rsid w:val="00F465A7"/>
    <w:rsid w:val="00F46655"/>
    <w:rsid w:val="00F472CC"/>
    <w:rsid w:val="00F5077F"/>
    <w:rsid w:val="00F50B7C"/>
    <w:rsid w:val="00F50C66"/>
    <w:rsid w:val="00F50FCE"/>
    <w:rsid w:val="00F512B5"/>
    <w:rsid w:val="00F515CE"/>
    <w:rsid w:val="00F51626"/>
    <w:rsid w:val="00F51728"/>
    <w:rsid w:val="00F51981"/>
    <w:rsid w:val="00F5232B"/>
    <w:rsid w:val="00F52632"/>
    <w:rsid w:val="00F52C80"/>
    <w:rsid w:val="00F52F74"/>
    <w:rsid w:val="00F535F1"/>
    <w:rsid w:val="00F5396F"/>
    <w:rsid w:val="00F53E2E"/>
    <w:rsid w:val="00F53F5F"/>
    <w:rsid w:val="00F544AD"/>
    <w:rsid w:val="00F5492F"/>
    <w:rsid w:val="00F54C35"/>
    <w:rsid w:val="00F550E6"/>
    <w:rsid w:val="00F552E0"/>
    <w:rsid w:val="00F569BA"/>
    <w:rsid w:val="00F57153"/>
    <w:rsid w:val="00F57664"/>
    <w:rsid w:val="00F576DD"/>
    <w:rsid w:val="00F600BB"/>
    <w:rsid w:val="00F60333"/>
    <w:rsid w:val="00F603B6"/>
    <w:rsid w:val="00F60443"/>
    <w:rsid w:val="00F610D2"/>
    <w:rsid w:val="00F61242"/>
    <w:rsid w:val="00F613E4"/>
    <w:rsid w:val="00F61AB6"/>
    <w:rsid w:val="00F62308"/>
    <w:rsid w:val="00F65061"/>
    <w:rsid w:val="00F650FA"/>
    <w:rsid w:val="00F65941"/>
    <w:rsid w:val="00F660AF"/>
    <w:rsid w:val="00F7109F"/>
    <w:rsid w:val="00F72215"/>
    <w:rsid w:val="00F728A1"/>
    <w:rsid w:val="00F72FFE"/>
    <w:rsid w:val="00F731E8"/>
    <w:rsid w:val="00F735F0"/>
    <w:rsid w:val="00F73F2F"/>
    <w:rsid w:val="00F73FF2"/>
    <w:rsid w:val="00F74345"/>
    <w:rsid w:val="00F7503C"/>
    <w:rsid w:val="00F75E56"/>
    <w:rsid w:val="00F76945"/>
    <w:rsid w:val="00F77615"/>
    <w:rsid w:val="00F802F2"/>
    <w:rsid w:val="00F8097C"/>
    <w:rsid w:val="00F80A0A"/>
    <w:rsid w:val="00F80BD7"/>
    <w:rsid w:val="00F81365"/>
    <w:rsid w:val="00F8190E"/>
    <w:rsid w:val="00F82863"/>
    <w:rsid w:val="00F82B19"/>
    <w:rsid w:val="00F82E39"/>
    <w:rsid w:val="00F83132"/>
    <w:rsid w:val="00F8377E"/>
    <w:rsid w:val="00F83799"/>
    <w:rsid w:val="00F83B03"/>
    <w:rsid w:val="00F83BB9"/>
    <w:rsid w:val="00F83D01"/>
    <w:rsid w:val="00F83E25"/>
    <w:rsid w:val="00F8414C"/>
    <w:rsid w:val="00F843D1"/>
    <w:rsid w:val="00F8484B"/>
    <w:rsid w:val="00F84A11"/>
    <w:rsid w:val="00F852F9"/>
    <w:rsid w:val="00F85795"/>
    <w:rsid w:val="00F857C1"/>
    <w:rsid w:val="00F863BA"/>
    <w:rsid w:val="00F86771"/>
    <w:rsid w:val="00F86851"/>
    <w:rsid w:val="00F869DF"/>
    <w:rsid w:val="00F8767C"/>
    <w:rsid w:val="00F876F3"/>
    <w:rsid w:val="00F87DFA"/>
    <w:rsid w:val="00F91A0B"/>
    <w:rsid w:val="00F9212D"/>
    <w:rsid w:val="00F9220A"/>
    <w:rsid w:val="00F92A8E"/>
    <w:rsid w:val="00F92E31"/>
    <w:rsid w:val="00F95468"/>
    <w:rsid w:val="00F9564F"/>
    <w:rsid w:val="00F95D97"/>
    <w:rsid w:val="00F95FDB"/>
    <w:rsid w:val="00F960AD"/>
    <w:rsid w:val="00F965DA"/>
    <w:rsid w:val="00F96917"/>
    <w:rsid w:val="00FA0F39"/>
    <w:rsid w:val="00FA144B"/>
    <w:rsid w:val="00FA14E7"/>
    <w:rsid w:val="00FA1569"/>
    <w:rsid w:val="00FA1994"/>
    <w:rsid w:val="00FA1A73"/>
    <w:rsid w:val="00FA1DE5"/>
    <w:rsid w:val="00FA1E48"/>
    <w:rsid w:val="00FA2669"/>
    <w:rsid w:val="00FA2D29"/>
    <w:rsid w:val="00FA391E"/>
    <w:rsid w:val="00FA406A"/>
    <w:rsid w:val="00FA477B"/>
    <w:rsid w:val="00FA4998"/>
    <w:rsid w:val="00FA4A8C"/>
    <w:rsid w:val="00FA4C6C"/>
    <w:rsid w:val="00FA4C8A"/>
    <w:rsid w:val="00FA4E21"/>
    <w:rsid w:val="00FA5396"/>
    <w:rsid w:val="00FA55E1"/>
    <w:rsid w:val="00FA612C"/>
    <w:rsid w:val="00FA639C"/>
    <w:rsid w:val="00FA694F"/>
    <w:rsid w:val="00FA6A61"/>
    <w:rsid w:val="00FA6B5F"/>
    <w:rsid w:val="00FA730A"/>
    <w:rsid w:val="00FA79F1"/>
    <w:rsid w:val="00FB0133"/>
    <w:rsid w:val="00FB06FF"/>
    <w:rsid w:val="00FB0CA4"/>
    <w:rsid w:val="00FB1384"/>
    <w:rsid w:val="00FB1904"/>
    <w:rsid w:val="00FB1D46"/>
    <w:rsid w:val="00FB353D"/>
    <w:rsid w:val="00FB41C2"/>
    <w:rsid w:val="00FB44B9"/>
    <w:rsid w:val="00FB4DCC"/>
    <w:rsid w:val="00FB4F24"/>
    <w:rsid w:val="00FB503A"/>
    <w:rsid w:val="00FB516C"/>
    <w:rsid w:val="00FB5380"/>
    <w:rsid w:val="00FB59FD"/>
    <w:rsid w:val="00FB62C7"/>
    <w:rsid w:val="00FB6A3E"/>
    <w:rsid w:val="00FB7D96"/>
    <w:rsid w:val="00FB7DFD"/>
    <w:rsid w:val="00FC04FA"/>
    <w:rsid w:val="00FC0541"/>
    <w:rsid w:val="00FC0650"/>
    <w:rsid w:val="00FC1066"/>
    <w:rsid w:val="00FC1A0A"/>
    <w:rsid w:val="00FC1AD7"/>
    <w:rsid w:val="00FC1C5D"/>
    <w:rsid w:val="00FC282F"/>
    <w:rsid w:val="00FC2BA7"/>
    <w:rsid w:val="00FC3679"/>
    <w:rsid w:val="00FC39DF"/>
    <w:rsid w:val="00FC3D7E"/>
    <w:rsid w:val="00FC633B"/>
    <w:rsid w:val="00FC6A19"/>
    <w:rsid w:val="00FC6D07"/>
    <w:rsid w:val="00FC6D3A"/>
    <w:rsid w:val="00FC6FC0"/>
    <w:rsid w:val="00FC70FB"/>
    <w:rsid w:val="00FC71CD"/>
    <w:rsid w:val="00FC73D1"/>
    <w:rsid w:val="00FC77DC"/>
    <w:rsid w:val="00FC79D3"/>
    <w:rsid w:val="00FC7F07"/>
    <w:rsid w:val="00FD01CA"/>
    <w:rsid w:val="00FD0236"/>
    <w:rsid w:val="00FD0528"/>
    <w:rsid w:val="00FD0C28"/>
    <w:rsid w:val="00FD1360"/>
    <w:rsid w:val="00FD13D2"/>
    <w:rsid w:val="00FD13FD"/>
    <w:rsid w:val="00FD18F4"/>
    <w:rsid w:val="00FD1DEC"/>
    <w:rsid w:val="00FD20B9"/>
    <w:rsid w:val="00FD2476"/>
    <w:rsid w:val="00FD25F7"/>
    <w:rsid w:val="00FD2B9E"/>
    <w:rsid w:val="00FD2D1A"/>
    <w:rsid w:val="00FD2D4A"/>
    <w:rsid w:val="00FD46DD"/>
    <w:rsid w:val="00FD4B79"/>
    <w:rsid w:val="00FD5189"/>
    <w:rsid w:val="00FD53DC"/>
    <w:rsid w:val="00FD54DB"/>
    <w:rsid w:val="00FD5C5E"/>
    <w:rsid w:val="00FD619F"/>
    <w:rsid w:val="00FD6B99"/>
    <w:rsid w:val="00FD723F"/>
    <w:rsid w:val="00FD7471"/>
    <w:rsid w:val="00FD7911"/>
    <w:rsid w:val="00FD7D24"/>
    <w:rsid w:val="00FE0215"/>
    <w:rsid w:val="00FE027A"/>
    <w:rsid w:val="00FE08C8"/>
    <w:rsid w:val="00FE1385"/>
    <w:rsid w:val="00FE1592"/>
    <w:rsid w:val="00FE1923"/>
    <w:rsid w:val="00FE29D3"/>
    <w:rsid w:val="00FE2AAF"/>
    <w:rsid w:val="00FE2BB9"/>
    <w:rsid w:val="00FE41E5"/>
    <w:rsid w:val="00FE42B5"/>
    <w:rsid w:val="00FE433B"/>
    <w:rsid w:val="00FE4518"/>
    <w:rsid w:val="00FE4837"/>
    <w:rsid w:val="00FE51EC"/>
    <w:rsid w:val="00FE52C8"/>
    <w:rsid w:val="00FE59B2"/>
    <w:rsid w:val="00FE67B4"/>
    <w:rsid w:val="00FE72C7"/>
    <w:rsid w:val="00FE7A51"/>
    <w:rsid w:val="00FE7D55"/>
    <w:rsid w:val="00FF143E"/>
    <w:rsid w:val="00FF1CB8"/>
    <w:rsid w:val="00FF29A0"/>
    <w:rsid w:val="00FF2C7D"/>
    <w:rsid w:val="00FF30D1"/>
    <w:rsid w:val="00FF3438"/>
    <w:rsid w:val="00FF38B3"/>
    <w:rsid w:val="00FF395E"/>
    <w:rsid w:val="00FF3E8D"/>
    <w:rsid w:val="00FF435F"/>
    <w:rsid w:val="00FF4DFF"/>
    <w:rsid w:val="00FF50F5"/>
    <w:rsid w:val="00FF5168"/>
    <w:rsid w:val="00FF5454"/>
    <w:rsid w:val="00FF5CA7"/>
    <w:rsid w:val="00FF61E5"/>
    <w:rsid w:val="00FF6E4A"/>
    <w:rsid w:val="00FF7179"/>
    <w:rsid w:val="00FF7518"/>
    <w:rsid w:val="00FF7F06"/>
    <w:rsid w:val="01290F7E"/>
    <w:rsid w:val="013E3A1E"/>
    <w:rsid w:val="015677D8"/>
    <w:rsid w:val="015D1E09"/>
    <w:rsid w:val="0181356F"/>
    <w:rsid w:val="01865D84"/>
    <w:rsid w:val="01942D7D"/>
    <w:rsid w:val="01AD0D1D"/>
    <w:rsid w:val="01B64000"/>
    <w:rsid w:val="01CE74F0"/>
    <w:rsid w:val="01D81726"/>
    <w:rsid w:val="01F23CF7"/>
    <w:rsid w:val="01FA7EA5"/>
    <w:rsid w:val="021E4D22"/>
    <w:rsid w:val="02221E4A"/>
    <w:rsid w:val="0229119F"/>
    <w:rsid w:val="0237324E"/>
    <w:rsid w:val="024023DC"/>
    <w:rsid w:val="02603C90"/>
    <w:rsid w:val="02697903"/>
    <w:rsid w:val="026F4BEC"/>
    <w:rsid w:val="0275490E"/>
    <w:rsid w:val="027A16C5"/>
    <w:rsid w:val="02853699"/>
    <w:rsid w:val="02980247"/>
    <w:rsid w:val="02C05760"/>
    <w:rsid w:val="02D42105"/>
    <w:rsid w:val="02F96569"/>
    <w:rsid w:val="034A146A"/>
    <w:rsid w:val="036B68C5"/>
    <w:rsid w:val="036E59FF"/>
    <w:rsid w:val="039701A0"/>
    <w:rsid w:val="03BB09ED"/>
    <w:rsid w:val="03EA7B21"/>
    <w:rsid w:val="03F54071"/>
    <w:rsid w:val="03F62BDF"/>
    <w:rsid w:val="040453F8"/>
    <w:rsid w:val="04417116"/>
    <w:rsid w:val="04513005"/>
    <w:rsid w:val="04737E42"/>
    <w:rsid w:val="0485372E"/>
    <w:rsid w:val="048B2067"/>
    <w:rsid w:val="049314E0"/>
    <w:rsid w:val="04B26D29"/>
    <w:rsid w:val="04C24270"/>
    <w:rsid w:val="04CA3279"/>
    <w:rsid w:val="04E633D6"/>
    <w:rsid w:val="04EF76AB"/>
    <w:rsid w:val="05323076"/>
    <w:rsid w:val="05445BF5"/>
    <w:rsid w:val="05864ADB"/>
    <w:rsid w:val="05A95CDA"/>
    <w:rsid w:val="05D236F2"/>
    <w:rsid w:val="05EB1FE6"/>
    <w:rsid w:val="05EF3259"/>
    <w:rsid w:val="05F83EAE"/>
    <w:rsid w:val="06082FFF"/>
    <w:rsid w:val="060E72D1"/>
    <w:rsid w:val="061727C4"/>
    <w:rsid w:val="063E7D85"/>
    <w:rsid w:val="06490F9E"/>
    <w:rsid w:val="065615E2"/>
    <w:rsid w:val="06654F8E"/>
    <w:rsid w:val="06762F7B"/>
    <w:rsid w:val="06B55015"/>
    <w:rsid w:val="06C872D6"/>
    <w:rsid w:val="06E15A23"/>
    <w:rsid w:val="06E377C3"/>
    <w:rsid w:val="06FF4DFA"/>
    <w:rsid w:val="07293586"/>
    <w:rsid w:val="07295285"/>
    <w:rsid w:val="073A4471"/>
    <w:rsid w:val="0748585D"/>
    <w:rsid w:val="07636392"/>
    <w:rsid w:val="07770C56"/>
    <w:rsid w:val="078571EA"/>
    <w:rsid w:val="07A7304F"/>
    <w:rsid w:val="07EE2822"/>
    <w:rsid w:val="08514578"/>
    <w:rsid w:val="088E25BD"/>
    <w:rsid w:val="088E4A9E"/>
    <w:rsid w:val="08971011"/>
    <w:rsid w:val="08972FEF"/>
    <w:rsid w:val="08D37AE9"/>
    <w:rsid w:val="08E636A4"/>
    <w:rsid w:val="08FF4FAF"/>
    <w:rsid w:val="092217DD"/>
    <w:rsid w:val="093A00FC"/>
    <w:rsid w:val="093A7294"/>
    <w:rsid w:val="094C136E"/>
    <w:rsid w:val="094C55F6"/>
    <w:rsid w:val="09534710"/>
    <w:rsid w:val="09724D87"/>
    <w:rsid w:val="098C615A"/>
    <w:rsid w:val="09C471F5"/>
    <w:rsid w:val="0A1168F0"/>
    <w:rsid w:val="0A1A5B50"/>
    <w:rsid w:val="0A1E1978"/>
    <w:rsid w:val="0A263993"/>
    <w:rsid w:val="0A2D3AC2"/>
    <w:rsid w:val="0A442FDE"/>
    <w:rsid w:val="0A4D1AFC"/>
    <w:rsid w:val="0A604BC6"/>
    <w:rsid w:val="0A697F29"/>
    <w:rsid w:val="0A7A6A2F"/>
    <w:rsid w:val="0A96534A"/>
    <w:rsid w:val="0AA755DF"/>
    <w:rsid w:val="0AB74FBD"/>
    <w:rsid w:val="0AF653FF"/>
    <w:rsid w:val="0AFE6CD6"/>
    <w:rsid w:val="0B120D44"/>
    <w:rsid w:val="0B176D18"/>
    <w:rsid w:val="0B2614A5"/>
    <w:rsid w:val="0B314A5B"/>
    <w:rsid w:val="0B3411B5"/>
    <w:rsid w:val="0B7E77C1"/>
    <w:rsid w:val="0BCB6C3D"/>
    <w:rsid w:val="0BD27BF6"/>
    <w:rsid w:val="0BE30817"/>
    <w:rsid w:val="0BEC2E97"/>
    <w:rsid w:val="0BED638A"/>
    <w:rsid w:val="0C1257DB"/>
    <w:rsid w:val="0C217CC7"/>
    <w:rsid w:val="0C261C40"/>
    <w:rsid w:val="0C3B3C7D"/>
    <w:rsid w:val="0C5F515E"/>
    <w:rsid w:val="0C6B3DDF"/>
    <w:rsid w:val="0C717842"/>
    <w:rsid w:val="0C9B0FD1"/>
    <w:rsid w:val="0CA575D3"/>
    <w:rsid w:val="0CAB2EAE"/>
    <w:rsid w:val="0CAD7E0C"/>
    <w:rsid w:val="0CDD2B1D"/>
    <w:rsid w:val="0CEF0B2D"/>
    <w:rsid w:val="0CF73F7D"/>
    <w:rsid w:val="0D0A2D85"/>
    <w:rsid w:val="0D111EF3"/>
    <w:rsid w:val="0D221C59"/>
    <w:rsid w:val="0D58152F"/>
    <w:rsid w:val="0D621C7D"/>
    <w:rsid w:val="0D751048"/>
    <w:rsid w:val="0D7A5BB5"/>
    <w:rsid w:val="0D7B65AB"/>
    <w:rsid w:val="0D8F6EA7"/>
    <w:rsid w:val="0DA33DE5"/>
    <w:rsid w:val="0DAD662D"/>
    <w:rsid w:val="0DB37FE8"/>
    <w:rsid w:val="0DCA2501"/>
    <w:rsid w:val="0E3222E3"/>
    <w:rsid w:val="0E3C6953"/>
    <w:rsid w:val="0E4837E6"/>
    <w:rsid w:val="0E58126A"/>
    <w:rsid w:val="0E73034D"/>
    <w:rsid w:val="0E775A9A"/>
    <w:rsid w:val="0E7C7672"/>
    <w:rsid w:val="0EA4159D"/>
    <w:rsid w:val="0EAD1FCF"/>
    <w:rsid w:val="0ECC6C76"/>
    <w:rsid w:val="0F0B5123"/>
    <w:rsid w:val="0F12657F"/>
    <w:rsid w:val="0F13775A"/>
    <w:rsid w:val="0F5F45FE"/>
    <w:rsid w:val="0F9A112B"/>
    <w:rsid w:val="0FD35CF8"/>
    <w:rsid w:val="0FE47DDF"/>
    <w:rsid w:val="1052411F"/>
    <w:rsid w:val="106D2F64"/>
    <w:rsid w:val="10732465"/>
    <w:rsid w:val="10756C4C"/>
    <w:rsid w:val="10832258"/>
    <w:rsid w:val="10A53907"/>
    <w:rsid w:val="10A57A9A"/>
    <w:rsid w:val="10AF45F1"/>
    <w:rsid w:val="10B63710"/>
    <w:rsid w:val="10F10820"/>
    <w:rsid w:val="10F23CF0"/>
    <w:rsid w:val="11047437"/>
    <w:rsid w:val="11081F27"/>
    <w:rsid w:val="111C2F7A"/>
    <w:rsid w:val="11272A42"/>
    <w:rsid w:val="11624C7C"/>
    <w:rsid w:val="11665CA1"/>
    <w:rsid w:val="116A60CC"/>
    <w:rsid w:val="11757BAF"/>
    <w:rsid w:val="11D56F4E"/>
    <w:rsid w:val="11D7141E"/>
    <w:rsid w:val="11D8484F"/>
    <w:rsid w:val="11E66350"/>
    <w:rsid w:val="120C3952"/>
    <w:rsid w:val="12513099"/>
    <w:rsid w:val="12513E2B"/>
    <w:rsid w:val="126C7025"/>
    <w:rsid w:val="12725C4E"/>
    <w:rsid w:val="12884A92"/>
    <w:rsid w:val="128F7362"/>
    <w:rsid w:val="12F02881"/>
    <w:rsid w:val="12F65389"/>
    <w:rsid w:val="130C7386"/>
    <w:rsid w:val="134A631D"/>
    <w:rsid w:val="136216FD"/>
    <w:rsid w:val="138C1FC7"/>
    <w:rsid w:val="13951726"/>
    <w:rsid w:val="14107304"/>
    <w:rsid w:val="142F5440"/>
    <w:rsid w:val="14396509"/>
    <w:rsid w:val="1449516D"/>
    <w:rsid w:val="14547385"/>
    <w:rsid w:val="1466719A"/>
    <w:rsid w:val="14941622"/>
    <w:rsid w:val="14AE306F"/>
    <w:rsid w:val="14CE4F8F"/>
    <w:rsid w:val="14DD2C3C"/>
    <w:rsid w:val="14E40CEF"/>
    <w:rsid w:val="14EF577B"/>
    <w:rsid w:val="14FA12DD"/>
    <w:rsid w:val="14FA4A37"/>
    <w:rsid w:val="15042610"/>
    <w:rsid w:val="150E50B6"/>
    <w:rsid w:val="15245506"/>
    <w:rsid w:val="15595042"/>
    <w:rsid w:val="155F3453"/>
    <w:rsid w:val="156E32FE"/>
    <w:rsid w:val="157151A1"/>
    <w:rsid w:val="15BB2C55"/>
    <w:rsid w:val="15BE313C"/>
    <w:rsid w:val="15C61791"/>
    <w:rsid w:val="15EE5F4B"/>
    <w:rsid w:val="15F457A3"/>
    <w:rsid w:val="16087E1D"/>
    <w:rsid w:val="161272FD"/>
    <w:rsid w:val="1625328D"/>
    <w:rsid w:val="16255EDA"/>
    <w:rsid w:val="168F493F"/>
    <w:rsid w:val="169755B5"/>
    <w:rsid w:val="16BB2036"/>
    <w:rsid w:val="16CA4805"/>
    <w:rsid w:val="16E84198"/>
    <w:rsid w:val="17701D14"/>
    <w:rsid w:val="17735226"/>
    <w:rsid w:val="17781384"/>
    <w:rsid w:val="179E42B1"/>
    <w:rsid w:val="17C5751C"/>
    <w:rsid w:val="17CA6727"/>
    <w:rsid w:val="17D441B2"/>
    <w:rsid w:val="17DD5580"/>
    <w:rsid w:val="1806083E"/>
    <w:rsid w:val="1870518B"/>
    <w:rsid w:val="189F2C03"/>
    <w:rsid w:val="189F624C"/>
    <w:rsid w:val="18A1255A"/>
    <w:rsid w:val="18B83618"/>
    <w:rsid w:val="193B4BD4"/>
    <w:rsid w:val="19480AD8"/>
    <w:rsid w:val="19581886"/>
    <w:rsid w:val="197F5E25"/>
    <w:rsid w:val="19AA5D11"/>
    <w:rsid w:val="19B22C0A"/>
    <w:rsid w:val="19C55AB7"/>
    <w:rsid w:val="19D468B5"/>
    <w:rsid w:val="19D973BC"/>
    <w:rsid w:val="19FC7434"/>
    <w:rsid w:val="1A1C66C0"/>
    <w:rsid w:val="1A2E1788"/>
    <w:rsid w:val="1A42393B"/>
    <w:rsid w:val="1A4755B1"/>
    <w:rsid w:val="1A634F93"/>
    <w:rsid w:val="1A87465C"/>
    <w:rsid w:val="1A8C4836"/>
    <w:rsid w:val="1AAD45DE"/>
    <w:rsid w:val="1AB53BAA"/>
    <w:rsid w:val="1ABC0BBA"/>
    <w:rsid w:val="1ADE21A3"/>
    <w:rsid w:val="1AFB12BD"/>
    <w:rsid w:val="1B046F80"/>
    <w:rsid w:val="1B153AD2"/>
    <w:rsid w:val="1B1D791D"/>
    <w:rsid w:val="1B3267B5"/>
    <w:rsid w:val="1B40161D"/>
    <w:rsid w:val="1B441859"/>
    <w:rsid w:val="1B6606B1"/>
    <w:rsid w:val="1B710524"/>
    <w:rsid w:val="1B7F6A27"/>
    <w:rsid w:val="1B841E4A"/>
    <w:rsid w:val="1B9A6F05"/>
    <w:rsid w:val="1BA7068D"/>
    <w:rsid w:val="1BB74D06"/>
    <w:rsid w:val="1BD16E16"/>
    <w:rsid w:val="1BE35405"/>
    <w:rsid w:val="1BEB47D4"/>
    <w:rsid w:val="1BF50400"/>
    <w:rsid w:val="1C0D08A0"/>
    <w:rsid w:val="1C34509A"/>
    <w:rsid w:val="1C5318C4"/>
    <w:rsid w:val="1C5E7925"/>
    <w:rsid w:val="1C6F5A61"/>
    <w:rsid w:val="1C6F6E56"/>
    <w:rsid w:val="1C846067"/>
    <w:rsid w:val="1C9B4DAE"/>
    <w:rsid w:val="1C9D4445"/>
    <w:rsid w:val="1CB55985"/>
    <w:rsid w:val="1CF116D6"/>
    <w:rsid w:val="1CFD070F"/>
    <w:rsid w:val="1D06030C"/>
    <w:rsid w:val="1D165EE6"/>
    <w:rsid w:val="1D1D711F"/>
    <w:rsid w:val="1D226654"/>
    <w:rsid w:val="1D236331"/>
    <w:rsid w:val="1D3D3F3F"/>
    <w:rsid w:val="1D4020E6"/>
    <w:rsid w:val="1D4C0696"/>
    <w:rsid w:val="1D5F6196"/>
    <w:rsid w:val="1D6132A5"/>
    <w:rsid w:val="1D723FC0"/>
    <w:rsid w:val="1D7523EB"/>
    <w:rsid w:val="1D7F6A47"/>
    <w:rsid w:val="1D8E56D5"/>
    <w:rsid w:val="1DB00DD7"/>
    <w:rsid w:val="1DBD1FC4"/>
    <w:rsid w:val="1DCE4EA8"/>
    <w:rsid w:val="1DD944ED"/>
    <w:rsid w:val="1E650A88"/>
    <w:rsid w:val="1E7A43DA"/>
    <w:rsid w:val="1E8C1456"/>
    <w:rsid w:val="1E970F78"/>
    <w:rsid w:val="1E9D3B06"/>
    <w:rsid w:val="1ECD42C4"/>
    <w:rsid w:val="1F0A79EB"/>
    <w:rsid w:val="1F102F71"/>
    <w:rsid w:val="1F400F1C"/>
    <w:rsid w:val="1F531759"/>
    <w:rsid w:val="1F7051FE"/>
    <w:rsid w:val="1F895EF1"/>
    <w:rsid w:val="1FE7539E"/>
    <w:rsid w:val="203B23F7"/>
    <w:rsid w:val="203E4374"/>
    <w:rsid w:val="20576699"/>
    <w:rsid w:val="20652BA1"/>
    <w:rsid w:val="20671BE0"/>
    <w:rsid w:val="20726BC4"/>
    <w:rsid w:val="20963CB8"/>
    <w:rsid w:val="20A81A1B"/>
    <w:rsid w:val="20A83FE1"/>
    <w:rsid w:val="20B07FB6"/>
    <w:rsid w:val="20B646FB"/>
    <w:rsid w:val="20C372EB"/>
    <w:rsid w:val="212E661D"/>
    <w:rsid w:val="213B74B1"/>
    <w:rsid w:val="2152684C"/>
    <w:rsid w:val="21560405"/>
    <w:rsid w:val="215A2310"/>
    <w:rsid w:val="216547EA"/>
    <w:rsid w:val="21990573"/>
    <w:rsid w:val="2199436B"/>
    <w:rsid w:val="21BB2264"/>
    <w:rsid w:val="21DE318A"/>
    <w:rsid w:val="21E769CC"/>
    <w:rsid w:val="21EF5B80"/>
    <w:rsid w:val="21F01F65"/>
    <w:rsid w:val="22027A74"/>
    <w:rsid w:val="22576990"/>
    <w:rsid w:val="226C4817"/>
    <w:rsid w:val="227049DE"/>
    <w:rsid w:val="22B85A10"/>
    <w:rsid w:val="22F47480"/>
    <w:rsid w:val="230E0AED"/>
    <w:rsid w:val="23164291"/>
    <w:rsid w:val="231C3D7F"/>
    <w:rsid w:val="23260ED0"/>
    <w:rsid w:val="232659BD"/>
    <w:rsid w:val="233040C3"/>
    <w:rsid w:val="235E1A51"/>
    <w:rsid w:val="237812E4"/>
    <w:rsid w:val="237819F0"/>
    <w:rsid w:val="23D063AB"/>
    <w:rsid w:val="23DE1C48"/>
    <w:rsid w:val="23F955BF"/>
    <w:rsid w:val="240210CD"/>
    <w:rsid w:val="242C1B59"/>
    <w:rsid w:val="24364727"/>
    <w:rsid w:val="24592861"/>
    <w:rsid w:val="24654865"/>
    <w:rsid w:val="24AD3CAA"/>
    <w:rsid w:val="24BF09F7"/>
    <w:rsid w:val="24D660AF"/>
    <w:rsid w:val="24F263EE"/>
    <w:rsid w:val="250718B4"/>
    <w:rsid w:val="252D53FE"/>
    <w:rsid w:val="253A15B0"/>
    <w:rsid w:val="253F0FC6"/>
    <w:rsid w:val="259326AB"/>
    <w:rsid w:val="25B81265"/>
    <w:rsid w:val="25BE3DDC"/>
    <w:rsid w:val="25CC133C"/>
    <w:rsid w:val="25EC2D81"/>
    <w:rsid w:val="26055A84"/>
    <w:rsid w:val="260838CD"/>
    <w:rsid w:val="261C33F3"/>
    <w:rsid w:val="262E5C10"/>
    <w:rsid w:val="266E74BD"/>
    <w:rsid w:val="269E66A9"/>
    <w:rsid w:val="26A33D1F"/>
    <w:rsid w:val="26E7355B"/>
    <w:rsid w:val="27000BFE"/>
    <w:rsid w:val="27120FA2"/>
    <w:rsid w:val="27125FB0"/>
    <w:rsid w:val="27135858"/>
    <w:rsid w:val="271B4665"/>
    <w:rsid w:val="273A57F6"/>
    <w:rsid w:val="27590D40"/>
    <w:rsid w:val="27641974"/>
    <w:rsid w:val="277057A2"/>
    <w:rsid w:val="27812A94"/>
    <w:rsid w:val="278B7CB8"/>
    <w:rsid w:val="27AA6801"/>
    <w:rsid w:val="27BC0D70"/>
    <w:rsid w:val="28230060"/>
    <w:rsid w:val="28342DEC"/>
    <w:rsid w:val="28491746"/>
    <w:rsid w:val="2858073D"/>
    <w:rsid w:val="286170AE"/>
    <w:rsid w:val="28CE1D82"/>
    <w:rsid w:val="290921D7"/>
    <w:rsid w:val="29206EB8"/>
    <w:rsid w:val="29595666"/>
    <w:rsid w:val="29874881"/>
    <w:rsid w:val="29B13749"/>
    <w:rsid w:val="29BB4832"/>
    <w:rsid w:val="29C4385D"/>
    <w:rsid w:val="29CD31DC"/>
    <w:rsid w:val="29E325E0"/>
    <w:rsid w:val="29E33344"/>
    <w:rsid w:val="2A05173E"/>
    <w:rsid w:val="2A452503"/>
    <w:rsid w:val="2A5319F7"/>
    <w:rsid w:val="2A583BDB"/>
    <w:rsid w:val="2A5C62B2"/>
    <w:rsid w:val="2A890A60"/>
    <w:rsid w:val="2ABB453B"/>
    <w:rsid w:val="2AC2360B"/>
    <w:rsid w:val="2AD25547"/>
    <w:rsid w:val="2AD71EB8"/>
    <w:rsid w:val="2AFC12FC"/>
    <w:rsid w:val="2B94360B"/>
    <w:rsid w:val="2B952180"/>
    <w:rsid w:val="2BA16335"/>
    <w:rsid w:val="2BA936A8"/>
    <w:rsid w:val="2BBC5DDE"/>
    <w:rsid w:val="2BDD517E"/>
    <w:rsid w:val="2BDE562F"/>
    <w:rsid w:val="2BF54AAD"/>
    <w:rsid w:val="2C1A28A6"/>
    <w:rsid w:val="2C272DAC"/>
    <w:rsid w:val="2C315A5A"/>
    <w:rsid w:val="2C4B1C25"/>
    <w:rsid w:val="2C593BC0"/>
    <w:rsid w:val="2C8B16A9"/>
    <w:rsid w:val="2CA26708"/>
    <w:rsid w:val="2CA7139C"/>
    <w:rsid w:val="2CA95D51"/>
    <w:rsid w:val="2CC44CA1"/>
    <w:rsid w:val="2D101B26"/>
    <w:rsid w:val="2D2A6C4F"/>
    <w:rsid w:val="2D4A1BCA"/>
    <w:rsid w:val="2D5B1075"/>
    <w:rsid w:val="2D9E56F5"/>
    <w:rsid w:val="2DAF033B"/>
    <w:rsid w:val="2DF730BC"/>
    <w:rsid w:val="2E1D5D21"/>
    <w:rsid w:val="2E2C42C3"/>
    <w:rsid w:val="2E445F64"/>
    <w:rsid w:val="2E516908"/>
    <w:rsid w:val="2E577847"/>
    <w:rsid w:val="2E6121B8"/>
    <w:rsid w:val="2E6568A5"/>
    <w:rsid w:val="2E667F96"/>
    <w:rsid w:val="2E8226AB"/>
    <w:rsid w:val="2E8B2F1D"/>
    <w:rsid w:val="2E90736C"/>
    <w:rsid w:val="2E9E39F5"/>
    <w:rsid w:val="2EB429DD"/>
    <w:rsid w:val="2EFB32C4"/>
    <w:rsid w:val="2F323EEC"/>
    <w:rsid w:val="2F45150A"/>
    <w:rsid w:val="2F6A7D7D"/>
    <w:rsid w:val="2F6E1730"/>
    <w:rsid w:val="2FC7044F"/>
    <w:rsid w:val="2FD065E6"/>
    <w:rsid w:val="2FD96870"/>
    <w:rsid w:val="2FF85B62"/>
    <w:rsid w:val="30580BC9"/>
    <w:rsid w:val="306D34F0"/>
    <w:rsid w:val="308E6605"/>
    <w:rsid w:val="30A1071B"/>
    <w:rsid w:val="30B72FF8"/>
    <w:rsid w:val="30B977BA"/>
    <w:rsid w:val="30BE3D47"/>
    <w:rsid w:val="30D068C1"/>
    <w:rsid w:val="30F418E3"/>
    <w:rsid w:val="30FE685F"/>
    <w:rsid w:val="311E2ED7"/>
    <w:rsid w:val="313C4F6E"/>
    <w:rsid w:val="31412323"/>
    <w:rsid w:val="31417458"/>
    <w:rsid w:val="315619EE"/>
    <w:rsid w:val="315C449C"/>
    <w:rsid w:val="316C7D61"/>
    <w:rsid w:val="317D12A0"/>
    <w:rsid w:val="317D7303"/>
    <w:rsid w:val="317F7AED"/>
    <w:rsid w:val="31A37753"/>
    <w:rsid w:val="31B82709"/>
    <w:rsid w:val="31BF753B"/>
    <w:rsid w:val="31D05482"/>
    <w:rsid w:val="31E04AE1"/>
    <w:rsid w:val="31ED294B"/>
    <w:rsid w:val="31F038AF"/>
    <w:rsid w:val="31FD1126"/>
    <w:rsid w:val="322F00E5"/>
    <w:rsid w:val="32400B34"/>
    <w:rsid w:val="326A49A5"/>
    <w:rsid w:val="326A4C8C"/>
    <w:rsid w:val="32830001"/>
    <w:rsid w:val="329E6876"/>
    <w:rsid w:val="32C50376"/>
    <w:rsid w:val="32CF072C"/>
    <w:rsid w:val="32CF2ABA"/>
    <w:rsid w:val="32DC7C8E"/>
    <w:rsid w:val="32E703AC"/>
    <w:rsid w:val="33103CA3"/>
    <w:rsid w:val="333015F2"/>
    <w:rsid w:val="333876FA"/>
    <w:rsid w:val="333F1C84"/>
    <w:rsid w:val="334849E8"/>
    <w:rsid w:val="334B6320"/>
    <w:rsid w:val="338A0AFA"/>
    <w:rsid w:val="33965FD2"/>
    <w:rsid w:val="33A1547E"/>
    <w:rsid w:val="33D934D4"/>
    <w:rsid w:val="33EA378D"/>
    <w:rsid w:val="33EE0AF0"/>
    <w:rsid w:val="33EF7163"/>
    <w:rsid w:val="33FB1FA9"/>
    <w:rsid w:val="33FE2F6A"/>
    <w:rsid w:val="340E07E5"/>
    <w:rsid w:val="342312F5"/>
    <w:rsid w:val="34235BF7"/>
    <w:rsid w:val="343D617D"/>
    <w:rsid w:val="344469F7"/>
    <w:rsid w:val="3452464A"/>
    <w:rsid w:val="345548E3"/>
    <w:rsid w:val="34740BCF"/>
    <w:rsid w:val="347E2F1E"/>
    <w:rsid w:val="34821ADD"/>
    <w:rsid w:val="34C31034"/>
    <w:rsid w:val="34C80934"/>
    <w:rsid w:val="34CD28C3"/>
    <w:rsid w:val="34E94918"/>
    <w:rsid w:val="34EC308D"/>
    <w:rsid w:val="35337920"/>
    <w:rsid w:val="353D67EF"/>
    <w:rsid w:val="354B249F"/>
    <w:rsid w:val="35637AAF"/>
    <w:rsid w:val="35641314"/>
    <w:rsid w:val="35697648"/>
    <w:rsid w:val="358C5FA8"/>
    <w:rsid w:val="35940885"/>
    <w:rsid w:val="35C15DF1"/>
    <w:rsid w:val="35D6120B"/>
    <w:rsid w:val="36074A7F"/>
    <w:rsid w:val="36923549"/>
    <w:rsid w:val="36B24C22"/>
    <w:rsid w:val="36B75FBF"/>
    <w:rsid w:val="36BD0C45"/>
    <w:rsid w:val="36D41893"/>
    <w:rsid w:val="37575CC1"/>
    <w:rsid w:val="37866731"/>
    <w:rsid w:val="378951BE"/>
    <w:rsid w:val="37A469D1"/>
    <w:rsid w:val="37E00298"/>
    <w:rsid w:val="37E1579D"/>
    <w:rsid w:val="380C03A1"/>
    <w:rsid w:val="381001A6"/>
    <w:rsid w:val="383D43D5"/>
    <w:rsid w:val="38B302F9"/>
    <w:rsid w:val="38CA07F4"/>
    <w:rsid w:val="38EB2ECF"/>
    <w:rsid w:val="38EE4D24"/>
    <w:rsid w:val="38F12CD3"/>
    <w:rsid w:val="38F94775"/>
    <w:rsid w:val="392971ED"/>
    <w:rsid w:val="39325651"/>
    <w:rsid w:val="39326F71"/>
    <w:rsid w:val="394659F3"/>
    <w:rsid w:val="395700D6"/>
    <w:rsid w:val="39727200"/>
    <w:rsid w:val="39AA6574"/>
    <w:rsid w:val="39AC08F4"/>
    <w:rsid w:val="39AF6311"/>
    <w:rsid w:val="39F442C6"/>
    <w:rsid w:val="3A2F728C"/>
    <w:rsid w:val="3A363243"/>
    <w:rsid w:val="3A712EBB"/>
    <w:rsid w:val="3A872856"/>
    <w:rsid w:val="3ABE5E7D"/>
    <w:rsid w:val="3AC25E3B"/>
    <w:rsid w:val="3AC826A7"/>
    <w:rsid w:val="3AE72BEA"/>
    <w:rsid w:val="3AEB47F8"/>
    <w:rsid w:val="3AF84F00"/>
    <w:rsid w:val="3B3763D1"/>
    <w:rsid w:val="3B4114D3"/>
    <w:rsid w:val="3B5529F5"/>
    <w:rsid w:val="3B5A5518"/>
    <w:rsid w:val="3B720DD8"/>
    <w:rsid w:val="3B764A40"/>
    <w:rsid w:val="3B8A2850"/>
    <w:rsid w:val="3BAC18F6"/>
    <w:rsid w:val="3BB3476F"/>
    <w:rsid w:val="3BB40B78"/>
    <w:rsid w:val="3BC82EEA"/>
    <w:rsid w:val="3C082743"/>
    <w:rsid w:val="3C2F6E1E"/>
    <w:rsid w:val="3C381988"/>
    <w:rsid w:val="3C385337"/>
    <w:rsid w:val="3C4F64BA"/>
    <w:rsid w:val="3C5E04A5"/>
    <w:rsid w:val="3C721039"/>
    <w:rsid w:val="3CA55588"/>
    <w:rsid w:val="3CA95ABC"/>
    <w:rsid w:val="3CBC3261"/>
    <w:rsid w:val="3CC82916"/>
    <w:rsid w:val="3CDA245A"/>
    <w:rsid w:val="3CDE2B48"/>
    <w:rsid w:val="3D0A7E72"/>
    <w:rsid w:val="3D101758"/>
    <w:rsid w:val="3D166B64"/>
    <w:rsid w:val="3D1E06B7"/>
    <w:rsid w:val="3D2C5364"/>
    <w:rsid w:val="3D5F4669"/>
    <w:rsid w:val="3D6562BD"/>
    <w:rsid w:val="3D801A16"/>
    <w:rsid w:val="3D9113EA"/>
    <w:rsid w:val="3D9234B7"/>
    <w:rsid w:val="3D9C0B73"/>
    <w:rsid w:val="3DA91016"/>
    <w:rsid w:val="3DC874C5"/>
    <w:rsid w:val="3DF45CB6"/>
    <w:rsid w:val="3E280FD6"/>
    <w:rsid w:val="3E5850E5"/>
    <w:rsid w:val="3E7A269A"/>
    <w:rsid w:val="3E8D73D9"/>
    <w:rsid w:val="3EDA0523"/>
    <w:rsid w:val="3F0C6594"/>
    <w:rsid w:val="3F6079D3"/>
    <w:rsid w:val="3FA918A3"/>
    <w:rsid w:val="3FAB6A74"/>
    <w:rsid w:val="3FAD3F0E"/>
    <w:rsid w:val="3FC02E54"/>
    <w:rsid w:val="3FE426CC"/>
    <w:rsid w:val="40022318"/>
    <w:rsid w:val="40384162"/>
    <w:rsid w:val="40412403"/>
    <w:rsid w:val="40662652"/>
    <w:rsid w:val="406C456F"/>
    <w:rsid w:val="407A6407"/>
    <w:rsid w:val="407D2440"/>
    <w:rsid w:val="408A35C1"/>
    <w:rsid w:val="408F4A3A"/>
    <w:rsid w:val="409E206C"/>
    <w:rsid w:val="40CB2F18"/>
    <w:rsid w:val="410B465E"/>
    <w:rsid w:val="41314C35"/>
    <w:rsid w:val="413C032E"/>
    <w:rsid w:val="416710A4"/>
    <w:rsid w:val="41766936"/>
    <w:rsid w:val="41BA22A4"/>
    <w:rsid w:val="41DC776B"/>
    <w:rsid w:val="41ED5EDF"/>
    <w:rsid w:val="4200449D"/>
    <w:rsid w:val="42017430"/>
    <w:rsid w:val="42084FBF"/>
    <w:rsid w:val="423077FD"/>
    <w:rsid w:val="423A3BCC"/>
    <w:rsid w:val="424E57D2"/>
    <w:rsid w:val="42567623"/>
    <w:rsid w:val="426933BB"/>
    <w:rsid w:val="427E5C29"/>
    <w:rsid w:val="428508AF"/>
    <w:rsid w:val="42937C5A"/>
    <w:rsid w:val="42B26C49"/>
    <w:rsid w:val="42BF5E98"/>
    <w:rsid w:val="432A52D0"/>
    <w:rsid w:val="433A6FE6"/>
    <w:rsid w:val="43480868"/>
    <w:rsid w:val="4350713C"/>
    <w:rsid w:val="436653E0"/>
    <w:rsid w:val="436E1EED"/>
    <w:rsid w:val="437A4D83"/>
    <w:rsid w:val="43B4312B"/>
    <w:rsid w:val="43BB076C"/>
    <w:rsid w:val="43C4431A"/>
    <w:rsid w:val="43DE1CC1"/>
    <w:rsid w:val="44204B07"/>
    <w:rsid w:val="444D5432"/>
    <w:rsid w:val="4451329E"/>
    <w:rsid w:val="44562A64"/>
    <w:rsid w:val="44785146"/>
    <w:rsid w:val="447A0A95"/>
    <w:rsid w:val="44B951CC"/>
    <w:rsid w:val="44BD43BF"/>
    <w:rsid w:val="44CD14E0"/>
    <w:rsid w:val="44F20B0B"/>
    <w:rsid w:val="452E5F4C"/>
    <w:rsid w:val="45612018"/>
    <w:rsid w:val="458946E9"/>
    <w:rsid w:val="459535AA"/>
    <w:rsid w:val="45A47C0E"/>
    <w:rsid w:val="45BC552E"/>
    <w:rsid w:val="45C51FD3"/>
    <w:rsid w:val="45C6283E"/>
    <w:rsid w:val="45CA6FEF"/>
    <w:rsid w:val="45CB42CD"/>
    <w:rsid w:val="46104991"/>
    <w:rsid w:val="462D7893"/>
    <w:rsid w:val="46577FD6"/>
    <w:rsid w:val="46587EDE"/>
    <w:rsid w:val="465C5A6F"/>
    <w:rsid w:val="46993302"/>
    <w:rsid w:val="46A8717B"/>
    <w:rsid w:val="46CF2EB5"/>
    <w:rsid w:val="46D955A7"/>
    <w:rsid w:val="46E62312"/>
    <w:rsid w:val="47133957"/>
    <w:rsid w:val="471A4D5D"/>
    <w:rsid w:val="47203AB6"/>
    <w:rsid w:val="474E5F9A"/>
    <w:rsid w:val="476B7282"/>
    <w:rsid w:val="476F5B4E"/>
    <w:rsid w:val="4797211C"/>
    <w:rsid w:val="47A07E0C"/>
    <w:rsid w:val="47FE222D"/>
    <w:rsid w:val="47FE4187"/>
    <w:rsid w:val="483A623E"/>
    <w:rsid w:val="485E213E"/>
    <w:rsid w:val="486467DD"/>
    <w:rsid w:val="486E1AE7"/>
    <w:rsid w:val="4870272E"/>
    <w:rsid w:val="48C63586"/>
    <w:rsid w:val="48C91802"/>
    <w:rsid w:val="49074E2F"/>
    <w:rsid w:val="495329B4"/>
    <w:rsid w:val="49D66F90"/>
    <w:rsid w:val="49DA462E"/>
    <w:rsid w:val="49DC7715"/>
    <w:rsid w:val="4A0039B3"/>
    <w:rsid w:val="4A023139"/>
    <w:rsid w:val="4A05495B"/>
    <w:rsid w:val="4A1C1DBE"/>
    <w:rsid w:val="4A2047EA"/>
    <w:rsid w:val="4A266FA0"/>
    <w:rsid w:val="4A462177"/>
    <w:rsid w:val="4A532682"/>
    <w:rsid w:val="4A7B576F"/>
    <w:rsid w:val="4AB92A70"/>
    <w:rsid w:val="4AF561A9"/>
    <w:rsid w:val="4B004110"/>
    <w:rsid w:val="4B285582"/>
    <w:rsid w:val="4B4E0490"/>
    <w:rsid w:val="4B9A063E"/>
    <w:rsid w:val="4BA25F09"/>
    <w:rsid w:val="4BC656F3"/>
    <w:rsid w:val="4BF861DA"/>
    <w:rsid w:val="4C136523"/>
    <w:rsid w:val="4C25266B"/>
    <w:rsid w:val="4C4A0649"/>
    <w:rsid w:val="4C5B45E2"/>
    <w:rsid w:val="4C792D1C"/>
    <w:rsid w:val="4C7E5ECA"/>
    <w:rsid w:val="4C851282"/>
    <w:rsid w:val="4C874AF4"/>
    <w:rsid w:val="4C876AA5"/>
    <w:rsid w:val="4CB72415"/>
    <w:rsid w:val="4CD90A72"/>
    <w:rsid w:val="4CDF586E"/>
    <w:rsid w:val="4CE305DF"/>
    <w:rsid w:val="4D0E00FB"/>
    <w:rsid w:val="4D176606"/>
    <w:rsid w:val="4D19355F"/>
    <w:rsid w:val="4D1C3096"/>
    <w:rsid w:val="4D316D7A"/>
    <w:rsid w:val="4D401563"/>
    <w:rsid w:val="4D8E1245"/>
    <w:rsid w:val="4D9F0A9E"/>
    <w:rsid w:val="4DBE5AD2"/>
    <w:rsid w:val="4DD6525C"/>
    <w:rsid w:val="4DEB0E38"/>
    <w:rsid w:val="4DEC4FB0"/>
    <w:rsid w:val="4DFB0CF8"/>
    <w:rsid w:val="4E075D8A"/>
    <w:rsid w:val="4E0954F7"/>
    <w:rsid w:val="4E391D77"/>
    <w:rsid w:val="4E3B7B7B"/>
    <w:rsid w:val="4E8A7047"/>
    <w:rsid w:val="4E903404"/>
    <w:rsid w:val="4E9E2F99"/>
    <w:rsid w:val="4EA3332B"/>
    <w:rsid w:val="4EC00FAD"/>
    <w:rsid w:val="4ECD415B"/>
    <w:rsid w:val="4EEC0D47"/>
    <w:rsid w:val="4EFE1B99"/>
    <w:rsid w:val="4F5D54B5"/>
    <w:rsid w:val="4F8553FC"/>
    <w:rsid w:val="4F896CEF"/>
    <w:rsid w:val="4F981975"/>
    <w:rsid w:val="4F9843DC"/>
    <w:rsid w:val="4F9B1A4E"/>
    <w:rsid w:val="4FC62A8C"/>
    <w:rsid w:val="4FE20F0D"/>
    <w:rsid w:val="4FE51552"/>
    <w:rsid w:val="4FFB0BC7"/>
    <w:rsid w:val="4FFB78E9"/>
    <w:rsid w:val="500E45D9"/>
    <w:rsid w:val="501001FF"/>
    <w:rsid w:val="501D62AA"/>
    <w:rsid w:val="503C69A6"/>
    <w:rsid w:val="5050160C"/>
    <w:rsid w:val="50504C4B"/>
    <w:rsid w:val="505B2A12"/>
    <w:rsid w:val="50651F97"/>
    <w:rsid w:val="50664F74"/>
    <w:rsid w:val="50670B05"/>
    <w:rsid w:val="507D67DC"/>
    <w:rsid w:val="50917652"/>
    <w:rsid w:val="509C6E7C"/>
    <w:rsid w:val="50A976A2"/>
    <w:rsid w:val="50B72118"/>
    <w:rsid w:val="50D06633"/>
    <w:rsid w:val="50D94C9A"/>
    <w:rsid w:val="50DD3FFC"/>
    <w:rsid w:val="51000C4C"/>
    <w:rsid w:val="511D755A"/>
    <w:rsid w:val="513D4692"/>
    <w:rsid w:val="5162104E"/>
    <w:rsid w:val="51C85590"/>
    <w:rsid w:val="51F5144D"/>
    <w:rsid w:val="520128C1"/>
    <w:rsid w:val="520211B9"/>
    <w:rsid w:val="523A1AD7"/>
    <w:rsid w:val="52497E86"/>
    <w:rsid w:val="52D24112"/>
    <w:rsid w:val="52EC67E8"/>
    <w:rsid w:val="533736C6"/>
    <w:rsid w:val="5385311F"/>
    <w:rsid w:val="53A039CC"/>
    <w:rsid w:val="53A1505A"/>
    <w:rsid w:val="53A6092A"/>
    <w:rsid w:val="53D515FD"/>
    <w:rsid w:val="540021DE"/>
    <w:rsid w:val="54063E08"/>
    <w:rsid w:val="5430672D"/>
    <w:rsid w:val="543437E8"/>
    <w:rsid w:val="545A21B4"/>
    <w:rsid w:val="545B1380"/>
    <w:rsid w:val="545E7689"/>
    <w:rsid w:val="54695AD8"/>
    <w:rsid w:val="54860BA6"/>
    <w:rsid w:val="548D2161"/>
    <w:rsid w:val="54C019B1"/>
    <w:rsid w:val="54C078A0"/>
    <w:rsid w:val="54C44760"/>
    <w:rsid w:val="54C51DE7"/>
    <w:rsid w:val="54E07071"/>
    <w:rsid w:val="54F73313"/>
    <w:rsid w:val="54F80955"/>
    <w:rsid w:val="550376D1"/>
    <w:rsid w:val="55092065"/>
    <w:rsid w:val="550E6B62"/>
    <w:rsid w:val="55167BAB"/>
    <w:rsid w:val="55263518"/>
    <w:rsid w:val="55390210"/>
    <w:rsid w:val="555170A7"/>
    <w:rsid w:val="55790128"/>
    <w:rsid w:val="558111FE"/>
    <w:rsid w:val="5587536D"/>
    <w:rsid w:val="558F60B2"/>
    <w:rsid w:val="55900B48"/>
    <w:rsid w:val="559250C3"/>
    <w:rsid w:val="559B174B"/>
    <w:rsid w:val="55CE0CF4"/>
    <w:rsid w:val="5661154D"/>
    <w:rsid w:val="566E38CC"/>
    <w:rsid w:val="56816AA7"/>
    <w:rsid w:val="56B22A9C"/>
    <w:rsid w:val="56BA629B"/>
    <w:rsid w:val="56DC3AD5"/>
    <w:rsid w:val="57040E0E"/>
    <w:rsid w:val="572C223F"/>
    <w:rsid w:val="573559BF"/>
    <w:rsid w:val="579E0EC6"/>
    <w:rsid w:val="57B72A76"/>
    <w:rsid w:val="57C3426C"/>
    <w:rsid w:val="57CE1F93"/>
    <w:rsid w:val="57F136F9"/>
    <w:rsid w:val="5808343B"/>
    <w:rsid w:val="581710C2"/>
    <w:rsid w:val="583A6428"/>
    <w:rsid w:val="584E5F87"/>
    <w:rsid w:val="585033D9"/>
    <w:rsid w:val="586B425C"/>
    <w:rsid w:val="588617FA"/>
    <w:rsid w:val="588743D1"/>
    <w:rsid w:val="5887701A"/>
    <w:rsid w:val="58AB2828"/>
    <w:rsid w:val="58CE5641"/>
    <w:rsid w:val="58DA5F3C"/>
    <w:rsid w:val="58E16896"/>
    <w:rsid w:val="590E23F0"/>
    <w:rsid w:val="592B205D"/>
    <w:rsid w:val="59451966"/>
    <w:rsid w:val="5984781B"/>
    <w:rsid w:val="59A24DB5"/>
    <w:rsid w:val="59C0439F"/>
    <w:rsid w:val="59D94BFD"/>
    <w:rsid w:val="5A0E4BF9"/>
    <w:rsid w:val="5A230B61"/>
    <w:rsid w:val="5A3D53B6"/>
    <w:rsid w:val="5A55109B"/>
    <w:rsid w:val="5A6B4378"/>
    <w:rsid w:val="5A865E06"/>
    <w:rsid w:val="5A9F6B11"/>
    <w:rsid w:val="5AA53778"/>
    <w:rsid w:val="5AAE7E71"/>
    <w:rsid w:val="5AB037B6"/>
    <w:rsid w:val="5AB23F60"/>
    <w:rsid w:val="5ABE2233"/>
    <w:rsid w:val="5ACE3F29"/>
    <w:rsid w:val="5AE02E0F"/>
    <w:rsid w:val="5B332699"/>
    <w:rsid w:val="5B43010C"/>
    <w:rsid w:val="5B451ADA"/>
    <w:rsid w:val="5B4E1C40"/>
    <w:rsid w:val="5B7F130D"/>
    <w:rsid w:val="5B9A64B8"/>
    <w:rsid w:val="5BA133AD"/>
    <w:rsid w:val="5BA50A9B"/>
    <w:rsid w:val="5BD43CC7"/>
    <w:rsid w:val="5BD65165"/>
    <w:rsid w:val="5BDF5D95"/>
    <w:rsid w:val="5BF16C49"/>
    <w:rsid w:val="5BFE7528"/>
    <w:rsid w:val="5C251AD7"/>
    <w:rsid w:val="5C4F7226"/>
    <w:rsid w:val="5C59454C"/>
    <w:rsid w:val="5C8677FB"/>
    <w:rsid w:val="5C8743D2"/>
    <w:rsid w:val="5CA6256D"/>
    <w:rsid w:val="5CC21780"/>
    <w:rsid w:val="5CC45E51"/>
    <w:rsid w:val="5CFC076F"/>
    <w:rsid w:val="5D167C86"/>
    <w:rsid w:val="5D35532C"/>
    <w:rsid w:val="5D46334E"/>
    <w:rsid w:val="5D8E0C7C"/>
    <w:rsid w:val="5DA073A3"/>
    <w:rsid w:val="5DB22754"/>
    <w:rsid w:val="5DCA6B23"/>
    <w:rsid w:val="5E2467F1"/>
    <w:rsid w:val="5E2721EB"/>
    <w:rsid w:val="5E305B99"/>
    <w:rsid w:val="5E537229"/>
    <w:rsid w:val="5E5C7938"/>
    <w:rsid w:val="5E897E6C"/>
    <w:rsid w:val="5EA87903"/>
    <w:rsid w:val="5EF71D4A"/>
    <w:rsid w:val="5EFE0426"/>
    <w:rsid w:val="5F0E0CCB"/>
    <w:rsid w:val="5F1A2B43"/>
    <w:rsid w:val="5F341F00"/>
    <w:rsid w:val="5F49588C"/>
    <w:rsid w:val="5F582C1E"/>
    <w:rsid w:val="5F8B6B8F"/>
    <w:rsid w:val="5FA77872"/>
    <w:rsid w:val="5FA86FAB"/>
    <w:rsid w:val="5FB837BB"/>
    <w:rsid w:val="5FE83AE0"/>
    <w:rsid w:val="5FF131BA"/>
    <w:rsid w:val="5FF37777"/>
    <w:rsid w:val="60055465"/>
    <w:rsid w:val="602E2D99"/>
    <w:rsid w:val="604407A6"/>
    <w:rsid w:val="604B1DD3"/>
    <w:rsid w:val="6092053C"/>
    <w:rsid w:val="60932F4E"/>
    <w:rsid w:val="60BE2D58"/>
    <w:rsid w:val="60CC405A"/>
    <w:rsid w:val="60F34EDE"/>
    <w:rsid w:val="610F2146"/>
    <w:rsid w:val="6118354A"/>
    <w:rsid w:val="612D084D"/>
    <w:rsid w:val="61646677"/>
    <w:rsid w:val="61AC2765"/>
    <w:rsid w:val="61CB39B3"/>
    <w:rsid w:val="61E215D8"/>
    <w:rsid w:val="61F31F43"/>
    <w:rsid w:val="61F80EF9"/>
    <w:rsid w:val="620A531C"/>
    <w:rsid w:val="62120C15"/>
    <w:rsid w:val="621B3775"/>
    <w:rsid w:val="621E42A2"/>
    <w:rsid w:val="62364782"/>
    <w:rsid w:val="627129C9"/>
    <w:rsid w:val="62744856"/>
    <w:rsid w:val="62947F68"/>
    <w:rsid w:val="62996226"/>
    <w:rsid w:val="62AC24A5"/>
    <w:rsid w:val="62F26430"/>
    <w:rsid w:val="63056790"/>
    <w:rsid w:val="63073D8D"/>
    <w:rsid w:val="630B39AA"/>
    <w:rsid w:val="63181DAC"/>
    <w:rsid w:val="63245BFD"/>
    <w:rsid w:val="63280998"/>
    <w:rsid w:val="637D1BFE"/>
    <w:rsid w:val="638A3F78"/>
    <w:rsid w:val="6394356A"/>
    <w:rsid w:val="639A3A39"/>
    <w:rsid w:val="63A37257"/>
    <w:rsid w:val="63A90FEB"/>
    <w:rsid w:val="63C61B2C"/>
    <w:rsid w:val="63D40BE9"/>
    <w:rsid w:val="63D54453"/>
    <w:rsid w:val="63ED7013"/>
    <w:rsid w:val="64102431"/>
    <w:rsid w:val="641902D2"/>
    <w:rsid w:val="64343998"/>
    <w:rsid w:val="6445362E"/>
    <w:rsid w:val="644A7F91"/>
    <w:rsid w:val="64545BAC"/>
    <w:rsid w:val="645C2B4C"/>
    <w:rsid w:val="64874728"/>
    <w:rsid w:val="6492079A"/>
    <w:rsid w:val="64A5243A"/>
    <w:rsid w:val="64A844CC"/>
    <w:rsid w:val="64BE52DB"/>
    <w:rsid w:val="64C35103"/>
    <w:rsid w:val="64C40C99"/>
    <w:rsid w:val="64D128D9"/>
    <w:rsid w:val="64F31601"/>
    <w:rsid w:val="64F531DE"/>
    <w:rsid w:val="64F64735"/>
    <w:rsid w:val="65110D27"/>
    <w:rsid w:val="65111DD3"/>
    <w:rsid w:val="6525428B"/>
    <w:rsid w:val="652D6F8E"/>
    <w:rsid w:val="65373578"/>
    <w:rsid w:val="655271DA"/>
    <w:rsid w:val="658568B8"/>
    <w:rsid w:val="659E1F91"/>
    <w:rsid w:val="65AD7B5A"/>
    <w:rsid w:val="65B02793"/>
    <w:rsid w:val="65B60A8C"/>
    <w:rsid w:val="65BC2D78"/>
    <w:rsid w:val="65CE5B5C"/>
    <w:rsid w:val="65D877FE"/>
    <w:rsid w:val="65D9028E"/>
    <w:rsid w:val="65DE7FCD"/>
    <w:rsid w:val="65E91B08"/>
    <w:rsid w:val="65F71F73"/>
    <w:rsid w:val="65F808FA"/>
    <w:rsid w:val="66207F1D"/>
    <w:rsid w:val="663D2674"/>
    <w:rsid w:val="663E27D2"/>
    <w:rsid w:val="667552A4"/>
    <w:rsid w:val="66757C3A"/>
    <w:rsid w:val="66FB6F84"/>
    <w:rsid w:val="671B22D7"/>
    <w:rsid w:val="671F124A"/>
    <w:rsid w:val="67644EAA"/>
    <w:rsid w:val="67662DC1"/>
    <w:rsid w:val="677A33C6"/>
    <w:rsid w:val="677B05A4"/>
    <w:rsid w:val="67866520"/>
    <w:rsid w:val="679D4821"/>
    <w:rsid w:val="67B804DE"/>
    <w:rsid w:val="6801595C"/>
    <w:rsid w:val="68141F49"/>
    <w:rsid w:val="681D610A"/>
    <w:rsid w:val="681F6961"/>
    <w:rsid w:val="68225FBE"/>
    <w:rsid w:val="683A6B12"/>
    <w:rsid w:val="683E64FA"/>
    <w:rsid w:val="684E55B5"/>
    <w:rsid w:val="684F4B56"/>
    <w:rsid w:val="685B3AE6"/>
    <w:rsid w:val="68610A2F"/>
    <w:rsid w:val="68717422"/>
    <w:rsid w:val="68805514"/>
    <w:rsid w:val="6892202C"/>
    <w:rsid w:val="68A76C78"/>
    <w:rsid w:val="68BB3BF0"/>
    <w:rsid w:val="68EC410F"/>
    <w:rsid w:val="69316E2F"/>
    <w:rsid w:val="694B496B"/>
    <w:rsid w:val="694E2071"/>
    <w:rsid w:val="69725F44"/>
    <w:rsid w:val="69766163"/>
    <w:rsid w:val="697A3B33"/>
    <w:rsid w:val="697F2999"/>
    <w:rsid w:val="69BC35D6"/>
    <w:rsid w:val="69BC3B21"/>
    <w:rsid w:val="69D44760"/>
    <w:rsid w:val="69FB66C2"/>
    <w:rsid w:val="6A303E3A"/>
    <w:rsid w:val="6A3E6216"/>
    <w:rsid w:val="6A520EC7"/>
    <w:rsid w:val="6A5C22B9"/>
    <w:rsid w:val="6AA30C03"/>
    <w:rsid w:val="6AA5579C"/>
    <w:rsid w:val="6AD56451"/>
    <w:rsid w:val="6AE36419"/>
    <w:rsid w:val="6AF87E20"/>
    <w:rsid w:val="6B0B7ADB"/>
    <w:rsid w:val="6B1171DD"/>
    <w:rsid w:val="6B322639"/>
    <w:rsid w:val="6B3C5A8D"/>
    <w:rsid w:val="6B5E0941"/>
    <w:rsid w:val="6B82766F"/>
    <w:rsid w:val="6B9B69BF"/>
    <w:rsid w:val="6BA4665A"/>
    <w:rsid w:val="6BBF53E7"/>
    <w:rsid w:val="6BC40437"/>
    <w:rsid w:val="6BC77006"/>
    <w:rsid w:val="6BF44AAF"/>
    <w:rsid w:val="6C006053"/>
    <w:rsid w:val="6C0921E7"/>
    <w:rsid w:val="6C155330"/>
    <w:rsid w:val="6C534189"/>
    <w:rsid w:val="6C636C38"/>
    <w:rsid w:val="6C6B4AAD"/>
    <w:rsid w:val="6C775722"/>
    <w:rsid w:val="6C907A10"/>
    <w:rsid w:val="6CE30E82"/>
    <w:rsid w:val="6CE553E9"/>
    <w:rsid w:val="6CEA7567"/>
    <w:rsid w:val="6CFE06A9"/>
    <w:rsid w:val="6CFE54D3"/>
    <w:rsid w:val="6D0902FD"/>
    <w:rsid w:val="6D300162"/>
    <w:rsid w:val="6D395A74"/>
    <w:rsid w:val="6D413FEC"/>
    <w:rsid w:val="6DB067C1"/>
    <w:rsid w:val="6DB34098"/>
    <w:rsid w:val="6DB545B6"/>
    <w:rsid w:val="6DE02FB4"/>
    <w:rsid w:val="6DFF0F07"/>
    <w:rsid w:val="6E22460A"/>
    <w:rsid w:val="6E374C20"/>
    <w:rsid w:val="6E514CED"/>
    <w:rsid w:val="6E584871"/>
    <w:rsid w:val="6E590A7A"/>
    <w:rsid w:val="6E6020B0"/>
    <w:rsid w:val="6E781865"/>
    <w:rsid w:val="6E927C44"/>
    <w:rsid w:val="6EA8002F"/>
    <w:rsid w:val="6EB563D5"/>
    <w:rsid w:val="6ED92677"/>
    <w:rsid w:val="6EDF093C"/>
    <w:rsid w:val="6EED7081"/>
    <w:rsid w:val="6EFC1B54"/>
    <w:rsid w:val="6F100A6F"/>
    <w:rsid w:val="6F225983"/>
    <w:rsid w:val="6F242A82"/>
    <w:rsid w:val="6F276341"/>
    <w:rsid w:val="6F413E10"/>
    <w:rsid w:val="6F7A43A2"/>
    <w:rsid w:val="6F804A23"/>
    <w:rsid w:val="6FAA461F"/>
    <w:rsid w:val="6FBF1273"/>
    <w:rsid w:val="6FDD1064"/>
    <w:rsid w:val="6FFC5590"/>
    <w:rsid w:val="702E1CA8"/>
    <w:rsid w:val="70351417"/>
    <w:rsid w:val="7052328B"/>
    <w:rsid w:val="706D1DD0"/>
    <w:rsid w:val="707D5FE5"/>
    <w:rsid w:val="70856B87"/>
    <w:rsid w:val="708D3DD1"/>
    <w:rsid w:val="70915965"/>
    <w:rsid w:val="70964561"/>
    <w:rsid w:val="709D0E0F"/>
    <w:rsid w:val="70C2543D"/>
    <w:rsid w:val="70D527EE"/>
    <w:rsid w:val="71342224"/>
    <w:rsid w:val="713B25D2"/>
    <w:rsid w:val="715B5300"/>
    <w:rsid w:val="71A240B6"/>
    <w:rsid w:val="71BE4CC6"/>
    <w:rsid w:val="71D27F8A"/>
    <w:rsid w:val="71E42A06"/>
    <w:rsid w:val="71EE3613"/>
    <w:rsid w:val="71FB43C1"/>
    <w:rsid w:val="7237342B"/>
    <w:rsid w:val="724E241B"/>
    <w:rsid w:val="72553024"/>
    <w:rsid w:val="72914DF3"/>
    <w:rsid w:val="72A212D4"/>
    <w:rsid w:val="72CE3730"/>
    <w:rsid w:val="72D564DD"/>
    <w:rsid w:val="73122968"/>
    <w:rsid w:val="73131CB5"/>
    <w:rsid w:val="731F5D5E"/>
    <w:rsid w:val="733B3F3C"/>
    <w:rsid w:val="73712632"/>
    <w:rsid w:val="738E71AE"/>
    <w:rsid w:val="739F08F4"/>
    <w:rsid w:val="73A044B1"/>
    <w:rsid w:val="73A16BA4"/>
    <w:rsid w:val="73B72DAC"/>
    <w:rsid w:val="73B93957"/>
    <w:rsid w:val="73C51AD5"/>
    <w:rsid w:val="73CB1908"/>
    <w:rsid w:val="73D2012A"/>
    <w:rsid w:val="73D45110"/>
    <w:rsid w:val="73E847C1"/>
    <w:rsid w:val="740F0FE1"/>
    <w:rsid w:val="740F1960"/>
    <w:rsid w:val="7416485D"/>
    <w:rsid w:val="74185F80"/>
    <w:rsid w:val="741E793C"/>
    <w:rsid w:val="742679E6"/>
    <w:rsid w:val="745E3944"/>
    <w:rsid w:val="747A2DC0"/>
    <w:rsid w:val="74961100"/>
    <w:rsid w:val="74AC5010"/>
    <w:rsid w:val="74AF671E"/>
    <w:rsid w:val="74C66414"/>
    <w:rsid w:val="74E44669"/>
    <w:rsid w:val="74EE6866"/>
    <w:rsid w:val="75012A4B"/>
    <w:rsid w:val="752D3A7A"/>
    <w:rsid w:val="75563609"/>
    <w:rsid w:val="75691062"/>
    <w:rsid w:val="757A5BF5"/>
    <w:rsid w:val="75F76718"/>
    <w:rsid w:val="76030AA6"/>
    <w:rsid w:val="7635099D"/>
    <w:rsid w:val="765B1F39"/>
    <w:rsid w:val="7667244A"/>
    <w:rsid w:val="76795C78"/>
    <w:rsid w:val="76C40A2A"/>
    <w:rsid w:val="76D6634A"/>
    <w:rsid w:val="76F17512"/>
    <w:rsid w:val="772C2122"/>
    <w:rsid w:val="775400A2"/>
    <w:rsid w:val="77545621"/>
    <w:rsid w:val="77565A29"/>
    <w:rsid w:val="77575937"/>
    <w:rsid w:val="775B3380"/>
    <w:rsid w:val="777100E1"/>
    <w:rsid w:val="77762421"/>
    <w:rsid w:val="77B56B1F"/>
    <w:rsid w:val="77BA3F37"/>
    <w:rsid w:val="77C778E9"/>
    <w:rsid w:val="780F09F4"/>
    <w:rsid w:val="788F6C55"/>
    <w:rsid w:val="78A84F02"/>
    <w:rsid w:val="78A90480"/>
    <w:rsid w:val="78B743BD"/>
    <w:rsid w:val="78F73A20"/>
    <w:rsid w:val="79024AD5"/>
    <w:rsid w:val="7914128A"/>
    <w:rsid w:val="791D652C"/>
    <w:rsid w:val="79283F29"/>
    <w:rsid w:val="79366301"/>
    <w:rsid w:val="79471610"/>
    <w:rsid w:val="795B2D7C"/>
    <w:rsid w:val="79795CD9"/>
    <w:rsid w:val="797A5051"/>
    <w:rsid w:val="798044BB"/>
    <w:rsid w:val="79960CAC"/>
    <w:rsid w:val="79B65F2F"/>
    <w:rsid w:val="79C91B3E"/>
    <w:rsid w:val="7A0932BF"/>
    <w:rsid w:val="7A364017"/>
    <w:rsid w:val="7A7D6F9B"/>
    <w:rsid w:val="7A8265E1"/>
    <w:rsid w:val="7AB14322"/>
    <w:rsid w:val="7AB202BA"/>
    <w:rsid w:val="7AFB0EA9"/>
    <w:rsid w:val="7B103255"/>
    <w:rsid w:val="7B167BF3"/>
    <w:rsid w:val="7B412D2A"/>
    <w:rsid w:val="7B4D13BE"/>
    <w:rsid w:val="7B557D70"/>
    <w:rsid w:val="7B686D42"/>
    <w:rsid w:val="7B841746"/>
    <w:rsid w:val="7B9E6F2A"/>
    <w:rsid w:val="7BAA6ADC"/>
    <w:rsid w:val="7BC32D47"/>
    <w:rsid w:val="7BC37670"/>
    <w:rsid w:val="7BD066E1"/>
    <w:rsid w:val="7C2509AE"/>
    <w:rsid w:val="7C475797"/>
    <w:rsid w:val="7C686A51"/>
    <w:rsid w:val="7C6C5AC7"/>
    <w:rsid w:val="7C824A21"/>
    <w:rsid w:val="7CAF5D1F"/>
    <w:rsid w:val="7CC6544B"/>
    <w:rsid w:val="7CCC0AFD"/>
    <w:rsid w:val="7D0239FF"/>
    <w:rsid w:val="7D432901"/>
    <w:rsid w:val="7D447590"/>
    <w:rsid w:val="7D4E4715"/>
    <w:rsid w:val="7D5E40CD"/>
    <w:rsid w:val="7D842E95"/>
    <w:rsid w:val="7D846BCD"/>
    <w:rsid w:val="7DCD56F2"/>
    <w:rsid w:val="7E01383B"/>
    <w:rsid w:val="7E622006"/>
    <w:rsid w:val="7E66013D"/>
    <w:rsid w:val="7E6F508C"/>
    <w:rsid w:val="7E7274D2"/>
    <w:rsid w:val="7E7D4F2D"/>
    <w:rsid w:val="7E92701C"/>
    <w:rsid w:val="7EEA2CD6"/>
    <w:rsid w:val="7EFB033F"/>
    <w:rsid w:val="7EFC6D37"/>
    <w:rsid w:val="7F001CE7"/>
    <w:rsid w:val="7F2741A2"/>
    <w:rsid w:val="7F365884"/>
    <w:rsid w:val="7F497A93"/>
    <w:rsid w:val="7F4A4977"/>
    <w:rsid w:val="7F4A6C5F"/>
    <w:rsid w:val="7F587D5B"/>
    <w:rsid w:val="7F5C4421"/>
    <w:rsid w:val="7F7E0278"/>
    <w:rsid w:val="7F7E77ED"/>
    <w:rsid w:val="7FC53AC5"/>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99"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qFormat="1" w:uiPriority="99"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iPriority="99" w:name="Normal Table"/>
    <w:lsdException w:qFormat="1" w:unhideWhenUsed="0" w:uiPriority="0" w:name="annotation subject"/>
    <w:lsdException w:qFormat="1" w:unhideWhenUsed="0" w:uiPriority="0" w:semiHidden="0" w:name="Table Simple 1" w:locked="1"/>
    <w:lsdException w:uiPriority="0" w:name="Table Simple 2" w:locked="1"/>
    <w:lsdException w:uiPriority="0" w:name="Table Simple 3" w:locked="1"/>
    <w:lsdException w:qFormat="1" w:unhideWhenUsed="0" w:uiPriority="0" w:semiHidden="0" w:name="Table Classic 1" w:locked="1"/>
    <w:lsdException w:qFormat="1" w:unhideWhenUsed="0" w:uiPriority="0" w:semiHidden="0" w:name="Table Classic 2" w:locked="1"/>
    <w:lsdException w:uiPriority="0" w:name="Table Classic 3" w:locked="1"/>
    <w:lsdException w:qFormat="1" w:unhideWhenUsed="0" w:uiPriority="0" w:semiHidden="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qFormat="1" w:unhideWhenUsed="0" w:uiPriority="0" w:semiHidden="0" w:name="Table List 1" w:locked="1"/>
    <w:lsdException w:qFormat="1" w:unhideWhenUsed="0" w:uiPriority="0" w:semiHidden="0" w:name="Table List 2" w:locked="1"/>
    <w:lsdException w:qFormat="1" w:unhideWhenUsed="0" w:uiPriority="0" w:semiHidden="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qFormat="1" w:unhideWhenUsed="0" w:uiPriority="0" w:semiHidden="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qFormat="1"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sz w:val="21"/>
      <w:szCs w:val="21"/>
      <w:lang w:val="en-US" w:eastAsia="zh-CN" w:bidi="ar-SA"/>
    </w:rPr>
  </w:style>
  <w:style w:type="paragraph" w:styleId="3">
    <w:name w:val="heading 1"/>
    <w:basedOn w:val="1"/>
    <w:next w:val="1"/>
    <w:link w:val="75"/>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lang w:val="zh-CN"/>
    </w:rPr>
  </w:style>
  <w:style w:type="character" w:default="1" w:styleId="29">
    <w:name w:val="Default Paragraph Font"/>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2">
    <w:name w:val="Body Text Indent 2"/>
    <w:basedOn w:val="1"/>
    <w:link w:val="69"/>
    <w:qFormat/>
    <w:locked/>
    <w:uiPriority w:val="99"/>
    <w:pPr>
      <w:contextualSpacing/>
      <w:jc w:val="center"/>
    </w:pPr>
  </w:style>
  <w:style w:type="paragraph" w:styleId="4">
    <w:name w:val="caption"/>
    <w:basedOn w:val="1"/>
    <w:next w:val="1"/>
    <w:link w:val="59"/>
    <w:qFormat/>
    <w:locked/>
    <w:uiPriority w:val="35"/>
    <w:pPr>
      <w:keepNext/>
      <w:jc w:val="center"/>
    </w:pPr>
    <w:rPr>
      <w:b/>
      <w:szCs w:val="20"/>
      <w:lang w:val="zh-CN"/>
    </w:rPr>
  </w:style>
  <w:style w:type="paragraph" w:styleId="5">
    <w:name w:val="annotation text"/>
    <w:basedOn w:val="1"/>
    <w:link w:val="36"/>
    <w:autoRedefine/>
    <w:semiHidden/>
    <w:qFormat/>
    <w:uiPriority w:val="0"/>
    <w:pPr>
      <w:jc w:val="left"/>
    </w:pPr>
    <w:rPr>
      <w:sz w:val="24"/>
      <w:szCs w:val="20"/>
      <w:lang w:val="zh-CN"/>
    </w:rPr>
  </w:style>
  <w:style w:type="paragraph" w:styleId="6">
    <w:name w:val="Body Text"/>
    <w:basedOn w:val="1"/>
    <w:link w:val="37"/>
    <w:qFormat/>
    <w:uiPriority w:val="0"/>
    <w:pPr>
      <w:widowControl/>
      <w:snapToGrid w:val="0"/>
      <w:spacing w:before="60" w:after="160" w:line="259" w:lineRule="auto"/>
      <w:ind w:right="113"/>
    </w:pPr>
    <w:rPr>
      <w:sz w:val="18"/>
      <w:szCs w:val="20"/>
      <w:lang w:val="zh-CN"/>
    </w:rPr>
  </w:style>
  <w:style w:type="paragraph" w:styleId="7">
    <w:name w:val="Body Text Indent"/>
    <w:basedOn w:val="1"/>
    <w:link w:val="38"/>
    <w:qFormat/>
    <w:uiPriority w:val="0"/>
    <w:pPr>
      <w:spacing w:after="120"/>
      <w:ind w:left="420" w:leftChars="200"/>
    </w:pPr>
    <w:rPr>
      <w:sz w:val="24"/>
      <w:szCs w:val="20"/>
      <w:lang w:val="zh-CN"/>
    </w:rPr>
  </w:style>
  <w:style w:type="paragraph" w:styleId="8">
    <w:name w:val="Plain Text"/>
    <w:basedOn w:val="1"/>
    <w:link w:val="74"/>
    <w:qFormat/>
    <w:locked/>
    <w:uiPriority w:val="0"/>
    <w:rPr>
      <w:rFonts w:ascii="宋体" w:hAnsi="Courier New"/>
      <w:lang w:val="zh-CN"/>
    </w:rPr>
  </w:style>
  <w:style w:type="paragraph" w:styleId="9">
    <w:name w:val="Date"/>
    <w:basedOn w:val="1"/>
    <w:next w:val="1"/>
    <w:link w:val="39"/>
    <w:qFormat/>
    <w:uiPriority w:val="0"/>
    <w:pPr>
      <w:ind w:left="100" w:leftChars="2500"/>
    </w:pPr>
    <w:rPr>
      <w:sz w:val="24"/>
      <w:szCs w:val="20"/>
      <w:lang w:val="zh-CN"/>
    </w:rPr>
  </w:style>
  <w:style w:type="paragraph" w:styleId="10">
    <w:name w:val="Balloon Text"/>
    <w:basedOn w:val="1"/>
    <w:link w:val="40"/>
    <w:autoRedefine/>
    <w:semiHidden/>
    <w:qFormat/>
    <w:uiPriority w:val="0"/>
    <w:rPr>
      <w:sz w:val="18"/>
      <w:szCs w:val="20"/>
      <w:lang w:val="zh-CN"/>
    </w:rPr>
  </w:style>
  <w:style w:type="paragraph" w:styleId="11">
    <w:name w:val="footer"/>
    <w:basedOn w:val="1"/>
    <w:link w:val="41"/>
    <w:qFormat/>
    <w:uiPriority w:val="99"/>
    <w:pPr>
      <w:tabs>
        <w:tab w:val="center" w:pos="4153"/>
        <w:tab w:val="right" w:pos="8306"/>
      </w:tabs>
      <w:snapToGrid w:val="0"/>
      <w:jc w:val="left"/>
    </w:pPr>
    <w:rPr>
      <w:sz w:val="18"/>
      <w:szCs w:val="20"/>
      <w:lang w:val="zh-CN"/>
    </w:rPr>
  </w:style>
  <w:style w:type="paragraph" w:styleId="12">
    <w:name w:val="header"/>
    <w:basedOn w:val="1"/>
    <w:link w:val="42"/>
    <w:qFormat/>
    <w:uiPriority w:val="0"/>
    <w:pPr>
      <w:pBdr>
        <w:bottom w:val="single" w:color="auto" w:sz="6" w:space="1"/>
      </w:pBdr>
      <w:tabs>
        <w:tab w:val="center" w:pos="4153"/>
        <w:tab w:val="right" w:pos="8306"/>
      </w:tabs>
      <w:snapToGrid w:val="0"/>
      <w:jc w:val="center"/>
    </w:pPr>
    <w:rPr>
      <w:sz w:val="18"/>
      <w:szCs w:val="20"/>
      <w:lang w:val="zh-CN"/>
    </w:rPr>
  </w:style>
  <w:style w:type="paragraph" w:styleId="13">
    <w:name w:val="toc 1"/>
    <w:basedOn w:val="1"/>
    <w:next w:val="1"/>
    <w:qFormat/>
    <w:locked/>
    <w:uiPriority w:val="0"/>
  </w:style>
  <w:style w:type="paragraph" w:styleId="14">
    <w:name w:val="Subtitle"/>
    <w:basedOn w:val="1"/>
    <w:next w:val="1"/>
    <w:link w:val="84"/>
    <w:qFormat/>
    <w:locked/>
    <w:uiPriority w:val="0"/>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5">
    <w:name w:val="Normal (Web)"/>
    <w:basedOn w:val="1"/>
    <w:link w:val="43"/>
    <w:qFormat/>
    <w:uiPriority w:val="0"/>
    <w:pPr>
      <w:widowControl/>
      <w:adjustRightInd w:val="0"/>
      <w:snapToGrid w:val="0"/>
      <w:jc w:val="center"/>
    </w:pPr>
    <w:rPr>
      <w:rFonts w:ascii="宋体" w:hAnsi="宋体"/>
      <w:sz w:val="24"/>
      <w:szCs w:val="20"/>
      <w:lang w:val="zh-CN"/>
    </w:rPr>
  </w:style>
  <w:style w:type="paragraph" w:styleId="16">
    <w:name w:val="Title"/>
    <w:basedOn w:val="1"/>
    <w:next w:val="1"/>
    <w:link w:val="83"/>
    <w:qFormat/>
    <w:locked/>
    <w:uiPriority w:val="0"/>
    <w:pPr>
      <w:spacing w:before="240" w:after="60"/>
      <w:jc w:val="center"/>
      <w:outlineLvl w:val="0"/>
    </w:pPr>
    <w:rPr>
      <w:rFonts w:asciiTheme="majorHAnsi" w:hAnsiTheme="majorHAnsi" w:eastAsiaTheme="majorEastAsia" w:cstheme="majorBidi"/>
      <w:b/>
      <w:bCs/>
      <w:sz w:val="32"/>
      <w:szCs w:val="32"/>
    </w:rPr>
  </w:style>
  <w:style w:type="paragraph" w:styleId="17">
    <w:name w:val="annotation subject"/>
    <w:basedOn w:val="5"/>
    <w:next w:val="5"/>
    <w:link w:val="44"/>
    <w:autoRedefine/>
    <w:semiHidden/>
    <w:qFormat/>
    <w:uiPriority w:val="0"/>
    <w:rPr>
      <w:b/>
      <w:kern w:val="2"/>
    </w:rPr>
  </w:style>
  <w:style w:type="table" w:styleId="19">
    <w:name w:val="Table Grid"/>
    <w:basedOn w:val="1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0">
    <w:name w:val="Table Theme"/>
    <w:basedOn w:val="18"/>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1">
    <w:name w:val="Table Elegant"/>
    <w:basedOn w:val="18"/>
    <w:autoRedefine/>
    <w:qFormat/>
    <w:locked/>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22">
    <w:name w:val="Table Classic 1"/>
    <w:basedOn w:val="18"/>
    <w:autoRedefine/>
    <w:qFormat/>
    <w:locked/>
    <w:uiPriority w:val="0"/>
    <w:pPr>
      <w:widowControl w:val="0"/>
      <w:jc w:val="center"/>
    </w:pPr>
    <w:tblPr>
      <w:tblBorders>
        <w:top w:val="single" w:color="000000" w:sz="12" w:space="0"/>
        <w:bottom w:val="single" w:color="000000" w:sz="12" w:space="0"/>
        <w:insideH w:val="single" w:color="auto" w:sz="4" w:space="0"/>
        <w:insideV w:val="single" w:color="auto" w:sz="4" w:space="0"/>
      </w:tblBorders>
    </w:tblPr>
    <w:tcPr>
      <w:shd w:val="clear" w:color="auto" w:fill="auto"/>
      <w:vAlign w:val="center"/>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3">
    <w:name w:val="Table Classic 2"/>
    <w:basedOn w:val="18"/>
    <w:autoRedefine/>
    <w:qFormat/>
    <w:locked/>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4">
    <w:name w:val="Table Classic 4"/>
    <w:basedOn w:val="18"/>
    <w:autoRedefine/>
    <w:qFormat/>
    <w:locked/>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25">
    <w:name w:val="Table Simple 1"/>
    <w:basedOn w:val="18"/>
    <w:autoRedefine/>
    <w:qFormat/>
    <w:locked/>
    <w:uiPriority w:val="0"/>
    <w:pPr>
      <w:widowControl w:val="0"/>
      <w:jc w:val="center"/>
    </w:pPr>
    <w:tblPr>
      <w:tblBorders>
        <w:top w:val="single" w:color="auto" w:sz="12" w:space="0"/>
        <w:bottom w:val="single" w:color="auto" w:sz="12" w:space="0"/>
        <w:insideH w:val="single" w:color="auto" w:sz="4" w:space="0"/>
        <w:insideV w:val="single" w:color="auto" w:sz="4" w:space="0"/>
      </w:tblBorders>
    </w:tblPr>
    <w:tcPr>
      <w:shd w:val="clear" w:color="auto" w:fill="auto"/>
      <w:vAlign w:val="center"/>
    </w:tcPr>
    <w:tblStylePr w:type="firstRow">
      <w:tblPr/>
      <w:tcPr>
        <w:tcBorders>
          <w:top w:val="single" w:color="auto" w:sz="12" w:space="0"/>
          <w:bottom w:val="single" w:color="auto" w:sz="12" w:space="0"/>
        </w:tcBorders>
        <w:shd w:val="clear" w:color="auto" w:fill="auto"/>
      </w:tcPr>
    </w:tblStylePr>
    <w:tblStylePr w:type="lastRow">
      <w:tblPr/>
      <w:tcPr>
        <w:tcBorders>
          <w:top w:val="single" w:color="008000" w:sz="6" w:space="0"/>
          <w:bottom w:val="single" w:color="auto" w:sz="12" w:space="0"/>
        </w:tcBorders>
        <w:shd w:val="clear" w:color="auto" w:fill="auto"/>
      </w:tcPr>
    </w:tblStylePr>
  </w:style>
  <w:style w:type="table" w:styleId="26">
    <w:name w:val="Table List 1"/>
    <w:basedOn w:val="18"/>
    <w:autoRedefine/>
    <w:qFormat/>
    <w:locked/>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7">
    <w:name w:val="Table List 2"/>
    <w:basedOn w:val="18"/>
    <w:autoRedefine/>
    <w:qFormat/>
    <w:locked/>
    <w:uiPriority w:val="0"/>
    <w:pPr>
      <w:widowControl w:val="0"/>
      <w:jc w:val="both"/>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8">
    <w:name w:val="Table List 3"/>
    <w:basedOn w:val="18"/>
    <w:autoRedefine/>
    <w:qFormat/>
    <w:locked/>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character" w:styleId="30">
    <w:name w:val="Strong"/>
    <w:basedOn w:val="29"/>
    <w:qFormat/>
    <w:locked/>
    <w:uiPriority w:val="0"/>
    <w:rPr>
      <w:b/>
      <w:bCs/>
    </w:rPr>
  </w:style>
  <w:style w:type="character" w:styleId="31">
    <w:name w:val="page number"/>
    <w:autoRedefine/>
    <w:qFormat/>
    <w:locked/>
    <w:uiPriority w:val="0"/>
  </w:style>
  <w:style w:type="character" w:styleId="32">
    <w:name w:val="FollowedHyperlink"/>
    <w:autoRedefine/>
    <w:unhideWhenUsed/>
    <w:qFormat/>
    <w:locked/>
    <w:uiPriority w:val="99"/>
    <w:rPr>
      <w:color w:val="954F72"/>
      <w:u w:val="single"/>
    </w:rPr>
  </w:style>
  <w:style w:type="character" w:styleId="33">
    <w:name w:val="Emphasis"/>
    <w:basedOn w:val="29"/>
    <w:qFormat/>
    <w:locked/>
    <w:uiPriority w:val="0"/>
    <w:rPr>
      <w:i/>
      <w:iCs/>
    </w:rPr>
  </w:style>
  <w:style w:type="character" w:styleId="34">
    <w:name w:val="Hyperlink"/>
    <w:autoRedefine/>
    <w:unhideWhenUsed/>
    <w:qFormat/>
    <w:locked/>
    <w:uiPriority w:val="99"/>
    <w:rPr>
      <w:color w:val="0563C1"/>
      <w:u w:val="single"/>
    </w:rPr>
  </w:style>
  <w:style w:type="character" w:styleId="35">
    <w:name w:val="annotation reference"/>
    <w:autoRedefine/>
    <w:qFormat/>
    <w:uiPriority w:val="0"/>
    <w:rPr>
      <w:sz w:val="21"/>
    </w:rPr>
  </w:style>
  <w:style w:type="character" w:customStyle="1" w:styleId="36">
    <w:name w:val="批注文字 字符"/>
    <w:link w:val="5"/>
    <w:autoRedefine/>
    <w:qFormat/>
    <w:locked/>
    <w:uiPriority w:val="0"/>
    <w:rPr>
      <w:rFonts w:ascii="Times New Roman" w:hAnsi="Times New Roman" w:eastAsia="宋体"/>
      <w:sz w:val="24"/>
    </w:rPr>
  </w:style>
  <w:style w:type="character" w:customStyle="1" w:styleId="37">
    <w:name w:val="正文文本 字符"/>
    <w:link w:val="6"/>
    <w:autoRedefine/>
    <w:qFormat/>
    <w:locked/>
    <w:uiPriority w:val="0"/>
    <w:rPr>
      <w:sz w:val="18"/>
    </w:rPr>
  </w:style>
  <w:style w:type="character" w:customStyle="1" w:styleId="38">
    <w:name w:val="正文文本缩进 字符"/>
    <w:link w:val="7"/>
    <w:autoRedefine/>
    <w:qFormat/>
    <w:locked/>
    <w:uiPriority w:val="0"/>
    <w:rPr>
      <w:rFonts w:ascii="Times New Roman" w:hAnsi="Times New Roman" w:eastAsia="宋体"/>
      <w:sz w:val="24"/>
    </w:rPr>
  </w:style>
  <w:style w:type="character" w:customStyle="1" w:styleId="39">
    <w:name w:val="日期 字符1"/>
    <w:link w:val="9"/>
    <w:autoRedefine/>
    <w:qFormat/>
    <w:locked/>
    <w:uiPriority w:val="0"/>
    <w:rPr>
      <w:rFonts w:ascii="Times New Roman" w:hAnsi="Times New Roman" w:eastAsia="宋体"/>
      <w:sz w:val="24"/>
    </w:rPr>
  </w:style>
  <w:style w:type="character" w:customStyle="1" w:styleId="40">
    <w:name w:val="批注框文本 字符"/>
    <w:link w:val="10"/>
    <w:autoRedefine/>
    <w:semiHidden/>
    <w:qFormat/>
    <w:locked/>
    <w:uiPriority w:val="0"/>
    <w:rPr>
      <w:rFonts w:ascii="Times New Roman" w:hAnsi="Times New Roman" w:eastAsia="宋体"/>
      <w:sz w:val="18"/>
    </w:rPr>
  </w:style>
  <w:style w:type="character" w:customStyle="1" w:styleId="41">
    <w:name w:val="页脚 字符1"/>
    <w:link w:val="11"/>
    <w:autoRedefine/>
    <w:qFormat/>
    <w:locked/>
    <w:uiPriority w:val="99"/>
    <w:rPr>
      <w:sz w:val="18"/>
    </w:rPr>
  </w:style>
  <w:style w:type="character" w:customStyle="1" w:styleId="42">
    <w:name w:val="页眉 字符"/>
    <w:link w:val="12"/>
    <w:autoRedefine/>
    <w:qFormat/>
    <w:locked/>
    <w:uiPriority w:val="0"/>
    <w:rPr>
      <w:sz w:val="18"/>
    </w:rPr>
  </w:style>
  <w:style w:type="character" w:customStyle="1" w:styleId="43">
    <w:name w:val="普通(网站) 字符"/>
    <w:link w:val="15"/>
    <w:autoRedefine/>
    <w:qFormat/>
    <w:locked/>
    <w:uiPriority w:val="0"/>
    <w:rPr>
      <w:rFonts w:ascii="宋体" w:hAnsi="宋体"/>
      <w:sz w:val="24"/>
      <w:lang w:val="zh-CN"/>
    </w:rPr>
  </w:style>
  <w:style w:type="character" w:customStyle="1" w:styleId="44">
    <w:name w:val="批注主题 字符"/>
    <w:link w:val="17"/>
    <w:autoRedefine/>
    <w:semiHidden/>
    <w:qFormat/>
    <w:locked/>
    <w:uiPriority w:val="0"/>
    <w:rPr>
      <w:rFonts w:ascii="Times New Roman" w:hAnsi="Times New Roman" w:eastAsia="宋体"/>
      <w:b/>
      <w:kern w:val="2"/>
      <w:sz w:val="24"/>
    </w:rPr>
  </w:style>
  <w:style w:type="character" w:customStyle="1" w:styleId="45">
    <w:name w:val="日期 字符"/>
    <w:autoRedefine/>
    <w:semiHidden/>
    <w:qFormat/>
    <w:uiPriority w:val="0"/>
    <w:rPr>
      <w:rFonts w:ascii="Times New Roman" w:hAnsi="Times New Roman" w:eastAsia="宋体"/>
      <w:sz w:val="24"/>
    </w:rPr>
  </w:style>
  <w:style w:type="character" w:customStyle="1" w:styleId="46">
    <w:name w:val="正文文本 字符1"/>
    <w:autoRedefine/>
    <w:semiHidden/>
    <w:qFormat/>
    <w:uiPriority w:val="0"/>
    <w:rPr>
      <w:rFonts w:ascii="Times New Roman" w:hAnsi="Times New Roman" w:eastAsia="宋体"/>
      <w:sz w:val="24"/>
    </w:rPr>
  </w:style>
  <w:style w:type="character" w:customStyle="1" w:styleId="47">
    <w:name w:val="font01"/>
    <w:autoRedefine/>
    <w:qFormat/>
    <w:uiPriority w:val="0"/>
    <w:rPr>
      <w:rFonts w:hint="eastAsia" w:ascii="Arial Unicode MS" w:hAnsi="Arial Unicode MS" w:eastAsia="Arial Unicode MS" w:cs="Arial Unicode MS"/>
      <w:color w:val="000000"/>
      <w:sz w:val="24"/>
      <w:szCs w:val="24"/>
      <w:u w:val="none"/>
    </w:rPr>
  </w:style>
  <w:style w:type="character" w:customStyle="1" w:styleId="48">
    <w:name w:val="批注文字 字符1"/>
    <w:autoRedefine/>
    <w:semiHidden/>
    <w:qFormat/>
    <w:uiPriority w:val="0"/>
    <w:rPr>
      <w:rFonts w:ascii="Times New Roman" w:hAnsi="Times New Roman" w:eastAsia="宋体"/>
      <w:sz w:val="24"/>
    </w:rPr>
  </w:style>
  <w:style w:type="character" w:customStyle="1" w:styleId="49">
    <w:name w:val="表格 Char"/>
    <w:link w:val="50"/>
    <w:autoRedefine/>
    <w:qFormat/>
    <w:locked/>
    <w:uiPriority w:val="0"/>
    <w:rPr>
      <w:rFonts w:ascii="宋体"/>
      <w:sz w:val="21"/>
    </w:rPr>
  </w:style>
  <w:style w:type="paragraph" w:customStyle="1" w:styleId="50">
    <w:name w:val="表格"/>
    <w:basedOn w:val="1"/>
    <w:next w:val="1"/>
    <w:link w:val="49"/>
    <w:qFormat/>
    <w:uiPriority w:val="0"/>
    <w:pPr>
      <w:adjustRightInd w:val="0"/>
      <w:snapToGrid w:val="0"/>
      <w:spacing w:beforeLines="10" w:afterLines="10" w:line="259" w:lineRule="auto"/>
      <w:jc w:val="center"/>
    </w:pPr>
    <w:rPr>
      <w:rFonts w:ascii="宋体"/>
      <w:szCs w:val="20"/>
      <w:lang w:val="zh-CN"/>
    </w:rPr>
  </w:style>
  <w:style w:type="character" w:customStyle="1" w:styleId="51">
    <w:name w:val="页脚 字符"/>
    <w:autoRedefine/>
    <w:qFormat/>
    <w:uiPriority w:val="99"/>
  </w:style>
  <w:style w:type="character" w:customStyle="1" w:styleId="52">
    <w:name w:val="font21"/>
    <w:autoRedefine/>
    <w:qFormat/>
    <w:uiPriority w:val="0"/>
    <w:rPr>
      <w:rFonts w:hint="eastAsia" w:ascii="Arial Unicode MS" w:hAnsi="Arial Unicode MS" w:eastAsia="Arial Unicode MS" w:cs="Arial Unicode MS"/>
      <w:color w:val="000000"/>
      <w:sz w:val="24"/>
      <w:szCs w:val="24"/>
      <w:u w:val="none"/>
      <w:vertAlign w:val="superscript"/>
    </w:rPr>
  </w:style>
  <w:style w:type="paragraph" w:customStyle="1" w:styleId="5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4">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sz w:val="24"/>
      <w:szCs w:val="20"/>
    </w:rPr>
  </w:style>
  <w:style w:type="paragraph" w:customStyle="1" w:styleId="55">
    <w:name w:val="德胜表格内容"/>
    <w:basedOn w:val="1"/>
    <w:qFormat/>
    <w:uiPriority w:val="0"/>
    <w:pPr>
      <w:adjustRightInd w:val="0"/>
      <w:snapToGrid w:val="0"/>
      <w:jc w:val="center"/>
    </w:pPr>
    <w:rPr>
      <w:snapToGrid w:val="0"/>
      <w:color w:val="0000FF"/>
      <w:sz w:val="20"/>
    </w:rPr>
  </w:style>
  <w:style w:type="paragraph" w:customStyle="1" w:styleId="56">
    <w:name w:val="正文_10"/>
    <w:qFormat/>
    <w:uiPriority w:val="0"/>
    <w:pPr>
      <w:widowControl w:val="0"/>
      <w:jc w:val="both"/>
    </w:pPr>
    <w:rPr>
      <w:rFonts w:ascii="Times New Roman" w:hAnsi="Times New Roman" w:eastAsia="宋体" w:cs="宋体"/>
      <w:kern w:val="2"/>
      <w:sz w:val="21"/>
      <w:szCs w:val="22"/>
      <w:lang w:val="en-US" w:eastAsia="zh-CN" w:bidi="ar-SA"/>
    </w:rPr>
  </w:style>
  <w:style w:type="table" w:customStyle="1" w:styleId="57">
    <w:name w:val="报告表格"/>
    <w:basedOn w:val="18"/>
    <w:autoRedefine/>
    <w:qFormat/>
    <w:uiPriority w:val="0"/>
    <w:pPr>
      <w:jc w:val="center"/>
    </w:p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rPr>
        <w:b w:val="0"/>
      </w:rPr>
    </w:tblStylePr>
  </w:style>
  <w:style w:type="paragraph" w:customStyle="1" w:styleId="58">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character" w:customStyle="1" w:styleId="59">
    <w:name w:val="题注 字符"/>
    <w:link w:val="4"/>
    <w:autoRedefine/>
    <w:qFormat/>
    <w:uiPriority w:val="35"/>
    <w:rPr>
      <w:rFonts w:cs="Arial"/>
      <w:b/>
      <w:kern w:val="2"/>
      <w:sz w:val="21"/>
    </w:rPr>
  </w:style>
  <w:style w:type="character" w:customStyle="1" w:styleId="60">
    <w:name w:val="fontstyle01"/>
    <w:autoRedefine/>
    <w:qFormat/>
    <w:uiPriority w:val="0"/>
    <w:rPr>
      <w:rFonts w:hint="eastAsia" w:ascii="宋体" w:hAnsi="宋体" w:eastAsia="宋体"/>
      <w:color w:val="000000"/>
      <w:sz w:val="22"/>
      <w:szCs w:val="22"/>
    </w:rPr>
  </w:style>
  <w:style w:type="paragraph" w:customStyle="1" w:styleId="61">
    <w:name w:val="我的正文"/>
    <w:basedOn w:val="1"/>
    <w:link w:val="62"/>
    <w:qFormat/>
    <w:uiPriority w:val="0"/>
    <w:pPr>
      <w:overflowPunct w:val="0"/>
      <w:autoSpaceDE w:val="0"/>
      <w:autoSpaceDN w:val="0"/>
      <w:spacing w:line="360" w:lineRule="auto"/>
      <w:ind w:firstLine="200" w:firstLineChars="200"/>
    </w:pPr>
    <w:rPr>
      <w:sz w:val="24"/>
      <w:lang w:val="zh-CN"/>
    </w:rPr>
  </w:style>
  <w:style w:type="character" w:customStyle="1" w:styleId="62">
    <w:name w:val="我的正文 字符"/>
    <w:link w:val="61"/>
    <w:autoRedefine/>
    <w:qFormat/>
    <w:uiPriority w:val="0"/>
    <w:rPr>
      <w:kern w:val="2"/>
      <w:sz w:val="24"/>
      <w:szCs w:val="24"/>
    </w:rPr>
  </w:style>
  <w:style w:type="character" w:customStyle="1" w:styleId="63">
    <w:name w:val="fontstyle11"/>
    <w:autoRedefine/>
    <w:qFormat/>
    <w:uiPriority w:val="0"/>
    <w:rPr>
      <w:rFonts w:hint="default" w:ascii="TimesNewRomanPS-BoldMT" w:hAnsi="TimesNewRomanPS-BoldMT"/>
      <w:b/>
      <w:bCs/>
      <w:color w:val="000000"/>
      <w:sz w:val="22"/>
      <w:szCs w:val="22"/>
    </w:rPr>
  </w:style>
  <w:style w:type="character" w:customStyle="1" w:styleId="64">
    <w:name w:val="正文00 Char"/>
    <w:link w:val="65"/>
    <w:autoRedefine/>
    <w:qFormat/>
    <w:locked/>
    <w:uiPriority w:val="0"/>
    <w:rPr>
      <w:color w:val="0000FF"/>
      <w:kern w:val="2"/>
      <w:sz w:val="24"/>
      <w:szCs w:val="24"/>
      <w:lang w:val="en-US" w:eastAsia="zh-CN" w:bidi="ar-SA"/>
    </w:rPr>
  </w:style>
  <w:style w:type="paragraph" w:customStyle="1" w:styleId="65">
    <w:name w:val="正文00"/>
    <w:link w:val="64"/>
    <w:qFormat/>
    <w:uiPriority w:val="0"/>
    <w:pPr>
      <w:overflowPunct w:val="0"/>
      <w:topLinePunct/>
      <w:adjustRightInd w:val="0"/>
      <w:snapToGrid w:val="0"/>
      <w:spacing w:line="460" w:lineRule="exact"/>
      <w:ind w:firstLine="200" w:firstLineChars="200"/>
      <w:jc w:val="both"/>
    </w:pPr>
    <w:rPr>
      <w:rFonts w:ascii="Times New Roman" w:hAnsi="Times New Roman" w:eastAsia="宋体" w:cs="宋体"/>
      <w:color w:val="0000FF"/>
      <w:kern w:val="2"/>
      <w:sz w:val="24"/>
      <w:szCs w:val="24"/>
      <w:lang w:val="en-US" w:eastAsia="zh-CN" w:bidi="ar-SA"/>
    </w:rPr>
  </w:style>
  <w:style w:type="paragraph" w:customStyle="1" w:styleId="66">
    <w:name w:val="TOC 标题1"/>
    <w:basedOn w:val="3"/>
    <w:next w:val="1"/>
    <w:unhideWhenUsed/>
    <w:qFormat/>
    <w:uiPriority w:val="39"/>
    <w:pPr>
      <w:keepLines/>
      <w:widowControl/>
      <w:overflowPunct/>
      <w:snapToGrid/>
      <w:spacing w:before="240" w:after="0"/>
      <w:ind w:left="0" w:firstLine="0"/>
      <w:jc w:val="left"/>
      <w:outlineLvl w:val="9"/>
    </w:pPr>
    <w:rPr>
      <w:rFonts w:ascii="等线 Light" w:hAnsi="等线 Light" w:eastAsia="等线 Light"/>
      <w:b w:val="0"/>
      <w:bCs w:val="0"/>
      <w:color w:val="2F5496"/>
      <w:kern w:val="0"/>
      <w:sz w:val="32"/>
      <w:szCs w:val="32"/>
    </w:rPr>
  </w:style>
  <w:style w:type="character" w:customStyle="1" w:styleId="67">
    <w:name w:val="批注文字 Char"/>
    <w:autoRedefine/>
    <w:semiHidden/>
    <w:qFormat/>
    <w:uiPriority w:val="0"/>
    <w:rPr>
      <w:kern w:val="2"/>
      <w:sz w:val="21"/>
      <w:szCs w:val="24"/>
    </w:rPr>
  </w:style>
  <w:style w:type="paragraph" w:customStyle="1" w:styleId="68">
    <w:name w:val="报告表正文"/>
    <w:basedOn w:val="1"/>
    <w:qFormat/>
    <w:uiPriority w:val="0"/>
    <w:pPr>
      <w:adjustRightInd w:val="0"/>
      <w:spacing w:line="312" w:lineRule="auto"/>
      <w:ind w:left="113" w:right="113" w:firstLine="482"/>
      <w:jc w:val="left"/>
      <w:textAlignment w:val="baseline"/>
    </w:pPr>
    <w:rPr>
      <w:sz w:val="24"/>
    </w:rPr>
  </w:style>
  <w:style w:type="character" w:customStyle="1" w:styleId="69">
    <w:name w:val="正文文本缩进 2 字符"/>
    <w:link w:val="2"/>
    <w:autoRedefine/>
    <w:qFormat/>
    <w:uiPriority w:val="99"/>
    <w:rPr>
      <w:kern w:val="2"/>
      <w:sz w:val="21"/>
      <w:szCs w:val="24"/>
    </w:rPr>
  </w:style>
  <w:style w:type="paragraph" w:customStyle="1" w:styleId="70">
    <w:name w:val="修订1"/>
    <w:autoRedefine/>
    <w:hidden/>
    <w:unhideWhenUsed/>
    <w:qFormat/>
    <w:uiPriority w:val="99"/>
    <w:rPr>
      <w:rFonts w:ascii="Times New Roman" w:hAnsi="Times New Roman" w:eastAsia="宋体" w:cs="宋体"/>
      <w:kern w:val="2"/>
      <w:sz w:val="21"/>
      <w:szCs w:val="24"/>
      <w:lang w:val="en-US" w:eastAsia="zh-CN" w:bidi="ar-SA"/>
    </w:rPr>
  </w:style>
  <w:style w:type="paragraph" w:customStyle="1" w:styleId="71">
    <w:name w:val="Normal_0_0"/>
    <w:qFormat/>
    <w:uiPriority w:val="0"/>
    <w:pPr>
      <w:widowControl w:val="0"/>
      <w:spacing w:line="360" w:lineRule="auto"/>
      <w:ind w:firstLine="200" w:firstLineChars="200"/>
      <w:jc w:val="both"/>
    </w:pPr>
    <w:rPr>
      <w:rFonts w:ascii="Times New Roman" w:hAnsi="Times New Roman" w:eastAsia="仿宋" w:cs="宋体"/>
      <w:kern w:val="2"/>
      <w:sz w:val="28"/>
      <w:szCs w:val="21"/>
      <w:lang w:val="en-US" w:eastAsia="zh-CN" w:bidi="ar-SA"/>
    </w:rPr>
  </w:style>
  <w:style w:type="table" w:customStyle="1" w:styleId="72">
    <w:name w:val="Table Grid_0"/>
    <w:basedOn w:val="18"/>
    <w:autoRedefine/>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3">
    <w:name w:val="纯文本 字符"/>
    <w:autoRedefine/>
    <w:qFormat/>
    <w:uiPriority w:val="0"/>
    <w:rPr>
      <w:rFonts w:ascii="宋体" w:hAnsi="Courier New" w:cs="Courier New"/>
      <w:kern w:val="2"/>
      <w:sz w:val="21"/>
      <w:szCs w:val="21"/>
    </w:rPr>
  </w:style>
  <w:style w:type="character" w:customStyle="1" w:styleId="74">
    <w:name w:val="纯文本 字符1"/>
    <w:link w:val="8"/>
    <w:autoRedefine/>
    <w:qFormat/>
    <w:locked/>
    <w:uiPriority w:val="0"/>
    <w:rPr>
      <w:rFonts w:ascii="宋体" w:hAnsi="Courier New" w:cs="Courier New"/>
      <w:kern w:val="2"/>
      <w:sz w:val="21"/>
      <w:szCs w:val="21"/>
    </w:rPr>
  </w:style>
  <w:style w:type="character" w:customStyle="1" w:styleId="75">
    <w:name w:val="标题 1 字符"/>
    <w:link w:val="3"/>
    <w:autoRedefine/>
    <w:qFormat/>
    <w:uiPriority w:val="9"/>
    <w:rPr>
      <w:rFonts w:eastAsia="黑体"/>
      <w:b/>
      <w:bCs/>
      <w:color w:val="000000"/>
      <w:kern w:val="44"/>
      <w:sz w:val="30"/>
      <w:szCs w:val="30"/>
    </w:rPr>
  </w:style>
  <w:style w:type="character" w:customStyle="1" w:styleId="76">
    <w:name w:val="表格内容 Char"/>
    <w:link w:val="77"/>
    <w:autoRedefine/>
    <w:qFormat/>
    <w:uiPriority w:val="0"/>
    <w:rPr>
      <w:rFonts w:ascii="宋体" w:hAnsi="宋体"/>
      <w:bCs/>
      <w:color w:val="FF0000"/>
      <w:kern w:val="2"/>
      <w:sz w:val="18"/>
      <w:szCs w:val="24"/>
    </w:rPr>
  </w:style>
  <w:style w:type="paragraph" w:customStyle="1" w:styleId="77">
    <w:name w:val="表格内容"/>
    <w:basedOn w:val="1"/>
    <w:next w:val="1"/>
    <w:link w:val="76"/>
    <w:qFormat/>
    <w:uiPriority w:val="0"/>
    <w:pPr>
      <w:spacing w:line="280" w:lineRule="exact"/>
      <w:jc w:val="center"/>
    </w:pPr>
    <w:rPr>
      <w:rFonts w:ascii="宋体" w:hAnsi="宋体"/>
      <w:bCs/>
      <w:color w:val="FF0000"/>
      <w:sz w:val="18"/>
      <w:lang w:val="zh-CN"/>
    </w:rPr>
  </w:style>
  <w:style w:type="character" w:customStyle="1" w:styleId="78">
    <w:name w:val="未处理的提及1"/>
    <w:autoRedefine/>
    <w:semiHidden/>
    <w:unhideWhenUsed/>
    <w:qFormat/>
    <w:uiPriority w:val="99"/>
    <w:rPr>
      <w:color w:val="605E5C"/>
      <w:shd w:val="clear" w:color="auto" w:fill="E1DFDD"/>
    </w:rPr>
  </w:style>
  <w:style w:type="table" w:customStyle="1" w:styleId="79">
    <w:name w:val="网格型1"/>
    <w:basedOn w:val="18"/>
    <w:autoRedefine/>
    <w:qFormat/>
    <w:uiPriority w:val="0"/>
    <w:pPr>
      <w:spacing w:line="360" w:lineRule="auto"/>
      <w:jc w:val="both"/>
    </w:pPr>
    <w:rPr>
      <w:rFonts w:ascii="Calibri" w:hAnsi="Calibri" w:cs="Calibri"/>
    </w:rPr>
    <w:tblPr>
      <w:tblBorders>
        <w:top w:val="single" w:color="auto" w:sz="12" w:space="0"/>
        <w:bottom w:val="single" w:color="auto" w:sz="12" w:space="0"/>
        <w:insideH w:val="single" w:color="auto" w:sz="6" w:space="0"/>
        <w:insideV w:val="single" w:color="auto" w:sz="6" w:space="0"/>
      </w:tblBorders>
    </w:tblPr>
  </w:style>
  <w:style w:type="paragraph" w:customStyle="1" w:styleId="80">
    <w:name w:val="Normal_0"/>
    <w:qFormat/>
    <w:uiPriority w:val="0"/>
    <w:pPr>
      <w:widowControl w:val="0"/>
      <w:spacing w:line="360" w:lineRule="auto"/>
      <w:ind w:firstLine="200" w:firstLineChars="200"/>
      <w:jc w:val="both"/>
    </w:pPr>
    <w:rPr>
      <w:rFonts w:ascii="Times New Roman" w:hAnsi="Times New Roman" w:eastAsia="仿宋" w:cs="宋体"/>
      <w:kern w:val="2"/>
      <w:sz w:val="28"/>
      <w:szCs w:val="21"/>
      <w:lang w:val="en-US" w:eastAsia="zh-CN" w:bidi="ar-SA"/>
    </w:rPr>
  </w:style>
  <w:style w:type="paragraph" w:styleId="81">
    <w:name w:val="List Paragraph"/>
    <w:basedOn w:val="1"/>
    <w:qFormat/>
    <w:uiPriority w:val="99"/>
    <w:pPr>
      <w:ind w:firstLine="420" w:firstLineChars="200"/>
    </w:pPr>
  </w:style>
  <w:style w:type="paragraph" w:customStyle="1" w:styleId="82">
    <w:name w:val="修订2"/>
    <w:hidden/>
    <w:unhideWhenUsed/>
    <w:qFormat/>
    <w:uiPriority w:val="99"/>
    <w:rPr>
      <w:rFonts w:ascii="Times New Roman" w:hAnsi="Times New Roman" w:eastAsia="宋体" w:cs="宋体"/>
      <w:kern w:val="2"/>
      <w:sz w:val="21"/>
      <w:szCs w:val="24"/>
      <w:lang w:val="en-US" w:eastAsia="zh-CN" w:bidi="ar-SA"/>
    </w:rPr>
  </w:style>
  <w:style w:type="character" w:customStyle="1" w:styleId="83">
    <w:name w:val="标题 字符"/>
    <w:basedOn w:val="29"/>
    <w:link w:val="16"/>
    <w:qFormat/>
    <w:uiPriority w:val="0"/>
    <w:rPr>
      <w:rFonts w:asciiTheme="majorHAnsi" w:hAnsiTheme="majorHAnsi" w:eastAsiaTheme="majorEastAsia" w:cstheme="majorBidi"/>
      <w:b/>
      <w:bCs/>
      <w:kern w:val="2"/>
      <w:sz w:val="32"/>
      <w:szCs w:val="32"/>
    </w:rPr>
  </w:style>
  <w:style w:type="character" w:customStyle="1" w:styleId="84">
    <w:name w:val="副标题 字符"/>
    <w:basedOn w:val="29"/>
    <w:link w:val="14"/>
    <w:qFormat/>
    <w:uiPriority w:val="0"/>
    <w:rPr>
      <w:rFonts w:asciiTheme="minorHAnsi" w:hAnsiTheme="minorHAnsi" w:eastAsiaTheme="minorEastAsia" w:cstheme="minorBidi"/>
      <w:b/>
      <w:bCs/>
      <w:kern w:val="28"/>
      <w:sz w:val="32"/>
      <w:szCs w:val="32"/>
    </w:rPr>
  </w:style>
  <w:style w:type="character" w:customStyle="1" w:styleId="85">
    <w:name w:val="不明显强调1"/>
    <w:basedOn w:val="29"/>
    <w:qFormat/>
    <w:uiPriority w:val="19"/>
    <w:rPr>
      <w:i/>
      <w:iCs/>
      <w:color w:val="404040" w:themeColor="text1" w:themeTint="BF"/>
      <w14:textFill>
        <w14:solidFill>
          <w14:schemeClr w14:val="tx1">
            <w14:lumMod w14:val="75000"/>
            <w14:lumOff w14:val="25000"/>
          </w14:schemeClr>
        </w14:solidFill>
      </w14:textFill>
    </w:rPr>
  </w:style>
  <w:style w:type="character" w:customStyle="1" w:styleId="86">
    <w:name w:val="明显强调1"/>
    <w:basedOn w:val="29"/>
    <w:qFormat/>
    <w:uiPriority w:val="21"/>
    <w:rPr>
      <w:i/>
      <w:iCs/>
      <w:color w:val="4472C4" w:themeColor="accent1"/>
      <w14:textFill>
        <w14:solidFill>
          <w14:schemeClr w14:val="accent1"/>
        </w14:solidFill>
      </w14:textFill>
    </w:rPr>
  </w:style>
  <w:style w:type="character" w:customStyle="1" w:styleId="87">
    <w:name w:val="不明显参考1"/>
    <w:basedOn w:val="29"/>
    <w:qFormat/>
    <w:uiPriority w:val="31"/>
    <w:rPr>
      <w:smallCaps/>
      <w:color w:val="595959" w:themeColor="text1" w:themeTint="A6"/>
      <w14:textFill>
        <w14:solidFill>
          <w14:schemeClr w14:val="tx1">
            <w14:lumMod w14:val="65000"/>
            <w14:lumOff w14:val="35000"/>
          </w14:schemeClr>
        </w14:solidFill>
      </w14:textFill>
    </w:rPr>
  </w:style>
  <w:style w:type="character" w:customStyle="1" w:styleId="88">
    <w:name w:val="书籍标题1"/>
    <w:basedOn w:val="29"/>
    <w:qFormat/>
    <w:uiPriority w:val="33"/>
    <w:rPr>
      <w:b/>
      <w:bCs/>
      <w:i/>
      <w:iCs/>
      <w:spacing w:val="5"/>
    </w:rPr>
  </w:style>
  <w:style w:type="paragraph" w:customStyle="1" w:styleId="89">
    <w:name w:val="_Style 3"/>
    <w:basedOn w:val="1"/>
    <w:next w:val="1"/>
    <w:qFormat/>
    <w:uiPriority w:val="0"/>
    <w:pPr>
      <w:pBdr>
        <w:bottom w:val="single" w:color="auto" w:sz="6" w:space="1"/>
      </w:pBdr>
      <w:jc w:val="center"/>
    </w:pPr>
    <w:rPr>
      <w:rFonts w:ascii="Arial"/>
      <w:vanish/>
      <w:kern w:val="2"/>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customXml" Target="../customXml/item1.xml"/><Relationship Id="rId34" Type="http://schemas.openxmlformats.org/officeDocument/2006/relationships/image" Target="media/image24.png"/><Relationship Id="rId33" Type="http://schemas.openxmlformats.org/officeDocument/2006/relationships/image" Target="media/image23.jpeg"/><Relationship Id="rId32" Type="http://schemas.openxmlformats.org/officeDocument/2006/relationships/image" Target="media/image22.emf"/><Relationship Id="rId31" Type="http://schemas.openxmlformats.org/officeDocument/2006/relationships/image" Target="media/image21.emf"/><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emf"/><Relationship Id="rId22" Type="http://schemas.openxmlformats.org/officeDocument/2006/relationships/image" Target="media/image12.emf"/><Relationship Id="rId21" Type="http://schemas.openxmlformats.org/officeDocument/2006/relationships/image" Target="media/image11.emf"/><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emf"/><Relationship Id="rId17" Type="http://schemas.openxmlformats.org/officeDocument/2006/relationships/oleObject" Target="embeddings/oleObject4.bin"/><Relationship Id="rId16" Type="http://schemas.openxmlformats.org/officeDocument/2006/relationships/image" Target="media/image7.emf"/><Relationship Id="rId15" Type="http://schemas.openxmlformats.org/officeDocument/2006/relationships/oleObject" Target="embeddings/oleObject3.bin"/><Relationship Id="rId14" Type="http://schemas.openxmlformats.org/officeDocument/2006/relationships/image" Target="media/image6.emf"/><Relationship Id="rId13" Type="http://schemas.openxmlformats.org/officeDocument/2006/relationships/oleObject" Target="embeddings/oleObject2.bin"/><Relationship Id="rId12" Type="http://schemas.openxmlformats.org/officeDocument/2006/relationships/image" Target="media/image5.png"/><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30FAA7-8E16-4F74-8D8B-2B0500067835}">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73</Pages>
  <Words>51605</Words>
  <Characters>57000</Characters>
  <Lines>446</Lines>
  <Paragraphs>125</Paragraphs>
  <TotalTime>6379</TotalTime>
  <ScaleCrop>false</ScaleCrop>
  <LinksUpToDate>false</LinksUpToDate>
  <CharactersWithSpaces>57710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2024-05-22T08:04:00Z</dcterms:created>
  <dc:creator>Y-jr</dc:creator>
  <cp:lastModifiedBy>idiot</cp:lastModifiedBy>
  <cp:lastPrinted>2022-07-13T05:57:00Z</cp:lastPrinted>
  <dcterms:modified xsi:type="dcterms:W3CDTF">2024-09-26T06:23:47Z</dcterms:modified>
  <dc:title>1、文本-通川区九州通医药产业链一期建设项目-2024.8.20</dc:title>
  <cp:revision>233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94EAC7D634844796AAE8E975F10EF64B</vt:lpwstr>
  </property>
</Properties>
</file>