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24113">
      <w:pPr>
        <w:spacing w:line="360" w:lineRule="auto"/>
        <w:jc w:val="center"/>
        <w:rPr>
          <w:rFonts w:eastAsia="方正小标宋_GBK"/>
          <w:sz w:val="72"/>
          <w:szCs w:val="72"/>
        </w:rPr>
      </w:pPr>
    </w:p>
    <w:p w14:paraId="6D0736DD">
      <w:pPr>
        <w:spacing w:line="360" w:lineRule="auto"/>
        <w:jc w:val="center"/>
        <w:rPr>
          <w:rFonts w:eastAsia="方正小标宋_GBK"/>
          <w:sz w:val="72"/>
          <w:szCs w:val="72"/>
        </w:rPr>
      </w:pPr>
    </w:p>
    <w:p w14:paraId="48D0A8A2">
      <w:pPr>
        <w:spacing w:line="360" w:lineRule="auto"/>
        <w:jc w:val="center"/>
        <w:outlineLvl w:val="0"/>
        <w:rPr>
          <w:rFonts w:eastAsia="方正小标宋_GBK"/>
          <w:sz w:val="72"/>
          <w:szCs w:val="72"/>
        </w:rPr>
      </w:pPr>
      <w:r>
        <w:rPr>
          <w:rFonts w:eastAsia="方正小标宋_GBK"/>
          <w:sz w:val="72"/>
          <w:szCs w:val="72"/>
        </w:rPr>
        <w:t>建设项目环境影响报告表</w:t>
      </w:r>
    </w:p>
    <w:p w14:paraId="07E21B82">
      <w:pPr>
        <w:jc w:val="center"/>
        <w:rPr>
          <w:rFonts w:eastAsia="楷体"/>
          <w:sz w:val="48"/>
          <w:szCs w:val="48"/>
        </w:rPr>
      </w:pPr>
      <w:r>
        <w:rPr>
          <w:rFonts w:eastAsia="楷体"/>
          <w:sz w:val="48"/>
          <w:szCs w:val="48"/>
        </w:rPr>
        <w:t>（污染影响类）</w:t>
      </w:r>
    </w:p>
    <w:p w14:paraId="0845F6BD">
      <w:pPr>
        <w:jc w:val="center"/>
        <w:rPr>
          <w:rFonts w:eastAsia="楷体"/>
          <w:sz w:val="48"/>
          <w:szCs w:val="48"/>
        </w:rPr>
      </w:pPr>
      <w:r>
        <w:rPr>
          <w:rFonts w:hint="eastAsia" w:eastAsia="楷体"/>
          <w:sz w:val="36"/>
          <w:szCs w:val="36"/>
        </w:rPr>
        <w:t>（</w:t>
      </w:r>
      <w:r>
        <w:rPr>
          <w:rFonts w:hint="eastAsia" w:eastAsia="楷体"/>
          <w:sz w:val="36"/>
          <w:szCs w:val="36"/>
          <w:lang w:val="en-US" w:eastAsia="zh-CN"/>
        </w:rPr>
        <w:t>公示本</w:t>
      </w:r>
      <w:r>
        <w:rPr>
          <w:rFonts w:hint="eastAsia" w:eastAsia="楷体"/>
          <w:sz w:val="36"/>
          <w:szCs w:val="36"/>
        </w:rPr>
        <w:t>）</w:t>
      </w:r>
    </w:p>
    <w:p w14:paraId="7F176016">
      <w:pPr>
        <w:spacing w:line="360" w:lineRule="auto"/>
        <w:rPr>
          <w:rFonts w:eastAsia="仿宋"/>
          <w:b/>
          <w:sz w:val="36"/>
          <w:szCs w:val="36"/>
        </w:rPr>
      </w:pPr>
    </w:p>
    <w:p w14:paraId="3ECE2B5F">
      <w:pPr>
        <w:spacing w:line="360" w:lineRule="auto"/>
        <w:rPr>
          <w:rFonts w:eastAsia="仿宋"/>
          <w:b/>
          <w:sz w:val="36"/>
          <w:szCs w:val="36"/>
        </w:rPr>
      </w:pPr>
    </w:p>
    <w:p w14:paraId="0662AD43">
      <w:pPr>
        <w:spacing w:line="360" w:lineRule="auto"/>
        <w:rPr>
          <w:rFonts w:eastAsia="仿宋"/>
          <w:b/>
          <w:sz w:val="36"/>
          <w:szCs w:val="36"/>
        </w:rPr>
      </w:pPr>
    </w:p>
    <w:p w14:paraId="129D9D56">
      <w:pPr>
        <w:spacing w:line="360" w:lineRule="auto"/>
        <w:rPr>
          <w:rFonts w:eastAsia="仿宋"/>
          <w:b/>
          <w:sz w:val="36"/>
          <w:szCs w:val="36"/>
        </w:rPr>
      </w:pPr>
    </w:p>
    <w:p w14:paraId="43A9B659">
      <w:pPr>
        <w:spacing w:line="360" w:lineRule="auto"/>
        <w:rPr>
          <w:rFonts w:eastAsia="仿宋"/>
          <w:b/>
          <w:sz w:val="36"/>
          <w:szCs w:val="36"/>
        </w:rPr>
      </w:pPr>
    </w:p>
    <w:p w14:paraId="60C54075">
      <w:pPr>
        <w:spacing w:line="360" w:lineRule="auto"/>
        <w:ind w:left="2159" w:leftChars="171" w:hanging="1800" w:hangingChars="500"/>
        <w:rPr>
          <w:rFonts w:eastAsia="仿宋"/>
          <w:sz w:val="36"/>
          <w:szCs w:val="36"/>
          <w:u w:val="single"/>
        </w:rPr>
      </w:pPr>
      <w:r>
        <w:rPr>
          <w:rFonts w:eastAsia="仿宋"/>
          <w:sz w:val="36"/>
          <w:szCs w:val="36"/>
        </w:rPr>
        <w:t>项目名称：</w:t>
      </w:r>
      <w:r>
        <w:rPr>
          <w:rFonts w:hint="eastAsia" w:eastAsia="仿宋"/>
          <w:sz w:val="36"/>
          <w:szCs w:val="36"/>
          <w:u w:val="single"/>
        </w:rPr>
        <w:t xml:space="preserve">通川区广慈精神病专科医院（养老、精神病专科）建设项目  </w:t>
      </w:r>
      <w:r>
        <w:rPr>
          <w:rFonts w:eastAsia="仿宋"/>
          <w:sz w:val="36"/>
          <w:szCs w:val="36"/>
          <w:u w:val="single"/>
        </w:rPr>
        <w:t xml:space="preserve"> </w:t>
      </w:r>
      <w:r>
        <w:rPr>
          <w:rFonts w:hint="eastAsia" w:eastAsia="仿宋"/>
          <w:sz w:val="36"/>
          <w:szCs w:val="36"/>
          <w:u w:val="single"/>
        </w:rPr>
        <w:t xml:space="preserve">  </w:t>
      </w:r>
      <w:r>
        <w:rPr>
          <w:rFonts w:eastAsia="仿宋"/>
          <w:sz w:val="36"/>
          <w:szCs w:val="36"/>
          <w:u w:val="single"/>
        </w:rPr>
        <w:t xml:space="preserve">  </w:t>
      </w:r>
    </w:p>
    <w:p w14:paraId="0A46B754">
      <w:pPr>
        <w:spacing w:line="360" w:lineRule="auto"/>
        <w:ind w:firstLine="360" w:firstLineChars="100"/>
        <w:rPr>
          <w:rFonts w:eastAsia="仿宋"/>
          <w:sz w:val="36"/>
          <w:szCs w:val="36"/>
          <w:u w:val="single"/>
        </w:rPr>
      </w:pPr>
      <w:r>
        <w:rPr>
          <w:rFonts w:eastAsia="仿宋"/>
          <w:sz w:val="36"/>
          <w:szCs w:val="36"/>
        </w:rPr>
        <w:t>建设单位（盖章）：</w:t>
      </w:r>
      <w:r>
        <w:rPr>
          <w:rFonts w:eastAsia="仿宋"/>
          <w:sz w:val="36"/>
          <w:szCs w:val="36"/>
          <w:u w:val="single"/>
        </w:rPr>
        <w:t xml:space="preserve"> </w:t>
      </w:r>
      <w:r>
        <w:rPr>
          <w:rFonts w:hint="eastAsia" w:eastAsia="仿宋"/>
          <w:sz w:val="36"/>
          <w:szCs w:val="36"/>
          <w:u w:val="single"/>
        </w:rPr>
        <w:t xml:space="preserve">   重庆熙柚商贸有限公司   </w:t>
      </w:r>
      <w:r>
        <w:rPr>
          <w:rFonts w:eastAsia="仿宋"/>
          <w:sz w:val="36"/>
          <w:szCs w:val="36"/>
          <w:u w:val="single"/>
        </w:rPr>
        <w:t xml:space="preserve"> </w:t>
      </w:r>
    </w:p>
    <w:p w14:paraId="55F3B76E">
      <w:pPr>
        <w:spacing w:line="360" w:lineRule="auto"/>
        <w:ind w:firstLine="360" w:firstLineChars="100"/>
        <w:rPr>
          <w:rFonts w:eastAsia="仿宋"/>
          <w:sz w:val="36"/>
          <w:szCs w:val="36"/>
        </w:rPr>
      </w:pPr>
      <w:r>
        <w:rPr>
          <w:rFonts w:eastAsia="仿宋"/>
          <w:sz w:val="36"/>
          <w:szCs w:val="36"/>
        </w:rPr>
        <w:t>编制日期：</w:t>
      </w:r>
      <w:r>
        <w:rPr>
          <w:rFonts w:eastAsia="仿宋"/>
          <w:sz w:val="36"/>
          <w:szCs w:val="36"/>
          <w:u w:val="single"/>
        </w:rPr>
        <w:t xml:space="preserve">            </w:t>
      </w:r>
      <w:r>
        <w:rPr>
          <w:rFonts w:hint="eastAsia" w:eastAsia="仿宋"/>
          <w:sz w:val="36"/>
          <w:szCs w:val="36"/>
          <w:u w:val="single"/>
        </w:rPr>
        <w:t xml:space="preserve"> </w:t>
      </w:r>
      <w:r>
        <w:rPr>
          <w:rFonts w:eastAsia="仿宋"/>
          <w:sz w:val="36"/>
          <w:szCs w:val="36"/>
          <w:u w:val="single"/>
        </w:rPr>
        <w:t>202</w:t>
      </w:r>
      <w:r>
        <w:rPr>
          <w:rFonts w:hint="eastAsia" w:eastAsia="仿宋"/>
          <w:sz w:val="36"/>
          <w:szCs w:val="36"/>
          <w:u w:val="single"/>
        </w:rPr>
        <w:t>4</w:t>
      </w:r>
      <w:r>
        <w:rPr>
          <w:rFonts w:eastAsia="仿宋"/>
          <w:sz w:val="36"/>
          <w:szCs w:val="36"/>
          <w:u w:val="single"/>
        </w:rPr>
        <w:t>年</w:t>
      </w:r>
      <w:r>
        <w:rPr>
          <w:rFonts w:hint="eastAsia" w:eastAsia="仿宋"/>
          <w:sz w:val="36"/>
          <w:szCs w:val="36"/>
          <w:u w:val="single"/>
          <w:lang w:val="en-US" w:eastAsia="zh-CN"/>
        </w:rPr>
        <w:t>9</w:t>
      </w:r>
      <w:r>
        <w:rPr>
          <w:rFonts w:eastAsia="仿宋"/>
          <w:sz w:val="36"/>
          <w:szCs w:val="36"/>
          <w:u w:val="single"/>
        </w:rPr>
        <w:t xml:space="preserve">月       </w:t>
      </w:r>
      <w:r>
        <w:rPr>
          <w:rFonts w:hint="eastAsia" w:eastAsia="仿宋"/>
          <w:sz w:val="36"/>
          <w:szCs w:val="36"/>
          <w:u w:val="single"/>
        </w:rPr>
        <w:t xml:space="preserve">  </w:t>
      </w:r>
      <w:r>
        <w:rPr>
          <w:rFonts w:eastAsia="仿宋"/>
          <w:sz w:val="36"/>
          <w:szCs w:val="36"/>
          <w:u w:val="single"/>
        </w:rPr>
        <w:t xml:space="preserve"> </w:t>
      </w:r>
      <w:r>
        <w:rPr>
          <w:rFonts w:hint="eastAsia" w:eastAsia="仿宋"/>
          <w:sz w:val="36"/>
          <w:szCs w:val="36"/>
          <w:u w:val="single"/>
        </w:rPr>
        <w:t xml:space="preserve"> </w:t>
      </w:r>
      <w:r>
        <w:rPr>
          <w:rFonts w:eastAsia="仿宋"/>
          <w:sz w:val="36"/>
          <w:szCs w:val="36"/>
          <w:u w:val="single"/>
        </w:rPr>
        <w:t xml:space="preserve"> </w:t>
      </w:r>
    </w:p>
    <w:p w14:paraId="01D0CD5B">
      <w:pPr>
        <w:spacing w:line="360" w:lineRule="auto"/>
        <w:rPr>
          <w:rFonts w:eastAsia="仿宋"/>
          <w:sz w:val="36"/>
          <w:szCs w:val="36"/>
        </w:rPr>
      </w:pPr>
    </w:p>
    <w:p w14:paraId="4262E018">
      <w:pPr>
        <w:spacing w:line="360" w:lineRule="auto"/>
        <w:rPr>
          <w:rFonts w:eastAsia="仿宋"/>
          <w:sz w:val="36"/>
          <w:szCs w:val="36"/>
        </w:rPr>
      </w:pPr>
    </w:p>
    <w:p w14:paraId="663BCFDC">
      <w:pPr>
        <w:spacing w:line="360" w:lineRule="auto"/>
        <w:rPr>
          <w:rFonts w:eastAsia="仿宋"/>
          <w:sz w:val="36"/>
          <w:szCs w:val="36"/>
        </w:rPr>
      </w:pPr>
    </w:p>
    <w:p w14:paraId="1FA22548">
      <w:pPr>
        <w:spacing w:line="360" w:lineRule="auto"/>
        <w:rPr>
          <w:rFonts w:eastAsia="仿宋"/>
          <w:sz w:val="36"/>
          <w:szCs w:val="36"/>
        </w:rPr>
      </w:pPr>
    </w:p>
    <w:p w14:paraId="2A7D0663">
      <w:pPr>
        <w:spacing w:line="360" w:lineRule="auto"/>
        <w:jc w:val="center"/>
        <w:rPr>
          <w:rFonts w:eastAsia="楷体"/>
          <w:sz w:val="36"/>
          <w:szCs w:val="36"/>
        </w:rPr>
      </w:pPr>
    </w:p>
    <w:p w14:paraId="196AC588">
      <w:pPr>
        <w:spacing w:line="360" w:lineRule="auto"/>
        <w:jc w:val="center"/>
        <w:rPr>
          <w:rFonts w:eastAsia="楷体"/>
          <w:sz w:val="36"/>
          <w:szCs w:val="36"/>
        </w:rPr>
      </w:pPr>
      <w:r>
        <w:rPr>
          <w:rFonts w:eastAsia="楷体"/>
          <w:sz w:val="36"/>
          <w:szCs w:val="36"/>
        </w:rPr>
        <w:t>中华人民共和国生态环境部制</w:t>
      </w:r>
    </w:p>
    <w:p w14:paraId="0D931A85">
      <w:pPr>
        <w:spacing w:line="360" w:lineRule="auto"/>
        <w:rPr>
          <w:sz w:val="28"/>
          <w:szCs w:val="28"/>
        </w:rPr>
        <w:sectPr>
          <w:pgSz w:w="11906" w:h="16838"/>
          <w:pgMar w:top="1440" w:right="1134"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211C50B">
      <w:pPr>
        <w:pStyle w:val="8"/>
        <w:spacing w:after="0" w:line="360" w:lineRule="auto"/>
        <w:jc w:val="center"/>
        <w:outlineLvl w:val="0"/>
        <w:rPr>
          <w:rFonts w:eastAsia="黑体"/>
          <w:sz w:val="30"/>
          <w:szCs w:val="30"/>
        </w:rPr>
      </w:pPr>
      <w:r>
        <w:rPr>
          <w:rFonts w:eastAsia="黑体"/>
          <w:sz w:val="30"/>
          <w:szCs w:val="30"/>
        </w:rPr>
        <w:t>一、建设项目基本情况</w:t>
      </w:r>
    </w:p>
    <w:tbl>
      <w:tblPr>
        <w:tblStyle w:val="23"/>
        <w:tblW w:w="50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661"/>
        <w:gridCol w:w="2485"/>
        <w:gridCol w:w="1940"/>
        <w:gridCol w:w="3310"/>
      </w:tblGrid>
      <w:tr w14:paraId="4EC5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91" w:type="pct"/>
            <w:gridSpan w:val="2"/>
            <w:vAlign w:val="center"/>
          </w:tcPr>
          <w:p w14:paraId="1EC0FEEE">
            <w:pPr>
              <w:spacing w:line="360" w:lineRule="auto"/>
              <w:jc w:val="center"/>
              <w:rPr>
                <w:sz w:val="24"/>
                <w:szCs w:val="24"/>
              </w:rPr>
            </w:pPr>
            <w:r>
              <w:rPr>
                <w:sz w:val="24"/>
                <w:szCs w:val="24"/>
              </w:rPr>
              <w:t>建设项目名称</w:t>
            </w:r>
          </w:p>
        </w:tc>
        <w:tc>
          <w:tcPr>
            <w:tcW w:w="4008" w:type="pct"/>
            <w:gridSpan w:val="3"/>
            <w:vAlign w:val="center"/>
          </w:tcPr>
          <w:p w14:paraId="6D00B252">
            <w:pPr>
              <w:pStyle w:val="8"/>
              <w:spacing w:after="0" w:line="360" w:lineRule="auto"/>
              <w:jc w:val="center"/>
              <w:rPr>
                <w:sz w:val="24"/>
                <w:szCs w:val="36"/>
              </w:rPr>
            </w:pPr>
            <w:r>
              <w:rPr>
                <w:rFonts w:hint="eastAsia"/>
                <w:sz w:val="24"/>
                <w:szCs w:val="36"/>
              </w:rPr>
              <w:t>通川区广慈精神病专科医院（养老、精神病专科）建设项目</w:t>
            </w:r>
          </w:p>
        </w:tc>
      </w:tr>
      <w:tr w14:paraId="2AFE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193CDF79">
            <w:pPr>
              <w:spacing w:line="360" w:lineRule="auto"/>
              <w:jc w:val="center"/>
              <w:rPr>
                <w:sz w:val="24"/>
                <w:szCs w:val="24"/>
              </w:rPr>
            </w:pPr>
            <w:r>
              <w:rPr>
                <w:sz w:val="24"/>
                <w:szCs w:val="24"/>
              </w:rPr>
              <w:t>项目代码</w:t>
            </w:r>
          </w:p>
        </w:tc>
        <w:tc>
          <w:tcPr>
            <w:tcW w:w="4008" w:type="pct"/>
            <w:gridSpan w:val="3"/>
            <w:vAlign w:val="center"/>
          </w:tcPr>
          <w:p w14:paraId="4F55D5F6">
            <w:pPr>
              <w:pStyle w:val="8"/>
              <w:spacing w:after="0" w:line="360" w:lineRule="auto"/>
              <w:jc w:val="center"/>
              <w:rPr>
                <w:sz w:val="24"/>
                <w:szCs w:val="36"/>
              </w:rPr>
            </w:pPr>
            <w:r>
              <w:rPr>
                <w:rFonts w:hint="eastAsia"/>
                <w:sz w:val="24"/>
                <w:szCs w:val="36"/>
              </w:rPr>
              <w:t>2404-511702-04-01-628812</w:t>
            </w:r>
          </w:p>
        </w:tc>
      </w:tr>
      <w:tr w14:paraId="2153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6FC2C8A2">
            <w:pPr>
              <w:spacing w:line="360" w:lineRule="auto"/>
              <w:jc w:val="center"/>
              <w:rPr>
                <w:sz w:val="24"/>
                <w:szCs w:val="24"/>
              </w:rPr>
            </w:pPr>
            <w:r>
              <w:rPr>
                <w:sz w:val="24"/>
                <w:szCs w:val="24"/>
              </w:rPr>
              <w:t>建设单位联系人</w:t>
            </w:r>
          </w:p>
        </w:tc>
        <w:tc>
          <w:tcPr>
            <w:tcW w:w="1288" w:type="pct"/>
            <w:vAlign w:val="center"/>
          </w:tcPr>
          <w:p w14:paraId="1E97D714">
            <w:pPr>
              <w:spacing w:line="360" w:lineRule="auto"/>
              <w:jc w:val="center"/>
              <w:rPr>
                <w:sz w:val="24"/>
                <w:szCs w:val="24"/>
              </w:rPr>
            </w:pPr>
            <w:r>
              <w:rPr>
                <w:sz w:val="24"/>
                <w:szCs w:val="24"/>
              </w:rPr>
              <w:t>柴</w:t>
            </w:r>
            <w:r>
              <w:rPr>
                <w:rFonts w:hint="eastAsia"/>
                <w:sz w:val="24"/>
                <w:szCs w:val="24"/>
              </w:rPr>
              <w:t>建</w:t>
            </w:r>
          </w:p>
        </w:tc>
        <w:tc>
          <w:tcPr>
            <w:tcW w:w="1005" w:type="pct"/>
            <w:vAlign w:val="center"/>
          </w:tcPr>
          <w:p w14:paraId="4222E738">
            <w:pPr>
              <w:spacing w:line="360" w:lineRule="auto"/>
              <w:jc w:val="center"/>
              <w:rPr>
                <w:sz w:val="24"/>
                <w:szCs w:val="24"/>
              </w:rPr>
            </w:pPr>
            <w:r>
              <w:rPr>
                <w:sz w:val="24"/>
                <w:szCs w:val="24"/>
              </w:rPr>
              <w:t>联系方式</w:t>
            </w:r>
          </w:p>
        </w:tc>
        <w:tc>
          <w:tcPr>
            <w:tcW w:w="1715" w:type="pct"/>
            <w:vAlign w:val="center"/>
          </w:tcPr>
          <w:p w14:paraId="500D17B9">
            <w:pPr>
              <w:spacing w:line="360" w:lineRule="auto"/>
              <w:jc w:val="center"/>
              <w:rPr>
                <w:sz w:val="24"/>
                <w:szCs w:val="24"/>
              </w:rPr>
            </w:pPr>
            <w:r>
              <w:rPr>
                <w:sz w:val="24"/>
                <w:szCs w:val="24"/>
              </w:rPr>
              <w:t>18181843103</w:t>
            </w:r>
          </w:p>
        </w:tc>
      </w:tr>
      <w:tr w14:paraId="63A0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2E8C3541">
            <w:pPr>
              <w:spacing w:line="360" w:lineRule="auto"/>
              <w:jc w:val="center"/>
              <w:rPr>
                <w:sz w:val="24"/>
                <w:szCs w:val="24"/>
              </w:rPr>
            </w:pPr>
            <w:r>
              <w:rPr>
                <w:sz w:val="24"/>
                <w:szCs w:val="24"/>
              </w:rPr>
              <w:t>建设地点</w:t>
            </w:r>
          </w:p>
        </w:tc>
        <w:tc>
          <w:tcPr>
            <w:tcW w:w="4008" w:type="pct"/>
            <w:gridSpan w:val="3"/>
            <w:vAlign w:val="center"/>
          </w:tcPr>
          <w:p w14:paraId="53E3C246">
            <w:pPr>
              <w:spacing w:line="360" w:lineRule="auto"/>
              <w:jc w:val="center"/>
              <w:rPr>
                <w:sz w:val="24"/>
                <w:szCs w:val="24"/>
              </w:rPr>
            </w:pPr>
            <w:r>
              <w:rPr>
                <w:rFonts w:hint="eastAsia"/>
                <w:sz w:val="24"/>
                <w:szCs w:val="24"/>
              </w:rPr>
              <w:t>四川省达州市通川区罗江镇高岩村</w:t>
            </w:r>
          </w:p>
        </w:tc>
      </w:tr>
      <w:tr w14:paraId="47F5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2BA8B451">
            <w:pPr>
              <w:spacing w:line="360" w:lineRule="auto"/>
              <w:jc w:val="center"/>
              <w:rPr>
                <w:sz w:val="24"/>
                <w:szCs w:val="24"/>
              </w:rPr>
            </w:pPr>
            <w:r>
              <w:rPr>
                <w:sz w:val="24"/>
                <w:szCs w:val="24"/>
              </w:rPr>
              <w:t>地理坐标</w:t>
            </w:r>
          </w:p>
        </w:tc>
        <w:tc>
          <w:tcPr>
            <w:tcW w:w="4008" w:type="pct"/>
            <w:gridSpan w:val="3"/>
            <w:vAlign w:val="center"/>
          </w:tcPr>
          <w:p w14:paraId="021A59DA">
            <w:pPr>
              <w:spacing w:line="360" w:lineRule="auto"/>
              <w:jc w:val="center"/>
              <w:rPr>
                <w:sz w:val="24"/>
                <w:szCs w:val="24"/>
              </w:rPr>
            </w:pPr>
            <w:r>
              <w:rPr>
                <w:rFonts w:hint="eastAsia"/>
                <w:sz w:val="24"/>
                <w:szCs w:val="24"/>
              </w:rPr>
              <w:t>经度：107</w:t>
            </w:r>
            <w:r>
              <w:rPr>
                <w:sz w:val="24"/>
                <w:szCs w:val="24"/>
              </w:rPr>
              <w:t>度</w:t>
            </w:r>
            <w:r>
              <w:rPr>
                <w:rFonts w:hint="eastAsia"/>
                <w:sz w:val="24"/>
                <w:szCs w:val="24"/>
              </w:rPr>
              <w:t>32</w:t>
            </w:r>
            <w:r>
              <w:rPr>
                <w:sz w:val="24"/>
                <w:szCs w:val="24"/>
              </w:rPr>
              <w:t>分</w:t>
            </w:r>
            <w:r>
              <w:rPr>
                <w:rFonts w:hint="eastAsia"/>
                <w:sz w:val="24"/>
                <w:szCs w:val="24"/>
              </w:rPr>
              <w:t>48.505</w:t>
            </w:r>
            <w:r>
              <w:rPr>
                <w:sz w:val="24"/>
                <w:szCs w:val="24"/>
              </w:rPr>
              <w:t>秒</w:t>
            </w:r>
            <w:r>
              <w:rPr>
                <w:rFonts w:hint="eastAsia"/>
                <w:sz w:val="24"/>
                <w:szCs w:val="24"/>
              </w:rPr>
              <w:t>；纬度：31</w:t>
            </w:r>
            <w:r>
              <w:rPr>
                <w:sz w:val="24"/>
                <w:szCs w:val="24"/>
              </w:rPr>
              <w:t>度</w:t>
            </w:r>
            <w:r>
              <w:rPr>
                <w:rFonts w:hint="eastAsia"/>
                <w:sz w:val="24"/>
                <w:szCs w:val="24"/>
              </w:rPr>
              <w:t>18</w:t>
            </w:r>
            <w:r>
              <w:rPr>
                <w:sz w:val="24"/>
                <w:szCs w:val="24"/>
              </w:rPr>
              <w:t>分</w:t>
            </w:r>
            <w:r>
              <w:rPr>
                <w:rFonts w:hint="eastAsia"/>
                <w:sz w:val="24"/>
                <w:szCs w:val="24"/>
              </w:rPr>
              <w:t>48.060</w:t>
            </w:r>
            <w:r>
              <w:rPr>
                <w:sz w:val="24"/>
                <w:szCs w:val="24"/>
              </w:rPr>
              <w:t>秒</w:t>
            </w:r>
          </w:p>
        </w:tc>
      </w:tr>
      <w:tr w14:paraId="633F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36DB2C18">
            <w:pPr>
              <w:spacing w:line="360" w:lineRule="auto"/>
              <w:jc w:val="center"/>
              <w:rPr>
                <w:sz w:val="24"/>
                <w:szCs w:val="24"/>
              </w:rPr>
            </w:pPr>
            <w:r>
              <w:rPr>
                <w:sz w:val="24"/>
                <w:szCs w:val="24"/>
              </w:rPr>
              <w:t>国民经济行业类别</w:t>
            </w:r>
          </w:p>
        </w:tc>
        <w:tc>
          <w:tcPr>
            <w:tcW w:w="1288" w:type="pct"/>
            <w:vAlign w:val="center"/>
          </w:tcPr>
          <w:p w14:paraId="113754DC">
            <w:pPr>
              <w:spacing w:line="360" w:lineRule="auto"/>
              <w:jc w:val="center"/>
              <w:rPr>
                <w:sz w:val="24"/>
                <w:szCs w:val="24"/>
              </w:rPr>
            </w:pPr>
            <w:r>
              <w:rPr>
                <w:sz w:val="24"/>
                <w:szCs w:val="24"/>
              </w:rPr>
              <w:t>Q</w:t>
            </w:r>
            <w:r>
              <w:rPr>
                <w:rFonts w:hint="eastAsia"/>
                <w:sz w:val="24"/>
                <w:szCs w:val="24"/>
              </w:rPr>
              <w:t>8415专科医院</w:t>
            </w:r>
          </w:p>
        </w:tc>
        <w:tc>
          <w:tcPr>
            <w:tcW w:w="1005" w:type="pct"/>
            <w:vAlign w:val="center"/>
          </w:tcPr>
          <w:p w14:paraId="12BF41FC">
            <w:pPr>
              <w:spacing w:line="360" w:lineRule="auto"/>
              <w:jc w:val="center"/>
              <w:rPr>
                <w:sz w:val="24"/>
                <w:szCs w:val="24"/>
              </w:rPr>
            </w:pPr>
            <w:r>
              <w:rPr>
                <w:sz w:val="24"/>
                <w:szCs w:val="24"/>
              </w:rPr>
              <w:t>建设项目行业类别</w:t>
            </w:r>
          </w:p>
        </w:tc>
        <w:tc>
          <w:tcPr>
            <w:tcW w:w="1715" w:type="pct"/>
            <w:vAlign w:val="center"/>
          </w:tcPr>
          <w:p w14:paraId="4E530DA7">
            <w:pPr>
              <w:spacing w:line="360" w:lineRule="auto"/>
              <w:jc w:val="center"/>
              <w:rPr>
                <w:sz w:val="24"/>
                <w:szCs w:val="24"/>
              </w:rPr>
            </w:pPr>
            <w:r>
              <w:rPr>
                <w:sz w:val="24"/>
                <w:szCs w:val="24"/>
              </w:rPr>
              <w:t>四十九、卫生/108</w:t>
            </w:r>
            <w:r>
              <w:rPr>
                <w:rFonts w:hint="eastAsia"/>
                <w:sz w:val="24"/>
                <w:szCs w:val="24"/>
              </w:rPr>
              <w:t>医院841/其他（住院床位20张以下的除外）</w:t>
            </w:r>
          </w:p>
        </w:tc>
      </w:tr>
      <w:tr w14:paraId="7F6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991" w:type="pct"/>
            <w:gridSpan w:val="2"/>
            <w:vAlign w:val="center"/>
          </w:tcPr>
          <w:p w14:paraId="1BF08AE2">
            <w:pPr>
              <w:spacing w:line="360" w:lineRule="auto"/>
              <w:jc w:val="center"/>
              <w:rPr>
                <w:sz w:val="24"/>
                <w:szCs w:val="24"/>
              </w:rPr>
            </w:pPr>
            <w:r>
              <w:rPr>
                <w:sz w:val="24"/>
                <w:szCs w:val="24"/>
              </w:rPr>
              <w:t>建设性质</w:t>
            </w:r>
          </w:p>
        </w:tc>
        <w:tc>
          <w:tcPr>
            <w:tcW w:w="1288" w:type="pct"/>
            <w:vAlign w:val="center"/>
          </w:tcPr>
          <w:p w14:paraId="760CAE7B">
            <w:pPr>
              <w:spacing w:line="360" w:lineRule="auto"/>
              <w:rPr>
                <w:sz w:val="24"/>
                <w:szCs w:val="24"/>
              </w:rPr>
            </w:pPr>
            <w:r>
              <w:rPr>
                <w:sz w:val="24"/>
                <w:szCs w:val="24"/>
              </w:rPr>
              <w:sym w:font="Wingdings 2" w:char="0052"/>
            </w:r>
            <w:r>
              <w:rPr>
                <w:sz w:val="24"/>
                <w:szCs w:val="24"/>
              </w:rPr>
              <w:t>新建（迁建）</w:t>
            </w:r>
          </w:p>
          <w:p w14:paraId="5F8E8F3B">
            <w:pPr>
              <w:spacing w:line="360" w:lineRule="auto"/>
              <w:rPr>
                <w:sz w:val="24"/>
                <w:szCs w:val="24"/>
              </w:rPr>
            </w:pPr>
            <w:r>
              <w:rPr>
                <w:sz w:val="24"/>
                <w:szCs w:val="24"/>
              </w:rPr>
              <w:sym w:font="Wingdings 2" w:char="00A3"/>
            </w:r>
            <w:r>
              <w:rPr>
                <w:sz w:val="24"/>
                <w:szCs w:val="24"/>
              </w:rPr>
              <w:t>改建</w:t>
            </w:r>
          </w:p>
          <w:p w14:paraId="7B19AFA9">
            <w:pPr>
              <w:spacing w:line="360" w:lineRule="auto"/>
              <w:rPr>
                <w:sz w:val="24"/>
                <w:szCs w:val="24"/>
              </w:rPr>
            </w:pPr>
            <w:r>
              <w:rPr>
                <w:sz w:val="24"/>
                <w:szCs w:val="24"/>
              </w:rPr>
              <w:sym w:font="Wingdings 2" w:char="00A3"/>
            </w:r>
            <w:r>
              <w:rPr>
                <w:sz w:val="24"/>
                <w:szCs w:val="24"/>
              </w:rPr>
              <w:t>扩建</w:t>
            </w:r>
          </w:p>
          <w:p w14:paraId="2374CF72">
            <w:pPr>
              <w:spacing w:line="360" w:lineRule="auto"/>
              <w:rPr>
                <w:sz w:val="24"/>
                <w:szCs w:val="36"/>
              </w:rPr>
            </w:pPr>
            <w:r>
              <w:rPr>
                <w:sz w:val="24"/>
                <w:szCs w:val="24"/>
              </w:rPr>
              <w:sym w:font="Wingdings 2" w:char="00A3"/>
            </w:r>
            <w:r>
              <w:rPr>
                <w:sz w:val="24"/>
                <w:szCs w:val="24"/>
              </w:rPr>
              <w:t>技术改造</w:t>
            </w:r>
          </w:p>
        </w:tc>
        <w:tc>
          <w:tcPr>
            <w:tcW w:w="1005" w:type="pct"/>
            <w:vAlign w:val="center"/>
          </w:tcPr>
          <w:p w14:paraId="5347155D">
            <w:pPr>
              <w:spacing w:line="360" w:lineRule="auto"/>
              <w:jc w:val="center"/>
              <w:rPr>
                <w:sz w:val="24"/>
                <w:szCs w:val="24"/>
              </w:rPr>
            </w:pPr>
            <w:r>
              <w:rPr>
                <w:sz w:val="24"/>
                <w:szCs w:val="24"/>
              </w:rPr>
              <w:t>建设项目</w:t>
            </w:r>
          </w:p>
          <w:p w14:paraId="690B7F87">
            <w:pPr>
              <w:spacing w:line="360" w:lineRule="auto"/>
              <w:jc w:val="center"/>
              <w:rPr>
                <w:sz w:val="24"/>
                <w:szCs w:val="36"/>
              </w:rPr>
            </w:pPr>
            <w:r>
              <w:rPr>
                <w:sz w:val="24"/>
                <w:szCs w:val="24"/>
              </w:rPr>
              <w:t>申报情形</w:t>
            </w:r>
          </w:p>
        </w:tc>
        <w:tc>
          <w:tcPr>
            <w:tcW w:w="1715" w:type="pct"/>
            <w:vAlign w:val="center"/>
          </w:tcPr>
          <w:p w14:paraId="792849B6">
            <w:pPr>
              <w:spacing w:line="360" w:lineRule="auto"/>
              <w:rPr>
                <w:sz w:val="24"/>
                <w:szCs w:val="24"/>
              </w:rPr>
            </w:pPr>
            <w:r>
              <w:rPr>
                <w:sz w:val="24"/>
                <w:szCs w:val="24"/>
              </w:rPr>
              <w:sym w:font="Wingdings 2" w:char="0052"/>
            </w:r>
            <w:r>
              <w:rPr>
                <w:sz w:val="24"/>
                <w:szCs w:val="24"/>
              </w:rPr>
              <w:t>首次申报项目</w:t>
            </w:r>
          </w:p>
          <w:p w14:paraId="19A0CBFF">
            <w:pPr>
              <w:spacing w:line="360" w:lineRule="auto"/>
              <w:rPr>
                <w:sz w:val="24"/>
                <w:szCs w:val="24"/>
              </w:rPr>
            </w:pPr>
            <w:r>
              <w:rPr>
                <w:sz w:val="24"/>
                <w:szCs w:val="24"/>
              </w:rPr>
              <w:sym w:font="Wingdings 2" w:char="00A3"/>
            </w:r>
            <w:r>
              <w:rPr>
                <w:sz w:val="24"/>
                <w:szCs w:val="24"/>
              </w:rPr>
              <w:t>不予批准后再次申报项目</w:t>
            </w:r>
          </w:p>
          <w:p w14:paraId="48BEB94C">
            <w:pPr>
              <w:spacing w:line="360" w:lineRule="auto"/>
              <w:rPr>
                <w:sz w:val="24"/>
                <w:szCs w:val="24"/>
              </w:rPr>
            </w:pPr>
            <w:r>
              <w:rPr>
                <w:sz w:val="24"/>
                <w:szCs w:val="24"/>
              </w:rPr>
              <w:sym w:font="Wingdings 2" w:char="00A3"/>
            </w:r>
            <w:r>
              <w:rPr>
                <w:sz w:val="24"/>
                <w:szCs w:val="24"/>
              </w:rPr>
              <w:t>超五年重新审核项目</w:t>
            </w:r>
          </w:p>
          <w:p w14:paraId="57D77345">
            <w:pPr>
              <w:spacing w:line="360" w:lineRule="auto"/>
              <w:rPr>
                <w:sz w:val="24"/>
                <w:szCs w:val="36"/>
              </w:rPr>
            </w:pPr>
            <w:r>
              <w:rPr>
                <w:sz w:val="24"/>
                <w:szCs w:val="24"/>
              </w:rPr>
              <w:sym w:font="Wingdings 2" w:char="00A3"/>
            </w:r>
            <w:r>
              <w:rPr>
                <w:sz w:val="24"/>
                <w:szCs w:val="24"/>
              </w:rPr>
              <w:t>重大变动重新报批项目</w:t>
            </w:r>
          </w:p>
        </w:tc>
      </w:tr>
      <w:tr w14:paraId="691A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3D4FDCF7">
            <w:pPr>
              <w:spacing w:line="360" w:lineRule="auto"/>
              <w:jc w:val="center"/>
              <w:rPr>
                <w:sz w:val="24"/>
                <w:szCs w:val="24"/>
              </w:rPr>
            </w:pPr>
            <w:r>
              <w:rPr>
                <w:sz w:val="24"/>
                <w:szCs w:val="24"/>
              </w:rPr>
              <w:t>项目审批（核准/备案）部门（选填）</w:t>
            </w:r>
          </w:p>
        </w:tc>
        <w:tc>
          <w:tcPr>
            <w:tcW w:w="1288" w:type="pct"/>
            <w:vAlign w:val="center"/>
          </w:tcPr>
          <w:p w14:paraId="3BDCC214">
            <w:pPr>
              <w:pStyle w:val="8"/>
              <w:spacing w:after="0" w:line="360" w:lineRule="auto"/>
              <w:jc w:val="center"/>
              <w:rPr>
                <w:rFonts w:hint="eastAsia" w:eastAsia="宋体"/>
                <w:sz w:val="24"/>
                <w:szCs w:val="36"/>
                <w:lang w:val="en-US" w:eastAsia="zh-CN"/>
              </w:rPr>
            </w:pPr>
            <w:r>
              <w:rPr>
                <w:rFonts w:hint="eastAsia"/>
                <w:sz w:val="24"/>
                <w:szCs w:val="36"/>
              </w:rPr>
              <w:t>通川区发展和改革</w:t>
            </w:r>
            <w:r>
              <w:rPr>
                <w:rFonts w:hint="eastAsia"/>
                <w:sz w:val="24"/>
                <w:szCs w:val="36"/>
                <w:lang w:val="en-US" w:eastAsia="zh-CN"/>
              </w:rPr>
              <w:t>局</w:t>
            </w:r>
          </w:p>
        </w:tc>
        <w:tc>
          <w:tcPr>
            <w:tcW w:w="1005" w:type="pct"/>
            <w:vAlign w:val="center"/>
          </w:tcPr>
          <w:p w14:paraId="1F0E44A5">
            <w:pPr>
              <w:spacing w:line="372" w:lineRule="auto"/>
              <w:jc w:val="center"/>
              <w:rPr>
                <w:sz w:val="24"/>
                <w:szCs w:val="24"/>
              </w:rPr>
            </w:pPr>
            <w:r>
              <w:rPr>
                <w:sz w:val="24"/>
                <w:szCs w:val="24"/>
              </w:rPr>
              <w:t>项目审批（核准/</w:t>
            </w:r>
          </w:p>
          <w:p w14:paraId="016C3D72">
            <w:pPr>
              <w:spacing w:line="372" w:lineRule="auto"/>
              <w:jc w:val="center"/>
              <w:rPr>
                <w:sz w:val="24"/>
                <w:szCs w:val="24"/>
              </w:rPr>
            </w:pPr>
            <w:r>
              <w:rPr>
                <w:sz w:val="24"/>
                <w:szCs w:val="24"/>
              </w:rPr>
              <w:t>备案）文号（选填）</w:t>
            </w:r>
          </w:p>
        </w:tc>
        <w:tc>
          <w:tcPr>
            <w:tcW w:w="1715" w:type="pct"/>
            <w:vAlign w:val="center"/>
          </w:tcPr>
          <w:p w14:paraId="307DE72D">
            <w:pPr>
              <w:spacing w:line="372" w:lineRule="auto"/>
              <w:jc w:val="center"/>
              <w:rPr>
                <w:sz w:val="24"/>
                <w:szCs w:val="24"/>
              </w:rPr>
            </w:pPr>
            <w:r>
              <w:rPr>
                <w:rFonts w:hint="eastAsia"/>
                <w:sz w:val="24"/>
                <w:szCs w:val="24"/>
              </w:rPr>
              <w:t>川投资备【</w:t>
            </w:r>
            <w:r>
              <w:rPr>
                <w:rFonts w:hint="eastAsia" w:cs="宋体"/>
                <w:sz w:val="24"/>
                <w:szCs w:val="24"/>
              </w:rPr>
              <w:t>2404</w:t>
            </w:r>
            <w:r>
              <w:rPr>
                <w:rFonts w:hint="eastAsia"/>
                <w:sz w:val="24"/>
                <w:szCs w:val="36"/>
              </w:rPr>
              <w:t>-511702-04-01-628812】FGQB-0090号</w:t>
            </w:r>
          </w:p>
        </w:tc>
      </w:tr>
      <w:tr w14:paraId="0F50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3813B207">
            <w:pPr>
              <w:spacing w:line="360" w:lineRule="auto"/>
              <w:jc w:val="center"/>
              <w:rPr>
                <w:sz w:val="24"/>
                <w:szCs w:val="24"/>
              </w:rPr>
            </w:pPr>
            <w:r>
              <w:rPr>
                <w:sz w:val="24"/>
                <w:szCs w:val="24"/>
              </w:rPr>
              <w:t>总投资（万元）</w:t>
            </w:r>
          </w:p>
        </w:tc>
        <w:tc>
          <w:tcPr>
            <w:tcW w:w="1288" w:type="pct"/>
          </w:tcPr>
          <w:p w14:paraId="66A1842B">
            <w:pPr>
              <w:pStyle w:val="8"/>
              <w:spacing w:after="0" w:line="360" w:lineRule="auto"/>
              <w:jc w:val="center"/>
              <w:rPr>
                <w:sz w:val="24"/>
                <w:szCs w:val="36"/>
              </w:rPr>
            </w:pPr>
            <w:r>
              <w:rPr>
                <w:rFonts w:hint="eastAsia"/>
                <w:sz w:val="24"/>
                <w:szCs w:val="36"/>
              </w:rPr>
              <w:t>10000</w:t>
            </w:r>
          </w:p>
        </w:tc>
        <w:tc>
          <w:tcPr>
            <w:tcW w:w="1005" w:type="pct"/>
            <w:vAlign w:val="center"/>
          </w:tcPr>
          <w:p w14:paraId="5D58465A">
            <w:pPr>
              <w:spacing w:line="372" w:lineRule="auto"/>
              <w:rPr>
                <w:sz w:val="24"/>
                <w:szCs w:val="24"/>
              </w:rPr>
            </w:pPr>
            <w:r>
              <w:rPr>
                <w:sz w:val="24"/>
                <w:szCs w:val="24"/>
              </w:rPr>
              <w:t>环保投资（万元）</w:t>
            </w:r>
          </w:p>
        </w:tc>
        <w:tc>
          <w:tcPr>
            <w:tcW w:w="1715" w:type="pct"/>
          </w:tcPr>
          <w:p w14:paraId="1E8FD7A5">
            <w:pPr>
              <w:pStyle w:val="8"/>
              <w:spacing w:after="0" w:line="360" w:lineRule="auto"/>
              <w:jc w:val="center"/>
              <w:rPr>
                <w:sz w:val="24"/>
                <w:szCs w:val="36"/>
              </w:rPr>
            </w:pPr>
            <w:r>
              <w:rPr>
                <w:rFonts w:hint="eastAsia"/>
                <w:sz w:val="24"/>
                <w:szCs w:val="36"/>
              </w:rPr>
              <w:t>171</w:t>
            </w:r>
          </w:p>
        </w:tc>
      </w:tr>
      <w:tr w14:paraId="586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20297B90">
            <w:pPr>
              <w:spacing w:line="360" w:lineRule="auto"/>
              <w:rPr>
                <w:sz w:val="24"/>
                <w:szCs w:val="24"/>
              </w:rPr>
            </w:pPr>
            <w:r>
              <w:rPr>
                <w:sz w:val="24"/>
                <w:szCs w:val="24"/>
              </w:rPr>
              <w:t>环保投资占比（%）</w:t>
            </w:r>
          </w:p>
        </w:tc>
        <w:tc>
          <w:tcPr>
            <w:tcW w:w="1288" w:type="pct"/>
            <w:vAlign w:val="center"/>
          </w:tcPr>
          <w:p w14:paraId="7275FDFB">
            <w:pPr>
              <w:pStyle w:val="8"/>
              <w:spacing w:after="0" w:line="360" w:lineRule="auto"/>
              <w:jc w:val="center"/>
              <w:rPr>
                <w:sz w:val="24"/>
                <w:szCs w:val="36"/>
              </w:rPr>
            </w:pPr>
            <w:r>
              <w:rPr>
                <w:rFonts w:hint="eastAsia"/>
                <w:sz w:val="24"/>
                <w:szCs w:val="36"/>
              </w:rPr>
              <w:t>1.71</w:t>
            </w:r>
          </w:p>
        </w:tc>
        <w:tc>
          <w:tcPr>
            <w:tcW w:w="1005" w:type="pct"/>
            <w:vAlign w:val="center"/>
          </w:tcPr>
          <w:p w14:paraId="339D68A4">
            <w:pPr>
              <w:spacing w:line="372" w:lineRule="auto"/>
              <w:jc w:val="center"/>
              <w:rPr>
                <w:sz w:val="24"/>
                <w:szCs w:val="24"/>
              </w:rPr>
            </w:pPr>
            <w:r>
              <w:rPr>
                <w:sz w:val="24"/>
                <w:szCs w:val="24"/>
              </w:rPr>
              <w:t>施工工期</w:t>
            </w:r>
          </w:p>
        </w:tc>
        <w:tc>
          <w:tcPr>
            <w:tcW w:w="1715" w:type="pct"/>
            <w:vAlign w:val="center"/>
          </w:tcPr>
          <w:p w14:paraId="38C42921">
            <w:pPr>
              <w:pStyle w:val="8"/>
              <w:spacing w:after="0" w:line="360" w:lineRule="auto"/>
              <w:jc w:val="center"/>
              <w:rPr>
                <w:sz w:val="24"/>
                <w:szCs w:val="36"/>
              </w:rPr>
            </w:pPr>
            <w:r>
              <w:rPr>
                <w:rFonts w:hint="eastAsia"/>
                <w:sz w:val="24"/>
                <w:szCs w:val="36"/>
              </w:rPr>
              <w:t>7个月</w:t>
            </w:r>
          </w:p>
        </w:tc>
      </w:tr>
      <w:tr w14:paraId="7B74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1" w:type="pct"/>
            <w:gridSpan w:val="2"/>
            <w:vAlign w:val="center"/>
          </w:tcPr>
          <w:p w14:paraId="100BA6D2">
            <w:pPr>
              <w:spacing w:line="360" w:lineRule="auto"/>
              <w:jc w:val="center"/>
              <w:rPr>
                <w:sz w:val="24"/>
                <w:szCs w:val="24"/>
              </w:rPr>
            </w:pPr>
            <w:r>
              <w:rPr>
                <w:sz w:val="24"/>
                <w:szCs w:val="24"/>
              </w:rPr>
              <w:t>是否开工建设</w:t>
            </w:r>
          </w:p>
        </w:tc>
        <w:tc>
          <w:tcPr>
            <w:tcW w:w="1288" w:type="pct"/>
          </w:tcPr>
          <w:p w14:paraId="2A0B7D70">
            <w:pPr>
              <w:spacing w:line="372" w:lineRule="auto"/>
              <w:rPr>
                <w:sz w:val="24"/>
                <w:szCs w:val="24"/>
              </w:rPr>
            </w:pPr>
            <w:r>
              <w:rPr/>
              <w:sym w:font="Wingdings 2" w:char="0052"/>
            </w:r>
            <w:r>
              <w:rPr>
                <w:sz w:val="24"/>
                <w:szCs w:val="24"/>
              </w:rPr>
              <w:t>否</w:t>
            </w:r>
          </w:p>
          <w:p w14:paraId="15D7FF8A">
            <w:pPr>
              <w:pStyle w:val="8"/>
              <w:spacing w:after="0" w:line="360" w:lineRule="auto"/>
              <w:rPr>
                <w:sz w:val="24"/>
                <w:u w:val="single"/>
              </w:rPr>
            </w:pPr>
            <w:r>
              <w:rPr>
                <w:szCs w:val="21"/>
              </w:rPr>
              <w:sym w:font="Wingdings 2" w:char="00A3"/>
            </w:r>
            <w:r>
              <w:rPr>
                <w:sz w:val="24"/>
              </w:rPr>
              <w:t>是</w:t>
            </w:r>
            <w:r>
              <w:rPr>
                <w:sz w:val="24"/>
                <w:u w:val="single"/>
              </w:rPr>
              <w:t xml:space="preserve"> </w:t>
            </w:r>
            <w:r>
              <w:rPr>
                <w:rFonts w:hint="eastAsia"/>
                <w:sz w:val="24"/>
                <w:u w:val="single"/>
              </w:rPr>
              <w:t xml:space="preserve">       </w:t>
            </w:r>
            <w:r>
              <w:rPr>
                <w:sz w:val="24"/>
                <w:u w:val="single"/>
              </w:rPr>
              <w:t xml:space="preserve"> </w:t>
            </w:r>
          </w:p>
          <w:p w14:paraId="1A732069">
            <w:pPr>
              <w:pStyle w:val="8"/>
              <w:spacing w:after="0" w:line="360" w:lineRule="auto"/>
              <w:rPr>
                <w:sz w:val="24"/>
                <w:u w:val="single"/>
              </w:rPr>
            </w:pPr>
          </w:p>
          <w:p w14:paraId="4DAF165D">
            <w:pPr>
              <w:pStyle w:val="8"/>
              <w:spacing w:after="0" w:line="360" w:lineRule="auto"/>
              <w:rPr>
                <w:sz w:val="24"/>
                <w:szCs w:val="36"/>
              </w:rPr>
            </w:pPr>
          </w:p>
        </w:tc>
        <w:tc>
          <w:tcPr>
            <w:tcW w:w="1005" w:type="pct"/>
            <w:vAlign w:val="center"/>
          </w:tcPr>
          <w:p w14:paraId="50F9CCCB">
            <w:pPr>
              <w:spacing w:line="372" w:lineRule="auto"/>
              <w:jc w:val="center"/>
              <w:rPr>
                <w:sz w:val="24"/>
                <w:szCs w:val="24"/>
              </w:rPr>
            </w:pPr>
            <w:r>
              <w:rPr>
                <w:sz w:val="24"/>
                <w:szCs w:val="24"/>
              </w:rPr>
              <w:t>用地（用海）</w:t>
            </w:r>
          </w:p>
          <w:p w14:paraId="1A326DE0">
            <w:pPr>
              <w:spacing w:line="372" w:lineRule="auto"/>
              <w:jc w:val="center"/>
              <w:rPr>
                <w:sz w:val="24"/>
                <w:szCs w:val="24"/>
              </w:rPr>
            </w:pPr>
            <w:r>
              <w:rPr>
                <w:sz w:val="24"/>
                <w:szCs w:val="24"/>
              </w:rPr>
              <w:t>面积（m</w:t>
            </w:r>
            <w:r>
              <w:rPr>
                <w:sz w:val="24"/>
                <w:szCs w:val="24"/>
                <w:vertAlign w:val="superscript"/>
              </w:rPr>
              <w:t>2</w:t>
            </w:r>
            <w:r>
              <w:rPr>
                <w:sz w:val="24"/>
                <w:szCs w:val="24"/>
              </w:rPr>
              <w:t>）</w:t>
            </w:r>
          </w:p>
        </w:tc>
        <w:tc>
          <w:tcPr>
            <w:tcW w:w="1715" w:type="pct"/>
            <w:vAlign w:val="center"/>
          </w:tcPr>
          <w:p w14:paraId="1BADF3F5">
            <w:pPr>
              <w:pStyle w:val="8"/>
              <w:spacing w:after="0" w:line="360" w:lineRule="auto"/>
              <w:jc w:val="center"/>
              <w:rPr>
                <w:sz w:val="24"/>
                <w:szCs w:val="36"/>
              </w:rPr>
            </w:pPr>
            <w:r>
              <w:rPr>
                <w:rFonts w:hint="eastAsia"/>
                <w:sz w:val="24"/>
                <w:szCs w:val="36"/>
              </w:rPr>
              <w:t>建筑面积约23000m</w:t>
            </w:r>
            <w:r>
              <w:rPr>
                <w:rFonts w:hint="eastAsia"/>
                <w:sz w:val="24"/>
                <w:szCs w:val="36"/>
                <w:vertAlign w:val="superscript"/>
              </w:rPr>
              <w:t>2</w:t>
            </w:r>
          </w:p>
        </w:tc>
      </w:tr>
      <w:tr w14:paraId="4EAC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14:paraId="48EBB4C9">
            <w:pPr>
              <w:spacing w:line="360" w:lineRule="auto"/>
              <w:jc w:val="center"/>
              <w:rPr>
                <w:sz w:val="24"/>
                <w:szCs w:val="24"/>
              </w:rPr>
            </w:pPr>
            <w:r>
              <w:rPr>
                <w:sz w:val="24"/>
                <w:szCs w:val="24"/>
              </w:rPr>
              <w:t>专项评价设置情况</w:t>
            </w:r>
          </w:p>
        </w:tc>
        <w:tc>
          <w:tcPr>
            <w:tcW w:w="4350" w:type="pct"/>
            <w:gridSpan w:val="4"/>
          </w:tcPr>
          <w:p w14:paraId="15834CAD">
            <w:pPr>
              <w:spacing w:line="360" w:lineRule="auto"/>
              <w:ind w:firstLine="480" w:firstLineChars="200"/>
              <w:rPr>
                <w:sz w:val="24"/>
                <w:szCs w:val="24"/>
              </w:rPr>
            </w:pPr>
            <w:r>
              <w:rPr>
                <w:rFonts w:hint="eastAsia"/>
                <w:sz w:val="24"/>
                <w:szCs w:val="24"/>
              </w:rPr>
              <w:t>本项目专项评价设置情况见下表。</w:t>
            </w:r>
          </w:p>
          <w:p w14:paraId="69215187">
            <w:pPr>
              <w:spacing w:line="360" w:lineRule="auto"/>
              <w:jc w:val="center"/>
              <w:rPr>
                <w:b/>
                <w:bCs/>
                <w:sz w:val="24"/>
                <w:szCs w:val="24"/>
              </w:rPr>
            </w:pPr>
            <w:r>
              <w:rPr>
                <w:rFonts w:hint="eastAsia"/>
                <w:b/>
                <w:bCs/>
                <w:sz w:val="24"/>
                <w:szCs w:val="24"/>
              </w:rPr>
              <w:t>表1-1 本项目专项评价设置情况</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3292"/>
              <w:gridCol w:w="3695"/>
            </w:tblGrid>
            <w:tr w14:paraId="236A0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tcBorders>
                    <w:tl2br w:val="nil"/>
                    <w:tr2bl w:val="nil"/>
                  </w:tcBorders>
                  <w:vAlign w:val="center"/>
                </w:tcPr>
                <w:p w14:paraId="3E41893A">
                  <w:pPr>
                    <w:jc w:val="center"/>
                    <w:rPr>
                      <w:b/>
                      <w:bCs/>
                    </w:rPr>
                  </w:pPr>
                  <w:r>
                    <w:rPr>
                      <w:rFonts w:hint="eastAsia"/>
                      <w:b/>
                      <w:bCs/>
                    </w:rPr>
                    <w:t>专项</w:t>
                  </w:r>
                  <w:r>
                    <w:rPr>
                      <w:b/>
                      <w:bCs/>
                    </w:rPr>
                    <w:t>评价的类别</w:t>
                  </w:r>
                </w:p>
              </w:tc>
              <w:tc>
                <w:tcPr>
                  <w:tcW w:w="2012" w:type="pct"/>
                  <w:tcBorders>
                    <w:tl2br w:val="nil"/>
                    <w:tr2bl w:val="nil"/>
                  </w:tcBorders>
                  <w:vAlign w:val="center"/>
                </w:tcPr>
                <w:p w14:paraId="733A4019">
                  <w:pPr>
                    <w:jc w:val="center"/>
                    <w:rPr>
                      <w:b/>
                      <w:bCs/>
                    </w:rPr>
                  </w:pPr>
                  <w:r>
                    <w:rPr>
                      <w:rFonts w:hint="eastAsia"/>
                      <w:b/>
                      <w:bCs/>
                    </w:rPr>
                    <w:t>设置原则</w:t>
                  </w:r>
                </w:p>
              </w:tc>
              <w:tc>
                <w:tcPr>
                  <w:tcW w:w="2257" w:type="pct"/>
                  <w:tcBorders>
                    <w:tl2br w:val="nil"/>
                    <w:tr2bl w:val="nil"/>
                  </w:tcBorders>
                  <w:vAlign w:val="center"/>
                </w:tcPr>
                <w:p w14:paraId="1CB9EA9B">
                  <w:pPr>
                    <w:jc w:val="center"/>
                    <w:rPr>
                      <w:b/>
                      <w:bCs/>
                    </w:rPr>
                  </w:pPr>
                  <w:r>
                    <w:rPr>
                      <w:rFonts w:hint="eastAsia"/>
                      <w:b/>
                      <w:bCs/>
                    </w:rPr>
                    <w:t>本项目</w:t>
                  </w:r>
                  <w:r>
                    <w:rPr>
                      <w:b/>
                      <w:bCs/>
                    </w:rPr>
                    <w:t>设置情况</w:t>
                  </w:r>
                </w:p>
              </w:tc>
            </w:tr>
            <w:tr w14:paraId="12059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14:paraId="35E6983D">
                  <w:pPr>
                    <w:jc w:val="center"/>
                  </w:pPr>
                  <w:r>
                    <w:rPr>
                      <w:rFonts w:hint="eastAsia"/>
                    </w:rPr>
                    <w:t>大气</w:t>
                  </w:r>
                </w:p>
              </w:tc>
              <w:tc>
                <w:tcPr>
                  <w:tcW w:w="2012" w:type="pct"/>
                  <w:tcBorders>
                    <w:tl2br w:val="nil"/>
                    <w:tr2bl w:val="nil"/>
                  </w:tcBorders>
                  <w:vAlign w:val="center"/>
                </w:tcPr>
                <w:p w14:paraId="6A6B31F3">
                  <w:pPr>
                    <w:jc w:val="center"/>
                  </w:pPr>
                  <w:r>
                    <w:rPr>
                      <w:rFonts w:hint="eastAsia"/>
                    </w:rPr>
                    <w:t>排放</w:t>
                  </w:r>
                  <w:r>
                    <w:t>废气含</w:t>
                  </w:r>
                  <w:r>
                    <w:rPr>
                      <w:rFonts w:hint="eastAsia"/>
                    </w:rPr>
                    <w:t>有毒有害</w:t>
                  </w:r>
                  <w:r>
                    <w:t>污染物</w:t>
                  </w:r>
                  <w:r>
                    <w:rPr>
                      <w:rFonts w:hint="eastAsia"/>
                      <w:vertAlign w:val="superscript"/>
                    </w:rPr>
                    <w:t>1</w:t>
                  </w:r>
                  <w:r>
                    <w:t>、二噁英、苯并</w:t>
                  </w:r>
                  <w:r>
                    <w:rPr>
                      <w:rFonts w:hint="eastAsia"/>
                    </w:rPr>
                    <w:t>〔</w:t>
                  </w:r>
                  <w:r>
                    <w:t>a</w:t>
                  </w:r>
                  <w:r>
                    <w:rPr>
                      <w:rFonts w:hint="eastAsia"/>
                    </w:rPr>
                    <w:t>〕</w:t>
                  </w:r>
                  <w:r>
                    <w:t>芘</w:t>
                  </w:r>
                  <w:r>
                    <w:rPr>
                      <w:rFonts w:hint="eastAsia"/>
                    </w:rPr>
                    <w:t>、氰化物</w:t>
                  </w:r>
                  <w:r>
                    <w:t>、氯气且厂界外</w:t>
                  </w:r>
                  <w:r>
                    <w:rPr>
                      <w:rFonts w:hint="eastAsia"/>
                    </w:rPr>
                    <w:t>500米</w:t>
                  </w:r>
                  <w:r>
                    <w:t>范围内</w:t>
                  </w:r>
                  <w:r>
                    <w:rPr>
                      <w:rFonts w:hint="eastAsia"/>
                    </w:rPr>
                    <w:t>有</w:t>
                  </w:r>
                  <w:r>
                    <w:t>环境空气保护目标</w:t>
                  </w:r>
                  <w:r>
                    <w:rPr>
                      <w:rFonts w:hint="eastAsia"/>
                      <w:vertAlign w:val="superscript"/>
                    </w:rPr>
                    <w:t>2</w:t>
                  </w:r>
                  <w:r>
                    <w:t>的建设项目</w:t>
                  </w:r>
                </w:p>
              </w:tc>
              <w:tc>
                <w:tcPr>
                  <w:tcW w:w="2257" w:type="pct"/>
                  <w:tcBorders>
                    <w:tl2br w:val="nil"/>
                    <w:tr2bl w:val="nil"/>
                  </w:tcBorders>
                  <w:vAlign w:val="center"/>
                </w:tcPr>
                <w:p w14:paraId="2D6836A8">
                  <w:pPr>
                    <w:jc w:val="center"/>
                  </w:pPr>
                  <w:r>
                    <w:rPr>
                      <w:rFonts w:hint="eastAsia"/>
                    </w:rPr>
                    <w:t>本项目</w:t>
                  </w:r>
                  <w:r>
                    <w:t>不涉及</w:t>
                  </w:r>
                  <w:r>
                    <w:rPr>
                      <w:rFonts w:hint="eastAsia"/>
                    </w:rPr>
                    <w:t>有毒有害</w:t>
                  </w:r>
                  <w:r>
                    <w:t>污染物、二噁英、苯并</w:t>
                  </w:r>
                  <w:r>
                    <w:rPr>
                      <w:rFonts w:hint="eastAsia"/>
                      <w:vertAlign w:val="superscript"/>
                    </w:rPr>
                    <w:t>〔</w:t>
                  </w:r>
                  <w:r>
                    <w:rPr>
                      <w:vertAlign w:val="superscript"/>
                    </w:rPr>
                    <w:t>a</w:t>
                  </w:r>
                  <w:r>
                    <w:rPr>
                      <w:rFonts w:hint="eastAsia"/>
                      <w:vertAlign w:val="superscript"/>
                    </w:rPr>
                    <w:t>〕</w:t>
                  </w:r>
                  <w:r>
                    <w:t>芘</w:t>
                  </w:r>
                  <w:r>
                    <w:rPr>
                      <w:rFonts w:hint="eastAsia"/>
                    </w:rPr>
                    <w:t>、氰化物</w:t>
                  </w:r>
                  <w:r>
                    <w:t>、氯气</w:t>
                  </w:r>
                  <w:r>
                    <w:rPr>
                      <w:rFonts w:hint="eastAsia"/>
                    </w:rPr>
                    <w:t>的</w:t>
                  </w:r>
                  <w:r>
                    <w:t>排放</w:t>
                  </w:r>
                  <w:r>
                    <w:rPr>
                      <w:rFonts w:hint="eastAsia"/>
                    </w:rPr>
                    <w:t>，</w:t>
                  </w:r>
                  <w:r>
                    <w:t>因此不设置大气专项评价</w:t>
                  </w:r>
                  <w:r>
                    <w:rPr>
                      <w:rFonts w:hint="eastAsia"/>
                    </w:rPr>
                    <w:t>。</w:t>
                  </w:r>
                </w:p>
              </w:tc>
            </w:tr>
            <w:tr w14:paraId="43CDA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14:paraId="7C5C5EA6">
                  <w:pPr>
                    <w:jc w:val="center"/>
                  </w:pPr>
                  <w:r>
                    <w:rPr>
                      <w:rFonts w:hint="eastAsia"/>
                    </w:rPr>
                    <w:t>地表水</w:t>
                  </w:r>
                </w:p>
              </w:tc>
              <w:tc>
                <w:tcPr>
                  <w:tcW w:w="2012" w:type="pct"/>
                  <w:tcBorders>
                    <w:tl2br w:val="nil"/>
                    <w:tr2bl w:val="nil"/>
                  </w:tcBorders>
                  <w:vAlign w:val="center"/>
                </w:tcPr>
                <w:p w14:paraId="7EA7F6C5">
                  <w:pPr>
                    <w:jc w:val="center"/>
                  </w:pPr>
                  <w:r>
                    <w:rPr>
                      <w:rFonts w:hint="eastAsia"/>
                    </w:rPr>
                    <w:t>新增工业</w:t>
                  </w:r>
                  <w:r>
                    <w:t>废水直</w:t>
                  </w:r>
                  <w:r>
                    <w:rPr>
                      <w:rFonts w:hint="eastAsia"/>
                    </w:rPr>
                    <w:t>排</w:t>
                  </w:r>
                  <w:r>
                    <w:t>建设项目（</w:t>
                  </w:r>
                  <w:r>
                    <w:rPr>
                      <w:rFonts w:hint="eastAsia"/>
                    </w:rPr>
                    <w:t>槽罐车</w:t>
                  </w:r>
                  <w:r>
                    <w:t>外送污水处理厂的除外）</w:t>
                  </w:r>
                  <w:r>
                    <w:rPr>
                      <w:rFonts w:hint="eastAsia"/>
                    </w:rPr>
                    <w:t>；</w:t>
                  </w:r>
                  <w:r>
                    <w:t>新增废水直排的污水集中处理厂</w:t>
                  </w:r>
                </w:p>
              </w:tc>
              <w:tc>
                <w:tcPr>
                  <w:tcW w:w="2257" w:type="pct"/>
                  <w:tcBorders>
                    <w:tl2br w:val="nil"/>
                    <w:tr2bl w:val="nil"/>
                  </w:tcBorders>
                  <w:vAlign w:val="center"/>
                </w:tcPr>
                <w:p w14:paraId="0CB2D623">
                  <w:pPr>
                    <w:jc w:val="center"/>
                  </w:pPr>
                  <w:r>
                    <w:rPr>
                      <w:rFonts w:hint="eastAsia"/>
                    </w:rPr>
                    <w:t>目前，项目区域管网已建成，项目废水经污水处理站处理后通过管网进入罗江镇污水处理厂进行处理，</w:t>
                  </w:r>
                  <w:r>
                    <w:t>为间接排放</w:t>
                  </w:r>
                  <w:r>
                    <w:rPr>
                      <w:rFonts w:hint="eastAsia"/>
                    </w:rPr>
                    <w:t>，因此不设置地表水专项评价</w:t>
                  </w:r>
                  <w:r>
                    <w:t>。</w:t>
                  </w:r>
                </w:p>
              </w:tc>
            </w:tr>
            <w:tr w14:paraId="6110C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14:paraId="43606B52">
                  <w:pPr>
                    <w:jc w:val="center"/>
                  </w:pPr>
                  <w:r>
                    <w:rPr>
                      <w:rFonts w:hint="eastAsia"/>
                    </w:rPr>
                    <w:t>环境</w:t>
                  </w:r>
                  <w:r>
                    <w:t>风险</w:t>
                  </w:r>
                </w:p>
              </w:tc>
              <w:tc>
                <w:tcPr>
                  <w:tcW w:w="2012" w:type="pct"/>
                  <w:tcBorders>
                    <w:tl2br w:val="nil"/>
                    <w:tr2bl w:val="nil"/>
                  </w:tcBorders>
                  <w:vAlign w:val="center"/>
                </w:tcPr>
                <w:p w14:paraId="6501FB6F">
                  <w:pPr>
                    <w:jc w:val="center"/>
                  </w:pPr>
                  <w:r>
                    <w:rPr>
                      <w:rFonts w:hint="eastAsia"/>
                    </w:rPr>
                    <w:t>有毒有害</w:t>
                  </w:r>
                  <w:r>
                    <w:t>和易燃易爆危险物质存储量超过临界值的建设项目</w:t>
                  </w:r>
                </w:p>
              </w:tc>
              <w:tc>
                <w:tcPr>
                  <w:tcW w:w="2257" w:type="pct"/>
                  <w:tcBorders>
                    <w:tl2br w:val="nil"/>
                    <w:tr2bl w:val="nil"/>
                  </w:tcBorders>
                  <w:vAlign w:val="center"/>
                </w:tcPr>
                <w:p w14:paraId="1817B894">
                  <w:pPr>
                    <w:jc w:val="center"/>
                  </w:pPr>
                  <w:r>
                    <w:rPr>
                      <w:rFonts w:hint="eastAsia"/>
                    </w:rPr>
                    <w:t>本项目不涉及有毒有害和易燃易爆危险物质存储，因此不设置环境风险专项评价</w:t>
                  </w:r>
                  <w:r>
                    <w:t>。</w:t>
                  </w:r>
                </w:p>
              </w:tc>
            </w:tr>
            <w:tr w14:paraId="2D050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14:paraId="5B59FD47">
                  <w:pPr>
                    <w:jc w:val="center"/>
                  </w:pPr>
                  <w:r>
                    <w:rPr>
                      <w:rFonts w:hint="eastAsia"/>
                    </w:rPr>
                    <w:t>生态</w:t>
                  </w:r>
                </w:p>
              </w:tc>
              <w:tc>
                <w:tcPr>
                  <w:tcW w:w="2012" w:type="pct"/>
                  <w:tcBorders>
                    <w:tl2br w:val="nil"/>
                    <w:tr2bl w:val="nil"/>
                  </w:tcBorders>
                  <w:vAlign w:val="center"/>
                </w:tcPr>
                <w:p w14:paraId="265677B8">
                  <w:pPr>
                    <w:jc w:val="center"/>
                  </w:pPr>
                  <w:r>
                    <w:rPr>
                      <w:rFonts w:hint="eastAsia"/>
                    </w:rPr>
                    <w:t>取水口</w:t>
                  </w:r>
                  <w:r>
                    <w:t>下游</w:t>
                  </w:r>
                  <w:r>
                    <w:rPr>
                      <w:rFonts w:hint="eastAsia"/>
                    </w:rPr>
                    <w:t>500米</w:t>
                  </w:r>
                  <w:r>
                    <w:t>范围内有重要水生生物的自然产卵场、索饵场、越冬场和洄游通道的新增河道取水的污染类建设项目</w:t>
                  </w:r>
                </w:p>
              </w:tc>
              <w:tc>
                <w:tcPr>
                  <w:tcW w:w="2257" w:type="pct"/>
                  <w:tcBorders>
                    <w:tl2br w:val="nil"/>
                    <w:tr2bl w:val="nil"/>
                  </w:tcBorders>
                  <w:vAlign w:val="center"/>
                </w:tcPr>
                <w:p w14:paraId="5E3B8909">
                  <w:pPr>
                    <w:jc w:val="center"/>
                  </w:pPr>
                  <w:r>
                    <w:rPr>
                      <w:rFonts w:hint="eastAsia"/>
                    </w:rPr>
                    <w:t>本项目</w:t>
                  </w:r>
                  <w:r>
                    <w:t>用水</w:t>
                  </w:r>
                  <w:r>
                    <w:rPr>
                      <w:rFonts w:hint="eastAsia"/>
                    </w:rPr>
                    <w:t>由市政给水管网供应，不涉及取水，因此不设置生态专项评价。</w:t>
                  </w:r>
                </w:p>
              </w:tc>
            </w:tr>
            <w:tr w14:paraId="264BD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tcBorders>
                    <w:tl2br w:val="nil"/>
                    <w:tr2bl w:val="nil"/>
                  </w:tcBorders>
                  <w:vAlign w:val="center"/>
                </w:tcPr>
                <w:p w14:paraId="35893AFF">
                  <w:pPr>
                    <w:jc w:val="center"/>
                  </w:pPr>
                  <w:r>
                    <w:rPr>
                      <w:rFonts w:hint="eastAsia"/>
                    </w:rPr>
                    <w:t>海洋</w:t>
                  </w:r>
                </w:p>
              </w:tc>
              <w:tc>
                <w:tcPr>
                  <w:tcW w:w="2012" w:type="pct"/>
                  <w:tcBorders>
                    <w:tl2br w:val="nil"/>
                    <w:tr2bl w:val="nil"/>
                  </w:tcBorders>
                  <w:vAlign w:val="center"/>
                </w:tcPr>
                <w:p w14:paraId="6CA91716">
                  <w:pPr>
                    <w:jc w:val="center"/>
                  </w:pPr>
                  <w:r>
                    <w:rPr>
                      <w:rFonts w:hint="eastAsia"/>
                    </w:rPr>
                    <w:t>直接</w:t>
                  </w:r>
                  <w:r>
                    <w:t>向海排放污染物的海洋工程建设项目</w:t>
                  </w:r>
                </w:p>
              </w:tc>
              <w:tc>
                <w:tcPr>
                  <w:tcW w:w="2257" w:type="pct"/>
                  <w:tcBorders>
                    <w:tl2br w:val="nil"/>
                    <w:tr2bl w:val="nil"/>
                  </w:tcBorders>
                  <w:vAlign w:val="center"/>
                </w:tcPr>
                <w:p w14:paraId="2DE787A7">
                  <w:pPr>
                    <w:jc w:val="center"/>
                  </w:pPr>
                  <w:r>
                    <w:rPr>
                      <w:rFonts w:hint="eastAsia"/>
                    </w:rPr>
                    <w:t>本项目不涉及，不设置海洋专项评价</w:t>
                  </w:r>
                  <w:r>
                    <w:t>。</w:t>
                  </w:r>
                </w:p>
              </w:tc>
            </w:tr>
            <w:tr w14:paraId="4C957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vAlign w:val="center"/>
                </w:tcPr>
                <w:p w14:paraId="45AE58E7">
                  <w:r>
                    <w:rPr>
                      <w:rFonts w:hint="eastAsia"/>
                    </w:rPr>
                    <w:t>注</w:t>
                  </w:r>
                  <w:r>
                    <w:t>：</w:t>
                  </w:r>
                  <w:r>
                    <w:rPr>
                      <w:rFonts w:hint="eastAsia"/>
                    </w:rPr>
                    <w:t>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1E0F5E94">
            <w:pPr>
              <w:pStyle w:val="8"/>
              <w:spacing w:after="0" w:line="360" w:lineRule="auto"/>
              <w:ind w:firstLine="480" w:firstLineChars="200"/>
              <w:rPr>
                <w:rFonts w:eastAsia="黑体"/>
                <w:sz w:val="24"/>
                <w:szCs w:val="36"/>
              </w:rPr>
            </w:pPr>
            <w:r>
              <w:rPr>
                <w:rFonts w:hint="eastAsia"/>
                <w:kern w:val="2"/>
                <w:sz w:val="24"/>
              </w:rPr>
              <w:t>由上表可知，本项目不需设置专项评价。</w:t>
            </w:r>
          </w:p>
        </w:tc>
      </w:tr>
      <w:tr w14:paraId="7588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14:paraId="3BF180EA">
            <w:pPr>
              <w:spacing w:line="360" w:lineRule="auto"/>
              <w:jc w:val="center"/>
              <w:rPr>
                <w:sz w:val="24"/>
                <w:szCs w:val="24"/>
              </w:rPr>
            </w:pPr>
            <w:r>
              <w:rPr>
                <w:sz w:val="24"/>
              </w:rPr>
              <w:t>规划情况</w:t>
            </w:r>
          </w:p>
        </w:tc>
        <w:tc>
          <w:tcPr>
            <w:tcW w:w="4350" w:type="pct"/>
            <w:gridSpan w:val="4"/>
            <w:vAlign w:val="center"/>
          </w:tcPr>
          <w:p w14:paraId="3AEB7231">
            <w:pPr>
              <w:adjustRightInd w:val="0"/>
              <w:snapToGrid w:val="0"/>
              <w:ind w:firstLine="480" w:firstLineChars="200"/>
              <w:jc w:val="left"/>
              <w:rPr>
                <w:sz w:val="24"/>
              </w:rPr>
            </w:pPr>
            <w:r>
              <w:rPr>
                <w:rFonts w:hint="eastAsia"/>
                <w:sz w:val="24"/>
              </w:rPr>
              <w:t>《达州市“十四五”卫生健康发展规划》（达市府发〔2022〕11号）</w:t>
            </w:r>
          </w:p>
        </w:tc>
      </w:tr>
      <w:tr w14:paraId="1BB9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14:paraId="12692F8A">
            <w:pPr>
              <w:adjustRightInd w:val="0"/>
              <w:snapToGrid w:val="0"/>
              <w:spacing w:line="360" w:lineRule="auto"/>
              <w:jc w:val="center"/>
              <w:rPr>
                <w:rFonts w:cs="黑体"/>
                <w:kern w:val="0"/>
              </w:rPr>
            </w:pPr>
            <w:r>
              <w:rPr>
                <w:sz w:val="24"/>
              </w:rPr>
              <w:t>规划环境影响评价情况</w:t>
            </w:r>
          </w:p>
        </w:tc>
        <w:tc>
          <w:tcPr>
            <w:tcW w:w="4350" w:type="pct"/>
            <w:gridSpan w:val="4"/>
            <w:vAlign w:val="center"/>
          </w:tcPr>
          <w:p w14:paraId="68518DC8">
            <w:pPr>
              <w:adjustRightInd w:val="0"/>
              <w:snapToGrid w:val="0"/>
              <w:ind w:firstLine="480" w:firstLineChars="200"/>
              <w:jc w:val="left"/>
              <w:rPr>
                <w:sz w:val="24"/>
              </w:rPr>
            </w:pPr>
            <w:r>
              <w:rPr>
                <w:sz w:val="24"/>
              </w:rPr>
              <w:t>无</w:t>
            </w:r>
          </w:p>
        </w:tc>
      </w:tr>
      <w:tr w14:paraId="7ACE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14:paraId="29AF429F">
            <w:pPr>
              <w:autoSpaceDE w:val="0"/>
              <w:autoSpaceDN w:val="0"/>
              <w:adjustRightInd w:val="0"/>
              <w:snapToGrid w:val="0"/>
              <w:spacing w:line="360" w:lineRule="auto"/>
              <w:jc w:val="center"/>
              <w:rPr>
                <w:rFonts w:cs="黑体"/>
                <w:kern w:val="0"/>
              </w:rPr>
            </w:pPr>
            <w:r>
              <w:rPr>
                <w:kern w:val="0"/>
                <w:sz w:val="24"/>
              </w:rPr>
              <w:t>规划及规划环境影响评价符合性分析</w:t>
            </w:r>
          </w:p>
        </w:tc>
        <w:tc>
          <w:tcPr>
            <w:tcW w:w="4350" w:type="pct"/>
            <w:gridSpan w:val="4"/>
            <w:vAlign w:val="center"/>
          </w:tcPr>
          <w:p w14:paraId="439BA6C7">
            <w:pPr>
              <w:spacing w:line="360" w:lineRule="auto"/>
              <w:ind w:firstLine="482" w:firstLineChars="200"/>
              <w:rPr>
                <w:b/>
                <w:bCs/>
                <w:sz w:val="24"/>
                <w:szCs w:val="24"/>
              </w:rPr>
            </w:pPr>
            <w:r>
              <w:rPr>
                <w:rFonts w:hint="eastAsia"/>
                <w:b/>
                <w:bCs/>
                <w:sz w:val="24"/>
                <w:szCs w:val="24"/>
              </w:rPr>
              <w:t>与《达州市“十四五”卫生健康发展规划》（达市府发〔2022〕11号）符合性分析</w:t>
            </w:r>
          </w:p>
          <w:p w14:paraId="4559F20A">
            <w:pPr>
              <w:spacing w:line="360" w:lineRule="auto"/>
              <w:ind w:firstLine="480" w:firstLineChars="200"/>
              <w:rPr>
                <w:rFonts w:hint="eastAsia"/>
                <w:sz w:val="24"/>
                <w:szCs w:val="24"/>
              </w:rPr>
            </w:pPr>
            <w:r>
              <w:rPr>
                <w:rFonts w:hint="eastAsia"/>
                <w:sz w:val="24"/>
                <w:szCs w:val="24"/>
              </w:rPr>
              <w:t>达市府发〔2022〕11号文中提出：到2025年，覆盖城乡居民的卫生健康体系更加完善，重大疫情和突发公共卫生事件应对能力显著提升，优质医疗卫生资源总量大幅增加，疑难危重症诊疗水平不断提高，中医药独特优势和作用进一步发挥，医学教育和健康科技创新能力明显增强，健康产业高质量发展，健康生活方式基本普及，健康素养水平持续提升，建成川渝陕结合部区域医疗高地。</w:t>
            </w:r>
          </w:p>
          <w:p w14:paraId="42734E77">
            <w:pPr>
              <w:spacing w:line="360" w:lineRule="auto"/>
              <w:ind w:firstLine="482" w:firstLineChars="200"/>
              <w:rPr>
                <w:rFonts w:hint="eastAsia"/>
                <w:sz w:val="24"/>
                <w:szCs w:val="24"/>
              </w:rPr>
            </w:pPr>
            <w:r>
              <w:rPr>
                <w:rFonts w:hint="eastAsia"/>
                <w:b/>
                <w:bCs/>
                <w:sz w:val="24"/>
                <w:szCs w:val="24"/>
              </w:rPr>
              <w:t>——健康产业发展迈出新步伐。</w:t>
            </w:r>
            <w:r>
              <w:rPr>
                <w:rFonts w:hint="eastAsia"/>
                <w:sz w:val="24"/>
                <w:szCs w:val="24"/>
              </w:rPr>
              <w:t>促进健康产业发展的政策体系进一步完善</w:t>
            </w:r>
            <w:r>
              <w:rPr>
                <w:rFonts w:hint="eastAsia"/>
                <w:b/>
                <w:bCs/>
                <w:sz w:val="24"/>
                <w:szCs w:val="24"/>
                <w:lang w:val="en-US" w:eastAsia="zh-CN"/>
              </w:rPr>
              <w:t>...</w:t>
            </w:r>
            <w:r>
              <w:rPr>
                <w:rFonts w:hint="eastAsia"/>
                <w:b/>
                <w:bCs/>
                <w:sz w:val="24"/>
                <w:szCs w:val="24"/>
              </w:rPr>
              <w:t>社会办医从数量扩张型向质量效益型转变，老年健康产业逐步形成，“健康+”多种产业融合发展，健康产业规模进一步壮大，健康产业链不断完善</w:t>
            </w:r>
            <w:r>
              <w:rPr>
                <w:rFonts w:hint="eastAsia"/>
                <w:b/>
                <w:bCs/>
                <w:sz w:val="24"/>
                <w:szCs w:val="24"/>
                <w:lang w:val="en-US" w:eastAsia="zh-CN"/>
              </w:rPr>
              <w:t>...</w:t>
            </w:r>
          </w:p>
          <w:p w14:paraId="26A749FE">
            <w:pPr>
              <w:spacing w:line="360" w:lineRule="auto"/>
              <w:ind w:firstLine="480" w:firstLineChars="200"/>
              <w:rPr>
                <w:rFonts w:cs="黑体"/>
                <w:bCs/>
                <w:sz w:val="24"/>
                <w:szCs w:val="22"/>
                <w:lang w:bidi="en-US"/>
              </w:rPr>
            </w:pPr>
            <w:r>
              <w:rPr>
                <w:rFonts w:hint="eastAsia"/>
                <w:sz w:val="24"/>
                <w:szCs w:val="24"/>
              </w:rPr>
              <w:t>本项目为通川区广慈精神病专科医院（养老、精神病专科）建设项目，</w:t>
            </w:r>
            <w:r>
              <w:rPr>
                <w:rFonts w:hint="eastAsia"/>
                <w:sz w:val="24"/>
                <w:szCs w:val="24"/>
                <w:lang w:val="en-US" w:eastAsia="zh-CN"/>
              </w:rPr>
              <w:t>属于民营性质，涉及养老服务，</w:t>
            </w:r>
            <w:r>
              <w:rPr>
                <w:rFonts w:hint="eastAsia"/>
                <w:sz w:val="24"/>
                <w:szCs w:val="24"/>
              </w:rPr>
              <w:t>项目的实施符合达市府发〔2022〕11号相关要求。</w:t>
            </w:r>
          </w:p>
        </w:tc>
      </w:tr>
      <w:tr w14:paraId="25F1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pct"/>
            <w:vAlign w:val="center"/>
          </w:tcPr>
          <w:p w14:paraId="5A2DD85D">
            <w:pPr>
              <w:autoSpaceDE w:val="0"/>
              <w:autoSpaceDN w:val="0"/>
              <w:adjustRightInd w:val="0"/>
              <w:snapToGrid w:val="0"/>
              <w:spacing w:line="360" w:lineRule="auto"/>
              <w:jc w:val="center"/>
              <w:rPr>
                <w:kern w:val="0"/>
                <w:sz w:val="24"/>
              </w:rPr>
            </w:pPr>
            <w:r>
              <w:rPr>
                <w:kern w:val="0"/>
                <w:sz w:val="24"/>
              </w:rPr>
              <w:t>其他符合性分析</w:t>
            </w:r>
          </w:p>
        </w:tc>
        <w:tc>
          <w:tcPr>
            <w:tcW w:w="4350" w:type="pct"/>
            <w:gridSpan w:val="4"/>
            <w:vAlign w:val="center"/>
          </w:tcPr>
          <w:p w14:paraId="2BD2569B">
            <w:pPr>
              <w:spacing w:line="360" w:lineRule="auto"/>
              <w:ind w:firstLine="482" w:firstLineChars="200"/>
              <w:rPr>
                <w:b/>
                <w:bCs/>
                <w:sz w:val="24"/>
                <w:szCs w:val="24"/>
              </w:rPr>
            </w:pPr>
            <w:r>
              <w:rPr>
                <w:rFonts w:hint="eastAsia"/>
                <w:b/>
                <w:bCs/>
                <w:sz w:val="24"/>
                <w:szCs w:val="24"/>
              </w:rPr>
              <w:t>1、产业政策符合性分析</w:t>
            </w:r>
          </w:p>
          <w:p w14:paraId="3F514496">
            <w:pPr>
              <w:spacing w:line="360" w:lineRule="auto"/>
              <w:ind w:firstLine="480" w:firstLineChars="200"/>
              <w:rPr>
                <w:sz w:val="24"/>
                <w:szCs w:val="24"/>
              </w:rPr>
            </w:pPr>
            <w:r>
              <w:rPr>
                <w:rFonts w:hint="eastAsia"/>
                <w:sz w:val="24"/>
                <w:szCs w:val="24"/>
              </w:rPr>
              <w:t>根据《国民经济行业分类》（GB/T4754-2017），项目属于“Q8415专科医院”类项目。</w:t>
            </w:r>
            <w:r>
              <w:rPr>
                <w:sz w:val="24"/>
                <w:szCs w:val="24"/>
              </w:rPr>
              <w:t>根据《产业结构调整指导目录（2024年本）》相关规定</w:t>
            </w:r>
            <w:r>
              <w:rPr>
                <w:rFonts w:hint="eastAsia"/>
                <w:sz w:val="24"/>
                <w:szCs w:val="24"/>
              </w:rPr>
              <w:t>，本项目属于</w:t>
            </w:r>
            <w:r>
              <w:rPr>
                <w:rFonts w:hint="eastAsia"/>
                <w:b/>
                <w:bCs/>
                <w:sz w:val="24"/>
                <w:szCs w:val="24"/>
              </w:rPr>
              <w:t>“第一类、鼓励类”中“三十七、卫生健康/1、医疗服务设施建设：…，医疗卫生服务设施建设…”</w:t>
            </w:r>
            <w:r>
              <w:rPr>
                <w:rFonts w:hint="eastAsia"/>
                <w:sz w:val="24"/>
                <w:szCs w:val="24"/>
              </w:rPr>
              <w:t>。本项目未使用国家明令禁止的淘汰类和限制类的工艺和设备，符合国家的产业政策。</w:t>
            </w:r>
          </w:p>
          <w:p w14:paraId="2BC104E3">
            <w:pPr>
              <w:autoSpaceDE w:val="0"/>
              <w:autoSpaceDN w:val="0"/>
              <w:adjustRightInd w:val="0"/>
              <w:snapToGrid w:val="0"/>
              <w:spacing w:line="360" w:lineRule="auto"/>
              <w:ind w:firstLine="480" w:firstLineChars="200"/>
              <w:rPr>
                <w:kern w:val="0"/>
                <w:sz w:val="24"/>
                <w:szCs w:val="24"/>
              </w:rPr>
            </w:pPr>
            <w:r>
              <w:rPr>
                <w:rFonts w:hint="eastAsia"/>
                <w:sz w:val="24"/>
                <w:szCs w:val="24"/>
              </w:rPr>
              <w:t>同时，本项目已取得</w:t>
            </w:r>
            <w:r>
              <w:rPr>
                <w:rFonts w:hint="eastAsia"/>
                <w:sz w:val="24"/>
                <w:szCs w:val="36"/>
              </w:rPr>
              <w:t>通川区发展和改革</w:t>
            </w:r>
            <w:r>
              <w:rPr>
                <w:rFonts w:hint="eastAsia"/>
                <w:sz w:val="24"/>
                <w:szCs w:val="36"/>
                <w:lang w:val="en-US" w:eastAsia="zh-CN"/>
              </w:rPr>
              <w:t>局</w:t>
            </w:r>
            <w:r>
              <w:rPr>
                <w:rFonts w:hint="eastAsia"/>
                <w:sz w:val="24"/>
                <w:szCs w:val="36"/>
              </w:rPr>
              <w:t>出具</w:t>
            </w:r>
            <w:r>
              <w:rPr>
                <w:rFonts w:hint="eastAsia"/>
                <w:sz w:val="24"/>
                <w:szCs w:val="24"/>
              </w:rPr>
              <w:t>的《四川省固定资产投资项目备案表》</w:t>
            </w:r>
            <w:r>
              <w:rPr>
                <w:rFonts w:hint="eastAsia"/>
                <w:kern w:val="0"/>
                <w:sz w:val="24"/>
                <w:szCs w:val="24"/>
              </w:rPr>
              <w:t>（</w:t>
            </w:r>
            <w:r>
              <w:rPr>
                <w:rFonts w:hint="eastAsia"/>
                <w:sz w:val="24"/>
              </w:rPr>
              <w:t>川投资备</w:t>
            </w:r>
            <w:r>
              <w:rPr>
                <w:rFonts w:hint="eastAsia"/>
                <w:sz w:val="24"/>
                <w:szCs w:val="24"/>
              </w:rPr>
              <w:t>【</w:t>
            </w:r>
            <w:r>
              <w:rPr>
                <w:rFonts w:hint="eastAsia" w:cs="宋体"/>
                <w:sz w:val="24"/>
                <w:szCs w:val="24"/>
              </w:rPr>
              <w:t>2404</w:t>
            </w:r>
            <w:r>
              <w:rPr>
                <w:rFonts w:hint="eastAsia"/>
                <w:sz w:val="24"/>
                <w:szCs w:val="36"/>
              </w:rPr>
              <w:t>-511702-04-01-628812】FGQB-0090号</w:t>
            </w:r>
            <w:r>
              <w:rPr>
                <w:rFonts w:hint="eastAsia"/>
                <w:kern w:val="0"/>
                <w:sz w:val="24"/>
                <w:szCs w:val="24"/>
              </w:rPr>
              <w:t>），同意本项目的建设。详见附件2。</w:t>
            </w:r>
            <w:bookmarkStart w:id="2" w:name="_GoBack"/>
            <w:bookmarkEnd w:id="2"/>
          </w:p>
          <w:p w14:paraId="26E53C80">
            <w:pPr>
              <w:spacing w:line="360" w:lineRule="auto"/>
              <w:ind w:firstLine="480" w:firstLineChars="200"/>
              <w:rPr>
                <w:sz w:val="24"/>
                <w:szCs w:val="24"/>
              </w:rPr>
            </w:pPr>
            <w:r>
              <w:rPr>
                <w:rFonts w:hint="eastAsia"/>
                <w:sz w:val="24"/>
                <w:szCs w:val="24"/>
              </w:rPr>
              <w:t>因此，本项目的建设符合国家现行产业政策。</w:t>
            </w:r>
          </w:p>
          <w:p w14:paraId="434ED1A4">
            <w:pPr>
              <w:spacing w:line="360" w:lineRule="auto"/>
              <w:ind w:firstLine="482" w:firstLineChars="200"/>
              <w:rPr>
                <w:b/>
                <w:bCs/>
                <w:sz w:val="24"/>
                <w:szCs w:val="24"/>
              </w:rPr>
            </w:pPr>
            <w:r>
              <w:rPr>
                <w:rFonts w:hint="eastAsia"/>
                <w:b/>
                <w:bCs/>
                <w:sz w:val="24"/>
                <w:szCs w:val="24"/>
              </w:rPr>
              <w:t>2、项目用地合理性分析</w:t>
            </w:r>
          </w:p>
          <w:p w14:paraId="41CD63EF">
            <w:pPr>
              <w:autoSpaceDE w:val="0"/>
              <w:autoSpaceDN w:val="0"/>
              <w:adjustRightInd w:val="0"/>
              <w:snapToGrid w:val="0"/>
              <w:spacing w:line="360" w:lineRule="auto"/>
              <w:ind w:firstLine="480" w:firstLineChars="200"/>
              <w:rPr>
                <w:kern w:val="0"/>
                <w:sz w:val="24"/>
                <w:szCs w:val="24"/>
              </w:rPr>
            </w:pPr>
            <w:r>
              <w:rPr>
                <w:rFonts w:hint="eastAsia"/>
                <w:kern w:val="0"/>
                <w:sz w:val="24"/>
                <w:szCs w:val="24"/>
              </w:rPr>
              <w:t>根据</w:t>
            </w:r>
            <w:r>
              <w:rPr>
                <w:rFonts w:hint="eastAsia"/>
                <w:sz w:val="24"/>
                <w:szCs w:val="24"/>
              </w:rPr>
              <w:t>达州市通川区华欣实业有限责任公司的</w:t>
            </w:r>
            <w:r>
              <w:rPr>
                <w:rFonts w:hint="eastAsia"/>
                <w:kern w:val="0"/>
                <w:sz w:val="24"/>
                <w:szCs w:val="24"/>
              </w:rPr>
              <w:t>不动产权证书，证书号：川（2020）达市通川不动产权第000829号可知，项目所在地用途为仓储用地/仓储。详见附件3。</w:t>
            </w:r>
          </w:p>
          <w:p w14:paraId="7F7F9C1D">
            <w:pPr>
              <w:autoSpaceDE w:val="0"/>
              <w:autoSpaceDN w:val="0"/>
              <w:adjustRightInd w:val="0"/>
              <w:snapToGrid w:val="0"/>
              <w:spacing w:line="360" w:lineRule="auto"/>
              <w:ind w:firstLine="480" w:firstLineChars="200"/>
              <w:rPr>
                <w:kern w:val="0"/>
                <w:sz w:val="24"/>
                <w:szCs w:val="24"/>
              </w:rPr>
            </w:pPr>
            <w:r>
              <w:rPr>
                <w:rFonts w:hint="eastAsia"/>
                <w:kern w:val="0"/>
                <w:sz w:val="24"/>
                <w:szCs w:val="24"/>
              </w:rPr>
              <w:t>根据建设单位提供的房屋租赁合同可知：“</w:t>
            </w:r>
            <w:r>
              <w:rPr>
                <w:rFonts w:hint="eastAsia"/>
                <w:sz w:val="24"/>
                <w:szCs w:val="24"/>
              </w:rPr>
              <w:t>达州市通川区华欣实业有限责任公司</w:t>
            </w:r>
            <w:r>
              <w:rPr>
                <w:rFonts w:hint="eastAsia"/>
                <w:kern w:val="0"/>
                <w:sz w:val="24"/>
                <w:szCs w:val="24"/>
              </w:rPr>
              <w:t>”将位于四川省达州市通川区罗江镇高岩村四组的华欣电器物流配送中心库房，物业面积23000m</w:t>
            </w:r>
            <w:r>
              <w:rPr>
                <w:rFonts w:hint="eastAsia"/>
                <w:kern w:val="0"/>
                <w:sz w:val="24"/>
                <w:szCs w:val="24"/>
                <w:vertAlign w:val="superscript"/>
              </w:rPr>
              <w:t>2</w:t>
            </w:r>
            <w:r>
              <w:rPr>
                <w:rFonts w:hint="eastAsia"/>
                <w:kern w:val="0"/>
                <w:sz w:val="24"/>
                <w:szCs w:val="24"/>
              </w:rPr>
              <w:t>租赁给“达州市广慈精神病医院有限公司”作为医院养老使用。详见附件4。</w:t>
            </w:r>
          </w:p>
          <w:p w14:paraId="5D951200">
            <w:pPr>
              <w:autoSpaceDE w:val="0"/>
              <w:autoSpaceDN w:val="0"/>
              <w:adjustRightInd w:val="0"/>
              <w:snapToGrid w:val="0"/>
              <w:spacing w:line="360" w:lineRule="auto"/>
              <w:ind w:firstLine="480" w:firstLineChars="200"/>
              <w:rPr>
                <w:kern w:val="0"/>
                <w:sz w:val="24"/>
                <w:szCs w:val="24"/>
              </w:rPr>
            </w:pPr>
            <w:r>
              <w:rPr>
                <w:rFonts w:hint="eastAsia"/>
                <w:kern w:val="0"/>
                <w:sz w:val="24"/>
                <w:szCs w:val="24"/>
              </w:rPr>
              <w:t>根据建设单位出具的情况说明：“</w:t>
            </w:r>
            <w:r>
              <w:rPr>
                <w:kern w:val="0"/>
                <w:sz w:val="24"/>
                <w:szCs w:val="24"/>
              </w:rPr>
              <w:t>重庆熙柚商贸有限公司</w:t>
            </w:r>
            <w:r>
              <w:rPr>
                <w:rFonts w:hint="eastAsia"/>
                <w:kern w:val="0"/>
                <w:sz w:val="24"/>
                <w:szCs w:val="24"/>
              </w:rPr>
              <w:t>”为“达州市广慈精神病医院有限公司”的投资方，本项目由“</w:t>
            </w:r>
            <w:r>
              <w:rPr>
                <w:kern w:val="0"/>
                <w:sz w:val="24"/>
                <w:szCs w:val="24"/>
              </w:rPr>
              <w:t>重庆熙柚商贸有限公司</w:t>
            </w:r>
            <w:r>
              <w:rPr>
                <w:rFonts w:hint="eastAsia"/>
                <w:kern w:val="0"/>
                <w:sz w:val="24"/>
                <w:szCs w:val="24"/>
              </w:rPr>
              <w:t>”进行建设。详见附件5。</w:t>
            </w:r>
          </w:p>
          <w:p w14:paraId="3AE06171">
            <w:pPr>
              <w:autoSpaceDE w:val="0"/>
              <w:autoSpaceDN w:val="0"/>
              <w:adjustRightInd w:val="0"/>
              <w:snapToGrid w:val="0"/>
              <w:spacing w:line="360" w:lineRule="auto"/>
              <w:ind w:firstLine="480" w:firstLineChars="200"/>
              <w:rPr>
                <w:kern w:val="0"/>
                <w:sz w:val="24"/>
                <w:szCs w:val="24"/>
              </w:rPr>
            </w:pPr>
            <w:r>
              <w:rPr>
                <w:rFonts w:hint="eastAsia"/>
                <w:kern w:val="0"/>
                <w:sz w:val="24"/>
                <w:szCs w:val="24"/>
              </w:rPr>
              <w:t>根据卫生健康委 发展改革委 教育部 民政部 财政部 人力资源</w:t>
            </w:r>
            <w:r>
              <w:rPr>
                <w:rFonts w:hint="eastAsia"/>
                <w:kern w:val="0"/>
                <w:sz w:val="24"/>
                <w:szCs w:val="24"/>
                <w:lang w:val="en-US" w:eastAsia="zh-CN"/>
              </w:rPr>
              <w:t>和</w:t>
            </w:r>
            <w:r>
              <w:rPr>
                <w:rFonts w:hint="eastAsia"/>
                <w:kern w:val="0"/>
                <w:sz w:val="24"/>
                <w:szCs w:val="24"/>
              </w:rPr>
              <w:t>社会保障部 自然资源部 住房</w:t>
            </w:r>
            <w:r>
              <w:rPr>
                <w:rFonts w:hint="eastAsia"/>
                <w:kern w:val="0"/>
                <w:sz w:val="24"/>
                <w:szCs w:val="24"/>
                <w:lang w:val="en-US" w:eastAsia="zh-CN"/>
              </w:rPr>
              <w:t>和</w:t>
            </w:r>
            <w:r>
              <w:rPr>
                <w:rFonts w:hint="eastAsia"/>
                <w:kern w:val="0"/>
                <w:sz w:val="24"/>
                <w:szCs w:val="24"/>
              </w:rPr>
              <w:t>城乡建设部 应急部 市场监管总局 医保局发布的《关于进一步推进医养结合发展的指导意见》（国卫老龄发〔2022〕25号）：“（九）盘活土地资源。</w:t>
            </w:r>
            <w:r>
              <w:rPr>
                <w:rFonts w:hint="eastAsia"/>
                <w:sz w:val="24"/>
                <w:szCs w:val="24"/>
              </w:rPr>
              <w:t>…，</w:t>
            </w:r>
            <w:r>
              <w:rPr>
                <w:rFonts w:hint="eastAsia"/>
                <w:b/>
                <w:bCs/>
                <w:kern w:val="0"/>
                <w:sz w:val="24"/>
                <w:szCs w:val="24"/>
              </w:rPr>
              <w:t>允许盘活利用城镇现有空闲商业用房、厂房、校舍、办公用房、培训设施及其他设施提供医养结合服务，并适用过渡期政策，五年内继续按原用途和权利类型使用土地</w:t>
            </w:r>
            <w:r>
              <w:rPr>
                <w:kern w:val="0"/>
                <w:sz w:val="24"/>
                <w:szCs w:val="24"/>
              </w:rPr>
              <w:t>…</w:t>
            </w:r>
            <w:r>
              <w:rPr>
                <w:rFonts w:hint="eastAsia"/>
                <w:kern w:val="0"/>
                <w:sz w:val="24"/>
                <w:szCs w:val="24"/>
              </w:rPr>
              <w:t>”可知，本项目用地性质属于仓储用地/仓储，暂时闲置，允许提供医养结合服务。</w:t>
            </w:r>
          </w:p>
          <w:p w14:paraId="4D0704EA">
            <w:pPr>
              <w:spacing w:line="360" w:lineRule="auto"/>
              <w:ind w:firstLine="480" w:firstLineChars="200"/>
              <w:rPr>
                <w:sz w:val="24"/>
                <w:szCs w:val="24"/>
              </w:rPr>
            </w:pPr>
            <w:r>
              <w:rPr>
                <w:rFonts w:hint="eastAsia"/>
                <w:kern w:val="0"/>
                <w:sz w:val="24"/>
                <w:szCs w:val="24"/>
              </w:rPr>
              <w:t>综上，本项目用地</w:t>
            </w:r>
            <w:r>
              <w:rPr>
                <w:rFonts w:hint="eastAsia"/>
                <w:sz w:val="24"/>
                <w:szCs w:val="24"/>
              </w:rPr>
              <w:t>符合相关要求。</w:t>
            </w:r>
          </w:p>
          <w:p w14:paraId="21546F2F">
            <w:pPr>
              <w:autoSpaceDE w:val="0"/>
              <w:autoSpaceDN w:val="0"/>
              <w:adjustRightInd w:val="0"/>
              <w:snapToGrid w:val="0"/>
              <w:spacing w:line="360" w:lineRule="auto"/>
              <w:ind w:firstLine="482"/>
              <w:rPr>
                <w:b/>
                <w:lang w:bidi="en-US"/>
              </w:rPr>
            </w:pPr>
            <w:r>
              <w:rPr>
                <w:rFonts w:hint="eastAsia"/>
                <w:b/>
                <w:bCs/>
                <w:sz w:val="24"/>
                <w:szCs w:val="24"/>
              </w:rPr>
              <w:t>3、</w:t>
            </w:r>
            <w:r>
              <w:rPr>
                <w:rFonts w:hint="eastAsia"/>
                <w:b/>
                <w:sz w:val="24"/>
                <w:szCs w:val="24"/>
                <w:lang w:bidi="en-US"/>
              </w:rPr>
              <w:t>与《中华人民共和国长江保护法》（2020.12.27）、《四川省、重庆市长江经济带发展负面清单实施细则（试行，2022年版）》（川长江办〔2022〕17号）符合性分析</w:t>
            </w:r>
          </w:p>
          <w:p w14:paraId="3F3A2050">
            <w:pPr>
              <w:pStyle w:val="57"/>
              <w:rPr>
                <w:rFonts w:hint="default"/>
              </w:rPr>
            </w:pPr>
            <w:r>
              <w:t>表1-2  本项目与《中华人民共和国长江保护法》、“川长江办〔2022〕17号”的符合性分析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19"/>
              <w:gridCol w:w="5238"/>
              <w:gridCol w:w="2258"/>
              <w:gridCol w:w="355"/>
            </w:tblGrid>
            <w:tr w14:paraId="0EC3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7" w:hRule="atLeast"/>
                <w:tblHeader/>
                <w:jc w:val="center"/>
              </w:trPr>
              <w:tc>
                <w:tcPr>
                  <w:tcW w:w="5000" w:type="pct"/>
                  <w:gridSpan w:val="4"/>
                  <w:tcBorders>
                    <w:tl2br w:val="nil"/>
                    <w:tr2bl w:val="nil"/>
                  </w:tcBorders>
                  <w:vAlign w:val="center"/>
                </w:tcPr>
                <w:p w14:paraId="33F6666B">
                  <w:pPr>
                    <w:pStyle w:val="29"/>
                  </w:pPr>
                  <w:r>
                    <w:rPr>
                      <w:rFonts w:hint="eastAsia"/>
                      <w:b/>
                      <w:bCs/>
                    </w:rPr>
                    <w:t>一、</w:t>
                  </w:r>
                  <w:r>
                    <w:rPr>
                      <w:b/>
                      <w:bCs/>
                    </w:rPr>
                    <w:t>《中华人民共和国长江保护法》</w:t>
                  </w:r>
                  <w:r>
                    <w:rPr>
                      <w:rFonts w:hint="eastAsia"/>
                      <w:b/>
                      <w:bCs/>
                    </w:rPr>
                    <w:t>（2020.12.27）</w:t>
                  </w:r>
                </w:p>
              </w:tc>
            </w:tr>
            <w:tr w14:paraId="13AE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0CF6734D">
                  <w:pPr>
                    <w:pStyle w:val="29"/>
                  </w:pPr>
                  <w:r>
                    <w:t>序号</w:t>
                  </w:r>
                </w:p>
              </w:tc>
              <w:tc>
                <w:tcPr>
                  <w:tcW w:w="3206" w:type="pct"/>
                  <w:tcBorders>
                    <w:tl2br w:val="nil"/>
                    <w:tr2bl w:val="nil"/>
                  </w:tcBorders>
                  <w:vAlign w:val="center"/>
                </w:tcPr>
                <w:p w14:paraId="65B21980">
                  <w:pPr>
                    <w:pStyle w:val="29"/>
                  </w:pPr>
                  <w:r>
                    <w:t>原文</w:t>
                  </w:r>
                  <w:r>
                    <w:rPr>
                      <w:rFonts w:hint="eastAsia"/>
                    </w:rPr>
                    <w:t>要求</w:t>
                  </w:r>
                </w:p>
              </w:tc>
              <w:tc>
                <w:tcPr>
                  <w:tcW w:w="1382" w:type="pct"/>
                  <w:tcBorders>
                    <w:tl2br w:val="nil"/>
                    <w:tr2bl w:val="nil"/>
                  </w:tcBorders>
                  <w:vAlign w:val="center"/>
                </w:tcPr>
                <w:p w14:paraId="7C893D1B">
                  <w:pPr>
                    <w:pStyle w:val="29"/>
                  </w:pPr>
                  <w:r>
                    <w:t>本项目情况</w:t>
                  </w:r>
                </w:p>
              </w:tc>
              <w:tc>
                <w:tcPr>
                  <w:tcW w:w="215" w:type="pct"/>
                  <w:tcBorders>
                    <w:tl2br w:val="nil"/>
                    <w:tr2bl w:val="nil"/>
                  </w:tcBorders>
                  <w:vAlign w:val="center"/>
                </w:tcPr>
                <w:p w14:paraId="37FA2D72">
                  <w:pPr>
                    <w:pStyle w:val="29"/>
                  </w:pPr>
                  <w:r>
                    <w:t>符合性</w:t>
                  </w:r>
                </w:p>
              </w:tc>
            </w:tr>
            <w:tr w14:paraId="5E80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1CE65C04">
                  <w:pPr>
                    <w:pStyle w:val="29"/>
                  </w:pPr>
                  <w:r>
                    <w:t>1</w:t>
                  </w:r>
                </w:p>
              </w:tc>
              <w:tc>
                <w:tcPr>
                  <w:tcW w:w="3206" w:type="pct"/>
                  <w:tcBorders>
                    <w:tl2br w:val="nil"/>
                    <w:tr2bl w:val="nil"/>
                  </w:tcBorders>
                  <w:vAlign w:val="center"/>
                </w:tcPr>
                <w:p w14:paraId="4C64CBF6">
                  <w:pPr>
                    <w:pStyle w:val="29"/>
                    <w:jc w:val="both"/>
                  </w:pPr>
                  <w:r>
                    <w:t>第二十一条 长江流域水质超标的水功能区，应当实施更严格的污染物排放总量削减要求。企业事业单位应当按照要求，采取污染物排放总量控制措施。</w:t>
                  </w:r>
                </w:p>
              </w:tc>
              <w:tc>
                <w:tcPr>
                  <w:tcW w:w="1382" w:type="pct"/>
                  <w:tcBorders>
                    <w:tl2br w:val="nil"/>
                    <w:tr2bl w:val="nil"/>
                  </w:tcBorders>
                  <w:vAlign w:val="center"/>
                </w:tcPr>
                <w:p w14:paraId="51F17349">
                  <w:pPr>
                    <w:pStyle w:val="29"/>
                    <w:jc w:val="both"/>
                  </w:pPr>
                  <w:r>
                    <w:t>项目所在区域水环境质量满足相应功能区要求，</w:t>
                  </w:r>
                  <w:r>
                    <w:rPr>
                      <w:rFonts w:hint="eastAsia"/>
                    </w:rPr>
                    <w:t>废水经处理后排入市政污水管网。</w:t>
                  </w:r>
                </w:p>
              </w:tc>
              <w:tc>
                <w:tcPr>
                  <w:tcW w:w="215" w:type="pct"/>
                  <w:tcBorders>
                    <w:tl2br w:val="nil"/>
                    <w:tr2bl w:val="nil"/>
                  </w:tcBorders>
                  <w:vAlign w:val="center"/>
                </w:tcPr>
                <w:p w14:paraId="36E085F8">
                  <w:pPr>
                    <w:pStyle w:val="29"/>
                  </w:pPr>
                  <w:r>
                    <w:t>符合</w:t>
                  </w:r>
                </w:p>
              </w:tc>
            </w:tr>
            <w:tr w14:paraId="3E55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7D4CBAB9">
                  <w:pPr>
                    <w:pStyle w:val="29"/>
                  </w:pPr>
                  <w:r>
                    <w:t>2</w:t>
                  </w:r>
                </w:p>
              </w:tc>
              <w:tc>
                <w:tcPr>
                  <w:tcW w:w="3206" w:type="pct"/>
                  <w:tcBorders>
                    <w:tl2br w:val="nil"/>
                    <w:tr2bl w:val="nil"/>
                  </w:tcBorders>
                  <w:vAlign w:val="center"/>
                </w:tcPr>
                <w:p w14:paraId="03A45395">
                  <w:pPr>
                    <w:pStyle w:val="29"/>
                    <w:jc w:val="both"/>
                  </w:pPr>
                  <w: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82" w:type="pct"/>
                  <w:tcBorders>
                    <w:tl2br w:val="nil"/>
                    <w:tr2bl w:val="nil"/>
                  </w:tcBorders>
                  <w:vAlign w:val="center"/>
                </w:tcPr>
                <w:p w14:paraId="52271EB8">
                  <w:pPr>
                    <w:pStyle w:val="29"/>
                    <w:jc w:val="both"/>
                  </w:pPr>
                  <w:r>
                    <w:t>项目所在地不属于长江流域重点生态功能区，对生态系统不会造成严重影响，本项目也不属于重污染项目。</w:t>
                  </w:r>
                </w:p>
              </w:tc>
              <w:tc>
                <w:tcPr>
                  <w:tcW w:w="215" w:type="pct"/>
                  <w:tcBorders>
                    <w:tl2br w:val="nil"/>
                    <w:tr2bl w:val="nil"/>
                  </w:tcBorders>
                  <w:vAlign w:val="center"/>
                </w:tcPr>
                <w:p w14:paraId="41D25D66">
                  <w:pPr>
                    <w:pStyle w:val="29"/>
                  </w:pPr>
                  <w:r>
                    <w:t>符合</w:t>
                  </w:r>
                </w:p>
              </w:tc>
            </w:tr>
            <w:tr w14:paraId="1454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7FE8D1A3">
                  <w:pPr>
                    <w:pStyle w:val="29"/>
                  </w:pPr>
                  <w:r>
                    <w:rPr>
                      <w:rFonts w:hint="eastAsia"/>
                    </w:rPr>
                    <w:t>3</w:t>
                  </w:r>
                </w:p>
              </w:tc>
              <w:tc>
                <w:tcPr>
                  <w:tcW w:w="3206" w:type="pct"/>
                  <w:tcBorders>
                    <w:tl2br w:val="nil"/>
                    <w:tr2bl w:val="nil"/>
                  </w:tcBorders>
                  <w:vAlign w:val="center"/>
                </w:tcPr>
                <w:p w14:paraId="21BF5E04">
                  <w:pPr>
                    <w:pStyle w:val="29"/>
                    <w:jc w:val="both"/>
                  </w:pPr>
                  <w:r>
                    <w:t>第二十八条 禁止在长江流域禁止采砂区和禁止采砂期从事采砂活动。</w:t>
                  </w:r>
                </w:p>
              </w:tc>
              <w:tc>
                <w:tcPr>
                  <w:tcW w:w="1382" w:type="pct"/>
                  <w:tcBorders>
                    <w:tl2br w:val="nil"/>
                    <w:tr2bl w:val="nil"/>
                  </w:tcBorders>
                  <w:vAlign w:val="center"/>
                </w:tcPr>
                <w:p w14:paraId="45868669">
                  <w:pPr>
                    <w:pStyle w:val="29"/>
                    <w:jc w:val="both"/>
                  </w:pPr>
                  <w:r>
                    <w:t>本项目不涉及采砂活动。</w:t>
                  </w:r>
                </w:p>
              </w:tc>
              <w:tc>
                <w:tcPr>
                  <w:tcW w:w="215" w:type="pct"/>
                  <w:tcBorders>
                    <w:tl2br w:val="nil"/>
                    <w:tr2bl w:val="nil"/>
                  </w:tcBorders>
                  <w:vAlign w:val="center"/>
                </w:tcPr>
                <w:p w14:paraId="54DF4482">
                  <w:pPr>
                    <w:pStyle w:val="29"/>
                  </w:pPr>
                  <w:r>
                    <w:t>符合</w:t>
                  </w:r>
                </w:p>
              </w:tc>
            </w:tr>
            <w:tr w14:paraId="4AA1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7742DEF7">
                  <w:pPr>
                    <w:pStyle w:val="29"/>
                  </w:pPr>
                  <w:r>
                    <w:rPr>
                      <w:rFonts w:hint="eastAsia"/>
                    </w:rPr>
                    <w:t>4</w:t>
                  </w:r>
                </w:p>
              </w:tc>
              <w:tc>
                <w:tcPr>
                  <w:tcW w:w="3206" w:type="pct"/>
                  <w:tcBorders>
                    <w:tl2br w:val="nil"/>
                    <w:tr2bl w:val="nil"/>
                  </w:tcBorders>
                  <w:vAlign w:val="center"/>
                </w:tcPr>
                <w:p w14:paraId="5B70A0F1">
                  <w:pPr>
                    <w:pStyle w:val="29"/>
                    <w:jc w:val="both"/>
                  </w:pPr>
                  <w:r>
                    <w:t>第三十八条 加强对高耗水行业、重点用水单位的用水定额管理，严格控制高耗水项目建设。</w:t>
                  </w:r>
                </w:p>
              </w:tc>
              <w:tc>
                <w:tcPr>
                  <w:tcW w:w="1382" w:type="pct"/>
                  <w:tcBorders>
                    <w:tl2br w:val="nil"/>
                    <w:tr2bl w:val="nil"/>
                  </w:tcBorders>
                  <w:vAlign w:val="center"/>
                </w:tcPr>
                <w:p w14:paraId="0ADB1718">
                  <w:pPr>
                    <w:pStyle w:val="29"/>
                    <w:jc w:val="both"/>
                  </w:pPr>
                  <w:r>
                    <w:t>本项目不属于高耗水项目。</w:t>
                  </w:r>
                </w:p>
              </w:tc>
              <w:tc>
                <w:tcPr>
                  <w:tcW w:w="215" w:type="pct"/>
                  <w:tcBorders>
                    <w:tl2br w:val="nil"/>
                    <w:tr2bl w:val="nil"/>
                  </w:tcBorders>
                  <w:vAlign w:val="center"/>
                </w:tcPr>
                <w:p w14:paraId="1211A985">
                  <w:pPr>
                    <w:pStyle w:val="29"/>
                  </w:pPr>
                  <w:r>
                    <w:t>符合</w:t>
                  </w:r>
                </w:p>
              </w:tc>
            </w:tr>
            <w:tr w14:paraId="0798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000" w:type="pct"/>
                  <w:gridSpan w:val="4"/>
                  <w:tcBorders>
                    <w:tl2br w:val="nil"/>
                    <w:tr2bl w:val="nil"/>
                  </w:tcBorders>
                  <w:vAlign w:val="center"/>
                </w:tcPr>
                <w:p w14:paraId="20F58FBF">
                  <w:pPr>
                    <w:pStyle w:val="29"/>
                  </w:pPr>
                  <w:r>
                    <w:rPr>
                      <w:rFonts w:hint="eastAsia"/>
                      <w:b/>
                      <w:bCs/>
                    </w:rPr>
                    <w:t>二、《四川省、重庆市长江经济带发展负面清单实施细则（试行，2022年版）》（川长江办〔2022〕17号）</w:t>
                  </w:r>
                </w:p>
              </w:tc>
            </w:tr>
            <w:tr w14:paraId="401F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77BD00F4">
                  <w:pPr>
                    <w:pStyle w:val="29"/>
                    <w:rPr>
                      <w:kern w:val="0"/>
                    </w:rPr>
                  </w:pPr>
                  <w:r>
                    <w:t>序号</w:t>
                  </w:r>
                </w:p>
              </w:tc>
              <w:tc>
                <w:tcPr>
                  <w:tcW w:w="3206" w:type="pct"/>
                  <w:tcBorders>
                    <w:tl2br w:val="nil"/>
                    <w:tr2bl w:val="nil"/>
                  </w:tcBorders>
                  <w:vAlign w:val="center"/>
                </w:tcPr>
                <w:p w14:paraId="28DA9065">
                  <w:pPr>
                    <w:pStyle w:val="29"/>
                    <w:rPr>
                      <w:kern w:val="0"/>
                    </w:rPr>
                  </w:pPr>
                  <w:r>
                    <w:t>原文</w:t>
                  </w:r>
                  <w:r>
                    <w:rPr>
                      <w:rFonts w:hint="eastAsia"/>
                    </w:rPr>
                    <w:t>要求</w:t>
                  </w:r>
                </w:p>
              </w:tc>
              <w:tc>
                <w:tcPr>
                  <w:tcW w:w="1382" w:type="pct"/>
                  <w:tcBorders>
                    <w:tl2br w:val="nil"/>
                    <w:tr2bl w:val="nil"/>
                  </w:tcBorders>
                  <w:vAlign w:val="center"/>
                </w:tcPr>
                <w:p w14:paraId="63E240FD">
                  <w:pPr>
                    <w:pStyle w:val="29"/>
                    <w:rPr>
                      <w:kern w:val="0"/>
                    </w:rPr>
                  </w:pPr>
                  <w:r>
                    <w:t>本项目情况</w:t>
                  </w:r>
                </w:p>
              </w:tc>
              <w:tc>
                <w:tcPr>
                  <w:tcW w:w="215" w:type="pct"/>
                  <w:tcBorders>
                    <w:tl2br w:val="nil"/>
                    <w:tr2bl w:val="nil"/>
                  </w:tcBorders>
                  <w:vAlign w:val="center"/>
                </w:tcPr>
                <w:p w14:paraId="79E422FE">
                  <w:pPr>
                    <w:pStyle w:val="29"/>
                    <w:rPr>
                      <w:kern w:val="0"/>
                    </w:rPr>
                  </w:pPr>
                  <w:r>
                    <w:t>符合性</w:t>
                  </w:r>
                </w:p>
              </w:tc>
            </w:tr>
            <w:tr w14:paraId="4C51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vAlign w:val="center"/>
                </w:tcPr>
                <w:p w14:paraId="0D92BB1C">
                  <w:pPr>
                    <w:pStyle w:val="29"/>
                  </w:pPr>
                  <w:r>
                    <w:rPr>
                      <w:rFonts w:hint="eastAsia"/>
                    </w:rPr>
                    <w:t>1</w:t>
                  </w:r>
                </w:p>
              </w:tc>
              <w:tc>
                <w:tcPr>
                  <w:tcW w:w="3206" w:type="pct"/>
                  <w:tcBorders>
                    <w:tl2br w:val="nil"/>
                    <w:tr2bl w:val="nil"/>
                  </w:tcBorders>
                  <w:vAlign w:val="center"/>
                </w:tcPr>
                <w:p w14:paraId="5120D2C6">
                  <w:pPr>
                    <w:pStyle w:val="4"/>
                    <w:jc w:val="both"/>
                  </w:pPr>
                  <w:r>
                    <w:t>禁止新建、改建和扩建不符合全国港口布局规划，以及《四川省内河水运发展规划》《泸州一宜宾一乐山港口群布局规划》《重庆港总体规划</w:t>
                  </w:r>
                  <w:r>
                    <w:rPr>
                      <w:rFonts w:hint="eastAsia"/>
                    </w:rPr>
                    <w:t>（</w:t>
                  </w:r>
                  <w:r>
                    <w:t>2035年</w:t>
                  </w:r>
                  <w:r>
                    <w:rPr>
                      <w:rFonts w:hint="eastAsia"/>
                    </w:rPr>
                    <w:t>）</w:t>
                  </w:r>
                  <w:r>
                    <w:t>》等省级港口布局规划及市级港口总体规划的码头项目。</w:t>
                  </w:r>
                </w:p>
              </w:tc>
              <w:tc>
                <w:tcPr>
                  <w:tcW w:w="1382" w:type="pct"/>
                  <w:tcBorders>
                    <w:tl2br w:val="nil"/>
                    <w:tr2bl w:val="nil"/>
                  </w:tcBorders>
                  <w:vAlign w:val="center"/>
                </w:tcPr>
                <w:p w14:paraId="7342D935">
                  <w:pPr>
                    <w:pStyle w:val="4"/>
                    <w:jc w:val="both"/>
                  </w:pPr>
                  <w:r>
                    <w:rPr>
                      <w:rFonts w:hint="eastAsia"/>
                    </w:rPr>
                    <w:t>本项目不属于码头项目</w:t>
                  </w:r>
                </w:p>
              </w:tc>
              <w:tc>
                <w:tcPr>
                  <w:tcW w:w="215" w:type="pct"/>
                  <w:tcBorders>
                    <w:tl2br w:val="nil"/>
                    <w:tr2bl w:val="nil"/>
                  </w:tcBorders>
                  <w:vAlign w:val="center"/>
                </w:tcPr>
                <w:p w14:paraId="6693B9F1">
                  <w:pPr>
                    <w:pStyle w:val="4"/>
                  </w:pPr>
                  <w:r>
                    <w:t>符合</w:t>
                  </w:r>
                </w:p>
              </w:tc>
            </w:tr>
            <w:tr w14:paraId="4DC0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63BBABFF">
                  <w:pPr>
                    <w:pStyle w:val="29"/>
                  </w:pPr>
                  <w:r>
                    <w:rPr>
                      <w:rFonts w:hint="eastAsia"/>
                    </w:rPr>
                    <w:t>2</w:t>
                  </w:r>
                </w:p>
              </w:tc>
              <w:tc>
                <w:tcPr>
                  <w:tcW w:w="3206" w:type="pct"/>
                  <w:tcBorders>
                    <w:tl2br w:val="nil"/>
                    <w:tr2bl w:val="nil"/>
                  </w:tcBorders>
                  <w:vAlign w:val="center"/>
                </w:tcPr>
                <w:p w14:paraId="31C23206">
                  <w:pPr>
                    <w:pStyle w:val="4"/>
                    <w:jc w:val="both"/>
                  </w:pPr>
                  <w:r>
                    <w:t>禁止新建、改建和扩建不符合《长江干线过江通道布局规划</w:t>
                  </w:r>
                  <w:r>
                    <w:rPr>
                      <w:rFonts w:hint="eastAsia"/>
                    </w:rPr>
                    <w:t>（</w:t>
                  </w:r>
                  <w:r>
                    <w:t>2020-2035年</w:t>
                  </w:r>
                  <w:r>
                    <w:rPr>
                      <w:rFonts w:hint="eastAsia"/>
                    </w:rPr>
                    <w:t>）</w:t>
                  </w:r>
                  <w:r>
                    <w:t>》的过长江通道项目</w:t>
                  </w:r>
                  <w:r>
                    <w:rPr>
                      <w:rFonts w:hint="eastAsia"/>
                    </w:rPr>
                    <w:t>（</w:t>
                  </w:r>
                  <w:r>
                    <w:t>含桥梁、隧道</w:t>
                  </w:r>
                  <w:r>
                    <w:rPr>
                      <w:rFonts w:hint="eastAsia"/>
                    </w:rPr>
                    <w:t>），</w:t>
                  </w:r>
                  <w:r>
                    <w:t>国家发展改革委同意过长江通道线位调整的除外。</w:t>
                  </w:r>
                </w:p>
              </w:tc>
              <w:tc>
                <w:tcPr>
                  <w:tcW w:w="1382" w:type="pct"/>
                  <w:tcBorders>
                    <w:tl2br w:val="nil"/>
                    <w:tr2bl w:val="nil"/>
                  </w:tcBorders>
                  <w:vAlign w:val="center"/>
                </w:tcPr>
                <w:p w14:paraId="0205E899">
                  <w:pPr>
                    <w:pStyle w:val="4"/>
                    <w:jc w:val="both"/>
                  </w:pPr>
                  <w:r>
                    <w:rPr>
                      <w:rFonts w:hint="eastAsia"/>
                    </w:rPr>
                    <w:t>本项目不涉及长江通道</w:t>
                  </w:r>
                </w:p>
              </w:tc>
              <w:tc>
                <w:tcPr>
                  <w:tcW w:w="215" w:type="pct"/>
                  <w:tcBorders>
                    <w:tl2br w:val="nil"/>
                    <w:tr2bl w:val="nil"/>
                  </w:tcBorders>
                  <w:vAlign w:val="center"/>
                </w:tcPr>
                <w:p w14:paraId="37B8F5F2">
                  <w:pPr>
                    <w:pStyle w:val="4"/>
                  </w:pPr>
                  <w:r>
                    <w:t>符合</w:t>
                  </w:r>
                </w:p>
              </w:tc>
            </w:tr>
            <w:tr w14:paraId="07DC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5E93D8D9">
                  <w:pPr>
                    <w:pStyle w:val="29"/>
                  </w:pPr>
                  <w:r>
                    <w:rPr>
                      <w:rFonts w:hint="eastAsia"/>
                    </w:rPr>
                    <w:t>3</w:t>
                  </w:r>
                </w:p>
              </w:tc>
              <w:tc>
                <w:tcPr>
                  <w:tcW w:w="3206" w:type="pct"/>
                  <w:tcBorders>
                    <w:tl2br w:val="nil"/>
                    <w:tr2bl w:val="nil"/>
                  </w:tcBorders>
                  <w:vAlign w:val="center"/>
                </w:tcPr>
                <w:p w14:paraId="68F2DC10">
                  <w:pPr>
                    <w:pStyle w:val="4"/>
                    <w:jc w:val="both"/>
                  </w:pPr>
                  <w:r>
                    <w:t>禁止在自然保护区核心区、缓冲区的岸线和河段范围内投资建设旅游和生产经营项目。自然保护区的内部未分区的，依照核心区和缓冲区的规定管控。</w:t>
                  </w:r>
                </w:p>
              </w:tc>
              <w:tc>
                <w:tcPr>
                  <w:tcW w:w="1382" w:type="pct"/>
                  <w:tcBorders>
                    <w:tl2br w:val="nil"/>
                    <w:tr2bl w:val="nil"/>
                  </w:tcBorders>
                  <w:vAlign w:val="center"/>
                </w:tcPr>
                <w:p w14:paraId="47F14CD8">
                  <w:pPr>
                    <w:pStyle w:val="4"/>
                    <w:jc w:val="both"/>
                  </w:pPr>
                  <w:r>
                    <w:rPr>
                      <w:rFonts w:hint="eastAsia"/>
                    </w:rPr>
                    <w:t>本项目不涉及</w:t>
                  </w:r>
                  <w:r>
                    <w:t>自然保护区</w:t>
                  </w:r>
                </w:p>
              </w:tc>
              <w:tc>
                <w:tcPr>
                  <w:tcW w:w="215" w:type="pct"/>
                  <w:tcBorders>
                    <w:tl2br w:val="nil"/>
                    <w:tr2bl w:val="nil"/>
                  </w:tcBorders>
                  <w:vAlign w:val="center"/>
                </w:tcPr>
                <w:p w14:paraId="0F1DDE0D">
                  <w:pPr>
                    <w:pStyle w:val="4"/>
                  </w:pPr>
                  <w:r>
                    <w:t>符合</w:t>
                  </w:r>
                </w:p>
              </w:tc>
            </w:tr>
            <w:tr w14:paraId="23D1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2BB157B0">
                  <w:pPr>
                    <w:pStyle w:val="29"/>
                  </w:pPr>
                  <w:r>
                    <w:rPr>
                      <w:rFonts w:hint="eastAsia"/>
                    </w:rPr>
                    <w:t>4</w:t>
                  </w:r>
                </w:p>
              </w:tc>
              <w:tc>
                <w:tcPr>
                  <w:tcW w:w="3206" w:type="pct"/>
                  <w:tcBorders>
                    <w:tl2br w:val="nil"/>
                    <w:tr2bl w:val="nil"/>
                  </w:tcBorders>
                  <w:vAlign w:val="center"/>
                </w:tcPr>
                <w:p w14:paraId="4D7DD381">
                  <w:pPr>
                    <w:pStyle w:val="4"/>
                    <w:jc w:val="both"/>
                  </w:pPr>
                  <w:r>
                    <w:t>禁止违反风景名胜区规划，在风景名胜区内设立各类开发区。禁止在风景名胜区核心景区的岸线和河段范围内建设宾馆、招待所、培训中心、疗养院以及与风景名</w:t>
                  </w:r>
                  <w:r>
                    <w:rPr>
                      <w:rFonts w:hint="eastAsia"/>
                    </w:rPr>
                    <w:t>胜区</w:t>
                  </w:r>
                  <w:r>
                    <w:t>资源保护无关的项目。</w:t>
                  </w:r>
                </w:p>
              </w:tc>
              <w:tc>
                <w:tcPr>
                  <w:tcW w:w="1382" w:type="pct"/>
                  <w:tcBorders>
                    <w:tl2br w:val="nil"/>
                    <w:tr2bl w:val="nil"/>
                  </w:tcBorders>
                  <w:vAlign w:val="center"/>
                </w:tcPr>
                <w:p w14:paraId="6F27CA29">
                  <w:pPr>
                    <w:pStyle w:val="4"/>
                    <w:jc w:val="both"/>
                  </w:pPr>
                  <w:r>
                    <w:rPr>
                      <w:rFonts w:hint="eastAsia"/>
                    </w:rPr>
                    <w:t>本项目不涉及风景名胜区</w:t>
                  </w:r>
                </w:p>
              </w:tc>
              <w:tc>
                <w:tcPr>
                  <w:tcW w:w="215" w:type="pct"/>
                  <w:tcBorders>
                    <w:tl2br w:val="nil"/>
                    <w:tr2bl w:val="nil"/>
                  </w:tcBorders>
                  <w:vAlign w:val="center"/>
                </w:tcPr>
                <w:p w14:paraId="64837FFA">
                  <w:pPr>
                    <w:pStyle w:val="4"/>
                  </w:pPr>
                  <w:r>
                    <w:t>符合</w:t>
                  </w:r>
                </w:p>
              </w:tc>
            </w:tr>
            <w:tr w14:paraId="49B9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385CC8E4">
                  <w:pPr>
                    <w:pStyle w:val="29"/>
                  </w:pPr>
                  <w:r>
                    <w:rPr>
                      <w:rFonts w:hint="eastAsia"/>
                    </w:rPr>
                    <w:t>5</w:t>
                  </w:r>
                </w:p>
              </w:tc>
              <w:tc>
                <w:tcPr>
                  <w:tcW w:w="3206" w:type="pct"/>
                  <w:tcBorders>
                    <w:tl2br w:val="nil"/>
                    <w:tr2bl w:val="nil"/>
                  </w:tcBorders>
                  <w:vAlign w:val="center"/>
                </w:tcPr>
                <w:p w14:paraId="5A93A3D3">
                  <w:pPr>
                    <w:pStyle w:val="4"/>
                    <w:jc w:val="both"/>
                  </w:pPr>
                  <w:r>
                    <w:t>禁止在饮用水水源</w:t>
                  </w:r>
                  <w:r>
                    <w:rPr>
                      <w:rFonts w:hint="eastAsia"/>
                    </w:rPr>
                    <w:t>地保</w:t>
                  </w:r>
                  <w:r>
                    <w:t>护区的岸线和河段范围内新建、扩建对水体污染严重的建设项目，禁止改建增加排污量的建设项目。</w:t>
                  </w:r>
                </w:p>
              </w:tc>
              <w:tc>
                <w:tcPr>
                  <w:tcW w:w="1382" w:type="pct"/>
                  <w:tcBorders>
                    <w:tl2br w:val="nil"/>
                    <w:tr2bl w:val="nil"/>
                  </w:tcBorders>
                  <w:vAlign w:val="center"/>
                </w:tcPr>
                <w:p w14:paraId="6D00BD0D">
                  <w:pPr>
                    <w:pStyle w:val="4"/>
                    <w:jc w:val="both"/>
                  </w:pPr>
                  <w:r>
                    <w:rPr>
                      <w:rFonts w:hint="eastAsia"/>
                    </w:rPr>
                    <w:t>本项目不涉及饮用水源保护区</w:t>
                  </w:r>
                </w:p>
              </w:tc>
              <w:tc>
                <w:tcPr>
                  <w:tcW w:w="215" w:type="pct"/>
                  <w:tcBorders>
                    <w:tl2br w:val="nil"/>
                    <w:tr2bl w:val="nil"/>
                  </w:tcBorders>
                  <w:vAlign w:val="center"/>
                </w:tcPr>
                <w:p w14:paraId="50618F09">
                  <w:pPr>
                    <w:pStyle w:val="4"/>
                  </w:pPr>
                  <w:r>
                    <w:t>符合</w:t>
                  </w:r>
                </w:p>
              </w:tc>
            </w:tr>
            <w:tr w14:paraId="48A2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621CADA1">
                  <w:pPr>
                    <w:pStyle w:val="29"/>
                  </w:pPr>
                  <w:r>
                    <w:rPr>
                      <w:rFonts w:hint="eastAsia"/>
                    </w:rPr>
                    <w:t>6</w:t>
                  </w:r>
                </w:p>
              </w:tc>
              <w:tc>
                <w:tcPr>
                  <w:tcW w:w="3206" w:type="pct"/>
                  <w:tcBorders>
                    <w:tl2br w:val="nil"/>
                    <w:tr2bl w:val="nil"/>
                  </w:tcBorders>
                  <w:vAlign w:val="center"/>
                </w:tcPr>
                <w:p w14:paraId="013DF63F">
                  <w:pPr>
                    <w:pStyle w:val="4"/>
                    <w:jc w:val="both"/>
                  </w:pPr>
                  <w:r>
                    <w:t>饮用水水源二级保护区的岸线和河段范围内，除遵守准保护区规定外，禁止新建、改建、扩建排放污染物的投资建设项目</w:t>
                  </w:r>
                  <w:r>
                    <w:rPr>
                      <w:rFonts w:hint="eastAsia"/>
                    </w:rPr>
                    <w:t>；</w:t>
                  </w:r>
                  <w:r>
                    <w:t>禁止从事对水体有污染的水产养殖等活动。</w:t>
                  </w:r>
                </w:p>
              </w:tc>
              <w:tc>
                <w:tcPr>
                  <w:tcW w:w="1382" w:type="pct"/>
                  <w:tcBorders>
                    <w:tl2br w:val="nil"/>
                    <w:tr2bl w:val="nil"/>
                  </w:tcBorders>
                  <w:vAlign w:val="center"/>
                </w:tcPr>
                <w:p w14:paraId="411C92EC">
                  <w:pPr>
                    <w:pStyle w:val="4"/>
                    <w:jc w:val="both"/>
                  </w:pPr>
                  <w:r>
                    <w:rPr>
                      <w:rFonts w:hint="eastAsia"/>
                    </w:rPr>
                    <w:t>本项目</w:t>
                  </w:r>
                  <w:r>
                    <w:t>不涉及饮用水源保护区</w:t>
                  </w:r>
                </w:p>
              </w:tc>
              <w:tc>
                <w:tcPr>
                  <w:tcW w:w="215" w:type="pct"/>
                  <w:tcBorders>
                    <w:tl2br w:val="nil"/>
                    <w:tr2bl w:val="nil"/>
                  </w:tcBorders>
                  <w:vAlign w:val="center"/>
                </w:tcPr>
                <w:p w14:paraId="003D3EE2">
                  <w:pPr>
                    <w:pStyle w:val="4"/>
                  </w:pPr>
                  <w:r>
                    <w:t>符合</w:t>
                  </w:r>
                </w:p>
              </w:tc>
            </w:tr>
            <w:tr w14:paraId="1BE3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AD47872">
                  <w:pPr>
                    <w:pStyle w:val="29"/>
                  </w:pPr>
                  <w:r>
                    <w:rPr>
                      <w:rFonts w:hint="eastAsia"/>
                    </w:rPr>
                    <w:t>7</w:t>
                  </w:r>
                </w:p>
              </w:tc>
              <w:tc>
                <w:tcPr>
                  <w:tcW w:w="3206" w:type="pct"/>
                  <w:tcBorders>
                    <w:tl2br w:val="nil"/>
                    <w:tr2bl w:val="nil"/>
                  </w:tcBorders>
                </w:tcPr>
                <w:p w14:paraId="141D6BD5">
                  <w:pPr>
                    <w:pStyle w:val="4"/>
                    <w:jc w:val="both"/>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382" w:type="pct"/>
                  <w:tcBorders>
                    <w:tl2br w:val="nil"/>
                    <w:tr2bl w:val="nil"/>
                  </w:tcBorders>
                  <w:vAlign w:val="center"/>
                </w:tcPr>
                <w:p w14:paraId="47BE899E">
                  <w:pPr>
                    <w:pStyle w:val="4"/>
                    <w:jc w:val="both"/>
                  </w:pPr>
                  <w:r>
                    <w:rPr>
                      <w:rFonts w:hint="eastAsia"/>
                    </w:rPr>
                    <w:t>本项目</w:t>
                  </w:r>
                  <w:r>
                    <w:t>不涉及饮用水源保护区</w:t>
                  </w:r>
                </w:p>
              </w:tc>
              <w:tc>
                <w:tcPr>
                  <w:tcW w:w="215" w:type="pct"/>
                  <w:tcBorders>
                    <w:tl2br w:val="nil"/>
                    <w:tr2bl w:val="nil"/>
                  </w:tcBorders>
                  <w:vAlign w:val="center"/>
                </w:tcPr>
                <w:p w14:paraId="73B257EC">
                  <w:pPr>
                    <w:pStyle w:val="4"/>
                  </w:pPr>
                  <w:r>
                    <w:t>符合</w:t>
                  </w:r>
                </w:p>
              </w:tc>
            </w:tr>
            <w:tr w14:paraId="1BC5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1486F8DD">
                  <w:pPr>
                    <w:pStyle w:val="29"/>
                  </w:pPr>
                  <w:r>
                    <w:rPr>
                      <w:rFonts w:hint="eastAsia"/>
                    </w:rPr>
                    <w:t>8</w:t>
                  </w:r>
                </w:p>
              </w:tc>
              <w:tc>
                <w:tcPr>
                  <w:tcW w:w="3206" w:type="pct"/>
                  <w:tcBorders>
                    <w:tl2br w:val="nil"/>
                    <w:tr2bl w:val="nil"/>
                  </w:tcBorders>
                  <w:vAlign w:val="center"/>
                </w:tcPr>
                <w:p w14:paraId="1906002B">
                  <w:pPr>
                    <w:pStyle w:val="4"/>
                    <w:jc w:val="both"/>
                  </w:pPr>
                  <w:r>
                    <w:t>禁止在水产种质资源保护区岸线和河段范围内新建围湖造田、围湖造地或挖沙采石等投资建设项目。</w:t>
                  </w:r>
                </w:p>
              </w:tc>
              <w:tc>
                <w:tcPr>
                  <w:tcW w:w="1382" w:type="pct"/>
                  <w:tcBorders>
                    <w:tl2br w:val="nil"/>
                    <w:tr2bl w:val="nil"/>
                  </w:tcBorders>
                  <w:vAlign w:val="center"/>
                </w:tcPr>
                <w:p w14:paraId="164128D9">
                  <w:pPr>
                    <w:pStyle w:val="4"/>
                    <w:jc w:val="both"/>
                  </w:pPr>
                  <w:r>
                    <w:rPr>
                      <w:rFonts w:hint="eastAsia"/>
                    </w:rPr>
                    <w:t>本项目</w:t>
                  </w:r>
                  <w:r>
                    <w:t>不涉及水产种质资源保护区</w:t>
                  </w:r>
                </w:p>
              </w:tc>
              <w:tc>
                <w:tcPr>
                  <w:tcW w:w="215" w:type="pct"/>
                  <w:tcBorders>
                    <w:tl2br w:val="nil"/>
                    <w:tr2bl w:val="nil"/>
                  </w:tcBorders>
                  <w:vAlign w:val="center"/>
                </w:tcPr>
                <w:p w14:paraId="5CC8BB49">
                  <w:pPr>
                    <w:pStyle w:val="4"/>
                  </w:pPr>
                  <w:r>
                    <w:t>符合</w:t>
                  </w:r>
                </w:p>
              </w:tc>
            </w:tr>
            <w:tr w14:paraId="7E4A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EF1273B">
                  <w:pPr>
                    <w:pStyle w:val="29"/>
                  </w:pPr>
                  <w:r>
                    <w:rPr>
                      <w:rFonts w:hint="eastAsia"/>
                    </w:rPr>
                    <w:t>9</w:t>
                  </w:r>
                </w:p>
              </w:tc>
              <w:tc>
                <w:tcPr>
                  <w:tcW w:w="3206" w:type="pct"/>
                  <w:tcBorders>
                    <w:tl2br w:val="nil"/>
                    <w:tr2bl w:val="nil"/>
                  </w:tcBorders>
                  <w:vAlign w:val="center"/>
                </w:tcPr>
                <w:p w14:paraId="547AB78F">
                  <w:pPr>
                    <w:pStyle w:val="4"/>
                    <w:jc w:val="both"/>
                  </w:pPr>
                  <w:r>
                    <w:t>禁止在国家湿地公园的岸线和河段范围内开</w:t>
                  </w:r>
                  <w:r>
                    <w:rPr>
                      <w:rFonts w:hint="eastAsia"/>
                    </w:rPr>
                    <w:t>（</w:t>
                  </w:r>
                  <w:r>
                    <w:t>围</w:t>
                  </w:r>
                  <w:r>
                    <w:rPr>
                      <w:rFonts w:hint="eastAsia"/>
                    </w:rPr>
                    <w:t>）</w:t>
                  </w:r>
                  <w:r>
                    <w:t>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382" w:type="pct"/>
                  <w:tcBorders>
                    <w:tl2br w:val="nil"/>
                    <w:tr2bl w:val="nil"/>
                  </w:tcBorders>
                  <w:vAlign w:val="center"/>
                </w:tcPr>
                <w:p w14:paraId="02E0BA7A">
                  <w:pPr>
                    <w:pStyle w:val="4"/>
                    <w:jc w:val="both"/>
                  </w:pPr>
                  <w:r>
                    <w:rPr>
                      <w:rFonts w:hint="eastAsia"/>
                    </w:rPr>
                    <w:t>本项目</w:t>
                  </w:r>
                  <w:r>
                    <w:t>不涉及国家湿地公园</w:t>
                  </w:r>
                </w:p>
              </w:tc>
              <w:tc>
                <w:tcPr>
                  <w:tcW w:w="215" w:type="pct"/>
                  <w:tcBorders>
                    <w:tl2br w:val="nil"/>
                    <w:tr2bl w:val="nil"/>
                  </w:tcBorders>
                  <w:vAlign w:val="center"/>
                </w:tcPr>
                <w:p w14:paraId="025E7F6A">
                  <w:pPr>
                    <w:pStyle w:val="4"/>
                  </w:pPr>
                  <w:r>
                    <w:t>符合</w:t>
                  </w:r>
                </w:p>
              </w:tc>
            </w:tr>
            <w:tr w14:paraId="3623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13262A0A">
                  <w:pPr>
                    <w:pStyle w:val="29"/>
                  </w:pPr>
                  <w:r>
                    <w:rPr>
                      <w:rFonts w:hint="eastAsia"/>
                    </w:rPr>
                    <w:t>10</w:t>
                  </w:r>
                </w:p>
              </w:tc>
              <w:tc>
                <w:tcPr>
                  <w:tcW w:w="3206" w:type="pct"/>
                  <w:tcBorders>
                    <w:tl2br w:val="nil"/>
                    <w:tr2bl w:val="nil"/>
                  </w:tcBorders>
                  <w:vAlign w:val="center"/>
                </w:tcPr>
                <w:p w14:paraId="3A278418">
                  <w:pPr>
                    <w:pStyle w:val="4"/>
                    <w:jc w:val="both"/>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82" w:type="pct"/>
                  <w:tcBorders>
                    <w:tl2br w:val="nil"/>
                    <w:tr2bl w:val="nil"/>
                  </w:tcBorders>
                  <w:vAlign w:val="center"/>
                </w:tcPr>
                <w:p w14:paraId="19036AFB">
                  <w:pPr>
                    <w:pStyle w:val="4"/>
                    <w:jc w:val="both"/>
                  </w:pPr>
                  <w:r>
                    <w:rPr>
                      <w:rFonts w:hint="eastAsia"/>
                    </w:rPr>
                    <w:t>本项目</w:t>
                  </w:r>
                  <w:r>
                    <w:t>不涉及长江流域河湖岸线</w:t>
                  </w:r>
                </w:p>
              </w:tc>
              <w:tc>
                <w:tcPr>
                  <w:tcW w:w="215" w:type="pct"/>
                  <w:tcBorders>
                    <w:tl2br w:val="nil"/>
                    <w:tr2bl w:val="nil"/>
                  </w:tcBorders>
                  <w:vAlign w:val="center"/>
                </w:tcPr>
                <w:p w14:paraId="332BE5FE">
                  <w:pPr>
                    <w:pStyle w:val="4"/>
                  </w:pPr>
                  <w:r>
                    <w:t>符合</w:t>
                  </w:r>
                </w:p>
              </w:tc>
            </w:tr>
            <w:tr w14:paraId="4B8A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79D1705A">
                  <w:pPr>
                    <w:pStyle w:val="29"/>
                  </w:pPr>
                  <w:r>
                    <w:rPr>
                      <w:rFonts w:hint="eastAsia"/>
                    </w:rPr>
                    <w:t>11</w:t>
                  </w:r>
                </w:p>
              </w:tc>
              <w:tc>
                <w:tcPr>
                  <w:tcW w:w="3206" w:type="pct"/>
                  <w:tcBorders>
                    <w:tl2br w:val="nil"/>
                    <w:tr2bl w:val="nil"/>
                  </w:tcBorders>
                  <w:vAlign w:val="center"/>
                </w:tcPr>
                <w:p w14:paraId="72D03536">
                  <w:pPr>
                    <w:pStyle w:val="4"/>
                    <w:jc w:val="both"/>
                  </w:pPr>
                  <w:r>
                    <w:t>禁止在《全国重要江河湖泊水功能区划》划定的河段及湖泊保护区、保留区内投资建设不利于水资源及自然生态保护的项目。</w:t>
                  </w:r>
                </w:p>
              </w:tc>
              <w:tc>
                <w:tcPr>
                  <w:tcW w:w="1382" w:type="pct"/>
                  <w:tcBorders>
                    <w:tl2br w:val="nil"/>
                    <w:tr2bl w:val="nil"/>
                  </w:tcBorders>
                  <w:vAlign w:val="center"/>
                </w:tcPr>
                <w:p w14:paraId="38965706">
                  <w:pPr>
                    <w:pStyle w:val="4"/>
                    <w:jc w:val="both"/>
                  </w:pPr>
                  <w:r>
                    <w:rPr>
                      <w:rFonts w:hint="eastAsia"/>
                    </w:rPr>
                    <w:t>本项目</w:t>
                  </w:r>
                  <w:r>
                    <w:t>不涉及《全国重要江河湖泊水功能区划》划定的河段及湖泊保护区、保留区</w:t>
                  </w:r>
                </w:p>
              </w:tc>
              <w:tc>
                <w:tcPr>
                  <w:tcW w:w="215" w:type="pct"/>
                  <w:tcBorders>
                    <w:tl2br w:val="nil"/>
                    <w:tr2bl w:val="nil"/>
                  </w:tcBorders>
                  <w:vAlign w:val="center"/>
                </w:tcPr>
                <w:p w14:paraId="7A954523">
                  <w:pPr>
                    <w:pStyle w:val="4"/>
                  </w:pPr>
                  <w:r>
                    <w:t>符合</w:t>
                  </w:r>
                </w:p>
              </w:tc>
            </w:tr>
            <w:tr w14:paraId="6D8C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12B5ECE1">
                  <w:pPr>
                    <w:pStyle w:val="29"/>
                  </w:pPr>
                  <w:r>
                    <w:rPr>
                      <w:rFonts w:hint="eastAsia"/>
                    </w:rPr>
                    <w:t>12</w:t>
                  </w:r>
                </w:p>
              </w:tc>
              <w:tc>
                <w:tcPr>
                  <w:tcW w:w="3206" w:type="pct"/>
                  <w:tcBorders>
                    <w:tl2br w:val="nil"/>
                    <w:tr2bl w:val="nil"/>
                  </w:tcBorders>
                  <w:vAlign w:val="center"/>
                </w:tcPr>
                <w:p w14:paraId="684D2F3B">
                  <w:pPr>
                    <w:pStyle w:val="4"/>
                    <w:jc w:val="both"/>
                  </w:pPr>
                  <w:r>
                    <w:t>禁止在长江流域江河、湖泊新设、改设或者扩大排污口，经有管辖权的生态环境主管部门或者长江流域生态环境监督管理机构同意的除外。</w:t>
                  </w:r>
                </w:p>
              </w:tc>
              <w:tc>
                <w:tcPr>
                  <w:tcW w:w="1382" w:type="pct"/>
                  <w:tcBorders>
                    <w:tl2br w:val="nil"/>
                    <w:tr2bl w:val="nil"/>
                  </w:tcBorders>
                  <w:vAlign w:val="center"/>
                </w:tcPr>
                <w:p w14:paraId="7419CCD0">
                  <w:pPr>
                    <w:pStyle w:val="4"/>
                    <w:jc w:val="both"/>
                  </w:pPr>
                  <w:r>
                    <w:rPr>
                      <w:rFonts w:hint="eastAsia"/>
                    </w:rPr>
                    <w:t>本项目不新增排污口</w:t>
                  </w:r>
                </w:p>
              </w:tc>
              <w:tc>
                <w:tcPr>
                  <w:tcW w:w="215" w:type="pct"/>
                  <w:tcBorders>
                    <w:tl2br w:val="nil"/>
                    <w:tr2bl w:val="nil"/>
                  </w:tcBorders>
                  <w:vAlign w:val="center"/>
                </w:tcPr>
                <w:p w14:paraId="1CD3345C">
                  <w:pPr>
                    <w:pStyle w:val="4"/>
                  </w:pPr>
                  <w:r>
                    <w:t>符合</w:t>
                  </w:r>
                </w:p>
              </w:tc>
            </w:tr>
            <w:tr w14:paraId="2038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41B27815">
                  <w:pPr>
                    <w:pStyle w:val="29"/>
                  </w:pPr>
                  <w:r>
                    <w:rPr>
                      <w:rFonts w:hint="eastAsia"/>
                    </w:rPr>
                    <w:t>13</w:t>
                  </w:r>
                </w:p>
              </w:tc>
              <w:tc>
                <w:tcPr>
                  <w:tcW w:w="3206" w:type="pct"/>
                  <w:tcBorders>
                    <w:tl2br w:val="nil"/>
                    <w:tr2bl w:val="nil"/>
                  </w:tcBorders>
                  <w:vAlign w:val="center"/>
                </w:tcPr>
                <w:p w14:paraId="76B59E0F">
                  <w:pPr>
                    <w:pStyle w:val="4"/>
                    <w:jc w:val="both"/>
                  </w:pPr>
                  <w:r>
                    <w:t>禁止在长江干支流、重要湖泊岸线一公里范围内新建、扩建化工园区和化工项目</w:t>
                  </w:r>
                </w:p>
              </w:tc>
              <w:tc>
                <w:tcPr>
                  <w:tcW w:w="1382" w:type="pct"/>
                  <w:tcBorders>
                    <w:tl2br w:val="nil"/>
                    <w:tr2bl w:val="nil"/>
                  </w:tcBorders>
                  <w:vAlign w:val="center"/>
                </w:tcPr>
                <w:p w14:paraId="307D9CE3">
                  <w:pPr>
                    <w:pStyle w:val="4"/>
                    <w:jc w:val="both"/>
                  </w:pPr>
                  <w:r>
                    <w:rPr>
                      <w:rFonts w:hint="eastAsia"/>
                    </w:rPr>
                    <w:t>本项目不属于长江干支流岸线一公里范围，不属于化工项目</w:t>
                  </w:r>
                </w:p>
              </w:tc>
              <w:tc>
                <w:tcPr>
                  <w:tcW w:w="215" w:type="pct"/>
                  <w:tcBorders>
                    <w:tl2br w:val="nil"/>
                    <w:tr2bl w:val="nil"/>
                  </w:tcBorders>
                  <w:vAlign w:val="center"/>
                </w:tcPr>
                <w:p w14:paraId="5DF8789F">
                  <w:pPr>
                    <w:pStyle w:val="4"/>
                  </w:pPr>
                  <w:r>
                    <w:t>符合</w:t>
                  </w:r>
                </w:p>
              </w:tc>
            </w:tr>
            <w:tr w14:paraId="54DF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295D1BEC">
                  <w:pPr>
                    <w:pStyle w:val="29"/>
                  </w:pPr>
                  <w:r>
                    <w:rPr>
                      <w:rFonts w:hint="eastAsia"/>
                    </w:rPr>
                    <w:t>14</w:t>
                  </w:r>
                </w:p>
              </w:tc>
              <w:tc>
                <w:tcPr>
                  <w:tcW w:w="3206" w:type="pct"/>
                  <w:tcBorders>
                    <w:tl2br w:val="nil"/>
                    <w:tr2bl w:val="nil"/>
                  </w:tcBorders>
                  <w:vAlign w:val="center"/>
                </w:tcPr>
                <w:p w14:paraId="7404EF45">
                  <w:pPr>
                    <w:pStyle w:val="4"/>
                    <w:jc w:val="both"/>
                  </w:pPr>
                  <w:r>
                    <w:t>禁止在长江干流岸线三公里范围内和重要支流岸线一公里范围内新建、改建、扩建尾矿库、冶炼渣库、磷石膏库，以提升安全、生态环境保护水平为目的的改建除外。</w:t>
                  </w:r>
                </w:p>
              </w:tc>
              <w:tc>
                <w:tcPr>
                  <w:tcW w:w="1382" w:type="pct"/>
                  <w:tcBorders>
                    <w:tl2br w:val="nil"/>
                    <w:tr2bl w:val="nil"/>
                  </w:tcBorders>
                  <w:vAlign w:val="center"/>
                </w:tcPr>
                <w:p w14:paraId="7C5C0F4B">
                  <w:pPr>
                    <w:pStyle w:val="4"/>
                    <w:jc w:val="both"/>
                  </w:pPr>
                  <w:r>
                    <w:rPr>
                      <w:rFonts w:hint="eastAsia"/>
                    </w:rPr>
                    <w:t>本项目不涉及尾矿库、冶炼渣库、磷石膏库</w:t>
                  </w:r>
                </w:p>
              </w:tc>
              <w:tc>
                <w:tcPr>
                  <w:tcW w:w="215" w:type="pct"/>
                  <w:tcBorders>
                    <w:tl2br w:val="nil"/>
                    <w:tr2bl w:val="nil"/>
                  </w:tcBorders>
                  <w:vAlign w:val="center"/>
                </w:tcPr>
                <w:p w14:paraId="72C3995E">
                  <w:pPr>
                    <w:pStyle w:val="4"/>
                  </w:pPr>
                  <w:r>
                    <w:t>符合</w:t>
                  </w:r>
                </w:p>
              </w:tc>
            </w:tr>
            <w:tr w14:paraId="6A1B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22D777CA">
                  <w:pPr>
                    <w:pStyle w:val="29"/>
                  </w:pPr>
                  <w:r>
                    <w:rPr>
                      <w:rFonts w:hint="eastAsia"/>
                    </w:rPr>
                    <w:t>15</w:t>
                  </w:r>
                </w:p>
              </w:tc>
              <w:tc>
                <w:tcPr>
                  <w:tcW w:w="3206" w:type="pct"/>
                  <w:tcBorders>
                    <w:tl2br w:val="nil"/>
                    <w:tr2bl w:val="nil"/>
                  </w:tcBorders>
                  <w:vAlign w:val="center"/>
                </w:tcPr>
                <w:p w14:paraId="3F1B5128">
                  <w:pPr>
                    <w:pStyle w:val="4"/>
                    <w:jc w:val="both"/>
                  </w:pPr>
                  <w:r>
                    <w:t>禁止在生态保护红线区域、永久基本农田集中区域和其他需要特别保护的区域内选址建设尾矿库、冶炼渣库、磷石膏库。</w:t>
                  </w:r>
                </w:p>
              </w:tc>
              <w:tc>
                <w:tcPr>
                  <w:tcW w:w="1382" w:type="pct"/>
                  <w:tcBorders>
                    <w:tl2br w:val="nil"/>
                    <w:tr2bl w:val="nil"/>
                  </w:tcBorders>
                  <w:vAlign w:val="center"/>
                </w:tcPr>
                <w:p w14:paraId="16053E08">
                  <w:pPr>
                    <w:pStyle w:val="4"/>
                    <w:jc w:val="both"/>
                  </w:pPr>
                  <w:r>
                    <w:rPr>
                      <w:rFonts w:hint="eastAsia"/>
                    </w:rPr>
                    <w:t>本项目不涉及</w:t>
                  </w:r>
                  <w:r>
                    <w:t>生态保护红线区域、永久基本农田集中区域和其他需要特别保护的区域</w:t>
                  </w:r>
                  <w:r>
                    <w:rPr>
                      <w:rFonts w:hint="eastAsia"/>
                    </w:rPr>
                    <w:t>，不涉及</w:t>
                  </w:r>
                  <w:r>
                    <w:t>尾矿库、冶炼渣库、磷石膏库</w:t>
                  </w:r>
                  <w:r>
                    <w:rPr>
                      <w:rFonts w:hint="eastAsia"/>
                    </w:rPr>
                    <w:t>建设</w:t>
                  </w:r>
                </w:p>
              </w:tc>
              <w:tc>
                <w:tcPr>
                  <w:tcW w:w="215" w:type="pct"/>
                  <w:tcBorders>
                    <w:tl2br w:val="nil"/>
                    <w:tr2bl w:val="nil"/>
                  </w:tcBorders>
                  <w:vAlign w:val="center"/>
                </w:tcPr>
                <w:p w14:paraId="62296BDB">
                  <w:pPr>
                    <w:pStyle w:val="4"/>
                  </w:pPr>
                  <w:r>
                    <w:t>符合</w:t>
                  </w:r>
                </w:p>
              </w:tc>
            </w:tr>
            <w:tr w14:paraId="7346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40901A96">
                  <w:pPr>
                    <w:pStyle w:val="29"/>
                  </w:pPr>
                  <w:r>
                    <w:rPr>
                      <w:rFonts w:hint="eastAsia"/>
                    </w:rPr>
                    <w:t>16</w:t>
                  </w:r>
                </w:p>
              </w:tc>
              <w:tc>
                <w:tcPr>
                  <w:tcW w:w="3206" w:type="pct"/>
                  <w:tcBorders>
                    <w:tl2br w:val="nil"/>
                    <w:tr2bl w:val="nil"/>
                  </w:tcBorders>
                  <w:vAlign w:val="center"/>
                </w:tcPr>
                <w:p w14:paraId="7358B818">
                  <w:pPr>
                    <w:pStyle w:val="4"/>
                    <w:jc w:val="both"/>
                  </w:pPr>
                  <w:r>
                    <w:t>第二十一条禁止在合规园区外新建、扩建钢铁、石化、化工、焦化、建材、有色、制浆造纸等高污染项目。</w:t>
                  </w:r>
                </w:p>
              </w:tc>
              <w:tc>
                <w:tcPr>
                  <w:tcW w:w="1382" w:type="pct"/>
                  <w:tcBorders>
                    <w:tl2br w:val="nil"/>
                    <w:tr2bl w:val="nil"/>
                  </w:tcBorders>
                  <w:vAlign w:val="center"/>
                </w:tcPr>
                <w:p w14:paraId="2D9B5520">
                  <w:pPr>
                    <w:pStyle w:val="4"/>
                    <w:jc w:val="both"/>
                  </w:pPr>
                  <w:r>
                    <w:rPr>
                      <w:rFonts w:hint="eastAsia"/>
                    </w:rPr>
                    <w:t>本项目为专科医院</w:t>
                  </w:r>
                  <w:r>
                    <w:rPr>
                      <w:rFonts w:hint="eastAsia"/>
                      <w:bCs/>
                    </w:rPr>
                    <w:t>建设项目</w:t>
                  </w:r>
                  <w:r>
                    <w:rPr>
                      <w:rFonts w:hint="eastAsia"/>
                    </w:rPr>
                    <w:t>，不属于</w:t>
                  </w:r>
                  <w:r>
                    <w:t>钢铁、石化、化工、焦化、建材、有色、制浆造纸等高污染项目</w:t>
                  </w:r>
                </w:p>
              </w:tc>
              <w:tc>
                <w:tcPr>
                  <w:tcW w:w="215" w:type="pct"/>
                  <w:tcBorders>
                    <w:tl2br w:val="nil"/>
                    <w:tr2bl w:val="nil"/>
                  </w:tcBorders>
                  <w:vAlign w:val="center"/>
                </w:tcPr>
                <w:p w14:paraId="3B1D6F63">
                  <w:pPr>
                    <w:pStyle w:val="4"/>
                  </w:pPr>
                  <w:r>
                    <w:t>符合</w:t>
                  </w:r>
                </w:p>
              </w:tc>
            </w:tr>
            <w:tr w14:paraId="1457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55A94FD">
                  <w:pPr>
                    <w:pStyle w:val="29"/>
                  </w:pPr>
                  <w:r>
                    <w:rPr>
                      <w:rFonts w:hint="eastAsia"/>
                    </w:rPr>
                    <w:t>17</w:t>
                  </w:r>
                </w:p>
              </w:tc>
              <w:tc>
                <w:tcPr>
                  <w:tcW w:w="3206" w:type="pct"/>
                  <w:tcBorders>
                    <w:tl2br w:val="nil"/>
                    <w:tr2bl w:val="nil"/>
                  </w:tcBorders>
                  <w:vAlign w:val="center"/>
                </w:tcPr>
                <w:p w14:paraId="7F12558B">
                  <w:pPr>
                    <w:pStyle w:val="4"/>
                    <w:jc w:val="both"/>
                  </w:pPr>
                  <w:r>
                    <w:t>禁止新建、扩建不符合国家石化、现代煤化工等产业布局规划的项目。</w:t>
                  </w:r>
                </w:p>
                <w:p w14:paraId="7D68B911">
                  <w:pPr>
                    <w:pStyle w:val="4"/>
                    <w:jc w:val="both"/>
                  </w:pPr>
                  <w:r>
                    <w:rPr>
                      <w:rFonts w:hint="eastAsia"/>
                    </w:rPr>
                    <w:t>（一）</w:t>
                  </w:r>
                  <w:r>
                    <w:t>严格控制新增炼油产能，未列入《石化产业规划布局方案</w:t>
                  </w:r>
                  <w:r>
                    <w:rPr>
                      <w:rFonts w:hint="eastAsia"/>
                    </w:rPr>
                    <w:t>（</w:t>
                  </w:r>
                  <w:r>
                    <w:t>修订版</w:t>
                  </w:r>
                  <w:r>
                    <w:rPr>
                      <w:rFonts w:hint="eastAsia"/>
                    </w:rPr>
                    <w:t>）</w:t>
                  </w:r>
                  <w:r>
                    <w:t>》的新增炼油产能一律不得建设。</w:t>
                  </w:r>
                </w:p>
                <w:p w14:paraId="3590BFE1">
                  <w:pPr>
                    <w:pStyle w:val="4"/>
                    <w:jc w:val="both"/>
                  </w:pPr>
                  <w:r>
                    <w:rPr>
                      <w:rFonts w:hint="eastAsia"/>
                    </w:rPr>
                    <w:t>（二）</w:t>
                  </w:r>
                  <w:r>
                    <w:t>新建煤制烯烃、煤制芳烃项目必须列入《现代煤化工产业创新发展布局方案》，必须符合《现代煤化工建设项目环境准入条件</w:t>
                  </w:r>
                  <w:r>
                    <w:rPr>
                      <w:rFonts w:hint="eastAsia"/>
                    </w:rPr>
                    <w:t>（</w:t>
                  </w:r>
                  <w:r>
                    <w:t>试行</w:t>
                  </w:r>
                  <w:r>
                    <w:rPr>
                      <w:rFonts w:hint="eastAsia"/>
                    </w:rPr>
                    <w:t>）</w:t>
                  </w:r>
                  <w:r>
                    <w:t>》要求。</w:t>
                  </w:r>
                </w:p>
              </w:tc>
              <w:tc>
                <w:tcPr>
                  <w:tcW w:w="1382" w:type="pct"/>
                  <w:tcBorders>
                    <w:tl2br w:val="nil"/>
                    <w:tr2bl w:val="nil"/>
                  </w:tcBorders>
                  <w:vAlign w:val="center"/>
                </w:tcPr>
                <w:p w14:paraId="0D1DFA93">
                  <w:pPr>
                    <w:pStyle w:val="4"/>
                    <w:jc w:val="both"/>
                  </w:pPr>
                  <w:r>
                    <w:rPr>
                      <w:rFonts w:hint="eastAsia"/>
                    </w:rPr>
                    <w:t>本项目不属于炼油产业，不属于</w:t>
                  </w:r>
                  <w:r>
                    <w:t>煤制烯烃、煤制芳烃项目</w:t>
                  </w:r>
                </w:p>
              </w:tc>
              <w:tc>
                <w:tcPr>
                  <w:tcW w:w="215" w:type="pct"/>
                  <w:tcBorders>
                    <w:tl2br w:val="nil"/>
                    <w:tr2bl w:val="nil"/>
                  </w:tcBorders>
                  <w:vAlign w:val="center"/>
                </w:tcPr>
                <w:p w14:paraId="52229917">
                  <w:pPr>
                    <w:pStyle w:val="4"/>
                  </w:pPr>
                  <w:r>
                    <w:t>符合</w:t>
                  </w:r>
                </w:p>
              </w:tc>
            </w:tr>
            <w:tr w14:paraId="1EC4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CABB2B7">
                  <w:pPr>
                    <w:pStyle w:val="29"/>
                  </w:pPr>
                  <w:r>
                    <w:rPr>
                      <w:rFonts w:hint="eastAsia"/>
                    </w:rPr>
                    <w:t>18</w:t>
                  </w:r>
                </w:p>
              </w:tc>
              <w:tc>
                <w:tcPr>
                  <w:tcW w:w="3206" w:type="pct"/>
                  <w:tcBorders>
                    <w:tl2br w:val="nil"/>
                    <w:tr2bl w:val="nil"/>
                  </w:tcBorders>
                  <w:vAlign w:val="center"/>
                </w:tcPr>
                <w:p w14:paraId="31F3D50C">
                  <w:pPr>
                    <w:pStyle w:val="4"/>
                    <w:jc w:val="both"/>
                  </w:pP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82" w:type="pct"/>
                  <w:tcBorders>
                    <w:tl2br w:val="nil"/>
                    <w:tr2bl w:val="nil"/>
                  </w:tcBorders>
                  <w:vAlign w:val="center"/>
                </w:tcPr>
                <w:p w14:paraId="7240FA88">
                  <w:pPr>
                    <w:pStyle w:val="4"/>
                    <w:jc w:val="both"/>
                  </w:pPr>
                  <w:r>
                    <w:rPr>
                      <w:rFonts w:hint="eastAsia"/>
                    </w:rPr>
                    <w:t>本项目不属于限制类和淘汰类项目，为允许类</w:t>
                  </w:r>
                </w:p>
              </w:tc>
              <w:tc>
                <w:tcPr>
                  <w:tcW w:w="215" w:type="pct"/>
                  <w:tcBorders>
                    <w:tl2br w:val="nil"/>
                    <w:tr2bl w:val="nil"/>
                  </w:tcBorders>
                  <w:vAlign w:val="center"/>
                </w:tcPr>
                <w:p w14:paraId="41D8370E">
                  <w:pPr>
                    <w:pStyle w:val="4"/>
                  </w:pPr>
                  <w:r>
                    <w:t>符合</w:t>
                  </w:r>
                </w:p>
              </w:tc>
            </w:tr>
            <w:tr w14:paraId="4A0B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4BD2534">
                  <w:pPr>
                    <w:pStyle w:val="29"/>
                  </w:pPr>
                  <w:r>
                    <w:rPr>
                      <w:rFonts w:hint="eastAsia"/>
                    </w:rPr>
                    <w:t>19</w:t>
                  </w:r>
                </w:p>
              </w:tc>
              <w:tc>
                <w:tcPr>
                  <w:tcW w:w="3206" w:type="pct"/>
                  <w:tcBorders>
                    <w:tl2br w:val="nil"/>
                    <w:tr2bl w:val="nil"/>
                  </w:tcBorders>
                  <w:vAlign w:val="center"/>
                </w:tcPr>
                <w:p w14:paraId="6748F0DD">
                  <w:pPr>
                    <w:pStyle w:val="4"/>
                    <w:jc w:val="both"/>
                  </w:pP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1382" w:type="pct"/>
                  <w:tcBorders>
                    <w:tl2br w:val="nil"/>
                    <w:tr2bl w:val="nil"/>
                  </w:tcBorders>
                  <w:vAlign w:val="center"/>
                </w:tcPr>
                <w:p w14:paraId="744D383B">
                  <w:pPr>
                    <w:pStyle w:val="4"/>
                    <w:jc w:val="both"/>
                  </w:pPr>
                  <w:r>
                    <w:rPr>
                      <w:rFonts w:hint="eastAsia"/>
                    </w:rPr>
                    <w:t>本项目不属于严重过剩产能行业的项目</w:t>
                  </w:r>
                </w:p>
              </w:tc>
              <w:tc>
                <w:tcPr>
                  <w:tcW w:w="215" w:type="pct"/>
                  <w:tcBorders>
                    <w:tl2br w:val="nil"/>
                    <w:tr2bl w:val="nil"/>
                  </w:tcBorders>
                  <w:vAlign w:val="center"/>
                </w:tcPr>
                <w:p w14:paraId="5173297E">
                  <w:pPr>
                    <w:pStyle w:val="4"/>
                  </w:pPr>
                  <w:r>
                    <w:t>符合</w:t>
                  </w:r>
                </w:p>
              </w:tc>
            </w:tr>
            <w:tr w14:paraId="74CD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3A823FB1">
                  <w:pPr>
                    <w:pStyle w:val="29"/>
                  </w:pPr>
                  <w:r>
                    <w:rPr>
                      <w:rFonts w:hint="eastAsia"/>
                    </w:rPr>
                    <w:t>20</w:t>
                  </w:r>
                </w:p>
              </w:tc>
              <w:tc>
                <w:tcPr>
                  <w:tcW w:w="3206" w:type="pct"/>
                  <w:tcBorders>
                    <w:tl2br w:val="nil"/>
                    <w:tr2bl w:val="nil"/>
                  </w:tcBorders>
                  <w:vAlign w:val="center"/>
                </w:tcPr>
                <w:p w14:paraId="31D23B0C">
                  <w:pPr>
                    <w:pStyle w:val="4"/>
                    <w:jc w:val="both"/>
                  </w:pPr>
                  <w:r>
                    <w:rPr>
                      <w:rFonts w:hint="eastAsia"/>
                    </w:rPr>
                    <w:t>禁止建设以下燃油汽车投资项目（不在中国境内</w:t>
                  </w:r>
                </w:p>
                <w:p w14:paraId="69301BB7">
                  <w:pPr>
                    <w:pStyle w:val="4"/>
                    <w:jc w:val="both"/>
                  </w:pPr>
                  <w:r>
                    <w:rPr>
                      <w:rFonts w:hint="eastAsia"/>
                    </w:rPr>
                    <w:t>内销售产品的投资项目除外）：</w:t>
                  </w:r>
                </w:p>
                <w:p w14:paraId="75A42BF2">
                  <w:pPr>
                    <w:pStyle w:val="4"/>
                    <w:jc w:val="both"/>
                  </w:pPr>
                  <w:r>
                    <w:rPr>
                      <w:rFonts w:hint="eastAsia"/>
                    </w:rPr>
                    <w:t>（一）新建独立燃油汽车企业；</w:t>
                  </w:r>
                </w:p>
                <w:p w14:paraId="3636D568">
                  <w:pPr>
                    <w:pStyle w:val="4"/>
                    <w:jc w:val="both"/>
                  </w:pPr>
                  <w:r>
                    <w:rPr>
                      <w:rFonts w:hint="eastAsia"/>
                    </w:rPr>
                    <w:t>（二）现有汽车企业跨乘用车、商用车类别建设燃油汽车生产能力；</w:t>
                  </w:r>
                </w:p>
                <w:p w14:paraId="70A5BF3C">
                  <w:pPr>
                    <w:pStyle w:val="4"/>
                    <w:jc w:val="both"/>
                  </w:pPr>
                  <w:r>
                    <w:rPr>
                      <w:rFonts w:hint="eastAsia"/>
                    </w:rPr>
                    <w:t>（三）外省现有燃油汽车企业整体搬迁至本省（列入国家级区域发展规划或不改变企业股权结构的项目除外）；</w:t>
                  </w:r>
                </w:p>
                <w:p w14:paraId="21A65370">
                  <w:pPr>
                    <w:pStyle w:val="4"/>
                    <w:jc w:val="both"/>
                  </w:pPr>
                  <w:r>
                    <w:rPr>
                      <w:rFonts w:hint="eastAsia"/>
                    </w:rPr>
                    <w:t>（四）对行业</w:t>
                  </w:r>
                  <w:r>
                    <w:rPr>
                      <w:rFonts w:hint="eastAsia"/>
                      <w:lang w:val="en-US" w:eastAsia="zh-CN"/>
                    </w:rPr>
                    <w:t>主管</w:t>
                  </w:r>
                  <w:r>
                    <w:rPr>
                      <w:rFonts w:hint="eastAsia"/>
                    </w:rPr>
                    <w:t>部门特别公示的燃油汽车企业进行投资（企业原有股东投资或将该企业转为非独立法人的投资项目除外）。</w:t>
                  </w:r>
                </w:p>
              </w:tc>
              <w:tc>
                <w:tcPr>
                  <w:tcW w:w="1382" w:type="pct"/>
                  <w:tcBorders>
                    <w:tl2br w:val="nil"/>
                    <w:tr2bl w:val="nil"/>
                  </w:tcBorders>
                  <w:vAlign w:val="center"/>
                </w:tcPr>
                <w:p w14:paraId="04DBC63C">
                  <w:pPr>
                    <w:pStyle w:val="4"/>
                    <w:jc w:val="both"/>
                  </w:pPr>
                  <w:r>
                    <w:rPr>
                      <w:rFonts w:hint="eastAsia"/>
                    </w:rPr>
                    <w:t>本项目不属于燃油汽车投资项目</w:t>
                  </w:r>
                </w:p>
              </w:tc>
              <w:tc>
                <w:tcPr>
                  <w:tcW w:w="215" w:type="pct"/>
                  <w:tcBorders>
                    <w:tl2br w:val="nil"/>
                    <w:tr2bl w:val="nil"/>
                  </w:tcBorders>
                  <w:vAlign w:val="center"/>
                </w:tcPr>
                <w:p w14:paraId="7E509767">
                  <w:pPr>
                    <w:pStyle w:val="4"/>
                  </w:pPr>
                  <w:r>
                    <w:t>符合</w:t>
                  </w:r>
                </w:p>
              </w:tc>
            </w:tr>
            <w:tr w14:paraId="1A9E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 w:type="pct"/>
                  <w:tcBorders>
                    <w:tl2br w:val="nil"/>
                    <w:tr2bl w:val="nil"/>
                  </w:tcBorders>
                </w:tcPr>
                <w:p w14:paraId="0110DA65">
                  <w:pPr>
                    <w:pStyle w:val="29"/>
                  </w:pPr>
                  <w:r>
                    <w:rPr>
                      <w:rFonts w:hint="eastAsia"/>
                    </w:rPr>
                    <w:t>21</w:t>
                  </w:r>
                </w:p>
              </w:tc>
              <w:tc>
                <w:tcPr>
                  <w:tcW w:w="3206" w:type="pct"/>
                  <w:tcBorders>
                    <w:tl2br w:val="nil"/>
                    <w:tr2bl w:val="nil"/>
                  </w:tcBorders>
                  <w:vAlign w:val="center"/>
                </w:tcPr>
                <w:p w14:paraId="7E97029E">
                  <w:pPr>
                    <w:pStyle w:val="4"/>
                    <w:jc w:val="both"/>
                  </w:pPr>
                  <w:r>
                    <w:rPr>
                      <w:rFonts w:hint="eastAsia"/>
                    </w:rPr>
                    <w:t>禁止新建、扩建不符合要求的高耗能、高排放、低水平项目。</w:t>
                  </w:r>
                </w:p>
              </w:tc>
              <w:tc>
                <w:tcPr>
                  <w:tcW w:w="1382" w:type="pct"/>
                  <w:tcBorders>
                    <w:tl2br w:val="nil"/>
                    <w:tr2bl w:val="nil"/>
                  </w:tcBorders>
                  <w:vAlign w:val="center"/>
                </w:tcPr>
                <w:p w14:paraId="024C74DE">
                  <w:pPr>
                    <w:pStyle w:val="4"/>
                    <w:jc w:val="both"/>
                  </w:pPr>
                  <w:r>
                    <w:rPr>
                      <w:rFonts w:hint="eastAsia"/>
                    </w:rPr>
                    <w:t>本项目符合清洁生产要求，不属于不符合要求的高耗能、高排放、低水平项目</w:t>
                  </w:r>
                </w:p>
              </w:tc>
              <w:tc>
                <w:tcPr>
                  <w:tcW w:w="215" w:type="pct"/>
                  <w:tcBorders>
                    <w:tl2br w:val="nil"/>
                    <w:tr2bl w:val="nil"/>
                  </w:tcBorders>
                  <w:vAlign w:val="center"/>
                </w:tcPr>
                <w:p w14:paraId="4A2C2544">
                  <w:pPr>
                    <w:pStyle w:val="4"/>
                  </w:pPr>
                  <w:r>
                    <w:t>符合</w:t>
                  </w:r>
                </w:p>
              </w:tc>
            </w:tr>
          </w:tbl>
          <w:p w14:paraId="4CA8CFAA">
            <w:pPr>
              <w:autoSpaceDE w:val="0"/>
              <w:autoSpaceDN w:val="0"/>
              <w:adjustRightInd w:val="0"/>
              <w:snapToGrid w:val="0"/>
              <w:spacing w:line="360" w:lineRule="auto"/>
              <w:ind w:firstLine="482" w:firstLineChars="200"/>
              <w:rPr>
                <w:b/>
                <w:sz w:val="24"/>
                <w:szCs w:val="24"/>
                <w:lang w:bidi="en-US"/>
              </w:rPr>
            </w:pPr>
            <w:r>
              <w:rPr>
                <w:rFonts w:hint="eastAsia"/>
                <w:b/>
                <w:sz w:val="24"/>
                <w:szCs w:val="24"/>
                <w:lang w:bidi="en-US"/>
              </w:rPr>
              <w:t>4、“</w:t>
            </w:r>
            <w:r>
              <w:rPr>
                <w:rFonts w:hint="eastAsia"/>
                <w:b/>
                <w:bCs/>
                <w:sz w:val="24"/>
                <w:szCs w:val="24"/>
              </w:rPr>
              <w:t>生态环境分区管控</w:t>
            </w:r>
            <w:r>
              <w:rPr>
                <w:rFonts w:hint="eastAsia"/>
                <w:b/>
                <w:sz w:val="24"/>
                <w:szCs w:val="24"/>
                <w:lang w:bidi="en-US"/>
              </w:rPr>
              <w:t>”符合性分析</w:t>
            </w:r>
          </w:p>
          <w:p w14:paraId="03337943">
            <w:pPr>
              <w:spacing w:line="360" w:lineRule="auto"/>
              <w:ind w:firstLine="480" w:firstLineChars="200"/>
              <w:rPr>
                <w:sz w:val="24"/>
                <w:szCs w:val="24"/>
              </w:rPr>
            </w:pPr>
            <w:r>
              <w:rPr>
                <w:rFonts w:hint="eastAsia"/>
                <w:sz w:val="24"/>
                <w:szCs w:val="24"/>
              </w:rPr>
              <w:t>根据《四川省生态环境厅办公室关于印发〈产业园区规划环评“三线一单”符合性分析技术要点（试行）〉和〈项目环评“三线一单”符合性分析技术要点（试行）〉的通知》（川环办函〔2021〕469号）可知，若建设项目位于产业园区外，需先对其进行空间符合性分析后再进行管控要求符合性分析。项目位于产业园区外，因此先对其进行空间符合性分析，再对其进行管控要求符合性分析。</w:t>
            </w:r>
          </w:p>
          <w:p w14:paraId="68BFC446">
            <w:pPr>
              <w:autoSpaceDE w:val="0"/>
              <w:autoSpaceDN w:val="0"/>
              <w:adjustRightInd w:val="0"/>
              <w:snapToGrid w:val="0"/>
              <w:spacing w:line="360" w:lineRule="auto"/>
              <w:ind w:firstLine="482" w:firstLineChars="200"/>
              <w:rPr>
                <w:b/>
                <w:sz w:val="24"/>
                <w:szCs w:val="24"/>
                <w:lang w:bidi="en-US"/>
              </w:rPr>
            </w:pPr>
            <w:r>
              <w:rPr>
                <w:rFonts w:hint="eastAsia"/>
                <w:b/>
                <w:sz w:val="24"/>
                <w:szCs w:val="24"/>
                <w:lang w:bidi="en-US"/>
              </w:rPr>
              <w:t>（1）</w:t>
            </w:r>
            <w:r>
              <w:rPr>
                <w:rFonts w:hint="eastAsia"/>
                <w:b/>
                <w:bCs/>
                <w:sz w:val="24"/>
                <w:szCs w:val="24"/>
              </w:rPr>
              <w:t>与“生态环境分区管控”空间符合性分析</w:t>
            </w:r>
          </w:p>
          <w:p w14:paraId="1FD98F78">
            <w:pPr>
              <w:autoSpaceDE w:val="0"/>
              <w:autoSpaceDN w:val="0"/>
              <w:adjustRightInd w:val="0"/>
              <w:snapToGrid w:val="0"/>
              <w:spacing w:line="360" w:lineRule="auto"/>
              <w:ind w:firstLine="480" w:firstLineChars="200"/>
              <w:jc w:val="left"/>
              <w:rPr>
                <w:sz w:val="24"/>
                <w:szCs w:val="32"/>
              </w:rPr>
            </w:pPr>
            <w:r>
              <w:rPr>
                <w:rFonts w:hint="eastAsia"/>
                <w:sz w:val="24"/>
                <w:szCs w:val="24"/>
              </w:rPr>
              <w:t>根据达州市生态空间更新成果与《达州市2023年生态环境分区管控成果动态更新情况说明》，优化调整后的生态保护红线管控区分区数量共计34个，分区面积为1202.83km</w:t>
            </w:r>
            <w:r>
              <w:rPr>
                <w:rFonts w:hint="eastAsia"/>
                <w:sz w:val="24"/>
                <w:szCs w:val="24"/>
                <w:vertAlign w:val="superscript"/>
              </w:rPr>
              <w:t>2</w:t>
            </w:r>
            <w:r>
              <w:rPr>
                <w:rFonts w:hint="eastAsia"/>
                <w:sz w:val="24"/>
                <w:szCs w:val="24"/>
              </w:rPr>
              <w:t>，分区面积占比7.26%。与原2021年相比，面积减少了11.43km</w:t>
            </w:r>
            <w:r>
              <w:rPr>
                <w:rFonts w:hint="eastAsia"/>
                <w:sz w:val="24"/>
                <w:szCs w:val="24"/>
                <w:vertAlign w:val="superscript"/>
              </w:rPr>
              <w:t>2</w:t>
            </w:r>
            <w:r>
              <w:rPr>
                <w:rFonts w:hint="eastAsia"/>
                <w:sz w:val="24"/>
                <w:szCs w:val="24"/>
              </w:rPr>
              <w:t>，其中调入红线2.17km</w:t>
            </w:r>
            <w:r>
              <w:rPr>
                <w:rFonts w:hint="eastAsia"/>
                <w:sz w:val="24"/>
                <w:szCs w:val="24"/>
                <w:vertAlign w:val="superscript"/>
              </w:rPr>
              <w:t>2</w:t>
            </w:r>
            <w:r>
              <w:rPr>
                <w:rFonts w:hint="eastAsia"/>
                <w:sz w:val="24"/>
                <w:szCs w:val="24"/>
              </w:rPr>
              <w:t>，调出红线13.6km</w:t>
            </w:r>
            <w:r>
              <w:rPr>
                <w:rFonts w:hint="eastAsia"/>
                <w:sz w:val="24"/>
                <w:szCs w:val="24"/>
                <w:vertAlign w:val="superscript"/>
              </w:rPr>
              <w:t>2</w:t>
            </w:r>
            <w:r>
              <w:rPr>
                <w:rFonts w:hint="eastAsia"/>
                <w:sz w:val="24"/>
                <w:szCs w:val="24"/>
              </w:rPr>
              <w:t>。达州市生态保护红线主要分布在大巴山和盆地区域，涉及大巴山生物多样性维护—水源涵养生态保护红线、盆中城市饮用水源—水土保持生态保护红线。</w:t>
            </w:r>
            <w:r>
              <w:rPr>
                <w:rFonts w:hint="eastAsia"/>
                <w:sz w:val="24"/>
                <w:szCs w:val="32"/>
              </w:rPr>
              <w:t>达州市生态保护红线分布图见下图1-1</w:t>
            </w:r>
            <w:r>
              <w:rPr>
                <w:rFonts w:hint="eastAsia"/>
                <w:sz w:val="24"/>
                <w:szCs w:val="24"/>
              </w:rPr>
              <w:t>，达州市生态空间分布图见下图1-2</w:t>
            </w:r>
            <w:r>
              <w:rPr>
                <w:rFonts w:hint="eastAsia"/>
                <w:sz w:val="24"/>
                <w:szCs w:val="32"/>
              </w:rPr>
              <w:t>。</w:t>
            </w:r>
          </w:p>
          <w:p w14:paraId="132F78EE">
            <w:pPr>
              <w:autoSpaceDE w:val="0"/>
              <w:autoSpaceDN w:val="0"/>
              <w:adjustRightInd w:val="0"/>
              <w:snapToGrid w:val="0"/>
              <w:spacing w:line="360" w:lineRule="auto"/>
              <w:jc w:val="center"/>
              <w:rPr>
                <w:bCs/>
                <w:sz w:val="24"/>
                <w:lang w:bidi="en-US"/>
              </w:rPr>
            </w:pPr>
            <w:r>
              <mc:AlternateContent>
                <mc:Choice Requires="wps">
                  <w:drawing>
                    <wp:anchor distT="0" distB="0" distL="114300" distR="114300" simplePos="0" relativeHeight="251660288" behindDoc="0" locked="0" layoutInCell="1" allowOverlap="1">
                      <wp:simplePos x="0" y="0"/>
                      <wp:positionH relativeFrom="column">
                        <wp:posOffset>1943735</wp:posOffset>
                      </wp:positionH>
                      <wp:positionV relativeFrom="paragraph">
                        <wp:posOffset>2275205</wp:posOffset>
                      </wp:positionV>
                      <wp:extent cx="947420" cy="365760"/>
                      <wp:effectExtent l="4445" t="274320" r="19685" b="7620"/>
                      <wp:wrapNone/>
                      <wp:docPr id="3" name="圆角矩形标注 3"/>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42225"/>
                                  <a:gd name="adj2" fmla="val -121180"/>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4D97AD9C">
                                  <w:pPr>
                                    <w:rPr>
                                      <w:b/>
                                      <w:bCs/>
                                      <w:color w:val="FF0000"/>
                                      <w:sz w:val="18"/>
                                      <w:szCs w:val="18"/>
                                    </w:rPr>
                                  </w:pPr>
                                  <w:r>
                                    <w:rPr>
                                      <w:rFonts w:hint="eastAsia"/>
                                      <w:b/>
                                      <w:bCs/>
                                      <w:color w:val="FF0000"/>
                                      <w:sz w:val="18"/>
                                      <w:szCs w:val="18"/>
                                    </w:rPr>
                                    <w:t>本项目所在地</w:t>
                                  </w:r>
                                </w:p>
                              </w:txbxContent>
                            </wps:txbx>
                            <wps:bodyPr upright="1"/>
                          </wps:wsp>
                        </a:graphicData>
                      </a:graphic>
                    </wp:anchor>
                  </w:drawing>
                </mc:Choice>
                <mc:Fallback>
                  <w:pict>
                    <v:shape id="_x0000_s1026" o:spid="_x0000_s1026" o:spt="62" type="#_x0000_t62" style="position:absolute;left:0pt;margin-left:153.05pt;margin-top:179.15pt;height:28.8pt;width:74.6pt;z-index:251660288;mso-width-relative:page;mso-height-relative:page;" fillcolor="#FFFFFF" filled="t" stroked="t" coordsize="21600,21600" o:gfxdata="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TWuojbAAAA&#10;CwEAAA8AAAAAAAAAAQAgAAAAIgAAAGRycy9kb3ducmV2LnhtbFBLAQIUABQAAAAIAIdO4kAnqMFg&#10;UwIAAL0EAAAOAAAAAAAAAAEAIAAAACoBAABkcnMvZTJvRG9jLnhtbFBLBQYAAAAABgAGAFkBAADv&#10;BQAAAAA=&#10;" adj="1679,-15375,14400">
                      <v:fill on="t" focussize="0,0"/>
                      <v:stroke color="#FF0000" joinstyle="miter"/>
                      <v:imagedata o:title=""/>
                      <o:lock v:ext="edit" aspectratio="f"/>
                      <v:textbox>
                        <w:txbxContent>
                          <w:p w14:paraId="4D97AD9C">
                            <w:pPr>
                              <w:rPr>
                                <w:b/>
                                <w:bCs/>
                                <w:color w:val="FF0000"/>
                                <w:sz w:val="18"/>
                                <w:szCs w:val="18"/>
                              </w:rPr>
                            </w:pPr>
                            <w:r>
                              <w:rPr>
                                <w:rFonts w:hint="eastAsia"/>
                                <w:b/>
                                <w:bCs/>
                                <w:color w:val="FF0000"/>
                                <w:sz w:val="18"/>
                                <w:szCs w:val="18"/>
                              </w:rPr>
                              <w:t>本项目所在地</w:t>
                            </w:r>
                          </w:p>
                        </w:txbxContent>
                      </v:textbox>
                    </v:shape>
                  </w:pict>
                </mc:Fallback>
              </mc:AlternateContent>
            </w:r>
            <w:r>
              <w:drawing>
                <wp:inline distT="0" distB="0" distL="114300" distR="114300">
                  <wp:extent cx="5248910" cy="3746500"/>
                  <wp:effectExtent l="0" t="0" r="889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a:stretch>
                            <a:fillRect/>
                          </a:stretch>
                        </pic:blipFill>
                        <pic:spPr>
                          <a:xfrm>
                            <a:off x="0" y="0"/>
                            <a:ext cx="5248910" cy="3746500"/>
                          </a:xfrm>
                          <a:prstGeom prst="rect">
                            <a:avLst/>
                          </a:prstGeom>
                          <a:noFill/>
                          <a:ln>
                            <a:noFill/>
                          </a:ln>
                        </pic:spPr>
                      </pic:pic>
                    </a:graphicData>
                  </a:graphic>
                </wp:inline>
              </w:drawing>
            </w:r>
          </w:p>
          <w:p w14:paraId="1F3EF6EA">
            <w:pPr>
              <w:spacing w:line="360" w:lineRule="auto"/>
              <w:jc w:val="center"/>
              <w:rPr>
                <w:b/>
                <w:bCs/>
                <w:sz w:val="24"/>
                <w:szCs w:val="24"/>
              </w:rPr>
            </w:pPr>
            <w:r>
              <w:rPr>
                <w:b/>
                <w:bCs/>
                <w:sz w:val="24"/>
                <w:szCs w:val="24"/>
              </w:rPr>
              <w:t>图1-</w:t>
            </w:r>
            <w:r>
              <w:rPr>
                <w:rFonts w:hint="eastAsia"/>
                <w:b/>
                <w:bCs/>
                <w:sz w:val="24"/>
                <w:szCs w:val="24"/>
              </w:rPr>
              <w:t>1</w:t>
            </w:r>
            <w:r>
              <w:rPr>
                <w:b/>
                <w:bCs/>
                <w:sz w:val="24"/>
                <w:szCs w:val="24"/>
              </w:rPr>
              <w:t xml:space="preserve"> </w:t>
            </w:r>
            <w:r>
              <w:rPr>
                <w:rFonts w:hint="eastAsia"/>
                <w:b/>
                <w:bCs/>
                <w:sz w:val="24"/>
                <w:szCs w:val="24"/>
              </w:rPr>
              <w:t>项目与达州市生态保护红线的位置关系图</w:t>
            </w:r>
          </w:p>
          <w:p w14:paraId="4D93282D">
            <w:pPr>
              <w:autoSpaceDE w:val="0"/>
              <w:autoSpaceDN w:val="0"/>
              <w:adjustRightInd w:val="0"/>
              <w:snapToGrid w:val="0"/>
              <w:spacing w:line="360" w:lineRule="auto"/>
              <w:jc w:val="center"/>
            </w:pPr>
            <w:r>
              <mc:AlternateContent>
                <mc:Choice Requires="wps">
                  <w:drawing>
                    <wp:anchor distT="0" distB="0" distL="114300" distR="114300" simplePos="0" relativeHeight="251661312" behindDoc="0" locked="0" layoutInCell="1" allowOverlap="1">
                      <wp:simplePos x="0" y="0"/>
                      <wp:positionH relativeFrom="column">
                        <wp:posOffset>1811020</wp:posOffset>
                      </wp:positionH>
                      <wp:positionV relativeFrom="paragraph">
                        <wp:posOffset>2230120</wp:posOffset>
                      </wp:positionV>
                      <wp:extent cx="947420" cy="365760"/>
                      <wp:effectExtent l="4445" t="274320" r="19685" b="7620"/>
                      <wp:wrapNone/>
                      <wp:docPr id="14" name="圆角矩形标注 14"/>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42225"/>
                                  <a:gd name="adj2" fmla="val -121180"/>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54C33716">
                                  <w:pPr>
                                    <w:rPr>
                                      <w:b/>
                                      <w:bCs/>
                                      <w:color w:val="FF0000"/>
                                      <w:sz w:val="18"/>
                                      <w:szCs w:val="18"/>
                                    </w:rPr>
                                  </w:pPr>
                                  <w:r>
                                    <w:rPr>
                                      <w:rFonts w:hint="eastAsia"/>
                                      <w:b/>
                                      <w:bCs/>
                                      <w:color w:val="FF0000"/>
                                      <w:sz w:val="18"/>
                                      <w:szCs w:val="18"/>
                                    </w:rPr>
                                    <w:t>本项目所在地</w:t>
                                  </w:r>
                                </w:p>
                              </w:txbxContent>
                            </wps:txbx>
                            <wps:bodyPr upright="1"/>
                          </wps:wsp>
                        </a:graphicData>
                      </a:graphic>
                    </wp:anchor>
                  </w:drawing>
                </mc:Choice>
                <mc:Fallback>
                  <w:pict>
                    <v:shape id="_x0000_s1026" o:spid="_x0000_s1026" o:spt="62" type="#_x0000_t62" style="position:absolute;left:0pt;margin-left:142.6pt;margin-top:175.6pt;height:28.8pt;width:74.6pt;z-index:251661312;mso-width-relative:page;mso-height-relative:page;" fillcolor="#FFFFFF" filled="t" stroked="t" coordsize="21600,21600" o:gfxdata="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bXfGg3AAA&#10;AAsBAAAPAAAAAAAAAAEAIAAAACIAAABkcnMvZG93bnJldi54bWxQSwECFAAUAAAACACHTuJARWgK&#10;pVMCAAC/BAAADgAAAAAAAAABACAAAAArAQAAZHJzL2Uyb0RvYy54bWxQSwUGAAAAAAYABgBZAQAA&#10;8AUAAAAA&#10;" adj="1679,-15375,14400">
                      <v:fill on="t" focussize="0,0"/>
                      <v:stroke color="#FF0000" joinstyle="miter"/>
                      <v:imagedata o:title=""/>
                      <o:lock v:ext="edit" aspectratio="f"/>
                      <v:textbox>
                        <w:txbxContent>
                          <w:p w14:paraId="54C33716">
                            <w:pPr>
                              <w:rPr>
                                <w:b/>
                                <w:bCs/>
                                <w:color w:val="FF0000"/>
                                <w:sz w:val="18"/>
                                <w:szCs w:val="18"/>
                              </w:rPr>
                            </w:pPr>
                            <w:r>
                              <w:rPr>
                                <w:rFonts w:hint="eastAsia"/>
                                <w:b/>
                                <w:bCs/>
                                <w:color w:val="FF0000"/>
                                <w:sz w:val="18"/>
                                <w:szCs w:val="18"/>
                              </w:rPr>
                              <w:t>本项目所在地</w:t>
                            </w:r>
                          </w:p>
                        </w:txbxContent>
                      </v:textbox>
                    </v:shape>
                  </w:pict>
                </mc:Fallback>
              </mc:AlternateContent>
            </w:r>
            <w:r>
              <w:drawing>
                <wp:inline distT="0" distB="0" distL="114300" distR="114300">
                  <wp:extent cx="5243195" cy="3717925"/>
                  <wp:effectExtent l="0" t="0" r="14605" b="158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
                          <a:stretch>
                            <a:fillRect/>
                          </a:stretch>
                        </pic:blipFill>
                        <pic:spPr>
                          <a:xfrm>
                            <a:off x="0" y="0"/>
                            <a:ext cx="5243195" cy="3717925"/>
                          </a:xfrm>
                          <a:prstGeom prst="rect">
                            <a:avLst/>
                          </a:prstGeom>
                          <a:noFill/>
                          <a:ln>
                            <a:noFill/>
                          </a:ln>
                        </pic:spPr>
                      </pic:pic>
                    </a:graphicData>
                  </a:graphic>
                </wp:inline>
              </w:drawing>
            </w:r>
          </w:p>
          <w:p w14:paraId="217936E4">
            <w:pPr>
              <w:spacing w:line="360" w:lineRule="auto"/>
              <w:jc w:val="center"/>
              <w:rPr>
                <w:b/>
                <w:bCs/>
                <w:sz w:val="24"/>
                <w:szCs w:val="24"/>
              </w:rPr>
            </w:pPr>
            <w:r>
              <w:rPr>
                <w:b/>
                <w:bCs/>
                <w:sz w:val="24"/>
                <w:szCs w:val="24"/>
              </w:rPr>
              <w:t>图1-</w:t>
            </w:r>
            <w:r>
              <w:rPr>
                <w:rFonts w:hint="eastAsia"/>
                <w:b/>
                <w:bCs/>
                <w:sz w:val="24"/>
                <w:szCs w:val="24"/>
              </w:rPr>
              <w:t>2</w:t>
            </w:r>
            <w:r>
              <w:rPr>
                <w:b/>
                <w:bCs/>
                <w:sz w:val="24"/>
                <w:szCs w:val="24"/>
              </w:rPr>
              <w:t xml:space="preserve"> </w:t>
            </w:r>
            <w:r>
              <w:rPr>
                <w:rFonts w:hint="eastAsia"/>
                <w:b/>
                <w:bCs/>
                <w:sz w:val="24"/>
                <w:szCs w:val="24"/>
              </w:rPr>
              <w:t>项目与达州市生态空间的位置关系图</w:t>
            </w:r>
          </w:p>
          <w:p w14:paraId="423B9BEC">
            <w:pPr>
              <w:spacing w:line="360" w:lineRule="auto"/>
              <w:ind w:firstLine="482" w:firstLineChars="200"/>
              <w:rPr>
                <w:b/>
                <w:bCs/>
                <w:sz w:val="24"/>
                <w:szCs w:val="24"/>
              </w:rPr>
            </w:pPr>
            <w:r>
              <w:rPr>
                <w:rFonts w:hint="eastAsia"/>
                <w:b/>
                <w:bCs/>
                <w:sz w:val="24"/>
                <w:szCs w:val="24"/>
              </w:rPr>
              <w:t>由图1-1、图1-2可知，本项目位于通川区罗江镇高岩村，不涉及达州市生态保护红线和一般生态空间。符合“三线一单”中“三线”的要求。</w:t>
            </w:r>
          </w:p>
          <w:p w14:paraId="03D99770">
            <w:pPr>
              <w:spacing w:line="360" w:lineRule="auto"/>
              <w:ind w:firstLine="482" w:firstLineChars="200"/>
              <w:rPr>
                <w:b/>
                <w:bCs/>
                <w:sz w:val="24"/>
                <w:szCs w:val="24"/>
              </w:rPr>
            </w:pPr>
            <w:r>
              <w:rPr>
                <w:rFonts w:hint="eastAsia"/>
                <w:b/>
                <w:bCs/>
                <w:sz w:val="24"/>
                <w:szCs w:val="24"/>
              </w:rPr>
              <w:t>（2）与《达州市人民政府办公室关于加强生态环境分区管控的通知》（达市府办函〔2024〕31号）的符合性分析</w:t>
            </w:r>
          </w:p>
          <w:p w14:paraId="4D9349FA">
            <w:pPr>
              <w:spacing w:line="360" w:lineRule="auto"/>
              <w:ind w:firstLine="480" w:firstLineChars="200"/>
              <w:rPr>
                <w:sz w:val="24"/>
                <w:szCs w:val="24"/>
              </w:rPr>
            </w:pPr>
            <w:r>
              <w:rPr>
                <w:sz w:val="24"/>
                <w:szCs w:val="24"/>
              </w:rPr>
              <w:t>根据</w:t>
            </w:r>
            <w:r>
              <w:rPr>
                <w:rFonts w:hint="eastAsia"/>
                <w:sz w:val="24"/>
                <w:szCs w:val="24"/>
              </w:rPr>
              <w:t>《达州市</w:t>
            </w:r>
            <w:r>
              <w:rPr>
                <w:sz w:val="24"/>
                <w:szCs w:val="24"/>
              </w:rPr>
              <w:t>人民政府关于加强生态环境分区管控的通知》（达市府办函〔2024〕31号）</w:t>
            </w:r>
            <w:r>
              <w:rPr>
                <w:rFonts w:hint="eastAsia"/>
                <w:sz w:val="24"/>
                <w:szCs w:val="24"/>
              </w:rPr>
              <w:t>。</w:t>
            </w:r>
            <w:r>
              <w:rPr>
                <w:sz w:val="24"/>
                <w:szCs w:val="24"/>
              </w:rPr>
              <w:t>本项目</w:t>
            </w:r>
            <w:r>
              <w:rPr>
                <w:rFonts w:hint="eastAsia"/>
                <w:sz w:val="24"/>
                <w:szCs w:val="24"/>
              </w:rPr>
              <w:t>位于通川区罗江镇高岩村</w:t>
            </w:r>
            <w:r>
              <w:rPr>
                <w:sz w:val="24"/>
                <w:szCs w:val="24"/>
              </w:rPr>
              <w:t>，为</w:t>
            </w:r>
            <w:r>
              <w:rPr>
                <w:rFonts w:hint="eastAsia"/>
                <w:sz w:val="24"/>
                <w:szCs w:val="24"/>
              </w:rPr>
              <w:t>城镇重点</w:t>
            </w:r>
            <w:r>
              <w:rPr>
                <w:sz w:val="24"/>
                <w:szCs w:val="24"/>
              </w:rPr>
              <w:t>管控单元。</w:t>
            </w:r>
          </w:p>
          <w:p w14:paraId="2689CEB1">
            <w:pPr>
              <w:spacing w:line="360" w:lineRule="auto"/>
              <w:ind w:firstLine="480" w:firstLineChars="200"/>
              <w:rPr>
                <w:sz w:val="24"/>
                <w:szCs w:val="24"/>
              </w:rPr>
            </w:pPr>
            <w:r>
              <w:rPr>
                <w:sz w:val="24"/>
                <w:szCs w:val="24"/>
              </w:rPr>
              <w:t>本项目与</w:t>
            </w:r>
            <w:r>
              <w:rPr>
                <w:rFonts w:hint="eastAsia"/>
                <w:sz w:val="24"/>
                <w:szCs w:val="24"/>
              </w:rPr>
              <w:t>达州市</w:t>
            </w:r>
            <w:r>
              <w:rPr>
                <w:sz w:val="24"/>
                <w:szCs w:val="24"/>
              </w:rPr>
              <w:t>生态环境分区管控情况相符性分析见表1-</w:t>
            </w:r>
            <w:r>
              <w:rPr>
                <w:rFonts w:hint="eastAsia"/>
                <w:sz w:val="24"/>
                <w:szCs w:val="24"/>
              </w:rPr>
              <w:t>7</w:t>
            </w:r>
            <w:r>
              <w:rPr>
                <w:sz w:val="24"/>
                <w:szCs w:val="24"/>
              </w:rPr>
              <w:t>。</w:t>
            </w:r>
          </w:p>
          <w:p w14:paraId="0FCB3219">
            <w:pPr>
              <w:spacing w:line="360" w:lineRule="auto"/>
              <w:jc w:val="center"/>
              <w:rPr>
                <w:b/>
                <w:bCs/>
                <w:sz w:val="24"/>
                <w:szCs w:val="24"/>
              </w:rPr>
            </w:pPr>
            <w:r>
              <w:rPr>
                <w:b/>
                <w:bCs/>
                <w:sz w:val="24"/>
                <w:szCs w:val="24"/>
              </w:rPr>
              <w:t>表1-</w:t>
            </w:r>
            <w:r>
              <w:rPr>
                <w:rFonts w:hint="eastAsia"/>
                <w:b/>
                <w:bCs/>
                <w:sz w:val="24"/>
                <w:szCs w:val="24"/>
              </w:rPr>
              <w:t xml:space="preserve">4 </w:t>
            </w:r>
            <w:r>
              <w:rPr>
                <w:b/>
                <w:bCs/>
                <w:sz w:val="24"/>
                <w:szCs w:val="24"/>
              </w:rPr>
              <w:t>项目与</w:t>
            </w:r>
            <w:r>
              <w:rPr>
                <w:rFonts w:hint="eastAsia"/>
                <w:b/>
                <w:bCs/>
                <w:sz w:val="24"/>
                <w:szCs w:val="24"/>
              </w:rPr>
              <w:t>达州市</w:t>
            </w:r>
            <w:r>
              <w:rPr>
                <w:b/>
                <w:bCs/>
                <w:sz w:val="24"/>
                <w:szCs w:val="24"/>
              </w:rPr>
              <w:t>生态环境分区管控情况相符性分析</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4394"/>
              <w:gridCol w:w="2272"/>
            </w:tblGrid>
            <w:tr w14:paraId="18969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014D9BBD">
                  <w:pPr>
                    <w:jc w:val="center"/>
                    <w:rPr>
                      <w:b/>
                      <w:bCs/>
                    </w:rPr>
                  </w:pPr>
                  <w:r>
                    <w:rPr>
                      <w:b/>
                      <w:bCs/>
                    </w:rPr>
                    <w:t>环境管控单元类型</w:t>
                  </w:r>
                </w:p>
              </w:tc>
              <w:tc>
                <w:tcPr>
                  <w:tcW w:w="2685" w:type="pct"/>
                  <w:tcBorders>
                    <w:tl2br w:val="nil"/>
                    <w:tr2bl w:val="nil"/>
                  </w:tcBorders>
                  <w:vAlign w:val="center"/>
                </w:tcPr>
                <w:p w14:paraId="195C4D0C">
                  <w:pPr>
                    <w:jc w:val="center"/>
                    <w:rPr>
                      <w:b/>
                      <w:bCs/>
                    </w:rPr>
                  </w:pPr>
                  <w:r>
                    <w:rPr>
                      <w:b/>
                      <w:bCs/>
                    </w:rPr>
                    <w:t>总体生态环境管控要求</w:t>
                  </w:r>
                </w:p>
              </w:tc>
              <w:tc>
                <w:tcPr>
                  <w:tcW w:w="1388" w:type="pct"/>
                  <w:tcBorders>
                    <w:tl2br w:val="nil"/>
                    <w:tr2bl w:val="nil"/>
                  </w:tcBorders>
                  <w:vAlign w:val="center"/>
                </w:tcPr>
                <w:p w14:paraId="05047F5C">
                  <w:pPr>
                    <w:jc w:val="center"/>
                    <w:rPr>
                      <w:b/>
                      <w:bCs/>
                    </w:rPr>
                  </w:pPr>
                  <w:r>
                    <w:rPr>
                      <w:b/>
                      <w:bCs/>
                    </w:rPr>
                    <w:t>本项目情况</w:t>
                  </w:r>
                </w:p>
              </w:tc>
            </w:tr>
            <w:tr w14:paraId="56E44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64DEA388">
                  <w:pPr>
                    <w:jc w:val="center"/>
                  </w:pPr>
                  <w:r>
                    <w:t>优先保护单元</w:t>
                  </w:r>
                </w:p>
              </w:tc>
              <w:tc>
                <w:tcPr>
                  <w:tcW w:w="2685" w:type="pct"/>
                  <w:tcBorders>
                    <w:tl2br w:val="nil"/>
                    <w:tr2bl w:val="nil"/>
                  </w:tcBorders>
                  <w:vAlign w:val="center"/>
                </w:tcPr>
                <w:p w14:paraId="4C3487A3">
                  <w:pPr>
                    <w:jc w:val="center"/>
                  </w:pPr>
                  <w:r>
                    <w:t>优先保护单元中，应以生态环境保护优先为原则，严格执行相关法律法规要求，严守生态环境质量底线，确保生态环境功能不降低。</w:t>
                  </w:r>
                </w:p>
              </w:tc>
              <w:tc>
                <w:tcPr>
                  <w:tcW w:w="1388" w:type="pct"/>
                  <w:vMerge w:val="restart"/>
                  <w:tcBorders>
                    <w:tl2br w:val="nil"/>
                    <w:tr2bl w:val="nil"/>
                  </w:tcBorders>
                  <w:vAlign w:val="center"/>
                </w:tcPr>
                <w:p w14:paraId="164457AD">
                  <w:pPr>
                    <w:jc w:val="center"/>
                  </w:pPr>
                  <w:r>
                    <w:t>本项目</w:t>
                  </w:r>
                  <w:r>
                    <w:rPr>
                      <w:rFonts w:hint="eastAsia"/>
                    </w:rPr>
                    <w:t>属于城镇重点管控单元</w:t>
                  </w:r>
                  <w:r>
                    <w:t>，位于达标区域，不涉及生态红线，建设单位</w:t>
                  </w:r>
                  <w:r>
                    <w:rPr>
                      <w:bCs/>
                      <w:lang w:bidi="en-US"/>
                    </w:rPr>
                    <w:t>在采取本项目提出的环保措施后，废气、噪声能够达标排放，废水、固废能够得到妥善处置，能够</w:t>
                  </w:r>
                  <w:r>
                    <w:t>确保生态环境功能不降低</w:t>
                  </w:r>
                  <w:r>
                    <w:rPr>
                      <w:bCs/>
                      <w:lang w:bidi="en-US"/>
                    </w:rPr>
                    <w:t>。</w:t>
                  </w:r>
                </w:p>
              </w:tc>
            </w:tr>
            <w:tr w14:paraId="3057C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0F2055AB">
                  <w:pPr>
                    <w:jc w:val="center"/>
                  </w:pPr>
                  <w:r>
                    <w:t>重点管控单元</w:t>
                  </w:r>
                </w:p>
              </w:tc>
              <w:tc>
                <w:tcPr>
                  <w:tcW w:w="2685" w:type="pct"/>
                  <w:tcBorders>
                    <w:tl2br w:val="nil"/>
                    <w:tr2bl w:val="nil"/>
                  </w:tcBorders>
                  <w:vAlign w:val="center"/>
                </w:tcPr>
                <w:p w14:paraId="66834514">
                  <w:pPr>
                    <w:jc w:val="center"/>
                  </w:pPr>
                  <w:r>
                    <w:t>重点管控单元中，</w:t>
                  </w:r>
                  <w:r>
                    <w:rPr>
                      <w:rFonts w:hint="eastAsia"/>
                    </w:rPr>
                    <w:t>应针对性地加强污染物排放控制和环境风险防控，解决生态环境质量不达标、生态环境风险突出等问题，制定差别化的生态环境准入要求。</w:t>
                  </w:r>
                  <w:r>
                    <w:t>对环境质量不达标区域提出污染物削减比例要求，对环境质量达标区域，提出允许排放量建议指标。</w:t>
                  </w:r>
                </w:p>
              </w:tc>
              <w:tc>
                <w:tcPr>
                  <w:tcW w:w="1388" w:type="pct"/>
                  <w:vMerge w:val="continue"/>
                  <w:tcBorders>
                    <w:tl2br w:val="nil"/>
                    <w:tr2bl w:val="nil"/>
                  </w:tcBorders>
                  <w:vAlign w:val="center"/>
                </w:tcPr>
                <w:p w14:paraId="54FE06CD">
                  <w:pPr>
                    <w:jc w:val="center"/>
                  </w:pPr>
                </w:p>
              </w:tc>
            </w:tr>
            <w:tr w14:paraId="4EB19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3384B733">
                  <w:pPr>
                    <w:jc w:val="center"/>
                  </w:pPr>
                  <w:r>
                    <w:t>一般管控单元</w:t>
                  </w:r>
                </w:p>
              </w:tc>
              <w:tc>
                <w:tcPr>
                  <w:tcW w:w="2685" w:type="pct"/>
                  <w:tcBorders>
                    <w:tl2br w:val="nil"/>
                    <w:tr2bl w:val="nil"/>
                  </w:tcBorders>
                  <w:vAlign w:val="center"/>
                </w:tcPr>
                <w:p w14:paraId="0574E3CA">
                  <w:pPr>
                    <w:jc w:val="center"/>
                  </w:pPr>
                  <w:r>
                    <w:t>一般管控单元中，执行区域生态环境保护的基本要求。重点加强农业、生活等领域污染治理。</w:t>
                  </w:r>
                </w:p>
              </w:tc>
              <w:tc>
                <w:tcPr>
                  <w:tcW w:w="1388" w:type="pct"/>
                  <w:vMerge w:val="continue"/>
                  <w:tcBorders>
                    <w:tl2br w:val="nil"/>
                    <w:tr2bl w:val="nil"/>
                  </w:tcBorders>
                  <w:vAlign w:val="center"/>
                </w:tcPr>
                <w:p w14:paraId="70538210">
                  <w:pPr>
                    <w:jc w:val="center"/>
                  </w:pPr>
                </w:p>
              </w:tc>
            </w:tr>
            <w:tr w14:paraId="40A5E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0EE7501E">
                  <w:pPr>
                    <w:jc w:val="center"/>
                    <w:rPr>
                      <w:b/>
                      <w:bCs/>
                    </w:rPr>
                  </w:pPr>
                  <w:r>
                    <w:rPr>
                      <w:b/>
                      <w:bCs/>
                    </w:rPr>
                    <w:t>区域</w:t>
                  </w:r>
                </w:p>
              </w:tc>
              <w:tc>
                <w:tcPr>
                  <w:tcW w:w="2685" w:type="pct"/>
                  <w:tcBorders>
                    <w:tl2br w:val="nil"/>
                    <w:tr2bl w:val="nil"/>
                  </w:tcBorders>
                  <w:vAlign w:val="center"/>
                </w:tcPr>
                <w:p w14:paraId="5AF94C0A">
                  <w:pPr>
                    <w:jc w:val="center"/>
                    <w:rPr>
                      <w:b/>
                      <w:bCs/>
                    </w:rPr>
                  </w:pPr>
                  <w:r>
                    <w:rPr>
                      <w:b/>
                      <w:bCs/>
                    </w:rPr>
                    <w:t>总体生态环境管控要求</w:t>
                  </w:r>
                </w:p>
              </w:tc>
              <w:tc>
                <w:tcPr>
                  <w:tcW w:w="1388" w:type="pct"/>
                  <w:tcBorders>
                    <w:tl2br w:val="nil"/>
                    <w:tr2bl w:val="nil"/>
                  </w:tcBorders>
                  <w:vAlign w:val="center"/>
                </w:tcPr>
                <w:p w14:paraId="28E6FDDE">
                  <w:pPr>
                    <w:jc w:val="center"/>
                    <w:rPr>
                      <w:b/>
                      <w:bCs/>
                      <w:highlight w:val="yellow"/>
                    </w:rPr>
                  </w:pPr>
                  <w:r>
                    <w:rPr>
                      <w:b/>
                      <w:bCs/>
                    </w:rPr>
                    <w:t>本项目情况</w:t>
                  </w:r>
                </w:p>
              </w:tc>
            </w:tr>
            <w:tr w14:paraId="7270C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377AF1A2">
                  <w:pPr>
                    <w:jc w:val="center"/>
                  </w:pPr>
                  <w:r>
                    <w:t>川东北经济区</w:t>
                  </w:r>
                </w:p>
              </w:tc>
              <w:tc>
                <w:tcPr>
                  <w:tcW w:w="2685" w:type="pct"/>
                  <w:tcBorders>
                    <w:tl2br w:val="nil"/>
                    <w:tr2bl w:val="nil"/>
                  </w:tcBorders>
                  <w:vAlign w:val="center"/>
                </w:tcPr>
                <w:p w14:paraId="0294A5AD">
                  <w:pPr>
                    <w:jc w:val="left"/>
                  </w:pPr>
                  <w:r>
                    <w:t>1、控制农村面源污染，提高污水收集处理率，加快乡镇污水处理基础设施建设。</w:t>
                  </w:r>
                </w:p>
                <w:p w14:paraId="1BA49ED0">
                  <w:pPr>
                    <w:jc w:val="left"/>
                  </w:pPr>
                  <w:r>
                    <w:t>2、建设流域水环境风险联防联控体系。</w:t>
                  </w:r>
                </w:p>
                <w:p w14:paraId="156D578D">
                  <w:pPr>
                    <w:jc w:val="left"/>
                  </w:pPr>
                  <w:r>
                    <w:t>提高大气污染治理水平。</w:t>
                  </w:r>
                </w:p>
              </w:tc>
              <w:tc>
                <w:tcPr>
                  <w:tcW w:w="1388" w:type="pct"/>
                  <w:tcBorders>
                    <w:tl2br w:val="nil"/>
                    <w:tr2bl w:val="nil"/>
                  </w:tcBorders>
                  <w:vAlign w:val="center"/>
                </w:tcPr>
                <w:p w14:paraId="1EC4795E">
                  <w:pPr>
                    <w:jc w:val="center"/>
                  </w:pPr>
                  <w:r>
                    <w:rPr>
                      <w:rFonts w:hint="eastAsia"/>
                    </w:rPr>
                    <w:t>项目区域管网已建成，项目废水经污水处理站处理后通过管网进入罗江镇污水处理厂进行处理；本项目废气主要为病区含菌空气、污水处理站恶臭、医疗废物间恶臭、柴油发电机废气、汽车尾气，排放量均较小，经处理后对大气影响较小。</w:t>
                  </w:r>
                </w:p>
              </w:tc>
            </w:tr>
            <w:tr w14:paraId="0A97F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6B8FC34F">
                  <w:pPr>
                    <w:jc w:val="center"/>
                  </w:pPr>
                  <w:r>
                    <w:rPr>
                      <w:rFonts w:hint="eastAsia"/>
                    </w:rPr>
                    <w:t>达州市</w:t>
                  </w:r>
                </w:p>
              </w:tc>
              <w:tc>
                <w:tcPr>
                  <w:tcW w:w="2685" w:type="pct"/>
                  <w:tcBorders>
                    <w:tl2br w:val="nil"/>
                    <w:tr2bl w:val="nil"/>
                  </w:tcBorders>
                  <w:vAlign w:val="center"/>
                </w:tcPr>
                <w:p w14:paraId="0544AC68">
                  <w:pPr>
                    <w:jc w:val="left"/>
                  </w:pPr>
                  <w:r>
                    <w:t>1、长江干支流岸线1km 范围内，不得新建、扩建化工园区和化工项目。</w:t>
                  </w:r>
                </w:p>
                <w:p w14:paraId="3696CB41">
                  <w:pPr>
                    <w:jc w:val="left"/>
                  </w:pPr>
                  <w:r>
                    <w:t>2、严控产业转移环境准入。</w:t>
                  </w:r>
                </w:p>
                <w:p w14:paraId="52003C4D">
                  <w:pPr>
                    <w:jc w:val="left"/>
                  </w:pPr>
                  <w:r>
                    <w:t>3、引进项目应符合园区规划环评和区域产业准入清单要求。</w:t>
                  </w:r>
                </w:p>
                <w:p w14:paraId="6E163EF2">
                  <w:pPr>
                    <w:jc w:val="left"/>
                  </w:pPr>
                  <w:r>
                    <w:t>4、造纸等产业污染治理和环境管理应达到国内先进水平。优化制浆造纸产业布局，提升行业清洁生产水平，推动制浆造纸工业向节能、环保、绿色方向发展。</w:t>
                  </w:r>
                </w:p>
                <w:p w14:paraId="6679B61C">
                  <w:pPr>
                    <w:jc w:val="left"/>
                  </w:pPr>
                  <w:r>
                    <w:t>5、深化成都平原、川南、川东北地区大气污染联防联控工作机制，加强川渝地区联防联控。强化重污染天气区域应急联动机制，深化区域重污染天气联合应对。</w:t>
                  </w:r>
                </w:p>
                <w:p w14:paraId="664C3519">
                  <w:pPr>
                    <w:jc w:val="left"/>
                  </w:pPr>
                  <w:r>
                    <w:t>6、钢铁行业项目新建应参考达州市“三线一单”生态环境分区管控中钢铁行业资源环境绩效准入门槛；达钢等高污染企业限期退城入园；普光气田开发污染防治和环境管理等方面要达国内先进水平。</w:t>
                  </w:r>
                </w:p>
              </w:tc>
              <w:tc>
                <w:tcPr>
                  <w:tcW w:w="1388" w:type="pct"/>
                  <w:tcBorders>
                    <w:tl2br w:val="nil"/>
                    <w:tr2bl w:val="nil"/>
                  </w:tcBorders>
                  <w:vAlign w:val="center"/>
                </w:tcPr>
                <w:p w14:paraId="149DF3A0">
                  <w:pPr>
                    <w:jc w:val="center"/>
                  </w:pPr>
                  <w:r>
                    <w:t>本项目</w:t>
                  </w:r>
                  <w:r>
                    <w:rPr>
                      <w:rFonts w:hint="eastAsia"/>
                    </w:rPr>
                    <w:t>位于通川区罗江镇高岩村，为专科医院建设项目，不属于化工、造纸、钢铁等项目。</w:t>
                  </w:r>
                </w:p>
              </w:tc>
            </w:tr>
            <w:tr w14:paraId="053AE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5" w:type="pct"/>
                  <w:tcBorders>
                    <w:tl2br w:val="nil"/>
                    <w:tr2bl w:val="nil"/>
                  </w:tcBorders>
                  <w:vAlign w:val="center"/>
                </w:tcPr>
                <w:p w14:paraId="0313C3AC">
                  <w:pPr>
                    <w:jc w:val="center"/>
                  </w:pPr>
                  <w:r>
                    <w:rPr>
                      <w:rFonts w:hint="eastAsia"/>
                    </w:rPr>
                    <w:t>通川区</w:t>
                  </w:r>
                </w:p>
              </w:tc>
              <w:tc>
                <w:tcPr>
                  <w:tcW w:w="2685" w:type="pct"/>
                  <w:tcBorders>
                    <w:tl2br w:val="nil"/>
                    <w:tr2bl w:val="nil"/>
                  </w:tcBorders>
                  <w:vAlign w:val="center"/>
                </w:tcPr>
                <w:p w14:paraId="284652C3">
                  <w:pPr>
                    <w:numPr>
                      <w:ilvl w:val="0"/>
                      <w:numId w:val="1"/>
                    </w:numPr>
                    <w:jc w:val="left"/>
                  </w:pPr>
                  <w:r>
                    <w:rPr>
                      <w:rFonts w:hint="eastAsia"/>
                    </w:rPr>
                    <w:t>优化调整产业布局，以细颗粒物（PM</w:t>
                  </w:r>
                  <w:r>
                    <w:rPr>
                      <w:rFonts w:hint="eastAsia"/>
                      <w:vertAlign w:val="subscript"/>
                    </w:rPr>
                    <w:t>2.5</w:t>
                  </w:r>
                  <w:r>
                    <w:rPr>
                      <w:rFonts w:hint="eastAsia"/>
                    </w:rPr>
                    <w:t>）和臭氧（O</w:t>
                  </w:r>
                  <w:r>
                    <w:rPr>
                      <w:rFonts w:hint="eastAsia"/>
                      <w:vertAlign w:val="subscript"/>
                    </w:rPr>
                    <w:t>3</w:t>
                  </w:r>
                  <w:r>
                    <w:rPr>
                      <w:rFonts w:hint="eastAsia"/>
                    </w:rPr>
                    <w:t>）污染协同控制为重点，全面开展挥发性有机物（VOCs）治理，实施移动源整治，持续推进空气质量精细化管理。</w:t>
                  </w:r>
                </w:p>
                <w:p w14:paraId="2CE1BBF0">
                  <w:pPr>
                    <w:numPr>
                      <w:ilvl w:val="0"/>
                      <w:numId w:val="1"/>
                    </w:numPr>
                    <w:jc w:val="left"/>
                  </w:pPr>
                  <w:r>
                    <w:rPr>
                      <w:rFonts w:hint="eastAsia"/>
                    </w:rPr>
                    <w:t>调整农作物种植结构，加强农业氨污染控制，大力发展节水农业。</w:t>
                  </w:r>
                </w:p>
                <w:p w14:paraId="6AF3C066">
                  <w:pPr>
                    <w:numPr>
                      <w:ilvl w:val="0"/>
                      <w:numId w:val="1"/>
                    </w:numPr>
                    <w:jc w:val="left"/>
                  </w:pPr>
                  <w:r>
                    <w:rPr>
                      <w:rFonts w:hint="eastAsia"/>
                    </w:rPr>
                    <w:t>加强建筑工程日常监管，对重点环节采取遮盖、洒水、封闭等措施控制扬尘排放。提高道路硬化率，减少道路起尘源。推动非道路移动机械达标排放示范企业建设。</w:t>
                  </w:r>
                </w:p>
                <w:p w14:paraId="2428FD92">
                  <w:pPr>
                    <w:numPr>
                      <w:ilvl w:val="0"/>
                      <w:numId w:val="1"/>
                    </w:numPr>
                    <w:jc w:val="left"/>
                  </w:pPr>
                  <w:r>
                    <w:rPr>
                      <w:rFonts w:hint="eastAsia"/>
                    </w:rPr>
                    <w:t>建立健全农业节水体系，推广使用节水灌溉技术，探索乡镇、农村生活污水资源化还田利用。大力开展沿河畜禽养殖污染整治，实现畜禽粪污减量化排放、无害化处理和资源化利用。</w:t>
                  </w:r>
                </w:p>
              </w:tc>
              <w:tc>
                <w:tcPr>
                  <w:tcW w:w="1388" w:type="pct"/>
                  <w:tcBorders>
                    <w:tl2br w:val="nil"/>
                    <w:tr2bl w:val="nil"/>
                  </w:tcBorders>
                  <w:vAlign w:val="center"/>
                </w:tcPr>
                <w:p w14:paraId="53948EE6">
                  <w:pPr>
                    <w:jc w:val="center"/>
                  </w:pPr>
                  <w:r>
                    <w:t>本项目</w:t>
                  </w:r>
                  <w:r>
                    <w:rPr>
                      <w:rFonts w:hint="eastAsia"/>
                    </w:rPr>
                    <w:t>为专科医院建设项目，项目区域管网已建成，项目废水经污水处理站处理后通过管网进入罗江镇污水处理厂进行处理；本项目废气主要为病区含菌空气、污水处理站恶臭、医疗废物间恶臭、柴油发电机废气、汽车尾气，排放量均较小，经处理后对大气影响较小。</w:t>
                  </w:r>
                </w:p>
              </w:tc>
            </w:tr>
          </w:tbl>
          <w:p w14:paraId="3F618426">
            <w:pPr>
              <w:spacing w:line="360" w:lineRule="auto"/>
              <w:rPr>
                <w:sz w:val="24"/>
                <w:szCs w:val="24"/>
              </w:rPr>
            </w:pPr>
            <w:r>
              <w:rPr>
                <w:bCs/>
                <w:sz w:val="24"/>
                <w:lang w:bidi="en-US"/>
              </w:rPr>
              <mc:AlternateContent>
                <mc:Choice Requires="wps">
                  <w:drawing>
                    <wp:anchor distT="0" distB="0" distL="114300" distR="114300" simplePos="0" relativeHeight="251662336" behindDoc="0" locked="0" layoutInCell="1" allowOverlap="1">
                      <wp:simplePos x="0" y="0"/>
                      <wp:positionH relativeFrom="column">
                        <wp:posOffset>1116965</wp:posOffset>
                      </wp:positionH>
                      <wp:positionV relativeFrom="paragraph">
                        <wp:posOffset>2676525</wp:posOffset>
                      </wp:positionV>
                      <wp:extent cx="1073785" cy="328930"/>
                      <wp:effectExtent l="5080" t="795020" r="6985" b="19050"/>
                      <wp:wrapNone/>
                      <wp:docPr id="6" name="圆角矩形标注 6"/>
                      <wp:cNvGraphicFramePr/>
                      <a:graphic xmlns:a="http://schemas.openxmlformats.org/drawingml/2006/main">
                        <a:graphicData uri="http://schemas.microsoft.com/office/word/2010/wordprocessingShape">
                          <wps:wsp>
                            <wps:cNvSpPr/>
                            <wps:spPr>
                              <a:xfrm>
                                <a:off x="0" y="0"/>
                                <a:ext cx="1073785" cy="328930"/>
                              </a:xfrm>
                              <a:prstGeom prst="wedgeRoundRectCallout">
                                <a:avLst>
                                  <a:gd name="adj1" fmla="val 46096"/>
                                  <a:gd name="adj2" fmla="val -282818"/>
                                  <a:gd name="adj3" fmla="val 1666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62C51">
                                  <w:pPr>
                                    <w:jc w:val="center"/>
                                    <w:rPr>
                                      <w:b/>
                                      <w:bCs/>
                                      <w:color w:val="FF0000"/>
                                    </w:rPr>
                                  </w:pPr>
                                  <w:r>
                                    <w:rPr>
                                      <w:rFonts w:hint="eastAsia"/>
                                      <w:b/>
                                      <w:bCs/>
                                      <w:color w:val="FF0000"/>
                                    </w:rPr>
                                    <w:t>本项目</w:t>
                                  </w:r>
                                  <w:r>
                                    <w:rPr>
                                      <w:b/>
                                      <w:bCs/>
                                      <w:color w:val="FF0000"/>
                                    </w:rPr>
                                    <w:t>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7.95pt;margin-top:210.75pt;height:25.9pt;width:84.55pt;z-index:251662336;v-text-anchor:middle;mso-width-relative:page;mso-height-relative:page;" filled="f" stroked="t" coordsize="21600,21600" o:gfxdata="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MHX+PYAAAACwEA&#10;AA8AAAAAAAAAAQAgAAAAIgAAAGRycy9kb3ducmV2LnhtbFBLAQIUABQAAAAIAIdO4kCyNDT9xQIA&#10;AGkFAAAOAAAAAAAAAAEAIAAAACcBAABkcnMvZTJvRG9jLnhtbFBLBQYAAAAABgAGAFkBAABeBgAA&#10;AAA=&#10;" adj="20757,-50289,14400">
                      <v:fill on="f" focussize="0,0"/>
                      <v:stroke weight="0.25pt" color="#FF0000 [3204]" miterlimit="8" joinstyle="miter"/>
                      <v:imagedata o:title=""/>
                      <o:lock v:ext="edit" aspectratio="f"/>
                      <v:textbox>
                        <w:txbxContent>
                          <w:p w14:paraId="0A162C51">
                            <w:pPr>
                              <w:jc w:val="center"/>
                              <w:rPr>
                                <w:b/>
                                <w:bCs/>
                                <w:color w:val="FF0000"/>
                              </w:rPr>
                            </w:pPr>
                            <w:r>
                              <w:rPr>
                                <w:rFonts w:hint="eastAsia"/>
                                <w:b/>
                                <w:bCs/>
                                <w:color w:val="FF0000"/>
                              </w:rPr>
                              <w:t>本项目</w:t>
                            </w:r>
                            <w:r>
                              <w:rPr>
                                <w:b/>
                                <w:bCs/>
                                <w:color w:val="FF0000"/>
                              </w:rPr>
                              <w:t>所在地</w:t>
                            </w:r>
                          </w:p>
                        </w:txbxContent>
                      </v:textbox>
                    </v:shape>
                  </w:pict>
                </mc:Fallback>
              </mc:AlternateContent>
            </w:r>
            <w:r>
              <w:rPr>
                <w:rFonts w:hint="eastAsia"/>
                <w:sz w:val="24"/>
                <w:szCs w:val="24"/>
              </w:rPr>
              <w:drawing>
                <wp:inline distT="0" distB="0" distL="114300" distR="114300">
                  <wp:extent cx="5248910" cy="3550920"/>
                  <wp:effectExtent l="0" t="0" r="8890" b="11430"/>
                  <wp:docPr id="4" name="图片 4"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达州市生态环境管控单元分布图"/>
                          <pic:cNvPicPr>
                            <a:picLocks noChangeAspect="1"/>
                          </pic:cNvPicPr>
                        </pic:nvPicPr>
                        <pic:blipFill>
                          <a:blip r:embed="rId7"/>
                          <a:stretch>
                            <a:fillRect/>
                          </a:stretch>
                        </pic:blipFill>
                        <pic:spPr>
                          <a:xfrm>
                            <a:off x="0" y="0"/>
                            <a:ext cx="5248910" cy="3550920"/>
                          </a:xfrm>
                          <a:prstGeom prst="rect">
                            <a:avLst/>
                          </a:prstGeom>
                        </pic:spPr>
                      </pic:pic>
                    </a:graphicData>
                  </a:graphic>
                </wp:inline>
              </w:drawing>
            </w:r>
          </w:p>
          <w:p w14:paraId="1B177E39">
            <w:pPr>
              <w:spacing w:line="360" w:lineRule="auto"/>
              <w:jc w:val="center"/>
              <w:rPr>
                <w:b/>
                <w:bCs/>
                <w:sz w:val="24"/>
                <w:szCs w:val="24"/>
              </w:rPr>
            </w:pPr>
            <w:r>
              <w:rPr>
                <w:rFonts w:hint="eastAsia"/>
                <w:b/>
                <w:bCs/>
                <w:sz w:val="24"/>
                <w:szCs w:val="24"/>
              </w:rPr>
              <w:t>图1-3 达州市综合环境管控单元分布图</w:t>
            </w:r>
          </w:p>
          <w:p w14:paraId="6F521111">
            <w:pPr>
              <w:spacing w:line="360" w:lineRule="auto"/>
              <w:ind w:firstLine="480" w:firstLineChars="200"/>
              <w:rPr>
                <w:sz w:val="24"/>
                <w:szCs w:val="24"/>
              </w:rPr>
            </w:pPr>
            <w:r>
              <w:rPr>
                <w:sz w:val="24"/>
                <w:szCs w:val="24"/>
              </w:rPr>
              <w:t>综上，本项目符合</w:t>
            </w:r>
            <w:r>
              <w:rPr>
                <w:rFonts w:hint="eastAsia"/>
                <w:sz w:val="24"/>
                <w:szCs w:val="24"/>
              </w:rPr>
              <w:t>《达州市</w:t>
            </w:r>
            <w:r>
              <w:rPr>
                <w:sz w:val="24"/>
                <w:szCs w:val="24"/>
              </w:rPr>
              <w:t>人民政府关于加强生态环境分区管控的通知》（达市府办函〔2024〕31号）相关内容。</w:t>
            </w:r>
          </w:p>
          <w:p w14:paraId="3A65BA81">
            <w:pPr>
              <w:spacing w:line="360" w:lineRule="auto"/>
              <w:ind w:firstLine="480" w:firstLineChars="200"/>
              <w:rPr>
                <w:sz w:val="24"/>
                <w:szCs w:val="24"/>
              </w:rPr>
            </w:pPr>
            <w:r>
              <w:rPr>
                <w:sz w:val="24"/>
                <w:szCs w:val="24"/>
              </w:rPr>
              <w:t>经在四川政务服务网查询“生态环境分区管控”符合性分析平台查询：通川区广慈精神病专科医院（养老、精神病专科）建设项目位于达州市通川区环境综合管控单元城镇重点管控单元（管控单元名称：通川区城镇空间，管控单元编号：ZH51170220001）</w:t>
            </w:r>
          </w:p>
          <w:p w14:paraId="6BB0AE1E">
            <w:pPr>
              <w:spacing w:line="360" w:lineRule="auto"/>
              <w:ind w:firstLine="480" w:firstLineChars="200"/>
              <w:rPr>
                <w:sz w:val="24"/>
                <w:szCs w:val="24"/>
                <w:highlight w:val="yellow"/>
              </w:rPr>
            </w:pPr>
            <w:r>
              <w:rPr>
                <w:sz w:val="24"/>
                <w:szCs w:val="24"/>
              </w:rPr>
              <w:t>项目与管控单元相对位置如下图所示：（图中</w:t>
            </w:r>
            <w:r>
              <w:rPr>
                <w:color w:val="00B0F0"/>
                <w:sz w:val="24"/>
                <w:szCs w:val="24"/>
              </w:rPr>
              <w:t>▼</w:t>
            </w:r>
            <w:r>
              <w:rPr>
                <w:sz w:val="24"/>
                <w:szCs w:val="24"/>
              </w:rPr>
              <w:t>表示项目位置）</w:t>
            </w:r>
          </w:p>
          <w:p w14:paraId="7414AB22">
            <w:pPr>
              <w:spacing w:line="360" w:lineRule="auto"/>
              <w:jc w:val="center"/>
              <w:rPr>
                <w:rFonts w:eastAsia="Helvetica"/>
                <w:sz w:val="28"/>
                <w:szCs w:val="24"/>
              </w:rPr>
            </w:pPr>
            <w:r>
              <w:rPr>
                <w:rFonts w:eastAsia="Helvetica"/>
                <w:sz w:val="28"/>
                <w:szCs w:val="24"/>
              </w:rPr>
              <w:drawing>
                <wp:inline distT="0" distB="0" distL="114300" distR="114300">
                  <wp:extent cx="4615815" cy="2769870"/>
                  <wp:effectExtent l="0" t="0" r="13335" b="1143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
                          <a:stretch>
                            <a:fillRect/>
                          </a:stretch>
                        </pic:blipFill>
                        <pic:spPr>
                          <a:xfrm>
                            <a:off x="0" y="0"/>
                            <a:ext cx="4615815" cy="2769870"/>
                          </a:xfrm>
                          <a:prstGeom prst="rect">
                            <a:avLst/>
                          </a:prstGeom>
                          <a:noFill/>
                          <a:ln>
                            <a:noFill/>
                          </a:ln>
                        </pic:spPr>
                      </pic:pic>
                    </a:graphicData>
                  </a:graphic>
                </wp:inline>
              </w:drawing>
            </w:r>
          </w:p>
          <w:p w14:paraId="57F62977">
            <w:pPr>
              <w:spacing w:line="360" w:lineRule="auto"/>
              <w:jc w:val="center"/>
              <w:rPr>
                <w:b/>
                <w:bCs/>
                <w:sz w:val="24"/>
                <w:szCs w:val="24"/>
              </w:rPr>
            </w:pPr>
            <w:r>
              <w:rPr>
                <w:rFonts w:hint="eastAsia"/>
                <w:b/>
                <w:bCs/>
                <w:sz w:val="24"/>
                <w:szCs w:val="24"/>
              </w:rPr>
              <w:t xml:space="preserve">图1-4  </w:t>
            </w:r>
            <w:r>
              <w:rPr>
                <w:b/>
                <w:bCs/>
                <w:sz w:val="24"/>
                <w:szCs w:val="24"/>
              </w:rPr>
              <w:t>项目与环境综合管控单元的位置关系图</w:t>
            </w:r>
          </w:p>
          <w:p w14:paraId="5DA8C525">
            <w:pPr>
              <w:spacing w:line="360" w:lineRule="auto"/>
              <w:ind w:firstLine="480" w:firstLineChars="200"/>
              <w:rPr>
                <w:sz w:val="24"/>
                <w:szCs w:val="24"/>
              </w:rPr>
            </w:pPr>
            <w:r>
              <w:rPr>
                <w:rFonts w:hint="eastAsia"/>
                <w:sz w:val="24"/>
                <w:szCs w:val="24"/>
              </w:rPr>
              <w:t>通川区广慈精神病专科医院（养老、精神病专科）建设项目</w:t>
            </w:r>
            <w:r>
              <w:rPr>
                <w:sz w:val="24"/>
                <w:szCs w:val="24"/>
              </w:rPr>
              <w:t>共涉及</w:t>
            </w:r>
            <w:r>
              <w:rPr>
                <w:rFonts w:hint="eastAsia"/>
                <w:sz w:val="24"/>
                <w:szCs w:val="24"/>
              </w:rPr>
              <w:t>5</w:t>
            </w:r>
            <w:r>
              <w:rPr>
                <w:sz w:val="24"/>
                <w:szCs w:val="24"/>
              </w:rPr>
              <w:t>个管控单元。查询情况见下图，</w:t>
            </w:r>
            <w:r>
              <w:rPr>
                <w:rFonts w:hint="eastAsia"/>
                <w:sz w:val="24"/>
                <w:szCs w:val="24"/>
                <w:lang w:eastAsia="zh-CN"/>
              </w:rPr>
              <w:t>涉及的</w:t>
            </w:r>
            <w:r>
              <w:rPr>
                <w:sz w:val="24"/>
                <w:szCs w:val="24"/>
              </w:rPr>
              <w:t>管控单元见表1-</w:t>
            </w:r>
            <w:r>
              <w:rPr>
                <w:rFonts w:hint="eastAsia"/>
                <w:sz w:val="24"/>
                <w:szCs w:val="24"/>
              </w:rPr>
              <w:t>5</w:t>
            </w:r>
            <w:r>
              <w:rPr>
                <w:sz w:val="24"/>
                <w:szCs w:val="24"/>
              </w:rPr>
              <w:t>。</w:t>
            </w:r>
          </w:p>
          <w:p w14:paraId="2E9FF276">
            <w:pPr>
              <w:autoSpaceDE w:val="0"/>
              <w:autoSpaceDN w:val="0"/>
              <w:adjustRightInd w:val="0"/>
              <w:snapToGrid w:val="0"/>
              <w:spacing w:line="360" w:lineRule="auto"/>
              <w:jc w:val="center"/>
              <w:rPr>
                <w:bCs/>
                <w:sz w:val="24"/>
                <w:lang w:bidi="en-US"/>
              </w:rPr>
            </w:pPr>
            <w:r>
              <w:drawing>
                <wp:inline distT="0" distB="0" distL="114300" distR="114300">
                  <wp:extent cx="5188585" cy="4326890"/>
                  <wp:effectExtent l="0" t="0" r="1206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5188585" cy="4326890"/>
                          </a:xfrm>
                          <a:prstGeom prst="rect">
                            <a:avLst/>
                          </a:prstGeom>
                          <a:noFill/>
                          <a:ln>
                            <a:noFill/>
                          </a:ln>
                        </pic:spPr>
                      </pic:pic>
                    </a:graphicData>
                  </a:graphic>
                </wp:inline>
              </w:drawing>
            </w:r>
          </w:p>
          <w:p w14:paraId="4925606C">
            <w:pPr>
              <w:spacing w:line="360" w:lineRule="auto"/>
              <w:jc w:val="center"/>
              <w:rPr>
                <w:b/>
                <w:bCs/>
                <w:sz w:val="24"/>
                <w:szCs w:val="24"/>
              </w:rPr>
            </w:pPr>
            <w:r>
              <w:rPr>
                <w:rFonts w:hint="eastAsia"/>
                <w:b/>
                <w:bCs/>
                <w:sz w:val="24"/>
                <w:szCs w:val="24"/>
              </w:rPr>
              <w:t>图1-5  项目生态环境分区管控符合性分析查询截图</w:t>
            </w:r>
          </w:p>
          <w:p w14:paraId="39F0FAFB">
            <w:pPr>
              <w:spacing w:line="360" w:lineRule="auto"/>
              <w:jc w:val="center"/>
              <w:rPr>
                <w:b/>
                <w:bCs/>
                <w:sz w:val="24"/>
                <w:szCs w:val="24"/>
                <w:highlight w:val="yellow"/>
              </w:rPr>
            </w:pPr>
            <w:r>
              <w:rPr>
                <w:b/>
                <w:bCs/>
                <w:sz w:val="24"/>
                <w:szCs w:val="24"/>
              </w:rPr>
              <w:t>表1-</w:t>
            </w:r>
            <w:r>
              <w:rPr>
                <w:rFonts w:hint="eastAsia"/>
                <w:b/>
                <w:bCs/>
                <w:sz w:val="24"/>
                <w:szCs w:val="24"/>
              </w:rPr>
              <w:t>5</w:t>
            </w:r>
            <w:r>
              <w:rPr>
                <w:b/>
                <w:bCs/>
                <w:sz w:val="24"/>
                <w:szCs w:val="24"/>
              </w:rPr>
              <w:t xml:space="preserve"> </w:t>
            </w:r>
            <w:r>
              <w:rPr>
                <w:rFonts w:hint="eastAsia"/>
                <w:b/>
                <w:bCs/>
                <w:sz w:val="24"/>
                <w:szCs w:val="24"/>
              </w:rPr>
              <w:t>本项目</w:t>
            </w:r>
            <w:r>
              <w:rPr>
                <w:b/>
                <w:bCs/>
                <w:sz w:val="24"/>
                <w:szCs w:val="24"/>
              </w:rPr>
              <w:t>涉及的环境管控单元一览表</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614"/>
              <w:gridCol w:w="1215"/>
              <w:gridCol w:w="933"/>
              <w:gridCol w:w="1540"/>
              <w:gridCol w:w="1652"/>
            </w:tblGrid>
            <w:tr w14:paraId="1AC57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6CD950AA">
                  <w:pPr>
                    <w:pStyle w:val="30"/>
                  </w:pPr>
                  <w:r>
                    <w:rPr>
                      <w:rFonts w:hint="eastAsia"/>
                    </w:rPr>
                    <w:t>环境管控单元编码</w:t>
                  </w:r>
                </w:p>
              </w:tc>
              <w:tc>
                <w:tcPr>
                  <w:tcW w:w="986" w:type="pct"/>
                  <w:tcBorders>
                    <w:tl2br w:val="nil"/>
                    <w:tr2bl w:val="nil"/>
                  </w:tcBorders>
                  <w:vAlign w:val="center"/>
                </w:tcPr>
                <w:p w14:paraId="67F86FA8">
                  <w:pPr>
                    <w:pStyle w:val="30"/>
                  </w:pPr>
                  <w:r>
                    <w:rPr>
                      <w:rFonts w:hint="eastAsia"/>
                    </w:rPr>
                    <w:t>环境管控单元名称</w:t>
                  </w:r>
                </w:p>
              </w:tc>
              <w:tc>
                <w:tcPr>
                  <w:tcW w:w="743" w:type="pct"/>
                  <w:tcBorders>
                    <w:tl2br w:val="nil"/>
                    <w:tr2bl w:val="nil"/>
                  </w:tcBorders>
                  <w:vAlign w:val="center"/>
                </w:tcPr>
                <w:p w14:paraId="40E0816F">
                  <w:pPr>
                    <w:pStyle w:val="30"/>
                  </w:pPr>
                  <w:r>
                    <w:rPr>
                      <w:rFonts w:hint="eastAsia"/>
                    </w:rPr>
                    <w:t>所属市（州）</w:t>
                  </w:r>
                </w:p>
              </w:tc>
              <w:tc>
                <w:tcPr>
                  <w:tcW w:w="570" w:type="pct"/>
                  <w:tcBorders>
                    <w:tl2br w:val="nil"/>
                    <w:tr2bl w:val="nil"/>
                  </w:tcBorders>
                  <w:vAlign w:val="center"/>
                </w:tcPr>
                <w:p w14:paraId="7FD24D65">
                  <w:pPr>
                    <w:pStyle w:val="30"/>
                  </w:pPr>
                  <w:r>
                    <w:rPr>
                      <w:rFonts w:hint="eastAsia"/>
                    </w:rPr>
                    <w:t>所属区县</w:t>
                  </w:r>
                </w:p>
              </w:tc>
              <w:tc>
                <w:tcPr>
                  <w:tcW w:w="941" w:type="pct"/>
                  <w:tcBorders>
                    <w:tl2br w:val="nil"/>
                    <w:tr2bl w:val="nil"/>
                  </w:tcBorders>
                  <w:vAlign w:val="center"/>
                </w:tcPr>
                <w:p w14:paraId="41F0263C">
                  <w:pPr>
                    <w:pStyle w:val="30"/>
                  </w:pPr>
                  <w:r>
                    <w:rPr>
                      <w:rFonts w:hint="eastAsia"/>
                    </w:rPr>
                    <w:t>准入清单类型</w:t>
                  </w:r>
                </w:p>
              </w:tc>
              <w:tc>
                <w:tcPr>
                  <w:tcW w:w="1009" w:type="pct"/>
                  <w:tcBorders>
                    <w:tl2br w:val="nil"/>
                    <w:tr2bl w:val="nil"/>
                  </w:tcBorders>
                  <w:vAlign w:val="center"/>
                </w:tcPr>
                <w:p w14:paraId="34F7A018">
                  <w:pPr>
                    <w:pStyle w:val="30"/>
                  </w:pPr>
                  <w:r>
                    <w:rPr>
                      <w:rFonts w:hint="eastAsia"/>
                    </w:rPr>
                    <w:t>管控类型</w:t>
                  </w:r>
                </w:p>
              </w:tc>
            </w:tr>
            <w:tr w14:paraId="795C0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24D154F2">
                  <w:pPr>
                    <w:pStyle w:val="30"/>
                  </w:pPr>
                  <w:r>
                    <w:rPr>
                      <w:rFonts w:hint="eastAsia"/>
                    </w:rPr>
                    <w:t>YS5117022220002</w:t>
                  </w:r>
                </w:p>
              </w:tc>
              <w:tc>
                <w:tcPr>
                  <w:tcW w:w="986" w:type="pct"/>
                  <w:tcBorders>
                    <w:tl2br w:val="nil"/>
                    <w:tr2bl w:val="nil"/>
                  </w:tcBorders>
                  <w:vAlign w:val="center"/>
                </w:tcPr>
                <w:p w14:paraId="0DB4A0C8">
                  <w:pPr>
                    <w:pStyle w:val="30"/>
                  </w:pPr>
                  <w:r>
                    <w:rPr>
                      <w:rFonts w:hint="eastAsia"/>
                    </w:rPr>
                    <w:t>州河-通川区-车家河-控制单元</w:t>
                  </w:r>
                </w:p>
              </w:tc>
              <w:tc>
                <w:tcPr>
                  <w:tcW w:w="743" w:type="pct"/>
                  <w:tcBorders>
                    <w:tl2br w:val="nil"/>
                    <w:tr2bl w:val="nil"/>
                  </w:tcBorders>
                  <w:vAlign w:val="center"/>
                </w:tcPr>
                <w:p w14:paraId="6588DC77">
                  <w:pPr>
                    <w:pStyle w:val="30"/>
                  </w:pPr>
                  <w:r>
                    <w:rPr>
                      <w:rFonts w:hint="eastAsia"/>
                    </w:rPr>
                    <w:t>达州市</w:t>
                  </w:r>
                </w:p>
              </w:tc>
              <w:tc>
                <w:tcPr>
                  <w:tcW w:w="570" w:type="pct"/>
                  <w:tcBorders>
                    <w:tl2br w:val="nil"/>
                    <w:tr2bl w:val="nil"/>
                  </w:tcBorders>
                  <w:vAlign w:val="center"/>
                </w:tcPr>
                <w:p w14:paraId="4E7EA9D4">
                  <w:pPr>
                    <w:pStyle w:val="30"/>
                  </w:pPr>
                  <w:r>
                    <w:rPr>
                      <w:rFonts w:hint="eastAsia"/>
                    </w:rPr>
                    <w:t>通川区</w:t>
                  </w:r>
                </w:p>
              </w:tc>
              <w:tc>
                <w:tcPr>
                  <w:tcW w:w="941" w:type="pct"/>
                  <w:tcBorders>
                    <w:tl2br w:val="nil"/>
                    <w:tr2bl w:val="nil"/>
                  </w:tcBorders>
                  <w:vAlign w:val="center"/>
                </w:tcPr>
                <w:p w14:paraId="6C4619BB">
                  <w:pPr>
                    <w:pStyle w:val="30"/>
                  </w:pPr>
                  <w:r>
                    <w:rPr>
                      <w:rFonts w:hint="eastAsia"/>
                    </w:rPr>
                    <w:t>水环境管控分区</w:t>
                  </w:r>
                </w:p>
              </w:tc>
              <w:tc>
                <w:tcPr>
                  <w:tcW w:w="1009" w:type="pct"/>
                  <w:tcBorders>
                    <w:tl2br w:val="nil"/>
                    <w:tr2bl w:val="nil"/>
                  </w:tcBorders>
                  <w:vAlign w:val="center"/>
                </w:tcPr>
                <w:p w14:paraId="58561477">
                  <w:pPr>
                    <w:pStyle w:val="30"/>
                  </w:pPr>
                  <w:r>
                    <w:rPr>
                      <w:rFonts w:hint="eastAsia"/>
                    </w:rPr>
                    <w:t>水环境城镇生活污染重点管控区</w:t>
                  </w:r>
                </w:p>
              </w:tc>
            </w:tr>
            <w:tr w14:paraId="7DE25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5B20A1D3">
                  <w:pPr>
                    <w:pStyle w:val="30"/>
                  </w:pPr>
                  <w:r>
                    <w:rPr>
                      <w:rFonts w:hint="eastAsia"/>
                    </w:rPr>
                    <w:t>YS5117022340001</w:t>
                  </w:r>
                </w:p>
              </w:tc>
              <w:tc>
                <w:tcPr>
                  <w:tcW w:w="986" w:type="pct"/>
                  <w:tcBorders>
                    <w:tl2br w:val="nil"/>
                    <w:tr2bl w:val="nil"/>
                  </w:tcBorders>
                  <w:vAlign w:val="center"/>
                </w:tcPr>
                <w:p w14:paraId="0DED0D2C">
                  <w:pPr>
                    <w:pStyle w:val="30"/>
                  </w:pPr>
                  <w:r>
                    <w:rPr>
                      <w:rFonts w:hint="eastAsia"/>
                    </w:rPr>
                    <w:t>通川区城镇集中建设区</w:t>
                  </w:r>
                </w:p>
              </w:tc>
              <w:tc>
                <w:tcPr>
                  <w:tcW w:w="743" w:type="pct"/>
                  <w:tcBorders>
                    <w:tl2br w:val="nil"/>
                    <w:tr2bl w:val="nil"/>
                  </w:tcBorders>
                  <w:vAlign w:val="center"/>
                </w:tcPr>
                <w:p w14:paraId="5A1F0B94">
                  <w:pPr>
                    <w:pStyle w:val="30"/>
                  </w:pPr>
                  <w:r>
                    <w:rPr>
                      <w:rFonts w:hint="eastAsia"/>
                    </w:rPr>
                    <w:t>达州市</w:t>
                  </w:r>
                </w:p>
              </w:tc>
              <w:tc>
                <w:tcPr>
                  <w:tcW w:w="570" w:type="pct"/>
                  <w:tcBorders>
                    <w:tl2br w:val="nil"/>
                    <w:tr2bl w:val="nil"/>
                  </w:tcBorders>
                  <w:vAlign w:val="center"/>
                </w:tcPr>
                <w:p w14:paraId="740C0840">
                  <w:pPr>
                    <w:pStyle w:val="30"/>
                  </w:pPr>
                  <w:r>
                    <w:rPr>
                      <w:rFonts w:hint="eastAsia"/>
                    </w:rPr>
                    <w:t>通川区</w:t>
                  </w:r>
                </w:p>
              </w:tc>
              <w:tc>
                <w:tcPr>
                  <w:tcW w:w="941" w:type="pct"/>
                  <w:tcBorders>
                    <w:tl2br w:val="nil"/>
                    <w:tr2bl w:val="nil"/>
                  </w:tcBorders>
                  <w:vAlign w:val="center"/>
                </w:tcPr>
                <w:p w14:paraId="0CA57724">
                  <w:pPr>
                    <w:pStyle w:val="30"/>
                  </w:pPr>
                  <w:r>
                    <w:rPr>
                      <w:rFonts w:hint="eastAsia"/>
                    </w:rPr>
                    <w:t>大气环境管控分区</w:t>
                  </w:r>
                </w:p>
              </w:tc>
              <w:tc>
                <w:tcPr>
                  <w:tcW w:w="1009" w:type="pct"/>
                  <w:tcBorders>
                    <w:tl2br w:val="nil"/>
                    <w:tr2bl w:val="nil"/>
                  </w:tcBorders>
                  <w:vAlign w:val="center"/>
                </w:tcPr>
                <w:p w14:paraId="42D8452B">
                  <w:pPr>
                    <w:pStyle w:val="30"/>
                  </w:pPr>
                  <w:r>
                    <w:rPr>
                      <w:rFonts w:hint="eastAsia"/>
                    </w:rPr>
                    <w:t>大气环境受体敏感重点管控区</w:t>
                  </w:r>
                </w:p>
              </w:tc>
            </w:tr>
            <w:tr w14:paraId="464F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6F80925B">
                  <w:pPr>
                    <w:pStyle w:val="30"/>
                  </w:pPr>
                  <w:r>
                    <w:rPr>
                      <w:rFonts w:hint="eastAsia"/>
                    </w:rPr>
                    <w:t>YS5117022530001</w:t>
                  </w:r>
                </w:p>
              </w:tc>
              <w:tc>
                <w:tcPr>
                  <w:tcW w:w="986" w:type="pct"/>
                  <w:tcBorders>
                    <w:tl2br w:val="nil"/>
                    <w:tr2bl w:val="nil"/>
                  </w:tcBorders>
                  <w:vAlign w:val="center"/>
                </w:tcPr>
                <w:p w14:paraId="327BA685">
                  <w:pPr>
                    <w:pStyle w:val="30"/>
                  </w:pPr>
                  <w:r>
                    <w:rPr>
                      <w:rFonts w:hint="eastAsia"/>
                    </w:rPr>
                    <w:t>通川区城镇开发边界</w:t>
                  </w:r>
                </w:p>
              </w:tc>
              <w:tc>
                <w:tcPr>
                  <w:tcW w:w="743" w:type="pct"/>
                  <w:tcBorders>
                    <w:tl2br w:val="nil"/>
                    <w:tr2bl w:val="nil"/>
                  </w:tcBorders>
                  <w:vAlign w:val="center"/>
                </w:tcPr>
                <w:p w14:paraId="4CB000BA">
                  <w:pPr>
                    <w:pStyle w:val="30"/>
                  </w:pPr>
                  <w:r>
                    <w:rPr>
                      <w:rFonts w:hint="eastAsia"/>
                    </w:rPr>
                    <w:t>达州市</w:t>
                  </w:r>
                </w:p>
              </w:tc>
              <w:tc>
                <w:tcPr>
                  <w:tcW w:w="570" w:type="pct"/>
                  <w:tcBorders>
                    <w:tl2br w:val="nil"/>
                    <w:tr2bl w:val="nil"/>
                  </w:tcBorders>
                  <w:vAlign w:val="center"/>
                </w:tcPr>
                <w:p w14:paraId="1718B331">
                  <w:pPr>
                    <w:pStyle w:val="30"/>
                  </w:pPr>
                  <w:r>
                    <w:rPr>
                      <w:rFonts w:hint="eastAsia"/>
                    </w:rPr>
                    <w:t>通川区</w:t>
                  </w:r>
                </w:p>
              </w:tc>
              <w:tc>
                <w:tcPr>
                  <w:tcW w:w="941" w:type="pct"/>
                  <w:tcBorders>
                    <w:tl2br w:val="nil"/>
                    <w:tr2bl w:val="nil"/>
                  </w:tcBorders>
                  <w:vAlign w:val="center"/>
                </w:tcPr>
                <w:p w14:paraId="299F2D8D">
                  <w:pPr>
                    <w:pStyle w:val="30"/>
                  </w:pPr>
                  <w:r>
                    <w:rPr>
                      <w:rFonts w:hint="eastAsia"/>
                    </w:rPr>
                    <w:t>资源管控分区</w:t>
                  </w:r>
                </w:p>
              </w:tc>
              <w:tc>
                <w:tcPr>
                  <w:tcW w:w="1009" w:type="pct"/>
                  <w:tcBorders>
                    <w:tl2br w:val="nil"/>
                    <w:tr2bl w:val="nil"/>
                  </w:tcBorders>
                  <w:vAlign w:val="center"/>
                </w:tcPr>
                <w:p w14:paraId="5AA35064">
                  <w:pPr>
                    <w:pStyle w:val="30"/>
                  </w:pPr>
                  <w:r>
                    <w:rPr>
                      <w:rFonts w:hint="eastAsia"/>
                    </w:rPr>
                    <w:t>土地资源重点管控区</w:t>
                  </w:r>
                </w:p>
              </w:tc>
            </w:tr>
            <w:tr w14:paraId="77BA3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019718CC">
                  <w:pPr>
                    <w:pStyle w:val="30"/>
                  </w:pPr>
                  <w:r>
                    <w:rPr>
                      <w:rFonts w:hint="eastAsia"/>
                    </w:rPr>
                    <w:t>YS5117022550001</w:t>
                  </w:r>
                </w:p>
              </w:tc>
              <w:tc>
                <w:tcPr>
                  <w:tcW w:w="986" w:type="pct"/>
                  <w:tcBorders>
                    <w:tl2br w:val="nil"/>
                    <w:tr2bl w:val="nil"/>
                  </w:tcBorders>
                  <w:vAlign w:val="center"/>
                </w:tcPr>
                <w:p w14:paraId="1C9F05FB">
                  <w:pPr>
                    <w:pStyle w:val="30"/>
                  </w:pPr>
                  <w:r>
                    <w:rPr>
                      <w:rFonts w:hint="eastAsia"/>
                    </w:rPr>
                    <w:t>通川区自然资源重点管控区</w:t>
                  </w:r>
                </w:p>
              </w:tc>
              <w:tc>
                <w:tcPr>
                  <w:tcW w:w="743" w:type="pct"/>
                  <w:tcBorders>
                    <w:tl2br w:val="nil"/>
                    <w:tr2bl w:val="nil"/>
                  </w:tcBorders>
                  <w:vAlign w:val="center"/>
                </w:tcPr>
                <w:p w14:paraId="1BB526AF">
                  <w:pPr>
                    <w:pStyle w:val="30"/>
                  </w:pPr>
                  <w:r>
                    <w:rPr>
                      <w:rFonts w:hint="eastAsia"/>
                    </w:rPr>
                    <w:t>达州市</w:t>
                  </w:r>
                </w:p>
              </w:tc>
              <w:tc>
                <w:tcPr>
                  <w:tcW w:w="570" w:type="pct"/>
                  <w:tcBorders>
                    <w:tl2br w:val="nil"/>
                    <w:tr2bl w:val="nil"/>
                  </w:tcBorders>
                  <w:vAlign w:val="center"/>
                </w:tcPr>
                <w:p w14:paraId="0F99C4E8">
                  <w:pPr>
                    <w:pStyle w:val="30"/>
                  </w:pPr>
                  <w:r>
                    <w:rPr>
                      <w:rFonts w:hint="eastAsia"/>
                    </w:rPr>
                    <w:t>通川区</w:t>
                  </w:r>
                </w:p>
              </w:tc>
              <w:tc>
                <w:tcPr>
                  <w:tcW w:w="941" w:type="pct"/>
                  <w:tcBorders>
                    <w:tl2br w:val="nil"/>
                    <w:tr2bl w:val="nil"/>
                  </w:tcBorders>
                  <w:vAlign w:val="center"/>
                </w:tcPr>
                <w:p w14:paraId="1923B264">
                  <w:pPr>
                    <w:pStyle w:val="30"/>
                  </w:pPr>
                  <w:r>
                    <w:rPr>
                      <w:rFonts w:hint="eastAsia"/>
                    </w:rPr>
                    <w:t>资源管控分区</w:t>
                  </w:r>
                </w:p>
              </w:tc>
              <w:tc>
                <w:tcPr>
                  <w:tcW w:w="1009" w:type="pct"/>
                  <w:tcBorders>
                    <w:tl2br w:val="nil"/>
                    <w:tr2bl w:val="nil"/>
                  </w:tcBorders>
                  <w:vAlign w:val="center"/>
                </w:tcPr>
                <w:p w14:paraId="097F67B5">
                  <w:pPr>
                    <w:pStyle w:val="30"/>
                  </w:pPr>
                  <w:r>
                    <w:rPr>
                      <w:rFonts w:hint="eastAsia"/>
                    </w:rPr>
                    <w:t>自然资源重点管控区</w:t>
                  </w:r>
                </w:p>
              </w:tc>
            </w:tr>
            <w:tr w14:paraId="196FF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8" w:type="pct"/>
                  <w:tcBorders>
                    <w:tl2br w:val="nil"/>
                    <w:tr2bl w:val="nil"/>
                  </w:tcBorders>
                  <w:vAlign w:val="center"/>
                </w:tcPr>
                <w:p w14:paraId="3ED6E056">
                  <w:pPr>
                    <w:pStyle w:val="30"/>
                  </w:pPr>
                  <w:r>
                    <w:rPr>
                      <w:rFonts w:hint="eastAsia"/>
                    </w:rPr>
                    <w:t>ZH51170220001</w:t>
                  </w:r>
                </w:p>
              </w:tc>
              <w:tc>
                <w:tcPr>
                  <w:tcW w:w="986" w:type="pct"/>
                  <w:tcBorders>
                    <w:tl2br w:val="nil"/>
                    <w:tr2bl w:val="nil"/>
                  </w:tcBorders>
                  <w:vAlign w:val="center"/>
                </w:tcPr>
                <w:p w14:paraId="54690A59">
                  <w:pPr>
                    <w:pStyle w:val="30"/>
                  </w:pPr>
                  <w:r>
                    <w:rPr>
                      <w:rFonts w:hint="eastAsia"/>
                    </w:rPr>
                    <w:t>通川区城镇空间</w:t>
                  </w:r>
                </w:p>
              </w:tc>
              <w:tc>
                <w:tcPr>
                  <w:tcW w:w="743" w:type="pct"/>
                  <w:tcBorders>
                    <w:tl2br w:val="nil"/>
                    <w:tr2bl w:val="nil"/>
                  </w:tcBorders>
                  <w:vAlign w:val="center"/>
                </w:tcPr>
                <w:p w14:paraId="5CBEE0A1">
                  <w:pPr>
                    <w:pStyle w:val="30"/>
                  </w:pPr>
                  <w:r>
                    <w:rPr>
                      <w:rFonts w:hint="eastAsia"/>
                    </w:rPr>
                    <w:t>达州市</w:t>
                  </w:r>
                </w:p>
              </w:tc>
              <w:tc>
                <w:tcPr>
                  <w:tcW w:w="570" w:type="pct"/>
                  <w:tcBorders>
                    <w:tl2br w:val="nil"/>
                    <w:tr2bl w:val="nil"/>
                  </w:tcBorders>
                  <w:vAlign w:val="center"/>
                </w:tcPr>
                <w:p w14:paraId="21BC7AB3">
                  <w:pPr>
                    <w:pStyle w:val="30"/>
                  </w:pPr>
                  <w:r>
                    <w:rPr>
                      <w:rFonts w:hint="eastAsia"/>
                    </w:rPr>
                    <w:t>通川区</w:t>
                  </w:r>
                </w:p>
              </w:tc>
              <w:tc>
                <w:tcPr>
                  <w:tcW w:w="941" w:type="pct"/>
                  <w:tcBorders>
                    <w:tl2br w:val="nil"/>
                    <w:tr2bl w:val="nil"/>
                  </w:tcBorders>
                  <w:vAlign w:val="center"/>
                </w:tcPr>
                <w:p w14:paraId="56BBE251">
                  <w:pPr>
                    <w:pStyle w:val="30"/>
                  </w:pPr>
                  <w:r>
                    <w:rPr>
                      <w:rFonts w:hint="eastAsia"/>
                    </w:rPr>
                    <w:t>环境综合管控单元</w:t>
                  </w:r>
                </w:p>
              </w:tc>
              <w:tc>
                <w:tcPr>
                  <w:tcW w:w="1009" w:type="pct"/>
                  <w:tcBorders>
                    <w:tl2br w:val="nil"/>
                    <w:tr2bl w:val="nil"/>
                  </w:tcBorders>
                  <w:vAlign w:val="center"/>
                </w:tcPr>
                <w:p w14:paraId="00E62D99">
                  <w:pPr>
                    <w:pStyle w:val="30"/>
                  </w:pPr>
                  <w:r>
                    <w:rPr>
                      <w:rFonts w:hint="eastAsia"/>
                    </w:rPr>
                    <w:t>环境综合管控单元城镇重点管控单元</w:t>
                  </w:r>
                </w:p>
              </w:tc>
            </w:tr>
          </w:tbl>
          <w:p w14:paraId="775D48AE">
            <w:pPr>
              <w:autoSpaceDE w:val="0"/>
              <w:autoSpaceDN w:val="0"/>
              <w:adjustRightInd w:val="0"/>
              <w:snapToGrid w:val="0"/>
              <w:spacing w:line="360" w:lineRule="auto"/>
              <w:ind w:firstLine="480" w:firstLineChars="200"/>
              <w:rPr>
                <w:bCs/>
                <w:sz w:val="24"/>
                <w:lang w:bidi="en-US"/>
              </w:rPr>
            </w:pPr>
          </w:p>
          <w:p w14:paraId="12FD995D">
            <w:pPr>
              <w:autoSpaceDE w:val="0"/>
              <w:autoSpaceDN w:val="0"/>
              <w:adjustRightInd w:val="0"/>
              <w:snapToGrid w:val="0"/>
              <w:spacing w:line="360" w:lineRule="auto"/>
              <w:rPr>
                <w:bCs/>
                <w:sz w:val="24"/>
                <w:lang w:bidi="en-US"/>
              </w:rPr>
            </w:pPr>
          </w:p>
        </w:tc>
      </w:tr>
    </w:tbl>
    <w:p w14:paraId="4D7E8F3C">
      <w:pPr>
        <w:pStyle w:val="34"/>
        <w:jc w:val="center"/>
        <w:rPr>
          <w:rFonts w:eastAsia="黑体"/>
          <w:b w:val="0"/>
          <w:sz w:val="21"/>
          <w:szCs w:val="21"/>
        </w:rPr>
        <w:sectPr>
          <w:footerReference r:id="rId3" w:type="default"/>
          <w:pgSz w:w="11906" w:h="16838"/>
          <w:pgMar w:top="1440" w:right="1134" w:bottom="1440"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14:paraId="7818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14:paraId="0F54A850">
            <w:pPr>
              <w:spacing w:line="360" w:lineRule="auto"/>
              <w:ind w:firstLine="480" w:firstLineChars="200"/>
              <w:rPr>
                <w:sz w:val="24"/>
                <w:szCs w:val="24"/>
              </w:rPr>
            </w:pPr>
            <w:r>
              <w:rPr>
                <w:rFonts w:hint="eastAsia"/>
                <w:sz w:val="24"/>
                <w:szCs w:val="24"/>
              </w:rPr>
              <w:t>本项目</w:t>
            </w:r>
            <w:r>
              <w:rPr>
                <w:sz w:val="24"/>
                <w:szCs w:val="24"/>
              </w:rPr>
              <w:t>与上述环境管控单元符合性分析见下表。</w:t>
            </w:r>
          </w:p>
          <w:p w14:paraId="3DC9CFC4">
            <w:pPr>
              <w:spacing w:line="360" w:lineRule="auto"/>
              <w:jc w:val="center"/>
              <w:rPr>
                <w:b/>
                <w:bCs/>
                <w:sz w:val="24"/>
                <w:szCs w:val="24"/>
              </w:rPr>
            </w:pPr>
            <w:r>
              <w:rPr>
                <w:b/>
                <w:bCs/>
                <w:sz w:val="24"/>
                <w:szCs w:val="24"/>
              </w:rPr>
              <w:t>表1-</w:t>
            </w:r>
            <w:r>
              <w:rPr>
                <w:rFonts w:hint="eastAsia"/>
                <w:b/>
                <w:bCs/>
                <w:sz w:val="24"/>
                <w:szCs w:val="24"/>
              </w:rPr>
              <w:t>6</w:t>
            </w:r>
            <w:r>
              <w:rPr>
                <w:b/>
                <w:bCs/>
                <w:sz w:val="24"/>
                <w:szCs w:val="24"/>
              </w:rPr>
              <w:t xml:space="preserve"> </w:t>
            </w:r>
            <w:r>
              <w:rPr>
                <w:rFonts w:hint="eastAsia"/>
                <w:b/>
                <w:bCs/>
                <w:sz w:val="24"/>
                <w:szCs w:val="24"/>
              </w:rPr>
              <w:t>本项目</w:t>
            </w:r>
            <w:r>
              <w:rPr>
                <w:b/>
                <w:bCs/>
                <w:sz w:val="24"/>
                <w:szCs w:val="24"/>
              </w:rPr>
              <w:t>与达州市生态环境准入清单普适性管控要求符合性</w:t>
            </w:r>
            <w:r>
              <w:rPr>
                <w:rFonts w:hint="eastAsia"/>
                <w:b/>
                <w:bCs/>
                <w:sz w:val="24"/>
                <w:szCs w:val="24"/>
              </w:rPr>
              <w:t>分析</w:t>
            </w:r>
          </w:p>
          <w:tbl>
            <w:tblPr>
              <w:tblStyle w:val="42"/>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868"/>
              <w:gridCol w:w="5776"/>
              <w:gridCol w:w="699"/>
              <w:gridCol w:w="3143"/>
              <w:gridCol w:w="1941"/>
              <w:gridCol w:w="428"/>
            </w:tblGrid>
            <w:tr w14:paraId="4EF6C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tcBorders>
                    <w:tl2br w:val="nil"/>
                    <w:tr2bl w:val="nil"/>
                  </w:tcBorders>
                  <w:vAlign w:val="center"/>
                </w:tcPr>
                <w:p w14:paraId="02346FB8">
                  <w:pPr>
                    <w:pStyle w:val="41"/>
                    <w:widowControl/>
                    <w:spacing w:line="240" w:lineRule="auto"/>
                    <w:ind w:firstLine="0" w:firstLineChars="0"/>
                    <w:jc w:val="center"/>
                    <w:rPr>
                      <w:rFonts w:eastAsia="宋体"/>
                      <w:b/>
                      <w:bCs/>
                      <w:sz w:val="21"/>
                    </w:rPr>
                  </w:pPr>
                  <w:r>
                    <w:rPr>
                      <w:rFonts w:eastAsia="宋体"/>
                      <w:b/>
                      <w:bCs/>
                      <w:sz w:val="21"/>
                    </w:rPr>
                    <w:t>环境管控单元编码</w:t>
                  </w:r>
                </w:p>
              </w:tc>
              <w:tc>
                <w:tcPr>
                  <w:tcW w:w="298" w:type="pct"/>
                  <w:tcBorders>
                    <w:tl2br w:val="nil"/>
                    <w:tr2bl w:val="nil"/>
                  </w:tcBorders>
                  <w:vAlign w:val="center"/>
                </w:tcPr>
                <w:p w14:paraId="30AE8D55">
                  <w:pPr>
                    <w:pStyle w:val="41"/>
                    <w:widowControl/>
                    <w:spacing w:line="240" w:lineRule="auto"/>
                    <w:ind w:firstLine="0" w:firstLineChars="0"/>
                    <w:jc w:val="center"/>
                    <w:rPr>
                      <w:rFonts w:eastAsia="宋体"/>
                      <w:b/>
                      <w:bCs/>
                      <w:sz w:val="21"/>
                    </w:rPr>
                  </w:pPr>
                  <w:r>
                    <w:rPr>
                      <w:rFonts w:eastAsia="宋体"/>
                      <w:b/>
                      <w:bCs/>
                      <w:sz w:val="21"/>
                    </w:rPr>
                    <w:t>环境管控单元名称</w:t>
                  </w:r>
                </w:p>
              </w:tc>
              <w:tc>
                <w:tcPr>
                  <w:tcW w:w="1983" w:type="pct"/>
                  <w:tcBorders>
                    <w:tl2br w:val="nil"/>
                    <w:tr2bl w:val="nil"/>
                  </w:tcBorders>
                  <w:vAlign w:val="center"/>
                </w:tcPr>
                <w:p w14:paraId="3370C528">
                  <w:pPr>
                    <w:jc w:val="center"/>
                    <w:rPr>
                      <w:rFonts w:eastAsia="仿宋"/>
                      <w:b/>
                      <w:bCs/>
                      <w:kern w:val="0"/>
                    </w:rPr>
                  </w:pPr>
                  <w:r>
                    <w:rPr>
                      <w:rFonts w:eastAsia="仿宋"/>
                      <w:b/>
                      <w:bCs/>
                      <w:kern w:val="0"/>
                    </w:rPr>
                    <w:t>达州市普适性清单</w:t>
                  </w:r>
                </w:p>
              </w:tc>
              <w:tc>
                <w:tcPr>
                  <w:tcW w:w="240" w:type="pct"/>
                  <w:tcBorders>
                    <w:tl2br w:val="nil"/>
                    <w:tr2bl w:val="nil"/>
                  </w:tcBorders>
                  <w:vAlign w:val="center"/>
                </w:tcPr>
                <w:p w14:paraId="084860C2">
                  <w:pPr>
                    <w:widowControl/>
                    <w:jc w:val="center"/>
                    <w:rPr>
                      <w:rFonts w:eastAsia="仿宋"/>
                      <w:b/>
                      <w:bCs/>
                    </w:rPr>
                  </w:pPr>
                  <w:r>
                    <w:rPr>
                      <w:rFonts w:eastAsia="仿宋"/>
                      <w:b/>
                      <w:bCs/>
                      <w:kern w:val="0"/>
                    </w:rPr>
                    <w:t>管控类别</w:t>
                  </w:r>
                </w:p>
              </w:tc>
              <w:tc>
                <w:tcPr>
                  <w:tcW w:w="1080" w:type="pct"/>
                  <w:tcBorders>
                    <w:tl2br w:val="nil"/>
                    <w:tr2bl w:val="nil"/>
                  </w:tcBorders>
                  <w:vAlign w:val="center"/>
                </w:tcPr>
                <w:p w14:paraId="5BB4A20E">
                  <w:pPr>
                    <w:widowControl/>
                    <w:jc w:val="center"/>
                    <w:rPr>
                      <w:rFonts w:eastAsia="仿宋"/>
                      <w:b/>
                      <w:bCs/>
                    </w:rPr>
                  </w:pPr>
                  <w:r>
                    <w:rPr>
                      <w:rFonts w:eastAsia="仿宋"/>
                      <w:b/>
                      <w:bCs/>
                      <w:kern w:val="0"/>
                    </w:rPr>
                    <w:t>单元特性管控要求</w:t>
                  </w:r>
                </w:p>
              </w:tc>
              <w:tc>
                <w:tcPr>
                  <w:tcW w:w="667" w:type="pct"/>
                  <w:tcBorders>
                    <w:tl2br w:val="nil"/>
                    <w:tr2bl w:val="nil"/>
                  </w:tcBorders>
                  <w:shd w:val="clear" w:color="auto" w:fill="auto"/>
                  <w:vAlign w:val="center"/>
                </w:tcPr>
                <w:p w14:paraId="3BB9DA0A">
                  <w:pPr>
                    <w:jc w:val="center"/>
                    <w:rPr>
                      <w:rFonts w:eastAsia="仿宋"/>
                      <w:b/>
                      <w:bCs/>
                      <w:kern w:val="0"/>
                    </w:rPr>
                  </w:pPr>
                  <w:r>
                    <w:rPr>
                      <w:rFonts w:eastAsia="仿宋"/>
                      <w:b/>
                      <w:bCs/>
                    </w:rPr>
                    <w:t>项目对应情况介绍</w:t>
                  </w:r>
                </w:p>
              </w:tc>
              <w:tc>
                <w:tcPr>
                  <w:tcW w:w="147" w:type="pct"/>
                  <w:tcBorders>
                    <w:tl2br w:val="nil"/>
                    <w:tr2bl w:val="nil"/>
                  </w:tcBorders>
                  <w:shd w:val="clear" w:color="auto" w:fill="auto"/>
                  <w:vAlign w:val="center"/>
                </w:tcPr>
                <w:p w14:paraId="63EE7B23">
                  <w:pPr>
                    <w:jc w:val="center"/>
                    <w:rPr>
                      <w:rFonts w:eastAsia="仿宋"/>
                      <w:b/>
                      <w:bCs/>
                      <w:kern w:val="0"/>
                    </w:rPr>
                  </w:pPr>
                  <w:r>
                    <w:rPr>
                      <w:rFonts w:eastAsia="仿宋"/>
                      <w:b/>
                      <w:bCs/>
                    </w:rPr>
                    <w:t>符合性分析</w:t>
                  </w:r>
                </w:p>
              </w:tc>
            </w:tr>
            <w:tr w14:paraId="52928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6D6937B6">
                  <w:pPr>
                    <w:pStyle w:val="41"/>
                    <w:spacing w:line="240" w:lineRule="auto"/>
                    <w:ind w:firstLine="0" w:firstLineChars="0"/>
                    <w:jc w:val="left"/>
                    <w:rPr>
                      <w:rFonts w:eastAsia="宋体"/>
                      <w:kern w:val="0"/>
                      <w:sz w:val="21"/>
                    </w:rPr>
                  </w:pPr>
                  <w:r>
                    <w:rPr>
                      <w:rFonts w:eastAsia="宋体"/>
                      <w:kern w:val="0"/>
                      <w:sz w:val="21"/>
                    </w:rPr>
                    <w:t>YS5117022220002</w:t>
                  </w:r>
                </w:p>
              </w:tc>
              <w:tc>
                <w:tcPr>
                  <w:tcW w:w="298" w:type="pct"/>
                  <w:vMerge w:val="restart"/>
                  <w:tcBorders>
                    <w:tl2br w:val="nil"/>
                    <w:tr2bl w:val="nil"/>
                  </w:tcBorders>
                  <w:vAlign w:val="center"/>
                </w:tcPr>
                <w:p w14:paraId="788B30C2">
                  <w:pPr>
                    <w:pStyle w:val="41"/>
                    <w:spacing w:line="240" w:lineRule="auto"/>
                    <w:ind w:firstLine="0" w:firstLineChars="0"/>
                    <w:jc w:val="left"/>
                    <w:rPr>
                      <w:rFonts w:eastAsia="宋体"/>
                      <w:kern w:val="0"/>
                      <w:sz w:val="21"/>
                    </w:rPr>
                  </w:pPr>
                  <w:r>
                    <w:rPr>
                      <w:rFonts w:eastAsia="宋体"/>
                      <w:kern w:val="0"/>
                      <w:sz w:val="21"/>
                    </w:rPr>
                    <w:t>州河-通川区-车家河-控制单元</w:t>
                  </w:r>
                </w:p>
              </w:tc>
              <w:tc>
                <w:tcPr>
                  <w:tcW w:w="1983" w:type="pct"/>
                  <w:vMerge w:val="restart"/>
                  <w:tcBorders>
                    <w:tl2br w:val="nil"/>
                    <w:tr2bl w:val="nil"/>
                  </w:tcBorders>
                  <w:vAlign w:val="center"/>
                </w:tcPr>
                <w:p w14:paraId="0EDA7532">
                  <w:pPr>
                    <w:pStyle w:val="41"/>
                    <w:spacing w:line="240" w:lineRule="auto"/>
                    <w:ind w:firstLine="0" w:firstLineChars="0"/>
                    <w:jc w:val="left"/>
                    <w:rPr>
                      <w:rFonts w:eastAsia="宋体"/>
                      <w:kern w:val="0"/>
                      <w:sz w:val="21"/>
                    </w:rPr>
                  </w:pPr>
                  <w:r>
                    <w:rPr>
                      <w:rFonts w:eastAsia="宋体"/>
                      <w:kern w:val="0"/>
                      <w:sz w:val="21"/>
                    </w:rPr>
                    <w:t>暂无</w:t>
                  </w:r>
                </w:p>
                <w:p w14:paraId="6DCEB63C">
                  <w:pPr>
                    <w:pStyle w:val="41"/>
                    <w:spacing w:line="240" w:lineRule="auto"/>
                    <w:ind w:firstLine="0" w:firstLineChars="0"/>
                    <w:jc w:val="left"/>
                    <w:rPr>
                      <w:rFonts w:eastAsia="宋体"/>
                      <w:kern w:val="0"/>
                      <w:sz w:val="21"/>
                    </w:rPr>
                  </w:pPr>
                </w:p>
              </w:tc>
              <w:tc>
                <w:tcPr>
                  <w:tcW w:w="240" w:type="pct"/>
                  <w:tcBorders>
                    <w:tl2br w:val="nil"/>
                    <w:tr2bl w:val="nil"/>
                  </w:tcBorders>
                  <w:vAlign w:val="center"/>
                </w:tcPr>
                <w:p w14:paraId="2E32090B">
                  <w:pPr>
                    <w:pStyle w:val="41"/>
                    <w:widowControl/>
                    <w:spacing w:line="240" w:lineRule="auto"/>
                    <w:ind w:firstLine="0" w:firstLineChars="0"/>
                    <w:jc w:val="center"/>
                    <w:rPr>
                      <w:rFonts w:eastAsia="宋体"/>
                      <w:kern w:val="0"/>
                      <w:sz w:val="21"/>
                    </w:rPr>
                  </w:pPr>
                  <w:r>
                    <w:rPr>
                      <w:rFonts w:eastAsia="宋体"/>
                      <w:kern w:val="0"/>
                      <w:sz w:val="21"/>
                    </w:rPr>
                    <w:t>空间布局约束</w:t>
                  </w:r>
                </w:p>
              </w:tc>
              <w:tc>
                <w:tcPr>
                  <w:tcW w:w="1080" w:type="pct"/>
                  <w:tcBorders>
                    <w:tl2br w:val="nil"/>
                    <w:tr2bl w:val="nil"/>
                  </w:tcBorders>
                  <w:vAlign w:val="center"/>
                </w:tcPr>
                <w:p w14:paraId="5091BE8A">
                  <w:pPr>
                    <w:pStyle w:val="41"/>
                    <w:widowControl/>
                    <w:spacing w:line="240" w:lineRule="auto"/>
                    <w:ind w:firstLine="0" w:firstLineChars="0"/>
                    <w:rPr>
                      <w:rFonts w:eastAsia="宋体"/>
                      <w:kern w:val="0"/>
                      <w:sz w:val="21"/>
                    </w:rPr>
                  </w:pPr>
                  <w:r>
                    <w:rPr>
                      <w:rFonts w:eastAsia="宋体"/>
                      <w:kern w:val="0"/>
                      <w:sz w:val="21"/>
                    </w:rPr>
                    <w:t>禁止开发建设活动的要求</w:t>
                  </w:r>
                </w:p>
                <w:p w14:paraId="0247A248">
                  <w:pPr>
                    <w:pStyle w:val="41"/>
                    <w:widowControl/>
                    <w:spacing w:line="240" w:lineRule="auto"/>
                    <w:ind w:firstLine="0" w:firstLineChars="0"/>
                    <w:rPr>
                      <w:rFonts w:eastAsia="宋体"/>
                      <w:kern w:val="0"/>
                      <w:sz w:val="21"/>
                    </w:rPr>
                  </w:pPr>
                  <w:r>
                    <w:rPr>
                      <w:rFonts w:eastAsia="宋体"/>
                      <w:kern w:val="0"/>
                      <w:sz w:val="21"/>
                    </w:rPr>
                    <w:t>限制开发建设活动的要求</w:t>
                  </w:r>
                </w:p>
                <w:p w14:paraId="11295816">
                  <w:pPr>
                    <w:pStyle w:val="41"/>
                    <w:widowControl/>
                    <w:spacing w:line="240" w:lineRule="auto"/>
                    <w:ind w:firstLine="0" w:firstLineChars="0"/>
                    <w:rPr>
                      <w:rFonts w:eastAsia="宋体"/>
                      <w:kern w:val="0"/>
                      <w:sz w:val="21"/>
                    </w:rPr>
                  </w:pPr>
                  <w:r>
                    <w:rPr>
                      <w:rFonts w:eastAsia="宋体"/>
                      <w:kern w:val="0"/>
                      <w:sz w:val="21"/>
                    </w:rPr>
                    <w:t>允许开发建设活动的要求</w:t>
                  </w:r>
                </w:p>
                <w:p w14:paraId="7A24F2BF">
                  <w:pPr>
                    <w:pStyle w:val="41"/>
                    <w:widowControl/>
                    <w:spacing w:line="240" w:lineRule="auto"/>
                    <w:ind w:firstLine="0" w:firstLineChars="0"/>
                    <w:rPr>
                      <w:rFonts w:eastAsia="宋体"/>
                      <w:kern w:val="0"/>
                      <w:sz w:val="21"/>
                    </w:rPr>
                  </w:pPr>
                  <w:r>
                    <w:rPr>
                      <w:rFonts w:eastAsia="宋体"/>
                      <w:kern w:val="0"/>
                      <w:sz w:val="21"/>
                    </w:rPr>
                    <w:t>不符合空间布局要求活动的退出要求</w:t>
                  </w:r>
                </w:p>
                <w:p w14:paraId="7681876A">
                  <w:pPr>
                    <w:pStyle w:val="41"/>
                    <w:widowControl/>
                    <w:spacing w:line="240" w:lineRule="auto"/>
                    <w:ind w:firstLine="0" w:firstLineChars="0"/>
                    <w:rPr>
                      <w:rFonts w:eastAsia="宋体"/>
                      <w:kern w:val="0"/>
                      <w:sz w:val="21"/>
                    </w:rPr>
                  </w:pPr>
                  <w:r>
                    <w:rPr>
                      <w:rFonts w:eastAsia="宋体"/>
                      <w:kern w:val="0"/>
                      <w:sz w:val="21"/>
                    </w:rPr>
                    <w:t>其他空间布局约束要求</w:t>
                  </w:r>
                </w:p>
              </w:tc>
              <w:tc>
                <w:tcPr>
                  <w:tcW w:w="667" w:type="pct"/>
                  <w:tcBorders>
                    <w:tl2br w:val="nil"/>
                    <w:tr2bl w:val="nil"/>
                  </w:tcBorders>
                  <w:vAlign w:val="center"/>
                </w:tcPr>
                <w:p w14:paraId="6234DB6D">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w:t>
                  </w:r>
                  <w:r>
                    <w:rPr>
                      <w:rFonts w:hint="eastAsia" w:eastAsia="宋体"/>
                      <w:sz w:val="21"/>
                    </w:rPr>
                    <w:t>租用现有仓库，不涉及新增占地，</w:t>
                  </w:r>
                  <w:r>
                    <w:rPr>
                      <w:rFonts w:eastAsia="宋体"/>
                      <w:sz w:val="21"/>
                    </w:rPr>
                    <w:t>不属于以上禁止开发、限制开发、不符合空间布局要求活动中提及的情况</w:t>
                  </w:r>
                  <w:r>
                    <w:rPr>
                      <w:rFonts w:hint="eastAsia" w:eastAsia="宋体"/>
                      <w:sz w:val="21"/>
                    </w:rPr>
                    <w:t>。</w:t>
                  </w:r>
                </w:p>
              </w:tc>
              <w:tc>
                <w:tcPr>
                  <w:tcW w:w="147" w:type="pct"/>
                  <w:tcBorders>
                    <w:tl2br w:val="nil"/>
                    <w:tr2bl w:val="nil"/>
                  </w:tcBorders>
                  <w:vAlign w:val="center"/>
                </w:tcPr>
                <w:p w14:paraId="20D2D06C">
                  <w:pPr>
                    <w:pStyle w:val="41"/>
                    <w:widowControl/>
                    <w:spacing w:line="240" w:lineRule="auto"/>
                    <w:ind w:firstLine="0" w:firstLineChars="0"/>
                    <w:jc w:val="center"/>
                    <w:rPr>
                      <w:rFonts w:eastAsia="宋体"/>
                      <w:sz w:val="21"/>
                    </w:rPr>
                  </w:pPr>
                  <w:r>
                    <w:rPr>
                      <w:rFonts w:eastAsia="宋体"/>
                      <w:sz w:val="21"/>
                    </w:rPr>
                    <w:t>符合</w:t>
                  </w:r>
                </w:p>
              </w:tc>
            </w:tr>
            <w:tr w14:paraId="40A05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59780892">
                  <w:pPr>
                    <w:pStyle w:val="41"/>
                    <w:widowControl/>
                    <w:spacing w:line="240" w:lineRule="auto"/>
                    <w:ind w:firstLine="0" w:firstLineChars="0"/>
                    <w:jc w:val="center"/>
                    <w:rPr>
                      <w:rFonts w:eastAsia="宋体"/>
                      <w:sz w:val="21"/>
                    </w:rPr>
                  </w:pPr>
                  <w:r>
                    <w:rPr>
                      <w:rFonts w:eastAsia="宋体"/>
                      <w:sz w:val="21"/>
                    </w:rPr>
                    <w:t>ZH51172230001</w:t>
                  </w:r>
                </w:p>
              </w:tc>
              <w:tc>
                <w:tcPr>
                  <w:tcW w:w="298" w:type="pct"/>
                  <w:vMerge w:val="restart"/>
                  <w:tcBorders>
                    <w:tl2br w:val="nil"/>
                    <w:tr2bl w:val="nil"/>
                  </w:tcBorders>
                  <w:vAlign w:val="center"/>
                </w:tcPr>
                <w:p w14:paraId="6CEDA473">
                  <w:pPr>
                    <w:pStyle w:val="41"/>
                    <w:widowControl/>
                    <w:spacing w:line="240" w:lineRule="auto"/>
                    <w:ind w:firstLine="0" w:firstLineChars="0"/>
                    <w:jc w:val="center"/>
                    <w:rPr>
                      <w:rFonts w:eastAsia="宋体"/>
                      <w:sz w:val="21"/>
                    </w:rPr>
                  </w:pPr>
                  <w:r>
                    <w:rPr>
                      <w:rFonts w:eastAsia="宋体"/>
                      <w:sz w:val="21"/>
                    </w:rPr>
                    <w:t>宣汉县一般管控单元</w:t>
                  </w:r>
                </w:p>
              </w:tc>
              <w:tc>
                <w:tcPr>
                  <w:tcW w:w="1983" w:type="pct"/>
                  <w:vMerge w:val="continue"/>
                  <w:tcBorders>
                    <w:tl2br w:val="nil"/>
                    <w:tr2bl w:val="nil"/>
                  </w:tcBorders>
                  <w:vAlign w:val="center"/>
                </w:tcPr>
                <w:p w14:paraId="73CAC0B1">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444F3C50">
                  <w:pPr>
                    <w:pStyle w:val="41"/>
                    <w:widowControl/>
                    <w:spacing w:line="240" w:lineRule="auto"/>
                    <w:ind w:firstLine="0" w:firstLineChars="0"/>
                    <w:jc w:val="center"/>
                    <w:rPr>
                      <w:rFonts w:eastAsia="宋体"/>
                      <w:sz w:val="21"/>
                    </w:rPr>
                  </w:pPr>
                  <w:r>
                    <w:rPr>
                      <w:rFonts w:eastAsia="宋体"/>
                      <w:sz w:val="21"/>
                    </w:rPr>
                    <w:t>污染物排放管控</w:t>
                  </w:r>
                </w:p>
              </w:tc>
              <w:tc>
                <w:tcPr>
                  <w:tcW w:w="1080" w:type="pct"/>
                  <w:tcBorders>
                    <w:tl2br w:val="nil"/>
                    <w:tr2bl w:val="nil"/>
                  </w:tcBorders>
                  <w:vAlign w:val="center"/>
                </w:tcPr>
                <w:p w14:paraId="2EC9A633">
                  <w:pPr>
                    <w:pStyle w:val="41"/>
                    <w:widowControl/>
                    <w:spacing w:line="240" w:lineRule="auto"/>
                    <w:ind w:firstLine="0" w:firstLineChars="0"/>
                    <w:rPr>
                      <w:rFonts w:eastAsia="宋体"/>
                      <w:sz w:val="21"/>
                    </w:rPr>
                  </w:pPr>
                  <w:r>
                    <w:rPr>
                      <w:rFonts w:eastAsia="宋体"/>
                      <w:sz w:val="21"/>
                    </w:rPr>
                    <w:t>城镇污水污染控制措施要求</w:t>
                  </w:r>
                </w:p>
                <w:p w14:paraId="08F9C3E7">
                  <w:pPr>
                    <w:pStyle w:val="41"/>
                    <w:widowControl/>
                    <w:spacing w:line="240" w:lineRule="auto"/>
                    <w:ind w:firstLine="0" w:firstLineChars="0"/>
                    <w:rPr>
                      <w:rFonts w:eastAsia="宋体"/>
                      <w:sz w:val="21"/>
                    </w:rPr>
                  </w:pPr>
                  <w:r>
                    <w:rPr>
                      <w:rFonts w:eastAsia="宋体"/>
                      <w:sz w:val="21"/>
                    </w:rPr>
                    <w:t>1、提升污水收集率，完善城镇生活污水收集系统，推进城镇污水管网全覆盖；对进水情况出现明显异常的污水处理厂，开展片区管网系统化整治，现有污水处理厂进水生化需氧量(BOD)浓度低于100毫克/升的城市，要制定系统化整治方案；开展旱天生活污水直排口溯源治理。2、提升城镇生活污水处理能力，加快补齐处理能力缺口。3、提升污水处理设施除磷水平，鼓励在污水处理厂排污口下游因地制宜建设人工湿地，推进达标尾水深度“去磷”。4、强化城镇污水处理设施运行管理，确保稳定达标排放。5、强化汛期生活污水溢流处理，推进城市建成区初期雨水收集处理及资源化利用设施建设。6、加强生活污水再生利用设施建设，在重点排污口下游、河流入湖口、支流入干流处，因地制宜实施区域再生水循环利用工程。</w:t>
                  </w:r>
                </w:p>
                <w:p w14:paraId="70DD326E">
                  <w:pPr>
                    <w:pStyle w:val="41"/>
                    <w:widowControl/>
                    <w:spacing w:line="240" w:lineRule="auto"/>
                    <w:ind w:firstLine="0" w:firstLineChars="0"/>
                    <w:rPr>
                      <w:rFonts w:eastAsia="宋体"/>
                      <w:sz w:val="21"/>
                    </w:rPr>
                  </w:pPr>
                  <w:r>
                    <w:rPr>
                      <w:rFonts w:eastAsia="宋体"/>
                      <w:sz w:val="21"/>
                    </w:rPr>
                    <w:t>工业废水污染控制措施要求</w:t>
                  </w:r>
                </w:p>
                <w:p w14:paraId="70E4AB08">
                  <w:pPr>
                    <w:pStyle w:val="41"/>
                    <w:widowControl/>
                    <w:spacing w:line="240" w:lineRule="auto"/>
                    <w:ind w:firstLine="0" w:firstLineChars="0"/>
                    <w:rPr>
                      <w:rFonts w:eastAsia="宋体"/>
                      <w:sz w:val="21"/>
                    </w:rPr>
                  </w:pPr>
                  <w:r>
                    <w:rPr>
                      <w:rFonts w:eastAsia="宋体"/>
                      <w:sz w:val="21"/>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14:paraId="0F824287">
                  <w:pPr>
                    <w:pStyle w:val="41"/>
                    <w:widowControl/>
                    <w:spacing w:line="240" w:lineRule="auto"/>
                    <w:ind w:firstLine="0" w:firstLineChars="0"/>
                    <w:rPr>
                      <w:rFonts w:eastAsia="宋体"/>
                      <w:sz w:val="21"/>
                    </w:rPr>
                  </w:pPr>
                  <w:r>
                    <w:rPr>
                      <w:rFonts w:eastAsia="宋体"/>
                      <w:sz w:val="21"/>
                    </w:rPr>
                    <w:t>农业面源水污染控制措施要求</w:t>
                  </w:r>
                </w:p>
                <w:p w14:paraId="133EE8D2">
                  <w:pPr>
                    <w:pStyle w:val="41"/>
                    <w:widowControl/>
                    <w:spacing w:line="240" w:lineRule="auto"/>
                    <w:ind w:firstLine="0" w:firstLineChars="0"/>
                    <w:rPr>
                      <w:rFonts w:eastAsia="宋体"/>
                      <w:sz w:val="21"/>
                    </w:rPr>
                  </w:pPr>
                  <w:r>
                    <w:rPr>
                      <w:rFonts w:eastAsia="宋体"/>
                      <w:sz w:val="21"/>
                    </w:rPr>
                    <w:t>船舶港口水污染控制措施要求</w:t>
                  </w:r>
                </w:p>
                <w:p w14:paraId="6F768778">
                  <w:pPr>
                    <w:pStyle w:val="41"/>
                    <w:widowControl/>
                    <w:spacing w:line="240" w:lineRule="auto"/>
                    <w:ind w:firstLine="0" w:firstLineChars="0"/>
                    <w:rPr>
                      <w:rFonts w:eastAsia="宋体"/>
                      <w:sz w:val="21"/>
                    </w:rPr>
                  </w:pPr>
                  <w:r>
                    <w:rPr>
                      <w:rFonts w:eastAsia="宋体"/>
                      <w:sz w:val="21"/>
                    </w:rPr>
                    <w:t>饮用水水源和其它特殊水体保护要求</w:t>
                  </w:r>
                </w:p>
              </w:tc>
              <w:tc>
                <w:tcPr>
                  <w:tcW w:w="667" w:type="pct"/>
                  <w:tcBorders>
                    <w:tl2br w:val="nil"/>
                    <w:tr2bl w:val="nil"/>
                  </w:tcBorders>
                  <w:vAlign w:val="center"/>
                </w:tcPr>
                <w:p w14:paraId="3137F5DD">
                  <w:pPr>
                    <w:pStyle w:val="41"/>
                    <w:widowControl/>
                    <w:spacing w:line="240" w:lineRule="auto"/>
                    <w:ind w:firstLine="0" w:firstLineChars="0"/>
                    <w:jc w:val="center"/>
                    <w:rPr>
                      <w:rFonts w:eastAsia="宋体"/>
                      <w:sz w:val="21"/>
                    </w:rPr>
                  </w:pPr>
                  <w:r>
                    <w:rPr>
                      <w:rFonts w:hint="eastAsia" w:eastAsia="宋体"/>
                      <w:sz w:val="21"/>
                    </w:rPr>
                    <w:t>本</w:t>
                  </w:r>
                  <w:r>
                    <w:rPr>
                      <w:rFonts w:eastAsia="宋体"/>
                      <w:sz w:val="21"/>
                    </w:rPr>
                    <w:t>项目医疗废水、生活污水与其他废水经排污管道收集后进入化粪池+污水处理站处理，处理后达《医疗机构水污染排放标准》（GB18466-2005）表2中的预处理标准后通过市政管网进入</w:t>
                  </w:r>
                  <w:r>
                    <w:rPr>
                      <w:rFonts w:hint="eastAsia" w:eastAsia="宋体"/>
                      <w:sz w:val="21"/>
                    </w:rPr>
                    <w:t>罗江镇</w:t>
                  </w:r>
                  <w:r>
                    <w:rPr>
                      <w:rFonts w:eastAsia="宋体"/>
                      <w:sz w:val="21"/>
                    </w:rPr>
                    <w:t>污水处理厂处理</w:t>
                  </w:r>
                  <w:r>
                    <w:rPr>
                      <w:rFonts w:hint="eastAsia" w:eastAsia="宋体"/>
                      <w:sz w:val="21"/>
                    </w:rPr>
                    <w:t>。</w:t>
                  </w:r>
                </w:p>
                <w:p w14:paraId="4ADFEF15">
                  <w:pPr>
                    <w:pStyle w:val="41"/>
                    <w:widowControl/>
                    <w:spacing w:line="240" w:lineRule="auto"/>
                    <w:ind w:firstLine="0" w:firstLineChars="0"/>
                    <w:jc w:val="center"/>
                    <w:rPr>
                      <w:rFonts w:eastAsia="宋体"/>
                      <w:sz w:val="21"/>
                    </w:rPr>
                  </w:pPr>
                </w:p>
              </w:tc>
              <w:tc>
                <w:tcPr>
                  <w:tcW w:w="147" w:type="pct"/>
                  <w:tcBorders>
                    <w:tl2br w:val="nil"/>
                    <w:tr2bl w:val="nil"/>
                  </w:tcBorders>
                  <w:vAlign w:val="center"/>
                </w:tcPr>
                <w:p w14:paraId="0BE3E3A1">
                  <w:pPr>
                    <w:pStyle w:val="41"/>
                    <w:widowControl/>
                    <w:spacing w:line="240" w:lineRule="auto"/>
                    <w:ind w:firstLine="0" w:firstLineChars="0"/>
                    <w:jc w:val="center"/>
                    <w:rPr>
                      <w:rFonts w:eastAsia="宋体"/>
                      <w:sz w:val="21"/>
                    </w:rPr>
                  </w:pPr>
                  <w:r>
                    <w:rPr>
                      <w:rFonts w:eastAsia="宋体"/>
                      <w:sz w:val="21"/>
                    </w:rPr>
                    <w:t>符合</w:t>
                  </w:r>
                </w:p>
              </w:tc>
            </w:tr>
            <w:tr w14:paraId="4EA62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629C1E0D">
                  <w:pPr>
                    <w:pStyle w:val="41"/>
                    <w:widowControl/>
                    <w:spacing w:line="240" w:lineRule="auto"/>
                    <w:ind w:firstLine="0" w:firstLineChars="0"/>
                    <w:jc w:val="center"/>
                    <w:rPr>
                      <w:rFonts w:eastAsia="宋体"/>
                      <w:sz w:val="21"/>
                    </w:rPr>
                  </w:pPr>
                  <w:r>
                    <w:rPr>
                      <w:rFonts w:eastAsia="宋体"/>
                      <w:sz w:val="21"/>
                    </w:rPr>
                    <w:t>ZH51172230001</w:t>
                  </w:r>
                </w:p>
              </w:tc>
              <w:tc>
                <w:tcPr>
                  <w:tcW w:w="298" w:type="pct"/>
                  <w:vMerge w:val="restart"/>
                  <w:tcBorders>
                    <w:tl2br w:val="nil"/>
                    <w:tr2bl w:val="nil"/>
                  </w:tcBorders>
                  <w:vAlign w:val="center"/>
                </w:tcPr>
                <w:p w14:paraId="1A39D661">
                  <w:pPr>
                    <w:pStyle w:val="41"/>
                    <w:widowControl/>
                    <w:spacing w:line="240" w:lineRule="auto"/>
                    <w:ind w:firstLine="0" w:firstLineChars="0"/>
                    <w:jc w:val="center"/>
                    <w:rPr>
                      <w:rFonts w:eastAsia="宋体"/>
                      <w:sz w:val="21"/>
                    </w:rPr>
                  </w:pPr>
                  <w:r>
                    <w:rPr>
                      <w:rFonts w:eastAsia="宋体"/>
                      <w:sz w:val="21"/>
                    </w:rPr>
                    <w:t>宣汉县一般管控单元</w:t>
                  </w:r>
                </w:p>
              </w:tc>
              <w:tc>
                <w:tcPr>
                  <w:tcW w:w="1983" w:type="pct"/>
                  <w:vMerge w:val="continue"/>
                  <w:tcBorders>
                    <w:tl2br w:val="nil"/>
                    <w:tr2bl w:val="nil"/>
                  </w:tcBorders>
                  <w:vAlign w:val="center"/>
                </w:tcPr>
                <w:p w14:paraId="37E2122B">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76DFC7AC">
                  <w:pPr>
                    <w:pStyle w:val="41"/>
                    <w:widowControl/>
                    <w:spacing w:line="240" w:lineRule="auto"/>
                    <w:ind w:firstLine="0" w:firstLineChars="0"/>
                    <w:jc w:val="center"/>
                    <w:rPr>
                      <w:rFonts w:eastAsia="宋体"/>
                      <w:sz w:val="21"/>
                    </w:rPr>
                  </w:pPr>
                  <w:r>
                    <w:rPr>
                      <w:rFonts w:eastAsia="宋体"/>
                      <w:sz w:val="21"/>
                    </w:rPr>
                    <w:t>环境风险防控</w:t>
                  </w:r>
                </w:p>
              </w:tc>
              <w:tc>
                <w:tcPr>
                  <w:tcW w:w="1080" w:type="pct"/>
                  <w:tcBorders>
                    <w:tl2br w:val="nil"/>
                    <w:tr2bl w:val="nil"/>
                  </w:tcBorders>
                  <w:vAlign w:val="center"/>
                </w:tcPr>
                <w:p w14:paraId="01FBF957">
                  <w:pPr>
                    <w:pStyle w:val="41"/>
                    <w:widowControl/>
                    <w:spacing w:line="240" w:lineRule="auto"/>
                    <w:ind w:firstLine="0" w:firstLineChars="0"/>
                    <w:rPr>
                      <w:rFonts w:eastAsia="宋体"/>
                      <w:sz w:val="21"/>
                    </w:rPr>
                  </w:pPr>
                  <w:r>
                    <w:rPr>
                      <w:rFonts w:eastAsia="宋体"/>
                      <w:sz w:val="21"/>
                    </w:rPr>
                    <w:t>防范污水处理厂、加油站、其他物料堆存场所泄露风险，建立健全防泄漏设施，完善应急体系</w:t>
                  </w:r>
                </w:p>
              </w:tc>
              <w:tc>
                <w:tcPr>
                  <w:tcW w:w="667" w:type="pct"/>
                  <w:tcBorders>
                    <w:tl2br w:val="nil"/>
                    <w:tr2bl w:val="nil"/>
                  </w:tcBorders>
                  <w:vAlign w:val="center"/>
                </w:tcPr>
                <w:p w14:paraId="3A9928CA">
                  <w:pPr>
                    <w:pStyle w:val="41"/>
                    <w:widowControl/>
                    <w:spacing w:line="240" w:lineRule="auto"/>
                    <w:ind w:firstLine="0" w:firstLineChars="0"/>
                    <w:jc w:val="center"/>
                    <w:rPr>
                      <w:rFonts w:eastAsia="宋体"/>
                      <w:sz w:val="21"/>
                    </w:rPr>
                  </w:pPr>
                  <w:r>
                    <w:rPr>
                      <w:rFonts w:hint="eastAsia" w:eastAsia="宋体"/>
                      <w:sz w:val="21"/>
                    </w:rPr>
                    <w:t>本项目</w:t>
                  </w:r>
                  <w:r>
                    <w:rPr>
                      <w:rFonts w:eastAsia="宋体"/>
                      <w:sz w:val="21"/>
                    </w:rPr>
                    <w:t>属于</w:t>
                  </w:r>
                  <w:r>
                    <w:rPr>
                      <w:rFonts w:hint="eastAsia" w:eastAsia="宋体"/>
                      <w:sz w:val="21"/>
                    </w:rPr>
                    <w:t>专科医院建设项目，对于存在泄露风险的柴油发电机房和污水处理站建立</w:t>
                  </w:r>
                  <w:r>
                    <w:rPr>
                      <w:rFonts w:eastAsia="宋体"/>
                      <w:sz w:val="21"/>
                    </w:rPr>
                    <w:t>健全防泄漏设施，完善应急体系</w:t>
                  </w:r>
                </w:p>
              </w:tc>
              <w:tc>
                <w:tcPr>
                  <w:tcW w:w="147" w:type="pct"/>
                  <w:tcBorders>
                    <w:tl2br w:val="nil"/>
                    <w:tr2bl w:val="nil"/>
                  </w:tcBorders>
                  <w:vAlign w:val="center"/>
                </w:tcPr>
                <w:p w14:paraId="20BEB157">
                  <w:pPr>
                    <w:pStyle w:val="41"/>
                    <w:widowControl/>
                    <w:spacing w:line="240" w:lineRule="auto"/>
                    <w:ind w:firstLine="0" w:firstLineChars="0"/>
                    <w:jc w:val="center"/>
                    <w:rPr>
                      <w:rFonts w:eastAsia="宋体"/>
                      <w:sz w:val="21"/>
                    </w:rPr>
                  </w:pPr>
                  <w:r>
                    <w:rPr>
                      <w:rFonts w:hint="eastAsia" w:eastAsia="宋体"/>
                      <w:sz w:val="21"/>
                    </w:rPr>
                    <w:t>符合</w:t>
                  </w:r>
                </w:p>
              </w:tc>
            </w:tr>
            <w:tr w14:paraId="3849A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tcBorders>
                    <w:tl2br w:val="nil"/>
                    <w:tr2bl w:val="nil"/>
                  </w:tcBorders>
                  <w:vAlign w:val="center"/>
                </w:tcPr>
                <w:p w14:paraId="58163D2A">
                  <w:pPr>
                    <w:pStyle w:val="41"/>
                    <w:widowControl/>
                    <w:spacing w:line="240" w:lineRule="auto"/>
                    <w:ind w:firstLine="0" w:firstLineChars="0"/>
                    <w:jc w:val="center"/>
                    <w:rPr>
                      <w:rFonts w:eastAsia="宋体"/>
                      <w:sz w:val="21"/>
                    </w:rPr>
                  </w:pPr>
                  <w:r>
                    <w:rPr>
                      <w:rFonts w:eastAsia="宋体"/>
                      <w:sz w:val="21"/>
                    </w:rPr>
                    <w:t>ZH51172230001</w:t>
                  </w:r>
                </w:p>
              </w:tc>
              <w:tc>
                <w:tcPr>
                  <w:tcW w:w="298" w:type="pct"/>
                  <w:tcBorders>
                    <w:tl2br w:val="nil"/>
                    <w:tr2bl w:val="nil"/>
                  </w:tcBorders>
                  <w:vAlign w:val="center"/>
                </w:tcPr>
                <w:p w14:paraId="68354F85">
                  <w:pPr>
                    <w:pStyle w:val="41"/>
                    <w:widowControl/>
                    <w:spacing w:line="240" w:lineRule="auto"/>
                    <w:ind w:firstLine="0" w:firstLineChars="0"/>
                    <w:jc w:val="center"/>
                    <w:rPr>
                      <w:rFonts w:eastAsia="宋体"/>
                      <w:sz w:val="21"/>
                    </w:rPr>
                  </w:pPr>
                  <w:r>
                    <w:rPr>
                      <w:rFonts w:eastAsia="宋体"/>
                      <w:sz w:val="21"/>
                    </w:rPr>
                    <w:t>宣汉县一般管控单元</w:t>
                  </w:r>
                </w:p>
              </w:tc>
              <w:tc>
                <w:tcPr>
                  <w:tcW w:w="1983" w:type="pct"/>
                  <w:vMerge w:val="continue"/>
                  <w:tcBorders>
                    <w:tl2br w:val="nil"/>
                    <w:tr2bl w:val="nil"/>
                  </w:tcBorders>
                  <w:vAlign w:val="center"/>
                </w:tcPr>
                <w:p w14:paraId="6038844C">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73382F6C">
                  <w:pPr>
                    <w:pStyle w:val="41"/>
                    <w:widowControl/>
                    <w:spacing w:line="240" w:lineRule="auto"/>
                    <w:ind w:firstLine="0" w:firstLineChars="0"/>
                    <w:jc w:val="center"/>
                    <w:rPr>
                      <w:rFonts w:eastAsia="宋体"/>
                      <w:sz w:val="21"/>
                    </w:rPr>
                  </w:pPr>
                  <w:r>
                    <w:rPr>
                      <w:rFonts w:eastAsia="宋体"/>
                      <w:sz w:val="21"/>
                    </w:rPr>
                    <w:t>资源开发效率要求</w:t>
                  </w:r>
                </w:p>
              </w:tc>
              <w:tc>
                <w:tcPr>
                  <w:tcW w:w="1080" w:type="pct"/>
                  <w:tcBorders>
                    <w:tl2br w:val="nil"/>
                    <w:tr2bl w:val="nil"/>
                  </w:tcBorders>
                  <w:vAlign w:val="center"/>
                </w:tcPr>
                <w:p w14:paraId="4D803DF1">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4BD51C32">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49A7753E">
                  <w:pPr>
                    <w:pStyle w:val="41"/>
                    <w:widowControl/>
                    <w:spacing w:line="240" w:lineRule="auto"/>
                    <w:ind w:firstLine="0" w:firstLineChars="0"/>
                    <w:jc w:val="center"/>
                    <w:rPr>
                      <w:rFonts w:eastAsia="宋体"/>
                      <w:sz w:val="21"/>
                    </w:rPr>
                  </w:pPr>
                  <w:r>
                    <w:rPr>
                      <w:rFonts w:eastAsia="宋体"/>
                      <w:sz w:val="21"/>
                    </w:rPr>
                    <w:t>/</w:t>
                  </w:r>
                </w:p>
              </w:tc>
            </w:tr>
            <w:tr w14:paraId="0862C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7C5F7232">
                  <w:pPr>
                    <w:pStyle w:val="41"/>
                    <w:widowControl/>
                    <w:spacing w:line="240" w:lineRule="auto"/>
                    <w:ind w:firstLine="0" w:firstLineChars="0"/>
                    <w:jc w:val="center"/>
                    <w:rPr>
                      <w:rFonts w:eastAsia="宋体"/>
                      <w:sz w:val="21"/>
                    </w:rPr>
                  </w:pPr>
                  <w:r>
                    <w:rPr>
                      <w:rFonts w:eastAsia="宋体"/>
                      <w:sz w:val="21"/>
                    </w:rPr>
                    <w:t>YS5117022340001</w:t>
                  </w:r>
                </w:p>
              </w:tc>
              <w:tc>
                <w:tcPr>
                  <w:tcW w:w="298" w:type="pct"/>
                  <w:vMerge w:val="restart"/>
                  <w:tcBorders>
                    <w:tl2br w:val="nil"/>
                    <w:tr2bl w:val="nil"/>
                  </w:tcBorders>
                  <w:vAlign w:val="center"/>
                </w:tcPr>
                <w:p w14:paraId="74ACDFAC">
                  <w:pPr>
                    <w:pStyle w:val="41"/>
                    <w:widowControl/>
                    <w:spacing w:line="240" w:lineRule="auto"/>
                    <w:ind w:firstLine="0" w:firstLineChars="0"/>
                    <w:jc w:val="center"/>
                    <w:rPr>
                      <w:rFonts w:eastAsia="宋体"/>
                      <w:sz w:val="21"/>
                    </w:rPr>
                  </w:pPr>
                  <w:r>
                    <w:rPr>
                      <w:rFonts w:eastAsia="宋体"/>
                      <w:sz w:val="21"/>
                    </w:rPr>
                    <w:t>通川区城镇集中建设区</w:t>
                  </w:r>
                </w:p>
              </w:tc>
              <w:tc>
                <w:tcPr>
                  <w:tcW w:w="1983" w:type="pct"/>
                  <w:vMerge w:val="continue"/>
                  <w:tcBorders>
                    <w:tl2br w:val="nil"/>
                    <w:tr2bl w:val="nil"/>
                  </w:tcBorders>
                  <w:vAlign w:val="center"/>
                </w:tcPr>
                <w:p w14:paraId="270DBEE6">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5561494E">
                  <w:pPr>
                    <w:pStyle w:val="41"/>
                    <w:spacing w:line="240" w:lineRule="auto"/>
                    <w:ind w:firstLine="0" w:firstLineChars="0"/>
                    <w:jc w:val="center"/>
                    <w:rPr>
                      <w:rFonts w:eastAsia="宋体"/>
                      <w:kern w:val="0"/>
                      <w:sz w:val="21"/>
                    </w:rPr>
                  </w:pPr>
                  <w:r>
                    <w:rPr>
                      <w:rFonts w:eastAsia="宋体"/>
                      <w:kern w:val="0"/>
                      <w:sz w:val="21"/>
                    </w:rPr>
                    <w:t>空间布局约束</w:t>
                  </w:r>
                </w:p>
              </w:tc>
              <w:tc>
                <w:tcPr>
                  <w:tcW w:w="1080" w:type="pct"/>
                  <w:tcBorders>
                    <w:tl2br w:val="nil"/>
                    <w:tr2bl w:val="nil"/>
                  </w:tcBorders>
                  <w:vAlign w:val="center"/>
                </w:tcPr>
                <w:p w14:paraId="104627AE">
                  <w:pPr>
                    <w:pStyle w:val="41"/>
                    <w:widowControl/>
                    <w:spacing w:line="240" w:lineRule="auto"/>
                    <w:ind w:firstLine="0" w:firstLineChars="0"/>
                    <w:jc w:val="left"/>
                    <w:rPr>
                      <w:rFonts w:eastAsia="宋体"/>
                      <w:sz w:val="21"/>
                    </w:rPr>
                  </w:pPr>
                  <w:r>
                    <w:rPr>
                      <w:rFonts w:hint="eastAsia" w:eastAsia="宋体"/>
                      <w:sz w:val="21"/>
                    </w:rPr>
                    <w:t>禁止开发建设活动的要求</w:t>
                  </w:r>
                </w:p>
                <w:p w14:paraId="6E6CF8BA">
                  <w:pPr>
                    <w:pStyle w:val="41"/>
                    <w:widowControl/>
                    <w:spacing w:line="240" w:lineRule="auto"/>
                    <w:ind w:firstLine="0" w:firstLineChars="0"/>
                    <w:jc w:val="left"/>
                    <w:rPr>
                      <w:rFonts w:eastAsia="宋体"/>
                      <w:sz w:val="21"/>
                    </w:rPr>
                  </w:pPr>
                  <w:r>
                    <w:rPr>
                      <w:rFonts w:hint="eastAsia" w:eastAsia="宋体"/>
                      <w:sz w:val="21"/>
                    </w:rPr>
                    <w:t>/</w:t>
                  </w:r>
                </w:p>
                <w:p w14:paraId="658EF273">
                  <w:pPr>
                    <w:pStyle w:val="41"/>
                    <w:widowControl/>
                    <w:spacing w:line="240" w:lineRule="auto"/>
                    <w:ind w:firstLine="0" w:firstLineChars="0"/>
                    <w:jc w:val="left"/>
                    <w:rPr>
                      <w:rFonts w:eastAsia="宋体"/>
                      <w:sz w:val="21"/>
                    </w:rPr>
                  </w:pPr>
                  <w:r>
                    <w:rPr>
                      <w:rFonts w:hint="eastAsia" w:eastAsia="宋体"/>
                      <w:sz w:val="21"/>
                    </w:rPr>
                    <w:t>限制开发建设活动的要求</w:t>
                  </w:r>
                </w:p>
                <w:p w14:paraId="37F821C9">
                  <w:pPr>
                    <w:pStyle w:val="41"/>
                    <w:widowControl/>
                    <w:spacing w:line="240" w:lineRule="auto"/>
                    <w:ind w:firstLine="0" w:firstLineChars="0"/>
                    <w:jc w:val="left"/>
                    <w:rPr>
                      <w:rFonts w:eastAsia="宋体"/>
                      <w:sz w:val="21"/>
                    </w:rPr>
                  </w:pPr>
                  <w:r>
                    <w:rPr>
                      <w:rFonts w:hint="eastAsia" w:eastAsia="宋体"/>
                      <w:sz w:val="21"/>
                    </w:rPr>
                    <w:t>/</w:t>
                  </w:r>
                </w:p>
                <w:p w14:paraId="4534E719">
                  <w:pPr>
                    <w:pStyle w:val="41"/>
                    <w:widowControl/>
                    <w:spacing w:line="240" w:lineRule="auto"/>
                    <w:ind w:firstLine="0" w:firstLineChars="0"/>
                    <w:jc w:val="left"/>
                    <w:rPr>
                      <w:rFonts w:eastAsia="宋体"/>
                      <w:sz w:val="21"/>
                    </w:rPr>
                  </w:pPr>
                  <w:r>
                    <w:rPr>
                      <w:rFonts w:hint="eastAsia" w:eastAsia="宋体"/>
                      <w:sz w:val="21"/>
                    </w:rPr>
                    <w:t>允许开发建设活动的要求</w:t>
                  </w:r>
                </w:p>
                <w:p w14:paraId="19928413">
                  <w:pPr>
                    <w:pStyle w:val="41"/>
                    <w:widowControl/>
                    <w:spacing w:line="240" w:lineRule="auto"/>
                    <w:ind w:firstLine="0" w:firstLineChars="0"/>
                    <w:jc w:val="left"/>
                    <w:rPr>
                      <w:rFonts w:eastAsia="宋体"/>
                      <w:sz w:val="21"/>
                    </w:rPr>
                  </w:pPr>
                  <w:r>
                    <w:rPr>
                      <w:rFonts w:hint="eastAsia" w:eastAsia="宋体"/>
                      <w:sz w:val="21"/>
                    </w:rPr>
                    <w:t>/</w:t>
                  </w:r>
                </w:p>
                <w:p w14:paraId="24E18626">
                  <w:pPr>
                    <w:pStyle w:val="41"/>
                    <w:widowControl/>
                    <w:spacing w:line="240" w:lineRule="auto"/>
                    <w:ind w:firstLine="0" w:firstLineChars="0"/>
                    <w:jc w:val="left"/>
                    <w:rPr>
                      <w:rFonts w:eastAsia="宋体"/>
                      <w:sz w:val="21"/>
                    </w:rPr>
                  </w:pPr>
                  <w:r>
                    <w:rPr>
                      <w:rFonts w:hint="eastAsia" w:eastAsia="宋体"/>
                      <w:sz w:val="21"/>
                    </w:rPr>
                    <w:t>不符合空间布局要求活动的退出要求</w:t>
                  </w:r>
                </w:p>
                <w:p w14:paraId="7AE430F3">
                  <w:pPr>
                    <w:pStyle w:val="41"/>
                    <w:widowControl/>
                    <w:spacing w:line="240" w:lineRule="auto"/>
                    <w:ind w:firstLine="0" w:firstLineChars="0"/>
                    <w:jc w:val="left"/>
                    <w:rPr>
                      <w:rFonts w:eastAsia="宋体"/>
                      <w:sz w:val="21"/>
                    </w:rPr>
                  </w:pPr>
                  <w:r>
                    <w:rPr>
                      <w:rFonts w:hint="eastAsia" w:eastAsia="宋体"/>
                      <w:sz w:val="21"/>
                    </w:rPr>
                    <w:t>/</w:t>
                  </w:r>
                </w:p>
                <w:p w14:paraId="1F36CF9E">
                  <w:pPr>
                    <w:pStyle w:val="41"/>
                    <w:widowControl/>
                    <w:spacing w:line="240" w:lineRule="auto"/>
                    <w:ind w:firstLine="0" w:firstLineChars="0"/>
                    <w:jc w:val="left"/>
                    <w:rPr>
                      <w:rFonts w:eastAsia="宋体"/>
                      <w:sz w:val="21"/>
                    </w:rPr>
                  </w:pPr>
                  <w:r>
                    <w:rPr>
                      <w:rFonts w:hint="eastAsia" w:eastAsia="宋体"/>
                      <w:sz w:val="21"/>
                    </w:rPr>
                    <w:t>其他空间布局约束要求</w:t>
                  </w:r>
                </w:p>
                <w:p w14:paraId="14C7A543">
                  <w:pPr>
                    <w:pStyle w:val="41"/>
                    <w:spacing w:line="240" w:lineRule="auto"/>
                    <w:ind w:firstLine="0" w:firstLineChars="0"/>
                    <w:rPr>
                      <w:rFonts w:eastAsia="宋体"/>
                      <w:kern w:val="0"/>
                      <w:sz w:val="21"/>
                    </w:rPr>
                  </w:pPr>
                  <w:r>
                    <w:rPr>
                      <w:rFonts w:hint="eastAsia" w:eastAsia="宋体"/>
                      <w:sz w:val="21"/>
                    </w:rPr>
                    <w:t>/</w:t>
                  </w:r>
                </w:p>
              </w:tc>
              <w:tc>
                <w:tcPr>
                  <w:tcW w:w="667" w:type="pct"/>
                  <w:tcBorders>
                    <w:tl2br w:val="nil"/>
                    <w:tr2bl w:val="nil"/>
                  </w:tcBorders>
                  <w:vAlign w:val="center"/>
                </w:tcPr>
                <w:p w14:paraId="4A1BAC0B">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w:t>
                  </w:r>
                  <w:r>
                    <w:rPr>
                      <w:rFonts w:hint="eastAsia" w:eastAsia="宋体"/>
                      <w:sz w:val="21"/>
                    </w:rPr>
                    <w:t>租用现有仓库，不涉及新增占地，</w:t>
                  </w:r>
                  <w:r>
                    <w:rPr>
                      <w:rFonts w:eastAsia="宋体"/>
                      <w:sz w:val="21"/>
                    </w:rPr>
                    <w:t>不属于以上禁止开发、限制开发、不符合空间布局要求活动中提及的情况</w:t>
                  </w:r>
                  <w:r>
                    <w:rPr>
                      <w:rFonts w:hint="eastAsia" w:eastAsia="宋体"/>
                      <w:sz w:val="21"/>
                    </w:rPr>
                    <w:t>。</w:t>
                  </w:r>
                </w:p>
              </w:tc>
              <w:tc>
                <w:tcPr>
                  <w:tcW w:w="147" w:type="pct"/>
                  <w:tcBorders>
                    <w:tl2br w:val="nil"/>
                    <w:tr2bl w:val="nil"/>
                  </w:tcBorders>
                  <w:vAlign w:val="center"/>
                </w:tcPr>
                <w:p w14:paraId="22A3FE63">
                  <w:pPr>
                    <w:pStyle w:val="41"/>
                    <w:widowControl/>
                    <w:spacing w:line="240" w:lineRule="auto"/>
                    <w:ind w:firstLine="0" w:firstLineChars="0"/>
                    <w:jc w:val="center"/>
                    <w:rPr>
                      <w:rFonts w:eastAsia="宋体"/>
                      <w:sz w:val="21"/>
                    </w:rPr>
                  </w:pPr>
                  <w:r>
                    <w:rPr>
                      <w:rFonts w:eastAsia="宋体"/>
                      <w:sz w:val="21"/>
                    </w:rPr>
                    <w:t>符合</w:t>
                  </w:r>
                </w:p>
              </w:tc>
            </w:tr>
            <w:tr w14:paraId="3F6CA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5186562E">
                  <w:pPr>
                    <w:pStyle w:val="41"/>
                    <w:spacing w:line="240" w:lineRule="auto"/>
                    <w:ind w:firstLine="0" w:firstLineChars="0"/>
                    <w:jc w:val="center"/>
                    <w:rPr>
                      <w:rFonts w:eastAsia="宋体"/>
                      <w:kern w:val="0"/>
                      <w:sz w:val="21"/>
                    </w:rPr>
                  </w:pPr>
                  <w:r>
                    <w:rPr>
                      <w:rFonts w:eastAsia="宋体"/>
                      <w:kern w:val="0"/>
                      <w:sz w:val="21"/>
                    </w:rPr>
                    <w:t>YS5117223210003</w:t>
                  </w:r>
                </w:p>
              </w:tc>
              <w:tc>
                <w:tcPr>
                  <w:tcW w:w="298" w:type="pct"/>
                  <w:vMerge w:val="restart"/>
                  <w:tcBorders>
                    <w:tl2br w:val="nil"/>
                    <w:tr2bl w:val="nil"/>
                  </w:tcBorders>
                  <w:vAlign w:val="center"/>
                </w:tcPr>
                <w:p w14:paraId="29A4FDAD">
                  <w:pPr>
                    <w:pStyle w:val="41"/>
                    <w:spacing w:line="240" w:lineRule="auto"/>
                    <w:ind w:firstLine="0" w:firstLineChars="0"/>
                    <w:jc w:val="center"/>
                    <w:rPr>
                      <w:rFonts w:eastAsia="宋体"/>
                      <w:kern w:val="0"/>
                      <w:sz w:val="21"/>
                    </w:rPr>
                  </w:pPr>
                  <w:r>
                    <w:rPr>
                      <w:rFonts w:eastAsia="宋体"/>
                      <w:kern w:val="0"/>
                      <w:sz w:val="21"/>
                    </w:rPr>
                    <w:t>中河宣汉县普光控制单元</w:t>
                  </w:r>
                </w:p>
              </w:tc>
              <w:tc>
                <w:tcPr>
                  <w:tcW w:w="1983" w:type="pct"/>
                  <w:vMerge w:val="continue"/>
                  <w:tcBorders>
                    <w:tl2br w:val="nil"/>
                    <w:tr2bl w:val="nil"/>
                  </w:tcBorders>
                  <w:vAlign w:val="center"/>
                </w:tcPr>
                <w:p w14:paraId="39A49CF5">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7B2624F0">
                  <w:pPr>
                    <w:pStyle w:val="41"/>
                    <w:spacing w:line="240" w:lineRule="auto"/>
                    <w:ind w:firstLine="0" w:firstLineChars="0"/>
                    <w:jc w:val="center"/>
                    <w:rPr>
                      <w:rFonts w:eastAsia="宋体"/>
                      <w:kern w:val="0"/>
                      <w:sz w:val="21"/>
                    </w:rPr>
                  </w:pPr>
                  <w:r>
                    <w:rPr>
                      <w:rFonts w:eastAsia="宋体"/>
                      <w:kern w:val="0"/>
                      <w:sz w:val="21"/>
                    </w:rPr>
                    <w:t>污染物排放管控</w:t>
                  </w:r>
                </w:p>
              </w:tc>
              <w:tc>
                <w:tcPr>
                  <w:tcW w:w="1080" w:type="pct"/>
                  <w:tcBorders>
                    <w:tl2br w:val="nil"/>
                    <w:tr2bl w:val="nil"/>
                  </w:tcBorders>
                  <w:vAlign w:val="center"/>
                </w:tcPr>
                <w:p w14:paraId="01640566">
                  <w:pPr>
                    <w:pStyle w:val="41"/>
                    <w:spacing w:line="240" w:lineRule="auto"/>
                    <w:ind w:firstLine="0" w:firstLineChars="0"/>
                    <w:rPr>
                      <w:rFonts w:eastAsia="宋体"/>
                      <w:kern w:val="0"/>
                      <w:sz w:val="21"/>
                    </w:rPr>
                  </w:pPr>
                  <w:r>
                    <w:rPr>
                      <w:rFonts w:eastAsia="宋体"/>
                      <w:kern w:val="0"/>
                      <w:sz w:val="21"/>
                    </w:rPr>
                    <w:t>大气环境质量执行标准</w:t>
                  </w:r>
                </w:p>
                <w:p w14:paraId="752FD76B">
                  <w:pPr>
                    <w:pStyle w:val="41"/>
                    <w:spacing w:line="240" w:lineRule="auto"/>
                    <w:ind w:firstLine="0" w:firstLineChars="0"/>
                    <w:rPr>
                      <w:rFonts w:eastAsia="宋体"/>
                      <w:kern w:val="0"/>
                      <w:sz w:val="21"/>
                    </w:rPr>
                  </w:pPr>
                  <w:r>
                    <w:rPr>
                      <w:rFonts w:eastAsia="宋体"/>
                      <w:kern w:val="0"/>
                      <w:sz w:val="21"/>
                    </w:rPr>
                    <w:t>《环境空气质量标准》（GB3095-2012）：二级</w:t>
                  </w:r>
                </w:p>
                <w:p w14:paraId="47681B02">
                  <w:pPr>
                    <w:pStyle w:val="41"/>
                    <w:spacing w:line="240" w:lineRule="auto"/>
                    <w:ind w:firstLine="0" w:firstLineChars="0"/>
                    <w:rPr>
                      <w:rFonts w:eastAsia="宋体"/>
                      <w:kern w:val="0"/>
                      <w:sz w:val="21"/>
                    </w:rPr>
                  </w:pPr>
                  <w:r>
                    <w:rPr>
                      <w:rFonts w:eastAsia="宋体"/>
                      <w:kern w:val="0"/>
                      <w:sz w:val="21"/>
                    </w:rPr>
                    <w:t>区域大气污染物削减/替代要求</w:t>
                  </w:r>
                </w:p>
                <w:p w14:paraId="7FE0F9C2">
                  <w:pPr>
                    <w:pStyle w:val="41"/>
                    <w:spacing w:line="240" w:lineRule="auto"/>
                    <w:ind w:firstLine="0" w:firstLineChars="0"/>
                    <w:rPr>
                      <w:rFonts w:eastAsia="宋体"/>
                      <w:kern w:val="0"/>
                      <w:sz w:val="21"/>
                    </w:rPr>
                  </w:pPr>
                  <w:r>
                    <w:rPr>
                      <w:rFonts w:eastAsia="宋体"/>
                      <w:kern w:val="0"/>
                      <w:sz w:val="21"/>
                    </w:rPr>
                    <w:t>/</w:t>
                  </w:r>
                </w:p>
                <w:p w14:paraId="74DA861A">
                  <w:pPr>
                    <w:pStyle w:val="41"/>
                    <w:spacing w:line="240" w:lineRule="auto"/>
                    <w:ind w:firstLine="0" w:firstLineChars="0"/>
                    <w:rPr>
                      <w:rFonts w:eastAsia="宋体"/>
                      <w:kern w:val="0"/>
                      <w:sz w:val="21"/>
                    </w:rPr>
                  </w:pPr>
                  <w:r>
                    <w:rPr>
                      <w:rFonts w:eastAsia="宋体"/>
                      <w:kern w:val="0"/>
                      <w:sz w:val="21"/>
                    </w:rPr>
                    <w:t>燃煤和其他能源大气污染控制要求</w:t>
                  </w:r>
                </w:p>
                <w:p w14:paraId="7E5792BF">
                  <w:pPr>
                    <w:pStyle w:val="41"/>
                    <w:spacing w:line="240" w:lineRule="auto"/>
                    <w:ind w:firstLine="0" w:firstLineChars="0"/>
                    <w:rPr>
                      <w:rFonts w:eastAsia="宋体"/>
                      <w:kern w:val="0"/>
                      <w:sz w:val="21"/>
                    </w:rPr>
                  </w:pPr>
                  <w:r>
                    <w:rPr>
                      <w:rFonts w:eastAsia="宋体"/>
                      <w:kern w:val="0"/>
                      <w:sz w:val="21"/>
                    </w:rPr>
                    <w:t>/</w:t>
                  </w:r>
                </w:p>
                <w:p w14:paraId="00A59A9C">
                  <w:pPr>
                    <w:pStyle w:val="41"/>
                    <w:spacing w:line="240" w:lineRule="auto"/>
                    <w:ind w:firstLine="0" w:firstLineChars="0"/>
                    <w:rPr>
                      <w:rFonts w:eastAsia="宋体"/>
                      <w:kern w:val="0"/>
                      <w:sz w:val="21"/>
                    </w:rPr>
                  </w:pPr>
                  <w:r>
                    <w:rPr>
                      <w:rFonts w:eastAsia="宋体"/>
                      <w:kern w:val="0"/>
                      <w:sz w:val="21"/>
                    </w:rPr>
                    <w:t>工业废气污染控制要求</w:t>
                  </w:r>
                </w:p>
                <w:p w14:paraId="6C28F177">
                  <w:pPr>
                    <w:pStyle w:val="41"/>
                    <w:spacing w:line="240" w:lineRule="auto"/>
                    <w:ind w:firstLine="0" w:firstLineChars="0"/>
                    <w:rPr>
                      <w:rFonts w:eastAsia="宋体"/>
                      <w:kern w:val="0"/>
                      <w:sz w:val="21"/>
                    </w:rPr>
                  </w:pPr>
                  <w:r>
                    <w:rPr>
                      <w:rFonts w:eastAsia="宋体"/>
                      <w:kern w:val="0"/>
                      <w:sz w:val="21"/>
                    </w:rPr>
                    <w:t>/</w:t>
                  </w:r>
                </w:p>
                <w:p w14:paraId="79C4552B">
                  <w:pPr>
                    <w:pStyle w:val="41"/>
                    <w:spacing w:line="240" w:lineRule="auto"/>
                    <w:ind w:firstLine="0" w:firstLineChars="0"/>
                    <w:rPr>
                      <w:rFonts w:eastAsia="宋体"/>
                      <w:kern w:val="0"/>
                      <w:sz w:val="21"/>
                    </w:rPr>
                  </w:pPr>
                  <w:r>
                    <w:rPr>
                      <w:rFonts w:eastAsia="宋体"/>
                      <w:kern w:val="0"/>
                      <w:sz w:val="21"/>
                    </w:rPr>
                    <w:t>机动车船大气污染控制要求</w:t>
                  </w:r>
                </w:p>
                <w:p w14:paraId="7C04506C">
                  <w:pPr>
                    <w:pStyle w:val="41"/>
                    <w:spacing w:line="240" w:lineRule="auto"/>
                    <w:ind w:firstLine="0" w:firstLineChars="0"/>
                    <w:rPr>
                      <w:rFonts w:eastAsia="宋体"/>
                      <w:kern w:val="0"/>
                      <w:sz w:val="21"/>
                    </w:rPr>
                  </w:pPr>
                  <w:r>
                    <w:rPr>
                      <w:rFonts w:eastAsia="宋体"/>
                      <w:kern w:val="0"/>
                      <w:sz w:val="21"/>
                    </w:rPr>
                    <w:t>加大新能源汽车在城市公交、出租汽车、城市配送、邮政快递、机场、铁路货场、重点地区港口等领域应用，地级以上城市清洁能源汽车在公共领域使用率显著提升，设区的市城市公交车基本实现新能源化。</w:t>
                  </w:r>
                </w:p>
                <w:p w14:paraId="4C8E3E89">
                  <w:pPr>
                    <w:pStyle w:val="41"/>
                    <w:spacing w:line="240" w:lineRule="auto"/>
                    <w:ind w:firstLine="0" w:firstLineChars="0"/>
                    <w:rPr>
                      <w:rFonts w:eastAsia="宋体"/>
                      <w:kern w:val="0"/>
                      <w:sz w:val="21"/>
                    </w:rPr>
                  </w:pPr>
                  <w:r>
                    <w:rPr>
                      <w:rFonts w:eastAsia="宋体"/>
                      <w:kern w:val="0"/>
                      <w:sz w:val="21"/>
                    </w:rPr>
                    <w:t>扬尘污染控制要求</w:t>
                  </w:r>
                </w:p>
                <w:p w14:paraId="0801FEFD">
                  <w:pPr>
                    <w:pStyle w:val="41"/>
                    <w:spacing w:line="240" w:lineRule="auto"/>
                    <w:ind w:firstLine="0" w:firstLineChars="0"/>
                    <w:rPr>
                      <w:rFonts w:eastAsia="宋体"/>
                      <w:kern w:val="0"/>
                      <w:sz w:val="21"/>
                    </w:rPr>
                  </w:pPr>
                  <w:r>
                    <w:rPr>
                      <w:rFonts w:eastAsia="宋体"/>
                      <w:kern w:val="0"/>
                      <w:sz w:val="21"/>
                    </w:rPr>
                    <w:t>全面落实各类施工工地扬尘防控措施，重点、重大项目工地实现视频监控、可吸入颗粒物（PM</w:t>
                  </w:r>
                  <w:r>
                    <w:rPr>
                      <w:rFonts w:eastAsia="宋体"/>
                      <w:kern w:val="0"/>
                      <w:sz w:val="21"/>
                      <w:vertAlign w:val="subscript"/>
                    </w:rPr>
                    <w:t>10</w:t>
                  </w:r>
                  <w:r>
                    <w:rPr>
                      <w:rFonts w:eastAsia="宋体"/>
                      <w:kern w:val="0"/>
                      <w:sz w:val="21"/>
                    </w:rPr>
                    <w:t>）在线监测全覆盖。</w:t>
                  </w:r>
                </w:p>
                <w:p w14:paraId="4F9FF4FE">
                  <w:pPr>
                    <w:pStyle w:val="41"/>
                    <w:spacing w:line="240" w:lineRule="auto"/>
                    <w:ind w:firstLine="0" w:firstLineChars="0"/>
                    <w:rPr>
                      <w:rFonts w:eastAsia="宋体"/>
                      <w:kern w:val="0"/>
                      <w:sz w:val="21"/>
                    </w:rPr>
                  </w:pPr>
                  <w:r>
                    <w:rPr>
                      <w:rFonts w:eastAsia="宋体"/>
                      <w:kern w:val="0"/>
                      <w:sz w:val="21"/>
                    </w:rPr>
                    <w:t>农业生产经营活动大气污染控制要求</w:t>
                  </w:r>
                </w:p>
                <w:p w14:paraId="4686A03F">
                  <w:pPr>
                    <w:pStyle w:val="41"/>
                    <w:spacing w:line="240" w:lineRule="auto"/>
                    <w:ind w:firstLine="0" w:firstLineChars="0"/>
                    <w:rPr>
                      <w:rFonts w:eastAsia="宋体"/>
                      <w:kern w:val="0"/>
                      <w:sz w:val="21"/>
                    </w:rPr>
                  </w:pPr>
                  <w:r>
                    <w:rPr>
                      <w:rFonts w:eastAsia="宋体"/>
                      <w:kern w:val="0"/>
                      <w:sz w:val="21"/>
                    </w:rPr>
                    <w:t>/</w:t>
                  </w:r>
                </w:p>
                <w:p w14:paraId="35BE60E9">
                  <w:pPr>
                    <w:pStyle w:val="41"/>
                    <w:spacing w:line="240" w:lineRule="auto"/>
                    <w:ind w:firstLine="0" w:firstLineChars="0"/>
                    <w:rPr>
                      <w:rFonts w:eastAsia="宋体"/>
                      <w:kern w:val="0"/>
                      <w:sz w:val="21"/>
                    </w:rPr>
                  </w:pPr>
                  <w:r>
                    <w:rPr>
                      <w:rFonts w:eastAsia="宋体"/>
                      <w:kern w:val="0"/>
                      <w:sz w:val="21"/>
                    </w:rPr>
                    <w:t>重点行业企业专项治理要求</w:t>
                  </w:r>
                </w:p>
                <w:p w14:paraId="6398A42F">
                  <w:pPr>
                    <w:pStyle w:val="41"/>
                    <w:spacing w:line="240" w:lineRule="auto"/>
                    <w:ind w:firstLine="0" w:firstLineChars="0"/>
                    <w:rPr>
                      <w:rFonts w:eastAsia="宋体"/>
                      <w:kern w:val="0"/>
                      <w:sz w:val="21"/>
                    </w:rPr>
                  </w:pPr>
                  <w:r>
                    <w:rPr>
                      <w:rFonts w:eastAsia="宋体"/>
                      <w:kern w:val="0"/>
                      <w:sz w:val="21"/>
                    </w:rPr>
                    <w:t>/</w:t>
                  </w:r>
                </w:p>
                <w:p w14:paraId="71DF7B3C">
                  <w:pPr>
                    <w:pStyle w:val="41"/>
                    <w:spacing w:line="240" w:lineRule="auto"/>
                    <w:ind w:firstLine="0" w:firstLineChars="0"/>
                    <w:rPr>
                      <w:rFonts w:eastAsia="宋体"/>
                      <w:kern w:val="0"/>
                      <w:sz w:val="21"/>
                    </w:rPr>
                  </w:pPr>
                  <w:r>
                    <w:rPr>
                      <w:rFonts w:eastAsia="宋体"/>
                      <w:kern w:val="0"/>
                      <w:sz w:val="21"/>
                    </w:rPr>
                    <w:t>其他大气污染物排放管控要求</w:t>
                  </w:r>
                </w:p>
                <w:p w14:paraId="258796AC">
                  <w:pPr>
                    <w:pStyle w:val="41"/>
                    <w:spacing w:line="240" w:lineRule="auto"/>
                    <w:ind w:firstLine="0" w:firstLineChars="0"/>
                    <w:rPr>
                      <w:rFonts w:eastAsia="宋体"/>
                      <w:kern w:val="0"/>
                      <w:sz w:val="21"/>
                    </w:rPr>
                  </w:pPr>
                  <w:r>
                    <w:rPr>
                      <w:rFonts w:eastAsia="宋体"/>
                      <w:kern w:val="0"/>
                      <w:sz w:val="21"/>
                    </w:rPr>
                    <w:t>有序开展城市生活源VOCs污染防治，全面推广房屋建筑和市政工程涉VOCs工序环节使用低VOCs含量涂料和胶粘剂；推进加油站按照《四川省加油站大气污染排放标准》要求安装油气处理装置</w:t>
                  </w:r>
                </w:p>
              </w:tc>
              <w:tc>
                <w:tcPr>
                  <w:tcW w:w="667" w:type="pct"/>
                  <w:tcBorders>
                    <w:tl2br w:val="nil"/>
                    <w:tr2bl w:val="nil"/>
                  </w:tcBorders>
                  <w:vAlign w:val="center"/>
                </w:tcPr>
                <w:p w14:paraId="5DAC1149">
                  <w:pPr>
                    <w:pStyle w:val="41"/>
                    <w:widowControl/>
                    <w:spacing w:line="240" w:lineRule="auto"/>
                    <w:ind w:firstLine="0" w:firstLineChars="0"/>
                    <w:jc w:val="center"/>
                    <w:rPr>
                      <w:rFonts w:eastAsia="宋体"/>
                      <w:sz w:val="21"/>
                    </w:rPr>
                  </w:pPr>
                  <w:r>
                    <w:rPr>
                      <w:rFonts w:eastAsia="宋体"/>
                      <w:sz w:val="21"/>
                    </w:rPr>
                    <w:t>本项目为</w:t>
                  </w:r>
                  <w:r>
                    <w:rPr>
                      <w:rFonts w:hint="eastAsia" w:eastAsia="宋体"/>
                      <w:sz w:val="21"/>
                    </w:rPr>
                    <w:t>专科医院建设项目</w:t>
                  </w:r>
                  <w:r>
                    <w:rPr>
                      <w:rFonts w:eastAsia="宋体"/>
                      <w:sz w:val="21"/>
                    </w:rPr>
                    <w:t>，</w:t>
                  </w:r>
                  <w:r>
                    <w:rPr>
                      <w:rFonts w:hint="eastAsia" w:eastAsia="宋体"/>
                      <w:sz w:val="21"/>
                    </w:rPr>
                    <w:t>根据现状监测，所在区</w:t>
                  </w:r>
                  <w:r>
                    <w:rPr>
                      <w:rFonts w:eastAsia="宋体"/>
                      <w:sz w:val="21"/>
                    </w:rPr>
                    <w:t>大气环境质量</w:t>
                  </w:r>
                  <w:r>
                    <w:rPr>
                      <w:rFonts w:hint="eastAsia" w:eastAsia="宋体"/>
                      <w:sz w:val="21"/>
                    </w:rPr>
                    <w:t>满足</w:t>
                  </w:r>
                  <w:r>
                    <w:rPr>
                      <w:rFonts w:eastAsia="宋体"/>
                      <w:sz w:val="21"/>
                    </w:rPr>
                    <w:t>《环境空气质量标准》（GB3095-2012）</w:t>
                  </w:r>
                  <w:r>
                    <w:rPr>
                      <w:rFonts w:hint="eastAsia" w:eastAsia="宋体"/>
                      <w:sz w:val="21"/>
                    </w:rPr>
                    <w:t>二级标准，项目废气主要为病区含菌空气、污水处理站恶臭、医疗废物间恶臭、柴油发电机废气、汽车尾气，排放量均较小，经处理后对大气影响较小。</w:t>
                  </w:r>
                </w:p>
              </w:tc>
              <w:tc>
                <w:tcPr>
                  <w:tcW w:w="147" w:type="pct"/>
                  <w:tcBorders>
                    <w:tl2br w:val="nil"/>
                    <w:tr2bl w:val="nil"/>
                  </w:tcBorders>
                  <w:vAlign w:val="center"/>
                </w:tcPr>
                <w:p w14:paraId="2D1FFE54">
                  <w:pPr>
                    <w:pStyle w:val="41"/>
                    <w:widowControl/>
                    <w:spacing w:line="240" w:lineRule="auto"/>
                    <w:ind w:firstLine="0" w:firstLineChars="0"/>
                    <w:jc w:val="center"/>
                    <w:rPr>
                      <w:rFonts w:eastAsia="宋体"/>
                      <w:sz w:val="21"/>
                    </w:rPr>
                  </w:pPr>
                  <w:r>
                    <w:rPr>
                      <w:rFonts w:hint="eastAsia" w:eastAsia="宋体"/>
                      <w:sz w:val="21"/>
                    </w:rPr>
                    <w:t>符合</w:t>
                  </w:r>
                </w:p>
              </w:tc>
            </w:tr>
            <w:tr w14:paraId="5DB25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46C527F1">
                  <w:pPr>
                    <w:pStyle w:val="41"/>
                    <w:spacing w:line="240" w:lineRule="auto"/>
                    <w:ind w:firstLine="0" w:firstLineChars="0"/>
                    <w:jc w:val="center"/>
                    <w:rPr>
                      <w:rFonts w:eastAsia="宋体"/>
                      <w:kern w:val="0"/>
                      <w:sz w:val="21"/>
                    </w:rPr>
                  </w:pPr>
                  <w:r>
                    <w:rPr>
                      <w:rFonts w:eastAsia="宋体"/>
                      <w:kern w:val="0"/>
                      <w:sz w:val="21"/>
                    </w:rPr>
                    <w:t>YS5117223210003</w:t>
                  </w:r>
                </w:p>
              </w:tc>
              <w:tc>
                <w:tcPr>
                  <w:tcW w:w="298" w:type="pct"/>
                  <w:vMerge w:val="restart"/>
                  <w:tcBorders>
                    <w:tl2br w:val="nil"/>
                    <w:tr2bl w:val="nil"/>
                  </w:tcBorders>
                  <w:vAlign w:val="center"/>
                </w:tcPr>
                <w:p w14:paraId="149A1342">
                  <w:pPr>
                    <w:pStyle w:val="41"/>
                    <w:spacing w:line="240" w:lineRule="auto"/>
                    <w:ind w:firstLine="0" w:firstLineChars="0"/>
                    <w:jc w:val="center"/>
                    <w:rPr>
                      <w:rFonts w:eastAsia="宋体"/>
                      <w:kern w:val="0"/>
                      <w:sz w:val="21"/>
                    </w:rPr>
                  </w:pPr>
                  <w:r>
                    <w:rPr>
                      <w:rFonts w:eastAsia="宋体"/>
                      <w:kern w:val="0"/>
                      <w:sz w:val="21"/>
                    </w:rPr>
                    <w:t>中河宣汉县普光控制单元</w:t>
                  </w:r>
                </w:p>
              </w:tc>
              <w:tc>
                <w:tcPr>
                  <w:tcW w:w="1983" w:type="pct"/>
                  <w:vMerge w:val="continue"/>
                  <w:tcBorders>
                    <w:tl2br w:val="nil"/>
                    <w:tr2bl w:val="nil"/>
                  </w:tcBorders>
                  <w:vAlign w:val="center"/>
                </w:tcPr>
                <w:p w14:paraId="75E1821F">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6749D379">
                  <w:pPr>
                    <w:pStyle w:val="41"/>
                    <w:spacing w:line="240" w:lineRule="auto"/>
                    <w:ind w:firstLine="0" w:firstLineChars="0"/>
                    <w:jc w:val="center"/>
                    <w:rPr>
                      <w:rFonts w:eastAsia="宋体"/>
                      <w:kern w:val="0"/>
                      <w:sz w:val="21"/>
                    </w:rPr>
                  </w:pPr>
                  <w:r>
                    <w:rPr>
                      <w:rFonts w:eastAsia="宋体"/>
                      <w:kern w:val="0"/>
                      <w:sz w:val="21"/>
                    </w:rPr>
                    <w:t>环境风险防控</w:t>
                  </w:r>
                </w:p>
              </w:tc>
              <w:tc>
                <w:tcPr>
                  <w:tcW w:w="1080" w:type="pct"/>
                  <w:tcBorders>
                    <w:tl2br w:val="nil"/>
                    <w:tr2bl w:val="nil"/>
                  </w:tcBorders>
                  <w:vAlign w:val="center"/>
                </w:tcPr>
                <w:p w14:paraId="1642BEAC">
                  <w:pPr>
                    <w:pStyle w:val="41"/>
                    <w:spacing w:line="240" w:lineRule="auto"/>
                    <w:ind w:firstLine="0" w:firstLineChars="0"/>
                    <w:rPr>
                      <w:rFonts w:eastAsia="宋体"/>
                      <w:kern w:val="0"/>
                      <w:sz w:val="21"/>
                    </w:rPr>
                  </w:pPr>
                  <w:r>
                    <w:rPr>
                      <w:rFonts w:eastAsia="宋体"/>
                      <w:kern w:val="0"/>
                      <w:sz w:val="21"/>
                    </w:rPr>
                    <w:t>/</w:t>
                  </w:r>
                </w:p>
              </w:tc>
              <w:tc>
                <w:tcPr>
                  <w:tcW w:w="667" w:type="pct"/>
                  <w:tcBorders>
                    <w:tl2br w:val="nil"/>
                    <w:tr2bl w:val="nil"/>
                  </w:tcBorders>
                  <w:vAlign w:val="center"/>
                </w:tcPr>
                <w:p w14:paraId="19998DAD">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32DCDA60">
                  <w:pPr>
                    <w:pStyle w:val="41"/>
                    <w:widowControl/>
                    <w:spacing w:line="240" w:lineRule="auto"/>
                    <w:ind w:firstLine="0" w:firstLineChars="0"/>
                    <w:jc w:val="center"/>
                    <w:rPr>
                      <w:rFonts w:eastAsia="宋体"/>
                      <w:sz w:val="21"/>
                    </w:rPr>
                  </w:pPr>
                  <w:r>
                    <w:rPr>
                      <w:rFonts w:hint="eastAsia" w:eastAsia="宋体"/>
                      <w:sz w:val="21"/>
                    </w:rPr>
                    <w:t>/</w:t>
                  </w:r>
                </w:p>
              </w:tc>
            </w:tr>
            <w:tr w14:paraId="6AD3E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tcBorders>
                    <w:tl2br w:val="nil"/>
                    <w:tr2bl w:val="nil"/>
                  </w:tcBorders>
                  <w:vAlign w:val="center"/>
                </w:tcPr>
                <w:p w14:paraId="1D744083">
                  <w:pPr>
                    <w:pStyle w:val="41"/>
                    <w:spacing w:line="240" w:lineRule="auto"/>
                    <w:ind w:firstLine="0" w:firstLineChars="0"/>
                    <w:jc w:val="center"/>
                    <w:rPr>
                      <w:rFonts w:eastAsia="宋体"/>
                      <w:kern w:val="0"/>
                      <w:sz w:val="21"/>
                    </w:rPr>
                  </w:pPr>
                  <w:r>
                    <w:rPr>
                      <w:rFonts w:eastAsia="宋体"/>
                      <w:kern w:val="0"/>
                      <w:sz w:val="21"/>
                    </w:rPr>
                    <w:t>YS5117223210003</w:t>
                  </w:r>
                </w:p>
              </w:tc>
              <w:tc>
                <w:tcPr>
                  <w:tcW w:w="298" w:type="pct"/>
                  <w:tcBorders>
                    <w:tl2br w:val="nil"/>
                    <w:tr2bl w:val="nil"/>
                  </w:tcBorders>
                  <w:vAlign w:val="center"/>
                </w:tcPr>
                <w:p w14:paraId="0FDBB510">
                  <w:pPr>
                    <w:pStyle w:val="41"/>
                    <w:spacing w:line="240" w:lineRule="auto"/>
                    <w:ind w:firstLine="0" w:firstLineChars="0"/>
                    <w:jc w:val="center"/>
                    <w:rPr>
                      <w:rFonts w:eastAsia="宋体"/>
                      <w:kern w:val="0"/>
                      <w:sz w:val="21"/>
                    </w:rPr>
                  </w:pPr>
                  <w:r>
                    <w:rPr>
                      <w:rFonts w:eastAsia="宋体"/>
                      <w:kern w:val="0"/>
                      <w:sz w:val="21"/>
                    </w:rPr>
                    <w:t>中河宣汉县普光控制单元</w:t>
                  </w:r>
                </w:p>
              </w:tc>
              <w:tc>
                <w:tcPr>
                  <w:tcW w:w="1983" w:type="pct"/>
                  <w:vMerge w:val="continue"/>
                  <w:tcBorders>
                    <w:tl2br w:val="nil"/>
                    <w:tr2bl w:val="nil"/>
                  </w:tcBorders>
                  <w:vAlign w:val="center"/>
                </w:tcPr>
                <w:p w14:paraId="7ABDE79F">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626BC388">
                  <w:pPr>
                    <w:pStyle w:val="41"/>
                    <w:spacing w:line="240" w:lineRule="auto"/>
                    <w:ind w:firstLine="0" w:firstLineChars="0"/>
                    <w:jc w:val="center"/>
                    <w:rPr>
                      <w:rFonts w:eastAsia="宋体"/>
                      <w:kern w:val="0"/>
                      <w:sz w:val="21"/>
                    </w:rPr>
                  </w:pPr>
                  <w:r>
                    <w:rPr>
                      <w:rFonts w:eastAsia="宋体"/>
                      <w:kern w:val="0"/>
                      <w:sz w:val="21"/>
                    </w:rPr>
                    <w:t>资源开发效率要求</w:t>
                  </w:r>
                </w:p>
              </w:tc>
              <w:tc>
                <w:tcPr>
                  <w:tcW w:w="1080" w:type="pct"/>
                  <w:tcBorders>
                    <w:tl2br w:val="nil"/>
                    <w:tr2bl w:val="nil"/>
                  </w:tcBorders>
                  <w:vAlign w:val="center"/>
                </w:tcPr>
                <w:p w14:paraId="5B393383">
                  <w:pPr>
                    <w:pStyle w:val="41"/>
                    <w:spacing w:line="240" w:lineRule="auto"/>
                    <w:ind w:firstLine="0" w:firstLineChars="0"/>
                    <w:rPr>
                      <w:rFonts w:eastAsia="宋体"/>
                      <w:kern w:val="0"/>
                      <w:sz w:val="21"/>
                    </w:rPr>
                  </w:pPr>
                  <w:r>
                    <w:rPr>
                      <w:rFonts w:hint="eastAsia" w:eastAsia="宋体"/>
                      <w:kern w:val="0"/>
                      <w:sz w:val="21"/>
                    </w:rPr>
                    <w:t>/</w:t>
                  </w:r>
                </w:p>
              </w:tc>
              <w:tc>
                <w:tcPr>
                  <w:tcW w:w="667" w:type="pct"/>
                  <w:tcBorders>
                    <w:tl2br w:val="nil"/>
                    <w:tr2bl w:val="nil"/>
                  </w:tcBorders>
                  <w:vAlign w:val="center"/>
                </w:tcPr>
                <w:p w14:paraId="3C7A1323">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323D0ACB">
                  <w:pPr>
                    <w:pStyle w:val="41"/>
                    <w:widowControl/>
                    <w:spacing w:line="240" w:lineRule="auto"/>
                    <w:ind w:firstLine="0" w:firstLineChars="0"/>
                    <w:jc w:val="center"/>
                    <w:rPr>
                      <w:rFonts w:eastAsia="宋体"/>
                      <w:sz w:val="21"/>
                    </w:rPr>
                  </w:pPr>
                  <w:r>
                    <w:rPr>
                      <w:rFonts w:hint="eastAsia" w:eastAsia="宋体"/>
                      <w:sz w:val="21"/>
                    </w:rPr>
                    <w:t>/</w:t>
                  </w:r>
                </w:p>
              </w:tc>
            </w:tr>
            <w:tr w14:paraId="2F1BF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5E9914F7">
                  <w:pPr>
                    <w:pStyle w:val="41"/>
                    <w:widowControl/>
                    <w:spacing w:line="240" w:lineRule="auto"/>
                    <w:ind w:firstLine="0" w:firstLineChars="0"/>
                    <w:jc w:val="center"/>
                    <w:rPr>
                      <w:rFonts w:eastAsia="宋体"/>
                      <w:sz w:val="21"/>
                    </w:rPr>
                  </w:pPr>
                  <w:r>
                    <w:rPr>
                      <w:rFonts w:eastAsia="宋体"/>
                      <w:sz w:val="21"/>
                    </w:rPr>
                    <w:t>YS5117022530001</w:t>
                  </w:r>
                </w:p>
              </w:tc>
              <w:tc>
                <w:tcPr>
                  <w:tcW w:w="298" w:type="pct"/>
                  <w:vMerge w:val="restart"/>
                  <w:tcBorders>
                    <w:tl2br w:val="nil"/>
                    <w:tr2bl w:val="nil"/>
                  </w:tcBorders>
                  <w:vAlign w:val="center"/>
                </w:tcPr>
                <w:p w14:paraId="31C627DD">
                  <w:pPr>
                    <w:pStyle w:val="41"/>
                    <w:widowControl/>
                    <w:spacing w:line="240" w:lineRule="auto"/>
                    <w:ind w:firstLine="0" w:firstLineChars="0"/>
                    <w:jc w:val="center"/>
                    <w:rPr>
                      <w:rFonts w:eastAsia="宋体"/>
                      <w:sz w:val="21"/>
                    </w:rPr>
                  </w:pPr>
                  <w:r>
                    <w:rPr>
                      <w:rFonts w:hint="eastAsia" w:eastAsia="宋体"/>
                      <w:sz w:val="21"/>
                    </w:rPr>
                    <w:t>通川区城镇开发边界</w:t>
                  </w:r>
                </w:p>
              </w:tc>
              <w:tc>
                <w:tcPr>
                  <w:tcW w:w="1983" w:type="pct"/>
                  <w:vMerge w:val="continue"/>
                  <w:tcBorders>
                    <w:tl2br w:val="nil"/>
                    <w:tr2bl w:val="nil"/>
                  </w:tcBorders>
                  <w:vAlign w:val="center"/>
                </w:tcPr>
                <w:p w14:paraId="19F424DA">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46367153">
                  <w:pPr>
                    <w:pStyle w:val="41"/>
                    <w:widowControl/>
                    <w:spacing w:line="240" w:lineRule="auto"/>
                    <w:ind w:firstLine="0" w:firstLineChars="0"/>
                    <w:jc w:val="center"/>
                    <w:rPr>
                      <w:rFonts w:eastAsia="宋体"/>
                      <w:sz w:val="21"/>
                    </w:rPr>
                  </w:pPr>
                  <w:r>
                    <w:rPr>
                      <w:rFonts w:eastAsia="宋体"/>
                      <w:sz w:val="21"/>
                    </w:rPr>
                    <w:t>空间布局约束</w:t>
                  </w:r>
                </w:p>
              </w:tc>
              <w:tc>
                <w:tcPr>
                  <w:tcW w:w="1080" w:type="pct"/>
                  <w:tcBorders>
                    <w:tl2br w:val="nil"/>
                    <w:tr2bl w:val="nil"/>
                  </w:tcBorders>
                  <w:vAlign w:val="center"/>
                </w:tcPr>
                <w:p w14:paraId="31A6447C">
                  <w:pPr>
                    <w:pStyle w:val="41"/>
                    <w:widowControl/>
                    <w:spacing w:line="240" w:lineRule="auto"/>
                    <w:ind w:firstLine="0" w:firstLineChars="0"/>
                    <w:rPr>
                      <w:rFonts w:eastAsia="宋体"/>
                      <w:sz w:val="21"/>
                    </w:rPr>
                  </w:pPr>
                  <w:r>
                    <w:rPr>
                      <w:rFonts w:eastAsia="宋体"/>
                      <w:sz w:val="21"/>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667" w:type="pct"/>
                  <w:tcBorders>
                    <w:tl2br w:val="nil"/>
                    <w:tr2bl w:val="nil"/>
                  </w:tcBorders>
                  <w:vAlign w:val="center"/>
                </w:tcPr>
                <w:p w14:paraId="529E1FE3">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w:t>
                  </w:r>
                  <w:r>
                    <w:rPr>
                      <w:rFonts w:hint="eastAsia" w:eastAsia="宋体"/>
                      <w:sz w:val="21"/>
                    </w:rPr>
                    <w:t>租用现有仓库，不涉及新增占地，不会影响城镇未来发展。</w:t>
                  </w:r>
                  <w:r>
                    <w:rPr>
                      <w:rFonts w:eastAsia="宋体"/>
                      <w:sz w:val="21"/>
                    </w:rPr>
                    <w:t>符合空间布局</w:t>
                  </w:r>
                  <w:r>
                    <w:rPr>
                      <w:rFonts w:hint="eastAsia" w:eastAsia="宋体"/>
                      <w:sz w:val="21"/>
                    </w:rPr>
                    <w:t>约束</w:t>
                  </w:r>
                  <w:r>
                    <w:rPr>
                      <w:rFonts w:eastAsia="宋体"/>
                      <w:sz w:val="21"/>
                    </w:rPr>
                    <w:t>中提及的情况</w:t>
                  </w:r>
                  <w:r>
                    <w:rPr>
                      <w:rFonts w:hint="eastAsia" w:eastAsia="宋体"/>
                      <w:sz w:val="21"/>
                    </w:rPr>
                    <w:t>。</w:t>
                  </w:r>
                </w:p>
              </w:tc>
              <w:tc>
                <w:tcPr>
                  <w:tcW w:w="147" w:type="pct"/>
                  <w:tcBorders>
                    <w:tl2br w:val="nil"/>
                    <w:tr2bl w:val="nil"/>
                  </w:tcBorders>
                  <w:vAlign w:val="center"/>
                </w:tcPr>
                <w:p w14:paraId="173A3550">
                  <w:pPr>
                    <w:pStyle w:val="41"/>
                    <w:widowControl/>
                    <w:spacing w:line="240" w:lineRule="auto"/>
                    <w:ind w:firstLine="0" w:firstLineChars="0"/>
                    <w:jc w:val="center"/>
                    <w:rPr>
                      <w:rFonts w:eastAsia="宋体"/>
                      <w:sz w:val="21"/>
                    </w:rPr>
                  </w:pPr>
                  <w:r>
                    <w:rPr>
                      <w:rFonts w:hint="eastAsia" w:eastAsia="宋体"/>
                      <w:sz w:val="21"/>
                    </w:rPr>
                    <w:t>符合</w:t>
                  </w:r>
                </w:p>
              </w:tc>
            </w:tr>
            <w:tr w14:paraId="39D1A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5FB1B9EC">
                  <w:pPr>
                    <w:pStyle w:val="41"/>
                    <w:widowControl/>
                    <w:spacing w:line="240" w:lineRule="auto"/>
                    <w:ind w:firstLine="0" w:firstLineChars="0"/>
                    <w:jc w:val="center"/>
                    <w:rPr>
                      <w:rFonts w:eastAsia="宋体"/>
                      <w:sz w:val="21"/>
                    </w:rPr>
                  </w:pPr>
                </w:p>
              </w:tc>
              <w:tc>
                <w:tcPr>
                  <w:tcW w:w="298" w:type="pct"/>
                  <w:vMerge w:val="continue"/>
                  <w:tcBorders>
                    <w:tl2br w:val="nil"/>
                    <w:tr2bl w:val="nil"/>
                  </w:tcBorders>
                  <w:vAlign w:val="center"/>
                </w:tcPr>
                <w:p w14:paraId="40367843">
                  <w:pPr>
                    <w:pStyle w:val="41"/>
                    <w:widowControl/>
                    <w:spacing w:line="240" w:lineRule="auto"/>
                    <w:ind w:firstLine="0" w:firstLineChars="0"/>
                    <w:jc w:val="center"/>
                    <w:rPr>
                      <w:rFonts w:eastAsia="宋体"/>
                      <w:sz w:val="21"/>
                    </w:rPr>
                  </w:pPr>
                </w:p>
              </w:tc>
              <w:tc>
                <w:tcPr>
                  <w:tcW w:w="1983" w:type="pct"/>
                  <w:vMerge w:val="continue"/>
                  <w:tcBorders>
                    <w:tl2br w:val="nil"/>
                    <w:tr2bl w:val="nil"/>
                  </w:tcBorders>
                  <w:vAlign w:val="center"/>
                </w:tcPr>
                <w:p w14:paraId="04B080E7">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024DDA3D">
                  <w:pPr>
                    <w:pStyle w:val="41"/>
                    <w:widowControl/>
                    <w:spacing w:line="240" w:lineRule="auto"/>
                    <w:ind w:firstLine="0" w:firstLineChars="0"/>
                    <w:jc w:val="center"/>
                    <w:rPr>
                      <w:rFonts w:eastAsia="宋体"/>
                      <w:sz w:val="21"/>
                    </w:rPr>
                  </w:pPr>
                  <w:r>
                    <w:rPr>
                      <w:rFonts w:eastAsia="宋体"/>
                      <w:sz w:val="21"/>
                    </w:rPr>
                    <w:t>污染物排放管控</w:t>
                  </w:r>
                </w:p>
              </w:tc>
              <w:tc>
                <w:tcPr>
                  <w:tcW w:w="1080" w:type="pct"/>
                  <w:tcBorders>
                    <w:tl2br w:val="nil"/>
                    <w:tr2bl w:val="nil"/>
                  </w:tcBorders>
                  <w:vAlign w:val="center"/>
                </w:tcPr>
                <w:p w14:paraId="7FBA1219">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20555547">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04B54982">
                  <w:pPr>
                    <w:pStyle w:val="41"/>
                    <w:widowControl/>
                    <w:spacing w:line="240" w:lineRule="auto"/>
                    <w:ind w:firstLine="0" w:firstLineChars="0"/>
                    <w:jc w:val="center"/>
                    <w:rPr>
                      <w:rFonts w:eastAsia="宋体"/>
                      <w:sz w:val="21"/>
                    </w:rPr>
                  </w:pPr>
                  <w:r>
                    <w:rPr>
                      <w:rFonts w:hint="eastAsia" w:eastAsia="宋体"/>
                      <w:sz w:val="21"/>
                    </w:rPr>
                    <w:t>/</w:t>
                  </w:r>
                </w:p>
              </w:tc>
            </w:tr>
            <w:tr w14:paraId="47347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3A66CEE7">
                  <w:pPr>
                    <w:pStyle w:val="41"/>
                    <w:widowControl/>
                    <w:spacing w:line="240" w:lineRule="auto"/>
                    <w:ind w:firstLine="0" w:firstLineChars="0"/>
                    <w:jc w:val="center"/>
                    <w:rPr>
                      <w:rFonts w:eastAsia="宋体"/>
                      <w:sz w:val="21"/>
                    </w:rPr>
                  </w:pPr>
                </w:p>
              </w:tc>
              <w:tc>
                <w:tcPr>
                  <w:tcW w:w="298" w:type="pct"/>
                  <w:vMerge w:val="continue"/>
                  <w:tcBorders>
                    <w:tl2br w:val="nil"/>
                    <w:tr2bl w:val="nil"/>
                  </w:tcBorders>
                  <w:vAlign w:val="center"/>
                </w:tcPr>
                <w:p w14:paraId="151C4B96">
                  <w:pPr>
                    <w:pStyle w:val="41"/>
                    <w:widowControl/>
                    <w:spacing w:line="240" w:lineRule="auto"/>
                    <w:ind w:firstLine="0" w:firstLineChars="0"/>
                    <w:jc w:val="center"/>
                    <w:rPr>
                      <w:rFonts w:eastAsia="宋体"/>
                      <w:sz w:val="21"/>
                    </w:rPr>
                  </w:pPr>
                </w:p>
              </w:tc>
              <w:tc>
                <w:tcPr>
                  <w:tcW w:w="1983" w:type="pct"/>
                  <w:vMerge w:val="continue"/>
                  <w:tcBorders>
                    <w:tl2br w:val="nil"/>
                    <w:tr2bl w:val="nil"/>
                  </w:tcBorders>
                  <w:vAlign w:val="center"/>
                </w:tcPr>
                <w:p w14:paraId="798C80E5">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1E39D55E">
                  <w:pPr>
                    <w:pStyle w:val="41"/>
                    <w:widowControl/>
                    <w:spacing w:line="240" w:lineRule="auto"/>
                    <w:ind w:firstLine="0" w:firstLineChars="0"/>
                    <w:jc w:val="center"/>
                    <w:rPr>
                      <w:rFonts w:eastAsia="宋体"/>
                      <w:sz w:val="21"/>
                    </w:rPr>
                  </w:pPr>
                  <w:r>
                    <w:rPr>
                      <w:rFonts w:eastAsia="宋体"/>
                      <w:sz w:val="21"/>
                    </w:rPr>
                    <w:t>环境风险防控</w:t>
                  </w:r>
                </w:p>
              </w:tc>
              <w:tc>
                <w:tcPr>
                  <w:tcW w:w="1080" w:type="pct"/>
                  <w:tcBorders>
                    <w:tl2br w:val="nil"/>
                    <w:tr2bl w:val="nil"/>
                  </w:tcBorders>
                  <w:vAlign w:val="center"/>
                </w:tcPr>
                <w:p w14:paraId="2BBB3A83">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48C07261">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19F0D552">
                  <w:pPr>
                    <w:pStyle w:val="41"/>
                    <w:widowControl/>
                    <w:spacing w:line="240" w:lineRule="auto"/>
                    <w:ind w:firstLine="0" w:firstLineChars="0"/>
                    <w:jc w:val="center"/>
                    <w:rPr>
                      <w:rFonts w:eastAsia="宋体"/>
                      <w:sz w:val="21"/>
                    </w:rPr>
                  </w:pPr>
                  <w:r>
                    <w:rPr>
                      <w:rFonts w:hint="eastAsia" w:eastAsia="宋体"/>
                      <w:sz w:val="21"/>
                    </w:rPr>
                    <w:t>/</w:t>
                  </w:r>
                </w:p>
              </w:tc>
            </w:tr>
            <w:tr w14:paraId="1A935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437AD58D">
                  <w:pPr>
                    <w:pStyle w:val="41"/>
                    <w:widowControl/>
                    <w:spacing w:line="240" w:lineRule="auto"/>
                    <w:ind w:firstLine="0" w:firstLineChars="0"/>
                    <w:jc w:val="center"/>
                    <w:rPr>
                      <w:rFonts w:eastAsia="宋体"/>
                      <w:sz w:val="21"/>
                    </w:rPr>
                  </w:pPr>
                </w:p>
              </w:tc>
              <w:tc>
                <w:tcPr>
                  <w:tcW w:w="298" w:type="pct"/>
                  <w:vMerge w:val="continue"/>
                  <w:tcBorders>
                    <w:tl2br w:val="nil"/>
                    <w:tr2bl w:val="nil"/>
                  </w:tcBorders>
                  <w:vAlign w:val="center"/>
                </w:tcPr>
                <w:p w14:paraId="5A5F534B">
                  <w:pPr>
                    <w:pStyle w:val="41"/>
                    <w:widowControl/>
                    <w:spacing w:line="240" w:lineRule="auto"/>
                    <w:ind w:firstLine="0" w:firstLineChars="0"/>
                    <w:jc w:val="center"/>
                    <w:rPr>
                      <w:rFonts w:eastAsia="宋体"/>
                      <w:sz w:val="21"/>
                    </w:rPr>
                  </w:pPr>
                </w:p>
              </w:tc>
              <w:tc>
                <w:tcPr>
                  <w:tcW w:w="1983" w:type="pct"/>
                  <w:vMerge w:val="continue"/>
                  <w:tcBorders>
                    <w:tl2br w:val="nil"/>
                    <w:tr2bl w:val="nil"/>
                  </w:tcBorders>
                  <w:vAlign w:val="center"/>
                </w:tcPr>
                <w:p w14:paraId="160B529E">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4B6D403A">
                  <w:pPr>
                    <w:pStyle w:val="41"/>
                    <w:widowControl/>
                    <w:spacing w:line="240" w:lineRule="auto"/>
                    <w:ind w:firstLine="0" w:firstLineChars="0"/>
                    <w:jc w:val="center"/>
                    <w:rPr>
                      <w:rFonts w:eastAsia="宋体"/>
                      <w:sz w:val="21"/>
                    </w:rPr>
                  </w:pPr>
                  <w:r>
                    <w:rPr>
                      <w:rFonts w:eastAsia="宋体"/>
                      <w:sz w:val="21"/>
                    </w:rPr>
                    <w:t>资源开发效率要求</w:t>
                  </w:r>
                </w:p>
              </w:tc>
              <w:tc>
                <w:tcPr>
                  <w:tcW w:w="1080" w:type="pct"/>
                  <w:tcBorders>
                    <w:tl2br w:val="nil"/>
                    <w:tr2bl w:val="nil"/>
                  </w:tcBorders>
                  <w:vAlign w:val="center"/>
                </w:tcPr>
                <w:p w14:paraId="3945E031">
                  <w:pPr>
                    <w:pStyle w:val="41"/>
                    <w:widowControl/>
                    <w:spacing w:line="240" w:lineRule="auto"/>
                    <w:ind w:firstLine="0" w:firstLineChars="0"/>
                    <w:rPr>
                      <w:rFonts w:eastAsia="宋体"/>
                      <w:sz w:val="21"/>
                    </w:rPr>
                  </w:pPr>
                  <w:r>
                    <w:rPr>
                      <w:rFonts w:eastAsia="宋体"/>
                      <w:sz w:val="21"/>
                    </w:rPr>
                    <w:t>土地资源开发效率要求</w:t>
                  </w:r>
                </w:p>
                <w:p w14:paraId="48B67996">
                  <w:pPr>
                    <w:pStyle w:val="41"/>
                    <w:widowControl/>
                    <w:spacing w:line="240" w:lineRule="auto"/>
                    <w:ind w:firstLine="0" w:firstLineChars="0"/>
                    <w:rPr>
                      <w:rFonts w:eastAsia="宋体"/>
                      <w:sz w:val="21"/>
                    </w:rPr>
                  </w:pPr>
                  <w:r>
                    <w:rPr>
                      <w:rFonts w:eastAsia="宋体"/>
                      <w:sz w:val="21"/>
                    </w:rPr>
                    <w:t>土地资源开发利用量不得超过土地资源利用上线控制性指标。</w:t>
                  </w:r>
                </w:p>
                <w:p w14:paraId="1B635BC4">
                  <w:pPr>
                    <w:pStyle w:val="41"/>
                    <w:widowControl/>
                    <w:spacing w:line="240" w:lineRule="auto"/>
                    <w:ind w:firstLine="0" w:firstLineChars="0"/>
                    <w:rPr>
                      <w:rFonts w:eastAsia="宋体"/>
                      <w:sz w:val="21"/>
                    </w:rPr>
                  </w:pPr>
                  <w:r>
                    <w:rPr>
                      <w:rFonts w:eastAsia="宋体"/>
                      <w:sz w:val="21"/>
                    </w:rPr>
                    <w:t>能源资源开发效率要求</w:t>
                  </w:r>
                </w:p>
                <w:p w14:paraId="4DC433BC">
                  <w:pPr>
                    <w:pStyle w:val="41"/>
                    <w:widowControl/>
                    <w:spacing w:line="240" w:lineRule="auto"/>
                    <w:ind w:firstLine="0" w:firstLineChars="0"/>
                    <w:rPr>
                      <w:rFonts w:eastAsia="宋体"/>
                      <w:sz w:val="21"/>
                    </w:rPr>
                  </w:pPr>
                  <w:r>
                    <w:rPr>
                      <w:rFonts w:eastAsia="宋体"/>
                      <w:sz w:val="21"/>
                    </w:rPr>
                    <w:t>其他资源开发效率要求</w:t>
                  </w:r>
                </w:p>
              </w:tc>
              <w:tc>
                <w:tcPr>
                  <w:tcW w:w="667" w:type="pct"/>
                  <w:tcBorders>
                    <w:tl2br w:val="nil"/>
                    <w:tr2bl w:val="nil"/>
                  </w:tcBorders>
                  <w:vAlign w:val="center"/>
                </w:tcPr>
                <w:p w14:paraId="7B01A2B6">
                  <w:pPr>
                    <w:pStyle w:val="41"/>
                    <w:widowControl/>
                    <w:spacing w:line="240" w:lineRule="auto"/>
                    <w:ind w:firstLine="0" w:firstLineChars="0"/>
                    <w:jc w:val="center"/>
                    <w:rPr>
                      <w:rFonts w:eastAsia="宋体"/>
                      <w:sz w:val="21"/>
                    </w:rPr>
                  </w:pPr>
                  <w:r>
                    <w:rPr>
                      <w:rFonts w:eastAsia="宋体"/>
                      <w:sz w:val="21"/>
                    </w:rPr>
                    <w:t>本项目不涉及新增用地，</w:t>
                  </w:r>
                  <w:r>
                    <w:rPr>
                      <w:rFonts w:hint="eastAsia" w:eastAsia="宋体"/>
                      <w:sz w:val="21"/>
                    </w:rPr>
                    <w:t>租用现有仓库，不涉及新增占地，项目用水来自市政管网，不涉及地下水开采。</w:t>
                  </w:r>
                </w:p>
              </w:tc>
              <w:tc>
                <w:tcPr>
                  <w:tcW w:w="147" w:type="pct"/>
                  <w:tcBorders>
                    <w:tl2br w:val="nil"/>
                    <w:tr2bl w:val="nil"/>
                  </w:tcBorders>
                  <w:vAlign w:val="center"/>
                </w:tcPr>
                <w:p w14:paraId="08CC2425">
                  <w:pPr>
                    <w:pStyle w:val="41"/>
                    <w:widowControl/>
                    <w:spacing w:line="240" w:lineRule="auto"/>
                    <w:ind w:firstLine="0" w:firstLineChars="0"/>
                    <w:jc w:val="center"/>
                    <w:rPr>
                      <w:rFonts w:eastAsia="宋体"/>
                      <w:sz w:val="21"/>
                    </w:rPr>
                  </w:pPr>
                  <w:r>
                    <w:rPr>
                      <w:rFonts w:eastAsia="宋体"/>
                      <w:sz w:val="21"/>
                    </w:rPr>
                    <w:t>符合</w:t>
                  </w:r>
                </w:p>
              </w:tc>
            </w:tr>
            <w:tr w14:paraId="65845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21314F6D">
                  <w:pPr>
                    <w:pStyle w:val="41"/>
                    <w:widowControl/>
                    <w:spacing w:line="240" w:lineRule="auto"/>
                    <w:ind w:firstLine="0" w:firstLineChars="0"/>
                    <w:jc w:val="center"/>
                    <w:rPr>
                      <w:rFonts w:eastAsia="宋体"/>
                      <w:sz w:val="21"/>
                    </w:rPr>
                  </w:pPr>
                  <w:r>
                    <w:rPr>
                      <w:rFonts w:eastAsia="宋体"/>
                      <w:sz w:val="21"/>
                    </w:rPr>
                    <w:t>YS5117022550001</w:t>
                  </w:r>
                </w:p>
              </w:tc>
              <w:tc>
                <w:tcPr>
                  <w:tcW w:w="298" w:type="pct"/>
                  <w:vMerge w:val="restart"/>
                  <w:tcBorders>
                    <w:tl2br w:val="nil"/>
                    <w:tr2bl w:val="nil"/>
                  </w:tcBorders>
                  <w:vAlign w:val="center"/>
                </w:tcPr>
                <w:p w14:paraId="7BC0BB52">
                  <w:pPr>
                    <w:pStyle w:val="41"/>
                    <w:widowControl/>
                    <w:spacing w:line="240" w:lineRule="auto"/>
                    <w:ind w:firstLine="0" w:firstLineChars="0"/>
                    <w:jc w:val="center"/>
                    <w:rPr>
                      <w:rFonts w:eastAsia="宋体"/>
                      <w:sz w:val="21"/>
                    </w:rPr>
                  </w:pPr>
                  <w:r>
                    <w:rPr>
                      <w:rFonts w:eastAsia="宋体"/>
                      <w:sz w:val="21"/>
                    </w:rPr>
                    <w:t>通川区自然资源重点管控区</w:t>
                  </w:r>
                </w:p>
              </w:tc>
              <w:tc>
                <w:tcPr>
                  <w:tcW w:w="1983" w:type="pct"/>
                  <w:vMerge w:val="continue"/>
                  <w:tcBorders>
                    <w:tl2br w:val="nil"/>
                    <w:tr2bl w:val="nil"/>
                  </w:tcBorders>
                  <w:vAlign w:val="center"/>
                </w:tcPr>
                <w:p w14:paraId="2BDF37DE">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2D6F1BE3">
                  <w:pPr>
                    <w:pStyle w:val="41"/>
                    <w:widowControl/>
                    <w:spacing w:line="240" w:lineRule="auto"/>
                    <w:ind w:firstLine="0" w:firstLineChars="0"/>
                    <w:jc w:val="left"/>
                    <w:rPr>
                      <w:rFonts w:eastAsia="宋体"/>
                      <w:sz w:val="21"/>
                    </w:rPr>
                  </w:pPr>
                  <w:r>
                    <w:rPr>
                      <w:rFonts w:eastAsia="宋体"/>
                      <w:sz w:val="21"/>
                    </w:rPr>
                    <w:t>空间布局约束</w:t>
                  </w:r>
                </w:p>
              </w:tc>
              <w:tc>
                <w:tcPr>
                  <w:tcW w:w="1080" w:type="pct"/>
                  <w:tcBorders>
                    <w:tl2br w:val="nil"/>
                    <w:tr2bl w:val="nil"/>
                  </w:tcBorders>
                  <w:vAlign w:val="center"/>
                </w:tcPr>
                <w:p w14:paraId="1A8D9DF2">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45F11585">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4CD36988">
                  <w:pPr>
                    <w:pStyle w:val="41"/>
                    <w:widowControl/>
                    <w:spacing w:line="240" w:lineRule="auto"/>
                    <w:ind w:firstLine="0" w:firstLineChars="0"/>
                    <w:jc w:val="center"/>
                    <w:rPr>
                      <w:rFonts w:eastAsia="宋体"/>
                      <w:sz w:val="21"/>
                    </w:rPr>
                  </w:pPr>
                  <w:r>
                    <w:rPr>
                      <w:rFonts w:hint="eastAsia" w:eastAsia="宋体"/>
                      <w:sz w:val="21"/>
                    </w:rPr>
                    <w:t>/</w:t>
                  </w:r>
                </w:p>
              </w:tc>
            </w:tr>
            <w:tr w14:paraId="743C6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20ACB6BC">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1CEB1A66">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02607534">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497CFD91">
                  <w:pPr>
                    <w:pStyle w:val="41"/>
                    <w:widowControl/>
                    <w:spacing w:line="240" w:lineRule="auto"/>
                    <w:ind w:firstLine="0" w:firstLineChars="0"/>
                    <w:jc w:val="center"/>
                    <w:rPr>
                      <w:rFonts w:eastAsia="宋体"/>
                      <w:sz w:val="21"/>
                    </w:rPr>
                  </w:pPr>
                  <w:r>
                    <w:rPr>
                      <w:rFonts w:eastAsia="宋体"/>
                      <w:sz w:val="21"/>
                    </w:rPr>
                    <w:t>污染物排放管控</w:t>
                  </w:r>
                </w:p>
              </w:tc>
              <w:tc>
                <w:tcPr>
                  <w:tcW w:w="1080" w:type="pct"/>
                  <w:tcBorders>
                    <w:tl2br w:val="nil"/>
                    <w:tr2bl w:val="nil"/>
                  </w:tcBorders>
                  <w:vAlign w:val="center"/>
                </w:tcPr>
                <w:p w14:paraId="5B188DED">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58099D4E">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03E49BDF">
                  <w:pPr>
                    <w:pStyle w:val="41"/>
                    <w:widowControl/>
                    <w:spacing w:line="240" w:lineRule="auto"/>
                    <w:ind w:firstLine="0" w:firstLineChars="0"/>
                    <w:jc w:val="center"/>
                    <w:rPr>
                      <w:rFonts w:eastAsia="宋体"/>
                      <w:sz w:val="21"/>
                    </w:rPr>
                  </w:pPr>
                  <w:r>
                    <w:rPr>
                      <w:rFonts w:hint="eastAsia" w:eastAsia="宋体"/>
                      <w:sz w:val="21"/>
                    </w:rPr>
                    <w:t>/</w:t>
                  </w:r>
                </w:p>
              </w:tc>
            </w:tr>
            <w:tr w14:paraId="43C5A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4C6F4F86">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654A9B13">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7A2C081B">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063FFCB5">
                  <w:pPr>
                    <w:pStyle w:val="41"/>
                    <w:widowControl/>
                    <w:spacing w:line="240" w:lineRule="auto"/>
                    <w:ind w:firstLine="0" w:firstLineChars="0"/>
                    <w:jc w:val="center"/>
                    <w:rPr>
                      <w:rFonts w:eastAsia="宋体"/>
                      <w:sz w:val="21"/>
                    </w:rPr>
                  </w:pPr>
                  <w:r>
                    <w:rPr>
                      <w:rFonts w:eastAsia="宋体"/>
                      <w:sz w:val="21"/>
                    </w:rPr>
                    <w:t>环境风险防控</w:t>
                  </w:r>
                </w:p>
              </w:tc>
              <w:tc>
                <w:tcPr>
                  <w:tcW w:w="1080" w:type="pct"/>
                  <w:tcBorders>
                    <w:tl2br w:val="nil"/>
                    <w:tr2bl w:val="nil"/>
                  </w:tcBorders>
                  <w:vAlign w:val="center"/>
                </w:tcPr>
                <w:p w14:paraId="5FCE59D5">
                  <w:pPr>
                    <w:pStyle w:val="41"/>
                    <w:widowControl/>
                    <w:spacing w:line="240" w:lineRule="auto"/>
                    <w:ind w:firstLine="0" w:firstLineChars="0"/>
                    <w:jc w:val="center"/>
                    <w:rPr>
                      <w:rFonts w:eastAsia="宋体"/>
                      <w:sz w:val="21"/>
                    </w:rPr>
                  </w:pPr>
                  <w:r>
                    <w:rPr>
                      <w:rFonts w:hint="eastAsia" w:eastAsia="宋体"/>
                      <w:sz w:val="21"/>
                    </w:rPr>
                    <w:t>/</w:t>
                  </w:r>
                </w:p>
              </w:tc>
              <w:tc>
                <w:tcPr>
                  <w:tcW w:w="667" w:type="pct"/>
                  <w:tcBorders>
                    <w:tl2br w:val="nil"/>
                    <w:tr2bl w:val="nil"/>
                  </w:tcBorders>
                  <w:vAlign w:val="center"/>
                </w:tcPr>
                <w:p w14:paraId="0A59356C">
                  <w:pPr>
                    <w:pStyle w:val="41"/>
                    <w:widowControl/>
                    <w:spacing w:line="240" w:lineRule="auto"/>
                    <w:ind w:firstLine="0" w:firstLineChars="0"/>
                    <w:jc w:val="center"/>
                    <w:rPr>
                      <w:rFonts w:eastAsia="宋体"/>
                      <w:sz w:val="21"/>
                    </w:rPr>
                  </w:pPr>
                  <w:r>
                    <w:rPr>
                      <w:rFonts w:hint="eastAsia" w:eastAsia="宋体"/>
                      <w:sz w:val="21"/>
                    </w:rPr>
                    <w:t>/</w:t>
                  </w:r>
                </w:p>
              </w:tc>
              <w:tc>
                <w:tcPr>
                  <w:tcW w:w="147" w:type="pct"/>
                  <w:tcBorders>
                    <w:tl2br w:val="nil"/>
                    <w:tr2bl w:val="nil"/>
                  </w:tcBorders>
                  <w:vAlign w:val="center"/>
                </w:tcPr>
                <w:p w14:paraId="1B631913">
                  <w:pPr>
                    <w:pStyle w:val="41"/>
                    <w:widowControl/>
                    <w:spacing w:line="240" w:lineRule="auto"/>
                    <w:ind w:firstLine="0" w:firstLineChars="0"/>
                    <w:jc w:val="center"/>
                    <w:rPr>
                      <w:rFonts w:eastAsia="宋体"/>
                      <w:sz w:val="21"/>
                    </w:rPr>
                  </w:pPr>
                  <w:r>
                    <w:rPr>
                      <w:rFonts w:hint="eastAsia" w:eastAsia="宋体"/>
                      <w:sz w:val="21"/>
                    </w:rPr>
                    <w:t>/</w:t>
                  </w:r>
                </w:p>
              </w:tc>
            </w:tr>
            <w:tr w14:paraId="4B811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0FC4384D">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75B0A15C">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142B39E4">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59588FDB">
                  <w:pPr>
                    <w:pStyle w:val="41"/>
                    <w:widowControl/>
                    <w:spacing w:line="240" w:lineRule="auto"/>
                    <w:ind w:firstLine="0" w:firstLineChars="0"/>
                    <w:jc w:val="center"/>
                    <w:rPr>
                      <w:rFonts w:eastAsia="宋体"/>
                      <w:sz w:val="21"/>
                    </w:rPr>
                  </w:pPr>
                  <w:r>
                    <w:rPr>
                      <w:rFonts w:eastAsia="宋体"/>
                      <w:sz w:val="21"/>
                    </w:rPr>
                    <w:t>资源开发效率要求</w:t>
                  </w:r>
                </w:p>
              </w:tc>
              <w:tc>
                <w:tcPr>
                  <w:tcW w:w="1080" w:type="pct"/>
                  <w:tcBorders>
                    <w:tl2br w:val="nil"/>
                    <w:tr2bl w:val="nil"/>
                  </w:tcBorders>
                  <w:vAlign w:val="center"/>
                </w:tcPr>
                <w:p w14:paraId="3593AEF5">
                  <w:pPr>
                    <w:pStyle w:val="41"/>
                    <w:widowControl/>
                    <w:spacing w:line="240" w:lineRule="auto"/>
                    <w:ind w:firstLine="0" w:firstLineChars="0"/>
                    <w:rPr>
                      <w:rFonts w:eastAsia="宋体"/>
                      <w:sz w:val="21"/>
                    </w:rPr>
                  </w:pPr>
                  <w:r>
                    <w:rPr>
                      <w:rFonts w:eastAsia="宋体"/>
                      <w:sz w:val="21"/>
                    </w:rPr>
                    <w:t>土地资源开发效率要求</w:t>
                  </w:r>
                </w:p>
                <w:p w14:paraId="7DABC424">
                  <w:pPr>
                    <w:pStyle w:val="41"/>
                    <w:widowControl/>
                    <w:spacing w:line="240" w:lineRule="auto"/>
                    <w:ind w:firstLine="0" w:firstLineChars="0"/>
                    <w:rPr>
                      <w:rFonts w:eastAsia="宋体"/>
                      <w:sz w:val="21"/>
                    </w:rPr>
                  </w:pPr>
                  <w:r>
                    <w:rPr>
                      <w:rFonts w:eastAsia="宋体"/>
                      <w:sz w:val="21"/>
                    </w:rPr>
                    <w:t>能源资源开发效率要求</w:t>
                  </w:r>
                </w:p>
                <w:p w14:paraId="4190A2CC">
                  <w:pPr>
                    <w:pStyle w:val="41"/>
                    <w:widowControl/>
                    <w:spacing w:line="240" w:lineRule="auto"/>
                    <w:ind w:firstLine="0" w:firstLineChars="0"/>
                    <w:rPr>
                      <w:rFonts w:eastAsia="宋体"/>
                      <w:sz w:val="21"/>
                    </w:rPr>
                  </w:pPr>
                  <w:r>
                    <w:rPr>
                      <w:rFonts w:eastAsia="宋体"/>
                      <w:sz w:val="21"/>
                    </w:rPr>
                    <w:t>其他资源开发效率要求</w:t>
                  </w:r>
                </w:p>
              </w:tc>
              <w:tc>
                <w:tcPr>
                  <w:tcW w:w="667" w:type="pct"/>
                  <w:tcBorders>
                    <w:tl2br w:val="nil"/>
                    <w:tr2bl w:val="nil"/>
                  </w:tcBorders>
                  <w:vAlign w:val="center"/>
                </w:tcPr>
                <w:p w14:paraId="64C2408D">
                  <w:pPr>
                    <w:pStyle w:val="41"/>
                    <w:widowControl/>
                    <w:spacing w:line="240" w:lineRule="auto"/>
                    <w:ind w:firstLine="0" w:firstLineChars="0"/>
                    <w:jc w:val="center"/>
                    <w:rPr>
                      <w:rFonts w:eastAsia="宋体"/>
                      <w:sz w:val="21"/>
                    </w:rPr>
                  </w:pPr>
                  <w:r>
                    <w:rPr>
                      <w:rFonts w:eastAsia="宋体"/>
                      <w:sz w:val="21"/>
                    </w:rPr>
                    <w:t>本项目</w:t>
                  </w:r>
                  <w:r>
                    <w:rPr>
                      <w:rFonts w:hint="eastAsia" w:eastAsia="宋体"/>
                      <w:sz w:val="21"/>
                    </w:rPr>
                    <w:t>租用现有仓库，不涉及新增占地，项目用水来自市政管网，不涉及地下水开采。</w:t>
                  </w:r>
                </w:p>
              </w:tc>
              <w:tc>
                <w:tcPr>
                  <w:tcW w:w="147" w:type="pct"/>
                  <w:tcBorders>
                    <w:tl2br w:val="nil"/>
                    <w:tr2bl w:val="nil"/>
                  </w:tcBorders>
                  <w:vAlign w:val="center"/>
                </w:tcPr>
                <w:p w14:paraId="0B335644">
                  <w:pPr>
                    <w:pStyle w:val="41"/>
                    <w:widowControl/>
                    <w:spacing w:line="240" w:lineRule="auto"/>
                    <w:ind w:firstLine="0" w:firstLineChars="0"/>
                    <w:jc w:val="center"/>
                    <w:rPr>
                      <w:rFonts w:eastAsia="宋体"/>
                      <w:sz w:val="21"/>
                    </w:rPr>
                  </w:pPr>
                  <w:r>
                    <w:rPr>
                      <w:rFonts w:hint="eastAsia" w:eastAsia="宋体"/>
                      <w:sz w:val="21"/>
                    </w:rPr>
                    <w:t>符合</w:t>
                  </w:r>
                </w:p>
              </w:tc>
            </w:tr>
            <w:tr w14:paraId="4C919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restart"/>
                  <w:tcBorders>
                    <w:tl2br w:val="nil"/>
                    <w:tr2bl w:val="nil"/>
                  </w:tcBorders>
                  <w:vAlign w:val="center"/>
                </w:tcPr>
                <w:p w14:paraId="3270E2C0">
                  <w:pPr>
                    <w:pStyle w:val="41"/>
                    <w:widowControl/>
                    <w:spacing w:line="240" w:lineRule="auto"/>
                    <w:ind w:firstLine="0" w:firstLineChars="0"/>
                    <w:jc w:val="left"/>
                    <w:rPr>
                      <w:rFonts w:eastAsia="宋体"/>
                      <w:sz w:val="21"/>
                    </w:rPr>
                  </w:pPr>
                  <w:r>
                    <w:rPr>
                      <w:rFonts w:eastAsia="宋体"/>
                      <w:sz w:val="21"/>
                    </w:rPr>
                    <w:t>ZH51170220001</w:t>
                  </w:r>
                </w:p>
              </w:tc>
              <w:tc>
                <w:tcPr>
                  <w:tcW w:w="298" w:type="pct"/>
                  <w:vMerge w:val="restart"/>
                  <w:tcBorders>
                    <w:tl2br w:val="nil"/>
                    <w:tr2bl w:val="nil"/>
                  </w:tcBorders>
                  <w:vAlign w:val="center"/>
                </w:tcPr>
                <w:p w14:paraId="2FB79C85">
                  <w:pPr>
                    <w:pStyle w:val="41"/>
                    <w:widowControl/>
                    <w:spacing w:line="240" w:lineRule="auto"/>
                    <w:ind w:firstLine="0" w:firstLineChars="0"/>
                    <w:jc w:val="center"/>
                    <w:rPr>
                      <w:rFonts w:eastAsia="宋体"/>
                      <w:sz w:val="21"/>
                    </w:rPr>
                  </w:pPr>
                  <w:r>
                    <w:rPr>
                      <w:rFonts w:eastAsia="宋体"/>
                      <w:sz w:val="21"/>
                    </w:rPr>
                    <w:t>通川区城镇空间</w:t>
                  </w:r>
                </w:p>
              </w:tc>
              <w:tc>
                <w:tcPr>
                  <w:tcW w:w="1983" w:type="pct"/>
                  <w:vMerge w:val="restart"/>
                  <w:tcBorders>
                    <w:tl2br w:val="nil"/>
                    <w:tr2bl w:val="nil"/>
                  </w:tcBorders>
                  <w:vAlign w:val="center"/>
                </w:tcPr>
                <w:p w14:paraId="31FC59B5">
                  <w:pPr>
                    <w:pStyle w:val="41"/>
                    <w:spacing w:line="240" w:lineRule="auto"/>
                    <w:ind w:firstLine="0" w:firstLineChars="0"/>
                    <w:jc w:val="left"/>
                    <w:rPr>
                      <w:rFonts w:eastAsia="宋体"/>
                      <w:kern w:val="0"/>
                      <w:sz w:val="21"/>
                    </w:rPr>
                  </w:pPr>
                  <w:r>
                    <w:rPr>
                      <w:rFonts w:eastAsia="宋体"/>
                      <w:kern w:val="0"/>
                      <w:sz w:val="21"/>
                    </w:rPr>
                    <w:t>空间布局约束：</w:t>
                  </w:r>
                </w:p>
                <w:p w14:paraId="390A41DB">
                  <w:pPr>
                    <w:pStyle w:val="41"/>
                    <w:spacing w:line="240" w:lineRule="auto"/>
                    <w:ind w:firstLine="0" w:firstLineChars="0"/>
                    <w:jc w:val="left"/>
                    <w:rPr>
                      <w:rFonts w:eastAsia="宋体"/>
                      <w:kern w:val="0"/>
                      <w:sz w:val="21"/>
                    </w:rPr>
                  </w:pPr>
                  <w:r>
                    <w:rPr>
                      <w:rFonts w:eastAsia="宋体"/>
                      <w:kern w:val="0"/>
                      <w:sz w:val="21"/>
                    </w:rPr>
                    <w:t>禁止开发建设活动的要求</w:t>
                  </w:r>
                </w:p>
                <w:p w14:paraId="598D44E0">
                  <w:pPr>
                    <w:pStyle w:val="41"/>
                    <w:spacing w:line="240" w:lineRule="auto"/>
                    <w:ind w:firstLine="0" w:firstLineChars="0"/>
                    <w:jc w:val="left"/>
                    <w:rPr>
                      <w:rFonts w:eastAsia="宋体"/>
                      <w:kern w:val="0"/>
                      <w:sz w:val="21"/>
                    </w:rPr>
                  </w:pPr>
                  <w:r>
                    <w:rPr>
                      <w:rFonts w:eastAsia="宋体"/>
                      <w:kern w:val="0"/>
                      <w:sz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1B9828CF">
                  <w:pPr>
                    <w:pStyle w:val="41"/>
                    <w:spacing w:line="240" w:lineRule="auto"/>
                    <w:ind w:firstLine="0" w:firstLineChars="0"/>
                    <w:jc w:val="left"/>
                    <w:rPr>
                      <w:rFonts w:eastAsia="宋体"/>
                      <w:kern w:val="0"/>
                      <w:sz w:val="21"/>
                    </w:rPr>
                  </w:pPr>
                  <w:r>
                    <w:rPr>
                      <w:rFonts w:eastAsia="宋体"/>
                      <w:kern w:val="0"/>
                      <w:sz w:val="21"/>
                    </w:rPr>
                    <w:t>-原则上禁止新建工业企业（新建工业企业原则上都应在工业园区内建设）。</w:t>
                  </w:r>
                </w:p>
                <w:p w14:paraId="37624219">
                  <w:pPr>
                    <w:pStyle w:val="41"/>
                    <w:spacing w:line="240" w:lineRule="auto"/>
                    <w:ind w:firstLine="0" w:firstLineChars="0"/>
                    <w:jc w:val="left"/>
                    <w:rPr>
                      <w:rFonts w:eastAsia="宋体"/>
                      <w:kern w:val="0"/>
                      <w:sz w:val="21"/>
                    </w:rPr>
                  </w:pPr>
                  <w:r>
                    <w:rPr>
                      <w:rFonts w:eastAsia="宋体"/>
                      <w:kern w:val="0"/>
                      <w:sz w:val="21"/>
                    </w:rPr>
                    <w:t>-禁止在居民区、学校、医疗和养老机构等周边新建有色金属冶炼、焦化、化工、铅蓄电池制造等行业企业，有序搬迁或依法关闭对土壤造成严重污染的现有企业。</w:t>
                  </w:r>
                </w:p>
                <w:p w14:paraId="4F8E9C10">
                  <w:pPr>
                    <w:pStyle w:val="41"/>
                    <w:spacing w:line="240" w:lineRule="auto"/>
                    <w:ind w:firstLine="0" w:firstLineChars="0"/>
                    <w:jc w:val="left"/>
                    <w:rPr>
                      <w:rFonts w:eastAsia="宋体"/>
                      <w:kern w:val="0"/>
                      <w:sz w:val="21"/>
                    </w:rPr>
                  </w:pPr>
                  <w:r>
                    <w:rPr>
                      <w:rFonts w:eastAsia="宋体"/>
                      <w:kern w:val="0"/>
                      <w:sz w:val="21"/>
                    </w:rPr>
                    <w:t>-禁止在长江流域河湖管理范围内倾倒、填埋、堆放、弃置、处理固体废物。</w:t>
                  </w:r>
                </w:p>
                <w:p w14:paraId="2D05E9A1">
                  <w:pPr>
                    <w:pStyle w:val="41"/>
                    <w:spacing w:line="240" w:lineRule="auto"/>
                    <w:ind w:firstLine="0" w:firstLineChars="0"/>
                    <w:jc w:val="left"/>
                    <w:rPr>
                      <w:rFonts w:eastAsia="宋体"/>
                      <w:kern w:val="0"/>
                      <w:sz w:val="21"/>
                    </w:rPr>
                  </w:pPr>
                  <w:r>
                    <w:rPr>
                      <w:rFonts w:eastAsia="宋体"/>
                      <w:kern w:val="0"/>
                      <w:sz w:val="21"/>
                    </w:rPr>
                    <w:t>限制开发建设活动的要求</w:t>
                  </w:r>
                </w:p>
                <w:p w14:paraId="56E09AD5">
                  <w:pPr>
                    <w:pStyle w:val="41"/>
                    <w:spacing w:line="240" w:lineRule="auto"/>
                    <w:ind w:firstLine="0" w:firstLineChars="0"/>
                    <w:jc w:val="left"/>
                    <w:rPr>
                      <w:rFonts w:eastAsia="宋体"/>
                      <w:kern w:val="0"/>
                      <w:sz w:val="21"/>
                    </w:rPr>
                  </w:pPr>
                  <w:r>
                    <w:rPr>
                      <w:rFonts w:eastAsia="宋体"/>
                      <w:kern w:val="0"/>
                      <w:sz w:val="21"/>
                    </w:rPr>
                    <w:t>-对不符合国土空间规划的现有工业企业，污染物排放总量及环境风险水平只降不增，引导企业适时搬迁进入对口园区。</w:t>
                  </w:r>
                </w:p>
                <w:p w14:paraId="01A0B2F3">
                  <w:pPr>
                    <w:pStyle w:val="41"/>
                    <w:spacing w:line="240" w:lineRule="auto"/>
                    <w:ind w:firstLine="0" w:firstLineChars="0"/>
                    <w:jc w:val="left"/>
                    <w:rPr>
                      <w:rFonts w:eastAsia="宋体"/>
                      <w:kern w:val="0"/>
                      <w:sz w:val="21"/>
                    </w:rPr>
                  </w:pPr>
                  <w:r>
                    <w:rPr>
                      <w:rFonts w:eastAsia="宋体"/>
                      <w:kern w:val="0"/>
                      <w:sz w:val="21"/>
                    </w:rPr>
                    <w:t>-严格控制在城镇空间范围内新布设工业园区。若新布局工业园区，应符合达州市国土空间规划，并结合区域环境特点、三线成果、园区产业类别，充分论证选址的环境合理性。</w:t>
                  </w:r>
                </w:p>
                <w:p w14:paraId="0CFDD864">
                  <w:pPr>
                    <w:pStyle w:val="41"/>
                    <w:spacing w:line="240" w:lineRule="auto"/>
                    <w:ind w:firstLine="0" w:firstLineChars="0"/>
                    <w:jc w:val="left"/>
                    <w:rPr>
                      <w:rFonts w:eastAsia="宋体"/>
                      <w:kern w:val="0"/>
                      <w:sz w:val="21"/>
                    </w:rPr>
                  </w:pPr>
                  <w:r>
                    <w:rPr>
                      <w:rFonts w:eastAsia="宋体"/>
                      <w:kern w:val="0"/>
                      <w:sz w:val="21"/>
                    </w:rPr>
                    <w:t>-严格控制新增建设用地规模，法定城乡规划除外</w:t>
                  </w:r>
                </w:p>
                <w:p w14:paraId="01632C15">
                  <w:pPr>
                    <w:pStyle w:val="41"/>
                    <w:spacing w:line="240" w:lineRule="auto"/>
                    <w:ind w:firstLine="0" w:firstLineChars="0"/>
                    <w:jc w:val="left"/>
                    <w:rPr>
                      <w:rFonts w:eastAsia="宋体"/>
                      <w:kern w:val="0"/>
                      <w:sz w:val="21"/>
                    </w:rPr>
                  </w:pPr>
                  <w:r>
                    <w:rPr>
                      <w:rFonts w:eastAsia="宋体"/>
                      <w:kern w:val="0"/>
                      <w:sz w:val="21"/>
                    </w:rPr>
                    <w:t>不符合空间布局要求活动的退出要求</w:t>
                  </w:r>
                </w:p>
                <w:p w14:paraId="549EBFA3">
                  <w:pPr>
                    <w:pStyle w:val="41"/>
                    <w:spacing w:line="240" w:lineRule="auto"/>
                    <w:ind w:firstLine="0" w:firstLineChars="0"/>
                    <w:jc w:val="left"/>
                    <w:rPr>
                      <w:rFonts w:eastAsia="宋体"/>
                      <w:kern w:val="0"/>
                      <w:sz w:val="21"/>
                    </w:rPr>
                  </w:pPr>
                  <w:r>
                    <w:rPr>
                      <w:rFonts w:eastAsia="宋体"/>
                      <w:kern w:val="0"/>
                      <w:sz w:val="21"/>
                    </w:rPr>
                    <w:t>1.按照相关规划和要求，清理整顿非法采砂、非法码头，全面清除不合规码头。</w:t>
                  </w:r>
                </w:p>
                <w:p w14:paraId="692AB388">
                  <w:pPr>
                    <w:pStyle w:val="41"/>
                    <w:spacing w:line="240" w:lineRule="auto"/>
                    <w:ind w:firstLine="0" w:firstLineChars="0"/>
                    <w:jc w:val="left"/>
                    <w:rPr>
                      <w:rFonts w:eastAsia="宋体"/>
                      <w:kern w:val="0"/>
                      <w:sz w:val="21"/>
                    </w:rPr>
                  </w:pPr>
                  <w:r>
                    <w:rPr>
                      <w:rFonts w:eastAsia="宋体"/>
                      <w:kern w:val="0"/>
                      <w:sz w:val="21"/>
                    </w:rPr>
                    <w:t>2.在全市范围深入开展集中整治“散乱污”工业企业，对不符合产业政策和规划布局的，一律责令停产、限期搬迁或关停；</w:t>
                  </w:r>
                </w:p>
                <w:p w14:paraId="263657E7">
                  <w:pPr>
                    <w:pStyle w:val="41"/>
                    <w:spacing w:line="240" w:lineRule="auto"/>
                    <w:ind w:firstLine="0" w:firstLineChars="0"/>
                    <w:jc w:val="left"/>
                    <w:rPr>
                      <w:rFonts w:eastAsia="宋体"/>
                      <w:kern w:val="0"/>
                      <w:sz w:val="21"/>
                    </w:rPr>
                  </w:pPr>
                  <w:r>
                    <w:rPr>
                      <w:rFonts w:eastAsia="宋体"/>
                      <w:kern w:val="0"/>
                      <w:sz w:val="21"/>
                    </w:rPr>
                    <w:t>3.有序搬迁或依法关闭对土壤造成严重污染的现有企业。</w:t>
                  </w:r>
                </w:p>
                <w:p w14:paraId="0DD6F730">
                  <w:pPr>
                    <w:pStyle w:val="41"/>
                    <w:spacing w:line="240" w:lineRule="auto"/>
                    <w:ind w:firstLine="0" w:firstLineChars="0"/>
                    <w:jc w:val="left"/>
                    <w:rPr>
                      <w:rFonts w:eastAsia="宋体"/>
                      <w:kern w:val="0"/>
                      <w:sz w:val="21"/>
                    </w:rPr>
                  </w:pPr>
                  <w:r>
                    <w:rPr>
                      <w:rFonts w:eastAsia="宋体"/>
                      <w:kern w:val="0"/>
                      <w:sz w:val="21"/>
                    </w:rPr>
                    <w:t>4.到2025年，城镇人口密集区现有不符合安全和卫生防护距离要求的危险化学品生产企业搬迁进入规范化工园区或关闭退出。</w:t>
                  </w:r>
                </w:p>
                <w:p w14:paraId="0AD59DBE">
                  <w:pPr>
                    <w:pStyle w:val="41"/>
                    <w:spacing w:line="240" w:lineRule="auto"/>
                    <w:ind w:firstLine="0" w:firstLineChars="0"/>
                    <w:jc w:val="left"/>
                    <w:rPr>
                      <w:rFonts w:eastAsia="宋体"/>
                      <w:kern w:val="0"/>
                      <w:sz w:val="21"/>
                    </w:rPr>
                  </w:pPr>
                  <w:r>
                    <w:rPr>
                      <w:rFonts w:eastAsia="宋体"/>
                      <w:kern w:val="0"/>
                      <w:sz w:val="21"/>
                    </w:rPr>
                    <w:t>5.不断优化长江经济带化工行业空间布局，有效控制化工污染。推进化工企业搬迁入园，加强化工园区基础设施建设。</w:t>
                  </w:r>
                </w:p>
                <w:p w14:paraId="4011496E">
                  <w:pPr>
                    <w:pStyle w:val="41"/>
                    <w:spacing w:line="240" w:lineRule="auto"/>
                    <w:ind w:firstLine="0" w:firstLineChars="0"/>
                    <w:jc w:val="left"/>
                    <w:rPr>
                      <w:rFonts w:eastAsia="宋体"/>
                      <w:kern w:val="0"/>
                      <w:sz w:val="21"/>
                    </w:rPr>
                  </w:pPr>
                  <w:r>
                    <w:rPr>
                      <w:rFonts w:eastAsia="宋体"/>
                      <w:kern w:val="0"/>
                      <w:sz w:val="21"/>
                    </w:rPr>
                    <w:t>6.加快现有高污染或高风险产品生产化学品企业“退城入园”进度，逐步退出环境敏感区。</w:t>
                  </w:r>
                </w:p>
                <w:p w14:paraId="723ADEC5">
                  <w:pPr>
                    <w:pStyle w:val="41"/>
                    <w:spacing w:line="240" w:lineRule="auto"/>
                    <w:ind w:firstLine="0" w:firstLineChars="0"/>
                    <w:jc w:val="left"/>
                    <w:rPr>
                      <w:rFonts w:eastAsia="宋体"/>
                      <w:kern w:val="0"/>
                      <w:sz w:val="21"/>
                    </w:rPr>
                  </w:pPr>
                  <w:r>
                    <w:rPr>
                      <w:rFonts w:eastAsia="宋体"/>
                      <w:kern w:val="0"/>
                      <w:sz w:val="21"/>
                    </w:rPr>
                    <w:t>其他空间布局约束要求</w:t>
                  </w:r>
                </w:p>
                <w:p w14:paraId="5781154A">
                  <w:pPr>
                    <w:pStyle w:val="41"/>
                    <w:spacing w:line="240" w:lineRule="auto"/>
                    <w:ind w:firstLine="0" w:firstLineChars="0"/>
                    <w:jc w:val="left"/>
                    <w:rPr>
                      <w:rFonts w:eastAsia="宋体"/>
                      <w:kern w:val="0"/>
                      <w:sz w:val="21"/>
                    </w:rPr>
                  </w:pPr>
                  <w:r>
                    <w:rPr>
                      <w:rFonts w:eastAsia="宋体"/>
                      <w:kern w:val="0"/>
                      <w:sz w:val="21"/>
                    </w:rPr>
                    <w:t>/</w:t>
                  </w:r>
                </w:p>
                <w:p w14:paraId="0E1A9D1D">
                  <w:pPr>
                    <w:pStyle w:val="41"/>
                    <w:spacing w:line="240" w:lineRule="auto"/>
                    <w:ind w:firstLine="0" w:firstLineChars="0"/>
                    <w:jc w:val="left"/>
                    <w:rPr>
                      <w:rFonts w:eastAsia="宋体"/>
                      <w:kern w:val="0"/>
                      <w:sz w:val="21"/>
                    </w:rPr>
                  </w:pPr>
                  <w:r>
                    <w:rPr>
                      <w:rFonts w:eastAsia="宋体"/>
                      <w:kern w:val="0"/>
                      <w:sz w:val="21"/>
                    </w:rPr>
                    <w:t>污染物排放管控：</w:t>
                  </w:r>
                </w:p>
                <w:p w14:paraId="2E0A2439">
                  <w:pPr>
                    <w:pStyle w:val="41"/>
                    <w:spacing w:line="240" w:lineRule="auto"/>
                    <w:ind w:firstLine="0" w:firstLineChars="0"/>
                    <w:jc w:val="left"/>
                    <w:rPr>
                      <w:rFonts w:eastAsia="宋体"/>
                      <w:kern w:val="0"/>
                      <w:sz w:val="21"/>
                    </w:rPr>
                  </w:pPr>
                  <w:r>
                    <w:rPr>
                      <w:rFonts w:eastAsia="宋体"/>
                      <w:kern w:val="0"/>
                      <w:sz w:val="21"/>
                    </w:rPr>
                    <w:t>允许排放量要求</w:t>
                  </w:r>
                </w:p>
                <w:p w14:paraId="561C6B82">
                  <w:pPr>
                    <w:pStyle w:val="41"/>
                    <w:spacing w:line="240" w:lineRule="auto"/>
                    <w:ind w:firstLine="0" w:firstLineChars="0"/>
                    <w:jc w:val="left"/>
                    <w:rPr>
                      <w:rFonts w:eastAsia="宋体"/>
                      <w:kern w:val="0"/>
                      <w:sz w:val="21"/>
                    </w:rPr>
                  </w:pPr>
                  <w:r>
                    <w:rPr>
                      <w:rFonts w:eastAsia="宋体"/>
                      <w:kern w:val="0"/>
                      <w:sz w:val="21"/>
                    </w:rPr>
                    <w:t>达州市2025年水污染物允许排放量COD33136.93t，氨氮2055.16t，TP252.53t；</w:t>
                  </w:r>
                </w:p>
                <w:p w14:paraId="1B553B09">
                  <w:pPr>
                    <w:pStyle w:val="41"/>
                    <w:spacing w:line="240" w:lineRule="auto"/>
                    <w:ind w:firstLine="0" w:firstLineChars="0"/>
                    <w:jc w:val="left"/>
                    <w:rPr>
                      <w:rFonts w:eastAsia="宋体"/>
                      <w:kern w:val="0"/>
                      <w:sz w:val="21"/>
                    </w:rPr>
                  </w:pPr>
                  <w:r>
                    <w:rPr>
                      <w:rFonts w:eastAsia="宋体"/>
                      <w:kern w:val="0"/>
                      <w:sz w:val="21"/>
                    </w:rPr>
                    <w:t>现有源提标升级改造</w:t>
                  </w:r>
                </w:p>
                <w:p w14:paraId="2FC695D2">
                  <w:pPr>
                    <w:pStyle w:val="41"/>
                    <w:spacing w:line="240" w:lineRule="auto"/>
                    <w:ind w:firstLine="0" w:firstLineChars="0"/>
                    <w:jc w:val="left"/>
                    <w:rPr>
                      <w:rFonts w:eastAsia="宋体"/>
                      <w:kern w:val="0"/>
                      <w:sz w:val="21"/>
                    </w:rPr>
                  </w:pPr>
                  <w:r>
                    <w:rPr>
                      <w:rFonts w:eastAsia="宋体"/>
                      <w:kern w:val="0"/>
                      <w:sz w:val="21"/>
                    </w:rPr>
                    <w:t>-到2025年，水环境敏感地区污水处理基本达到一级A排放标准。</w:t>
                  </w:r>
                </w:p>
                <w:p w14:paraId="706E730D">
                  <w:pPr>
                    <w:pStyle w:val="41"/>
                    <w:spacing w:line="240" w:lineRule="auto"/>
                    <w:ind w:firstLine="0" w:firstLineChars="0"/>
                    <w:jc w:val="left"/>
                    <w:rPr>
                      <w:rFonts w:eastAsia="宋体"/>
                      <w:kern w:val="0"/>
                      <w:sz w:val="21"/>
                    </w:rPr>
                  </w:pPr>
                  <w:r>
                    <w:rPr>
                      <w:rFonts w:eastAsia="宋体"/>
                      <w:kern w:val="0"/>
                      <w:sz w:val="21"/>
                    </w:rPr>
                    <w:t>-燃气锅炉升级改造，达到特别排放限值。</w:t>
                  </w:r>
                </w:p>
                <w:p w14:paraId="5840AACA">
                  <w:pPr>
                    <w:pStyle w:val="41"/>
                    <w:spacing w:line="240" w:lineRule="auto"/>
                    <w:ind w:firstLine="0" w:firstLineChars="0"/>
                    <w:jc w:val="left"/>
                    <w:rPr>
                      <w:rFonts w:eastAsia="宋体"/>
                      <w:kern w:val="0"/>
                      <w:sz w:val="21"/>
                    </w:rPr>
                  </w:pPr>
                  <w:r>
                    <w:rPr>
                      <w:rFonts w:eastAsia="宋体"/>
                      <w:kern w:val="0"/>
                      <w:sz w:val="21"/>
                    </w:rPr>
                    <w:t>-城市污水处理厂进水生化需氧量（BOD）浓度低于 100 mg/L 的，要围绕服务片区管网，系统排查进水浓度偏低的原因，科学确定水质提升目标，制定并实施“一厂一策”系统化整治方案，稳步提升污水收集处理设施效能。</w:t>
                  </w:r>
                </w:p>
                <w:p w14:paraId="43E4E4F8">
                  <w:pPr>
                    <w:pStyle w:val="41"/>
                    <w:spacing w:line="240" w:lineRule="auto"/>
                    <w:ind w:firstLine="0" w:firstLineChars="0"/>
                    <w:jc w:val="left"/>
                    <w:rPr>
                      <w:rFonts w:eastAsia="宋体"/>
                      <w:kern w:val="0"/>
                      <w:sz w:val="21"/>
                    </w:rPr>
                  </w:pPr>
                  <w:r>
                    <w:rPr>
                      <w:rFonts w:eastAsia="宋体"/>
                      <w:kern w:val="0"/>
                      <w:sz w:val="21"/>
                    </w:rPr>
                    <w:t>-全面落实各类施工工地扬尘防控措施，重点、重大项目工地实现视频监控、可吸入颗粒物（PM</w:t>
                  </w:r>
                  <w:r>
                    <w:rPr>
                      <w:rFonts w:eastAsia="宋体"/>
                      <w:kern w:val="0"/>
                      <w:sz w:val="21"/>
                      <w:vertAlign w:val="subscript"/>
                    </w:rPr>
                    <w:t>10</w:t>
                  </w:r>
                  <w:r>
                    <w:rPr>
                      <w:rFonts w:eastAsia="宋体"/>
                      <w:kern w:val="0"/>
                      <w:sz w:val="21"/>
                    </w:rPr>
                    <w:t>）在线监测全覆盖。</w:t>
                  </w:r>
                </w:p>
                <w:p w14:paraId="3F30D2EA">
                  <w:pPr>
                    <w:pStyle w:val="41"/>
                    <w:spacing w:line="240" w:lineRule="auto"/>
                    <w:ind w:firstLine="0" w:firstLineChars="0"/>
                    <w:jc w:val="left"/>
                    <w:rPr>
                      <w:rFonts w:eastAsia="宋体"/>
                      <w:kern w:val="0"/>
                      <w:sz w:val="21"/>
                    </w:rPr>
                  </w:pPr>
                  <w:r>
                    <w:rPr>
                      <w:rFonts w:eastAsia="宋体"/>
                      <w:kern w:val="0"/>
                      <w:sz w:val="21"/>
                    </w:rPr>
                    <w:t>-有序开展城市生活源VOCs污染防治；全面推广房屋建筑和市政工程涉VOCs工序环节使用低VOCs含量涂料和胶粘剂；推进加油站按照《四川省加油站大气污染排放标准》要求安装油气处理装置。</w:t>
                  </w:r>
                </w:p>
                <w:p w14:paraId="4F182629">
                  <w:pPr>
                    <w:pStyle w:val="41"/>
                    <w:spacing w:line="240" w:lineRule="auto"/>
                    <w:ind w:firstLine="0" w:firstLineChars="0"/>
                    <w:jc w:val="left"/>
                    <w:rPr>
                      <w:rFonts w:eastAsia="宋体"/>
                      <w:kern w:val="0"/>
                      <w:sz w:val="21"/>
                    </w:rPr>
                  </w:pPr>
                  <w:r>
                    <w:rPr>
                      <w:rFonts w:eastAsia="宋体"/>
                      <w:kern w:val="0"/>
                      <w:sz w:val="21"/>
                    </w:rPr>
                    <w:t>-加大新能源汽车在城市公交、出租汽车、城市配送、邮政快递、机场、铁路货场、重点地区港口等领域应用，地级以上城市清洁能源汽车在公共领域使用率显著提升，设区的市城市公交车基本实现新能源化。</w:t>
                  </w:r>
                </w:p>
                <w:p w14:paraId="6C7CD3D9">
                  <w:pPr>
                    <w:pStyle w:val="41"/>
                    <w:spacing w:line="240" w:lineRule="auto"/>
                    <w:ind w:firstLine="0" w:firstLineChars="0"/>
                    <w:jc w:val="left"/>
                    <w:rPr>
                      <w:rFonts w:eastAsia="宋体"/>
                      <w:kern w:val="0"/>
                      <w:sz w:val="21"/>
                    </w:rPr>
                  </w:pPr>
                  <w:r>
                    <w:rPr>
                      <w:rFonts w:eastAsia="宋体"/>
                      <w:kern w:val="0"/>
                      <w:sz w:val="21"/>
                    </w:rPr>
                    <w:t>其他污染物排放管控要求</w:t>
                  </w:r>
                </w:p>
                <w:p w14:paraId="0BD82DB0">
                  <w:pPr>
                    <w:pStyle w:val="41"/>
                    <w:spacing w:line="240" w:lineRule="auto"/>
                    <w:ind w:firstLine="0" w:firstLineChars="0"/>
                    <w:jc w:val="left"/>
                    <w:rPr>
                      <w:rFonts w:eastAsia="宋体"/>
                      <w:kern w:val="0"/>
                      <w:sz w:val="21"/>
                    </w:rPr>
                  </w:pPr>
                  <w:r>
                    <w:rPr>
                      <w:rFonts w:eastAsia="宋体"/>
                      <w:kern w:val="0"/>
                      <w:sz w:val="21"/>
                    </w:rPr>
                    <w:t>1.新增源等量或倍量替代</w:t>
                  </w:r>
                  <w:r>
                    <w:rPr>
                      <w:rFonts w:hint="eastAsia" w:eastAsia="宋体"/>
                      <w:kern w:val="0"/>
                      <w:sz w:val="21"/>
                    </w:rPr>
                    <w:t>：</w:t>
                  </w:r>
                  <w:r>
                    <w:rPr>
                      <w:rFonts w:eastAsia="宋体"/>
                      <w:kern w:val="0"/>
                      <w:sz w:val="21"/>
                    </w:rPr>
                    <w:t>-上一年度水环境质量未完成目标的，新建排放水污染的建设项目按照总量管控要求进行倍量削减替代。</w:t>
                  </w:r>
                </w:p>
                <w:p w14:paraId="7F5D642B">
                  <w:pPr>
                    <w:pStyle w:val="41"/>
                    <w:spacing w:line="240" w:lineRule="auto"/>
                    <w:ind w:firstLine="0" w:firstLineChars="0"/>
                    <w:jc w:val="left"/>
                    <w:rPr>
                      <w:rFonts w:eastAsia="宋体"/>
                      <w:kern w:val="0"/>
                      <w:sz w:val="21"/>
                    </w:rPr>
                  </w:pPr>
                  <w:r>
                    <w:rPr>
                      <w:rFonts w:eastAsia="宋体"/>
                      <w:kern w:val="0"/>
                      <w:sz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14:paraId="3CD8BE68">
                  <w:pPr>
                    <w:pStyle w:val="41"/>
                    <w:spacing w:line="240" w:lineRule="auto"/>
                    <w:ind w:firstLine="0" w:firstLineChars="0"/>
                    <w:jc w:val="left"/>
                    <w:rPr>
                      <w:rFonts w:eastAsia="宋体"/>
                      <w:kern w:val="0"/>
                      <w:sz w:val="21"/>
                    </w:rPr>
                  </w:pPr>
                  <w:r>
                    <w:rPr>
                      <w:rFonts w:eastAsia="宋体"/>
                      <w:kern w:val="0"/>
                      <w:sz w:val="21"/>
                    </w:rPr>
                    <w:t>2.污染物排放绩效水平准入要求</w:t>
                  </w:r>
                  <w:r>
                    <w:rPr>
                      <w:rFonts w:hint="eastAsia" w:eastAsia="宋体"/>
                      <w:kern w:val="0"/>
                      <w:sz w:val="21"/>
                    </w:rPr>
                    <w:t>：</w:t>
                  </w:r>
                  <w:r>
                    <w:rPr>
                      <w:rFonts w:eastAsia="宋体"/>
                      <w:kern w:val="0"/>
                      <w:sz w:val="21"/>
                    </w:rPr>
                    <w:t>严格落实建设工地管理要求，做好扬尘污染管控工作。</w:t>
                  </w:r>
                </w:p>
                <w:p w14:paraId="620D6E20">
                  <w:pPr>
                    <w:pStyle w:val="41"/>
                    <w:spacing w:line="240" w:lineRule="auto"/>
                    <w:ind w:firstLine="0" w:firstLineChars="0"/>
                    <w:jc w:val="left"/>
                    <w:rPr>
                      <w:rFonts w:eastAsia="宋体"/>
                      <w:kern w:val="0"/>
                      <w:sz w:val="21"/>
                    </w:rPr>
                  </w:pPr>
                  <w:r>
                    <w:rPr>
                      <w:rFonts w:eastAsia="宋体"/>
                      <w:kern w:val="0"/>
                      <w:sz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14:paraId="3846B35E">
                  <w:pPr>
                    <w:pStyle w:val="41"/>
                    <w:spacing w:line="240" w:lineRule="auto"/>
                    <w:ind w:firstLine="0" w:firstLineChars="0"/>
                    <w:jc w:val="left"/>
                    <w:rPr>
                      <w:rFonts w:eastAsia="宋体"/>
                      <w:kern w:val="0"/>
                      <w:sz w:val="21"/>
                    </w:rPr>
                  </w:pPr>
                  <w:r>
                    <w:rPr>
                      <w:rFonts w:eastAsia="宋体"/>
                      <w:kern w:val="0"/>
                      <w:sz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14:paraId="0B5BECA7">
                  <w:pPr>
                    <w:pStyle w:val="41"/>
                    <w:spacing w:line="240" w:lineRule="auto"/>
                    <w:ind w:firstLine="0" w:firstLineChars="0"/>
                    <w:jc w:val="left"/>
                    <w:rPr>
                      <w:rFonts w:eastAsia="宋体"/>
                      <w:kern w:val="0"/>
                      <w:sz w:val="21"/>
                    </w:rPr>
                  </w:pPr>
                  <w:r>
                    <w:rPr>
                      <w:rFonts w:eastAsia="宋体"/>
                      <w:kern w:val="0"/>
                      <w:sz w:val="21"/>
                    </w:rPr>
                    <w:t>-实施密闭化收运，推广干湿分类收运。强化垃圾渗滤液、焚烧飞灰安全处置，城市生活垃圾无害化处理率保持100%。</w:t>
                  </w:r>
                </w:p>
                <w:p w14:paraId="60926B6D">
                  <w:pPr>
                    <w:pStyle w:val="41"/>
                    <w:spacing w:line="240" w:lineRule="auto"/>
                    <w:ind w:firstLine="0" w:firstLineChars="0"/>
                    <w:jc w:val="left"/>
                    <w:rPr>
                      <w:rFonts w:eastAsia="宋体"/>
                      <w:kern w:val="0"/>
                      <w:sz w:val="21"/>
                    </w:rPr>
                  </w:pPr>
                  <w:r>
                    <w:rPr>
                      <w:rFonts w:eastAsia="宋体"/>
                      <w:kern w:val="0"/>
                      <w:sz w:val="21"/>
                    </w:rPr>
                    <w:t>-到2023年，力争全省生活垃圾焚烧处理能力占比达60%以上，地级以上城市具备厨余垃圾集中处理能力；县城生活垃圾无害化处理率保持95%以上，乡镇及行政村生活垃圾收转运处置体系基本实现全覆盖；</w:t>
                  </w:r>
                </w:p>
                <w:p w14:paraId="6C302D9B">
                  <w:pPr>
                    <w:pStyle w:val="41"/>
                    <w:spacing w:line="240" w:lineRule="auto"/>
                    <w:ind w:firstLine="0" w:firstLineChars="0"/>
                    <w:jc w:val="left"/>
                    <w:rPr>
                      <w:rFonts w:eastAsia="宋体"/>
                      <w:kern w:val="0"/>
                      <w:sz w:val="21"/>
                    </w:rPr>
                  </w:pPr>
                  <w:r>
                    <w:rPr>
                      <w:rFonts w:eastAsia="宋体"/>
                      <w:kern w:val="0"/>
                      <w:sz w:val="21"/>
                    </w:rPr>
                    <w:t>-2030年，渠江流域用水总量控制在31.61亿m</w:t>
                  </w:r>
                  <w:r>
                    <w:rPr>
                      <w:rFonts w:eastAsia="宋体"/>
                      <w:kern w:val="0"/>
                      <w:sz w:val="21"/>
                      <w:vertAlign w:val="superscript"/>
                    </w:rPr>
                    <w:t>3</w:t>
                  </w:r>
                  <w:r>
                    <w:rPr>
                      <w:rFonts w:eastAsia="宋体"/>
                      <w:kern w:val="0"/>
                      <w:sz w:val="21"/>
                    </w:rPr>
                    <w:t>以内，渠江干流COD排放总量限制在4.89万t/a内、NH</w:t>
                  </w:r>
                  <w:r>
                    <w:rPr>
                      <w:rFonts w:eastAsia="宋体"/>
                      <w:kern w:val="0"/>
                      <w:sz w:val="21"/>
                      <w:vertAlign w:val="subscript"/>
                    </w:rPr>
                    <w:t>3</w:t>
                  </w:r>
                  <w:r>
                    <w:rPr>
                      <w:rFonts w:eastAsia="宋体"/>
                      <w:kern w:val="0"/>
                      <w:sz w:val="21"/>
                    </w:rPr>
                    <w:t>-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14:paraId="0F527A90">
                  <w:pPr>
                    <w:pStyle w:val="41"/>
                    <w:spacing w:line="240" w:lineRule="auto"/>
                    <w:ind w:firstLine="0" w:firstLineChars="0"/>
                    <w:jc w:val="left"/>
                    <w:rPr>
                      <w:rFonts w:eastAsia="宋体"/>
                      <w:kern w:val="0"/>
                      <w:sz w:val="21"/>
                    </w:rPr>
                  </w:pPr>
                  <w:r>
                    <w:rPr>
                      <w:rFonts w:eastAsia="宋体"/>
                      <w:kern w:val="0"/>
                      <w:sz w:val="21"/>
                    </w:rPr>
                    <w:t>3.新建噪声敏感建筑物时，建设单位应全面执行绿色建筑标准，合理确定建筑物与交通干线等的防噪声距离，落实隔声减噪措施。</w:t>
                  </w:r>
                </w:p>
                <w:p w14:paraId="6A34A57A">
                  <w:pPr>
                    <w:pStyle w:val="41"/>
                    <w:spacing w:line="240" w:lineRule="auto"/>
                    <w:ind w:firstLine="0" w:firstLineChars="0"/>
                    <w:jc w:val="left"/>
                    <w:rPr>
                      <w:rFonts w:eastAsia="宋体"/>
                      <w:kern w:val="0"/>
                      <w:sz w:val="21"/>
                    </w:rPr>
                  </w:pPr>
                  <w:r>
                    <w:rPr>
                      <w:rFonts w:eastAsia="宋体"/>
                      <w:kern w:val="0"/>
                      <w:sz w:val="21"/>
                    </w:rPr>
                    <w:t>4.已竣工交付使用的住宅楼、商铺、办公楼等建筑物不得在午、夜间进行产噪装修作业，在其他时间进行装修作业的，应当采取噪声防治措施。</w:t>
                  </w:r>
                </w:p>
                <w:p w14:paraId="00BD17E2">
                  <w:pPr>
                    <w:pStyle w:val="41"/>
                    <w:spacing w:line="240" w:lineRule="auto"/>
                    <w:ind w:firstLine="0" w:firstLineChars="0"/>
                    <w:jc w:val="left"/>
                    <w:rPr>
                      <w:rFonts w:eastAsia="宋体"/>
                      <w:kern w:val="0"/>
                      <w:sz w:val="21"/>
                    </w:rPr>
                  </w:pPr>
                </w:p>
                <w:p w14:paraId="7149F56B">
                  <w:pPr>
                    <w:pStyle w:val="41"/>
                    <w:spacing w:line="240" w:lineRule="auto"/>
                    <w:ind w:firstLine="0" w:firstLineChars="0"/>
                    <w:jc w:val="left"/>
                    <w:rPr>
                      <w:rFonts w:eastAsia="宋体"/>
                      <w:kern w:val="0"/>
                      <w:sz w:val="21"/>
                    </w:rPr>
                  </w:pPr>
                  <w:r>
                    <w:rPr>
                      <w:rFonts w:eastAsia="宋体"/>
                      <w:kern w:val="0"/>
                      <w:sz w:val="21"/>
                    </w:rPr>
                    <w:t>环境风险防控：</w:t>
                  </w:r>
                </w:p>
                <w:p w14:paraId="3D58EC2E">
                  <w:pPr>
                    <w:pStyle w:val="41"/>
                    <w:spacing w:line="240" w:lineRule="auto"/>
                    <w:ind w:firstLine="0" w:firstLineChars="0"/>
                    <w:jc w:val="left"/>
                    <w:rPr>
                      <w:rFonts w:eastAsia="宋体"/>
                      <w:kern w:val="0"/>
                      <w:sz w:val="21"/>
                    </w:rPr>
                  </w:pPr>
                  <w:r>
                    <w:rPr>
                      <w:rFonts w:eastAsia="宋体"/>
                      <w:kern w:val="0"/>
                      <w:sz w:val="21"/>
                    </w:rPr>
                    <w:t>联防联控要求</w:t>
                  </w:r>
                </w:p>
                <w:p w14:paraId="17696BB8">
                  <w:pPr>
                    <w:pStyle w:val="41"/>
                    <w:spacing w:line="240" w:lineRule="auto"/>
                    <w:ind w:firstLine="0" w:firstLineChars="0"/>
                    <w:jc w:val="left"/>
                    <w:rPr>
                      <w:rFonts w:eastAsia="宋体"/>
                      <w:kern w:val="0"/>
                      <w:sz w:val="21"/>
                    </w:rPr>
                  </w:pPr>
                  <w:r>
                    <w:rPr>
                      <w:rFonts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42561E80">
                  <w:pPr>
                    <w:pStyle w:val="41"/>
                    <w:spacing w:line="240" w:lineRule="auto"/>
                    <w:ind w:firstLine="0" w:firstLineChars="0"/>
                    <w:jc w:val="left"/>
                    <w:rPr>
                      <w:rFonts w:eastAsia="宋体"/>
                      <w:kern w:val="0"/>
                      <w:sz w:val="21"/>
                    </w:rPr>
                  </w:pPr>
                  <w:r>
                    <w:rPr>
                      <w:rFonts w:eastAsia="宋体"/>
                      <w:kern w:val="0"/>
                      <w:sz w:val="21"/>
                    </w:rPr>
                    <w:t>其他环境风险防控要求</w:t>
                  </w:r>
                </w:p>
                <w:p w14:paraId="7CDCF83A">
                  <w:pPr>
                    <w:pStyle w:val="41"/>
                    <w:spacing w:line="240" w:lineRule="auto"/>
                    <w:ind w:firstLine="0" w:firstLineChars="0"/>
                    <w:jc w:val="left"/>
                    <w:rPr>
                      <w:rFonts w:eastAsia="宋体"/>
                      <w:kern w:val="0"/>
                      <w:sz w:val="21"/>
                    </w:rPr>
                  </w:pPr>
                  <w:r>
                    <w:rPr>
                      <w:rFonts w:eastAsia="宋体"/>
                      <w:kern w:val="0"/>
                      <w:sz w:val="21"/>
                    </w:rPr>
                    <w:t>企业环境风险防控要求</w:t>
                  </w:r>
                  <w:r>
                    <w:rPr>
                      <w:rFonts w:hint="eastAsia" w:eastAsia="宋体"/>
                      <w:kern w:val="0"/>
                      <w:sz w:val="21"/>
                    </w:rPr>
                    <w:t>：</w:t>
                  </w:r>
                  <w:r>
                    <w:rPr>
                      <w:rFonts w:eastAsia="宋体"/>
                      <w:kern w:val="0"/>
                      <w:sz w:val="21"/>
                    </w:rPr>
                    <w:t>现有涉及五类重金属的企业，不得新增污染物排放，限期退城入园或关停。用地环境风险防控要求</w:t>
                  </w:r>
                  <w:r>
                    <w:rPr>
                      <w:rFonts w:hint="eastAsia" w:eastAsia="宋体"/>
                      <w:kern w:val="0"/>
                      <w:sz w:val="21"/>
                    </w:rPr>
                    <w:t>：</w:t>
                  </w:r>
                  <w:r>
                    <w:rPr>
                      <w:rFonts w:eastAsia="宋体"/>
                      <w:kern w:val="0"/>
                      <w:sz w:val="21"/>
                    </w:rPr>
                    <w:t>工业企业退出用地，须经评估、修复满足相应用地功能后，方可改变用途。</w:t>
                  </w:r>
                </w:p>
                <w:p w14:paraId="442BC035">
                  <w:pPr>
                    <w:pStyle w:val="41"/>
                    <w:spacing w:line="240" w:lineRule="auto"/>
                    <w:ind w:firstLine="0" w:firstLineChars="0"/>
                    <w:jc w:val="left"/>
                    <w:rPr>
                      <w:rFonts w:eastAsia="宋体"/>
                      <w:kern w:val="0"/>
                      <w:sz w:val="21"/>
                    </w:rPr>
                  </w:pPr>
                  <w:r>
                    <w:rPr>
                      <w:rFonts w:eastAsia="宋体"/>
                      <w:kern w:val="0"/>
                      <w:sz w:val="21"/>
                    </w:rPr>
                    <w:t>资源开发利用效率要求：</w:t>
                  </w:r>
                </w:p>
                <w:p w14:paraId="5D7983E6">
                  <w:pPr>
                    <w:pStyle w:val="41"/>
                    <w:spacing w:line="240" w:lineRule="auto"/>
                    <w:ind w:firstLine="0" w:firstLineChars="0"/>
                    <w:jc w:val="left"/>
                    <w:rPr>
                      <w:rFonts w:eastAsia="宋体"/>
                      <w:kern w:val="0"/>
                      <w:sz w:val="21"/>
                    </w:rPr>
                  </w:pPr>
                  <w:r>
                    <w:rPr>
                      <w:rFonts w:eastAsia="宋体"/>
                      <w:kern w:val="0"/>
                      <w:sz w:val="21"/>
                    </w:rPr>
                    <w:t>水资源利用总量要求</w:t>
                  </w:r>
                </w:p>
                <w:p w14:paraId="19C5F5CF">
                  <w:pPr>
                    <w:pStyle w:val="41"/>
                    <w:spacing w:line="240" w:lineRule="auto"/>
                    <w:ind w:firstLine="0" w:firstLineChars="0"/>
                    <w:jc w:val="left"/>
                    <w:rPr>
                      <w:rFonts w:eastAsia="宋体"/>
                      <w:kern w:val="0"/>
                      <w:sz w:val="21"/>
                    </w:rPr>
                  </w:pPr>
                  <w:r>
                    <w:rPr>
                      <w:rFonts w:eastAsia="宋体"/>
                      <w:kern w:val="0"/>
                      <w:sz w:val="21"/>
                    </w:rPr>
                    <w:t>-到2025年，全国污水收集效能显著提升，县城及城市污水处理能力基本满足当地经济社会发展需要，水环境敏感地区污水处理基本实现提标升级；全国地级及以上缺水城市再生水利用率达到25%以上。</w:t>
                  </w:r>
                </w:p>
                <w:p w14:paraId="5A73C536">
                  <w:pPr>
                    <w:pStyle w:val="41"/>
                    <w:spacing w:line="240" w:lineRule="auto"/>
                    <w:ind w:firstLine="0" w:firstLineChars="0"/>
                    <w:jc w:val="left"/>
                    <w:rPr>
                      <w:rFonts w:eastAsia="宋体"/>
                      <w:kern w:val="0"/>
                      <w:sz w:val="21"/>
                    </w:rPr>
                  </w:pPr>
                </w:p>
                <w:p w14:paraId="26619F9B">
                  <w:pPr>
                    <w:pStyle w:val="41"/>
                    <w:spacing w:line="240" w:lineRule="auto"/>
                    <w:ind w:firstLine="0" w:firstLineChars="0"/>
                    <w:jc w:val="left"/>
                    <w:rPr>
                      <w:rFonts w:eastAsia="宋体"/>
                      <w:kern w:val="0"/>
                      <w:sz w:val="21"/>
                    </w:rPr>
                  </w:pPr>
                  <w:r>
                    <w:rPr>
                      <w:rFonts w:eastAsia="宋体"/>
                      <w:kern w:val="0"/>
                      <w:sz w:val="21"/>
                    </w:rPr>
                    <w:t>地下水开采要求</w:t>
                  </w:r>
                </w:p>
                <w:p w14:paraId="0A34C1DF">
                  <w:pPr>
                    <w:pStyle w:val="41"/>
                    <w:spacing w:line="240" w:lineRule="auto"/>
                    <w:ind w:firstLine="0" w:firstLineChars="0"/>
                    <w:jc w:val="left"/>
                    <w:rPr>
                      <w:rFonts w:eastAsia="宋体"/>
                      <w:kern w:val="0"/>
                      <w:sz w:val="21"/>
                    </w:rPr>
                  </w:pPr>
                  <w:r>
                    <w:rPr>
                      <w:rFonts w:eastAsia="宋体"/>
                      <w:kern w:val="0"/>
                      <w:sz w:val="21"/>
                    </w:rPr>
                    <w:t>以省市下发指标为准</w:t>
                  </w:r>
                </w:p>
                <w:p w14:paraId="24FE4335">
                  <w:pPr>
                    <w:pStyle w:val="41"/>
                    <w:spacing w:line="240" w:lineRule="auto"/>
                    <w:ind w:firstLine="0" w:firstLineChars="0"/>
                    <w:jc w:val="left"/>
                    <w:rPr>
                      <w:rFonts w:eastAsia="宋体"/>
                      <w:kern w:val="0"/>
                      <w:sz w:val="21"/>
                    </w:rPr>
                  </w:pPr>
                  <w:r>
                    <w:rPr>
                      <w:rFonts w:eastAsia="宋体"/>
                      <w:kern w:val="0"/>
                      <w:sz w:val="21"/>
                    </w:rPr>
                    <w:t>能源利用总量及效率要求</w:t>
                  </w:r>
                </w:p>
                <w:p w14:paraId="49650EC3">
                  <w:pPr>
                    <w:pStyle w:val="41"/>
                    <w:spacing w:line="240" w:lineRule="auto"/>
                    <w:ind w:firstLine="0" w:firstLineChars="0"/>
                    <w:jc w:val="left"/>
                    <w:rPr>
                      <w:rFonts w:eastAsia="宋体"/>
                      <w:kern w:val="0"/>
                      <w:sz w:val="21"/>
                    </w:rPr>
                  </w:pPr>
                  <w:r>
                    <w:rPr>
                      <w:rFonts w:eastAsia="宋体"/>
                      <w:kern w:val="0"/>
                      <w:sz w:val="21"/>
                    </w:rPr>
                    <w:t>-严控使用燃煤等高污染燃料，禁止焚烧垃圾。</w:t>
                  </w:r>
                </w:p>
                <w:p w14:paraId="44F425C2">
                  <w:pPr>
                    <w:pStyle w:val="41"/>
                    <w:spacing w:line="240" w:lineRule="auto"/>
                    <w:ind w:firstLine="0" w:firstLineChars="0"/>
                    <w:jc w:val="left"/>
                    <w:rPr>
                      <w:rFonts w:eastAsia="宋体"/>
                      <w:kern w:val="0"/>
                      <w:sz w:val="21"/>
                    </w:rPr>
                  </w:pPr>
                  <w:r>
                    <w:rPr>
                      <w:rFonts w:eastAsia="宋体"/>
                      <w:kern w:val="0"/>
                      <w:sz w:val="21"/>
                    </w:rPr>
                    <w:t>-全面淘汰每小时10蒸吨以下的燃煤锅炉；在供气管网覆盖不到的其他地区，改用电、新能源或洁净煤。</w:t>
                  </w:r>
                </w:p>
                <w:p w14:paraId="655951ED">
                  <w:pPr>
                    <w:pStyle w:val="41"/>
                    <w:spacing w:line="240" w:lineRule="auto"/>
                    <w:ind w:firstLine="0" w:firstLineChars="0"/>
                    <w:jc w:val="left"/>
                    <w:rPr>
                      <w:rFonts w:eastAsia="宋体"/>
                      <w:kern w:val="0"/>
                      <w:sz w:val="21"/>
                    </w:rPr>
                  </w:pPr>
                  <w:r>
                    <w:rPr>
                      <w:rFonts w:eastAsia="宋体"/>
                      <w:kern w:val="0"/>
                      <w:sz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2EA8D1C2">
                  <w:pPr>
                    <w:pStyle w:val="41"/>
                    <w:spacing w:line="240" w:lineRule="auto"/>
                    <w:ind w:firstLine="0" w:firstLineChars="0"/>
                    <w:jc w:val="left"/>
                    <w:rPr>
                      <w:rFonts w:eastAsia="宋体"/>
                      <w:kern w:val="0"/>
                      <w:sz w:val="21"/>
                    </w:rPr>
                  </w:pPr>
                </w:p>
                <w:p w14:paraId="1D83BF18">
                  <w:pPr>
                    <w:pStyle w:val="41"/>
                    <w:spacing w:line="240" w:lineRule="auto"/>
                    <w:ind w:firstLine="0" w:firstLineChars="0"/>
                    <w:jc w:val="left"/>
                    <w:rPr>
                      <w:rFonts w:eastAsia="宋体"/>
                      <w:kern w:val="0"/>
                      <w:sz w:val="21"/>
                    </w:rPr>
                  </w:pPr>
                  <w:r>
                    <w:rPr>
                      <w:rFonts w:eastAsia="宋体"/>
                      <w:kern w:val="0"/>
                      <w:sz w:val="21"/>
                    </w:rPr>
                    <w:t>禁燃区要求</w:t>
                  </w:r>
                </w:p>
                <w:p w14:paraId="6246B75C">
                  <w:pPr>
                    <w:pStyle w:val="41"/>
                    <w:spacing w:line="240" w:lineRule="auto"/>
                    <w:ind w:firstLine="0" w:firstLineChars="0"/>
                    <w:jc w:val="left"/>
                    <w:rPr>
                      <w:rFonts w:eastAsia="宋体"/>
                      <w:kern w:val="0"/>
                      <w:sz w:val="21"/>
                    </w:rPr>
                  </w:pPr>
                  <w:r>
                    <w:rPr>
                      <w:rFonts w:eastAsia="宋体"/>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4DF534BD">
                  <w:pPr>
                    <w:pStyle w:val="41"/>
                    <w:spacing w:line="240" w:lineRule="auto"/>
                    <w:ind w:firstLine="0" w:firstLineChars="0"/>
                    <w:jc w:val="left"/>
                    <w:rPr>
                      <w:rFonts w:eastAsia="宋体"/>
                      <w:kern w:val="0"/>
                      <w:sz w:val="21"/>
                    </w:rPr>
                  </w:pPr>
                  <w:r>
                    <w:rPr>
                      <w:rFonts w:eastAsia="宋体"/>
                      <w:kern w:val="0"/>
                      <w:sz w:val="21"/>
                    </w:rPr>
                    <w:t>-禁燃区内禁止销售、燃用高污染燃料；禁止新建、改建、扩建燃用高污染燃料的设施和设备。</w:t>
                  </w:r>
                </w:p>
                <w:p w14:paraId="52F51B37">
                  <w:pPr>
                    <w:pStyle w:val="41"/>
                    <w:spacing w:line="240" w:lineRule="auto"/>
                    <w:ind w:firstLine="0" w:firstLineChars="0"/>
                    <w:jc w:val="left"/>
                    <w:rPr>
                      <w:rFonts w:eastAsia="宋体"/>
                      <w:kern w:val="0"/>
                      <w:sz w:val="21"/>
                    </w:rPr>
                  </w:pPr>
                  <w:r>
                    <w:rPr>
                      <w:rFonts w:eastAsia="宋体"/>
                      <w:kern w:val="0"/>
                      <w:sz w:val="21"/>
                    </w:rPr>
                    <w:t>-禁燃区内已建成的高污染燃料燃用设施由辖区人民政府制定限期改造计划，改用天然气、页岩气、液化石油气、电或其他清洁能源。</w:t>
                  </w:r>
                </w:p>
                <w:p w14:paraId="2021DDAE">
                  <w:pPr>
                    <w:pStyle w:val="41"/>
                    <w:spacing w:line="240" w:lineRule="auto"/>
                    <w:ind w:firstLine="0" w:firstLineChars="0"/>
                    <w:jc w:val="left"/>
                    <w:rPr>
                      <w:rFonts w:eastAsia="宋体"/>
                      <w:kern w:val="0"/>
                      <w:sz w:val="21"/>
                    </w:rPr>
                  </w:pPr>
                </w:p>
                <w:p w14:paraId="4E4227BD">
                  <w:pPr>
                    <w:pStyle w:val="41"/>
                    <w:spacing w:line="240" w:lineRule="auto"/>
                    <w:ind w:firstLine="0" w:firstLineChars="0"/>
                    <w:jc w:val="left"/>
                    <w:rPr>
                      <w:rFonts w:eastAsia="宋体"/>
                      <w:kern w:val="0"/>
                      <w:sz w:val="21"/>
                    </w:rPr>
                  </w:pPr>
                  <w:r>
                    <w:rPr>
                      <w:rFonts w:eastAsia="宋体"/>
                      <w:kern w:val="0"/>
                      <w:sz w:val="21"/>
                    </w:rPr>
                    <w:t>其他资源利用效率要求</w:t>
                  </w:r>
                </w:p>
                <w:p w14:paraId="5AFB5B18">
                  <w:pPr>
                    <w:pStyle w:val="41"/>
                    <w:spacing w:line="240" w:lineRule="auto"/>
                    <w:ind w:firstLine="0" w:firstLineChars="0"/>
                    <w:jc w:val="left"/>
                    <w:rPr>
                      <w:rFonts w:eastAsia="宋体"/>
                      <w:kern w:val="0"/>
                      <w:sz w:val="21"/>
                    </w:rPr>
                  </w:pPr>
                  <w:r>
                    <w:rPr>
                      <w:rFonts w:eastAsia="宋体"/>
                      <w:kern w:val="0"/>
                      <w:sz w:val="21"/>
                    </w:rPr>
                    <w:t>△</w:t>
                  </w:r>
                </w:p>
              </w:tc>
              <w:tc>
                <w:tcPr>
                  <w:tcW w:w="240" w:type="pct"/>
                  <w:tcBorders>
                    <w:tl2br w:val="nil"/>
                    <w:tr2bl w:val="nil"/>
                  </w:tcBorders>
                  <w:vAlign w:val="center"/>
                </w:tcPr>
                <w:p w14:paraId="77E294F6">
                  <w:pPr>
                    <w:pStyle w:val="41"/>
                    <w:widowControl/>
                    <w:spacing w:line="240" w:lineRule="auto"/>
                    <w:ind w:firstLine="0" w:firstLineChars="0"/>
                    <w:jc w:val="center"/>
                    <w:rPr>
                      <w:rFonts w:eastAsia="宋体"/>
                      <w:sz w:val="21"/>
                    </w:rPr>
                  </w:pPr>
                  <w:r>
                    <w:rPr>
                      <w:rFonts w:eastAsia="宋体"/>
                      <w:sz w:val="21"/>
                    </w:rPr>
                    <w:t>空间布局约束</w:t>
                  </w:r>
                </w:p>
              </w:tc>
              <w:tc>
                <w:tcPr>
                  <w:tcW w:w="1080" w:type="pct"/>
                  <w:tcBorders>
                    <w:tl2br w:val="nil"/>
                    <w:tr2bl w:val="nil"/>
                  </w:tcBorders>
                  <w:vAlign w:val="center"/>
                </w:tcPr>
                <w:p w14:paraId="4A799B20">
                  <w:pPr>
                    <w:pStyle w:val="41"/>
                    <w:widowControl/>
                    <w:spacing w:line="240" w:lineRule="auto"/>
                    <w:ind w:firstLine="0" w:firstLineChars="0"/>
                    <w:rPr>
                      <w:rFonts w:eastAsia="宋体"/>
                      <w:sz w:val="21"/>
                    </w:rPr>
                  </w:pPr>
                  <w:r>
                    <w:rPr>
                      <w:rFonts w:eastAsia="宋体"/>
                      <w:sz w:val="21"/>
                    </w:rPr>
                    <w:t>禁止开发建设活动的要求</w:t>
                  </w:r>
                </w:p>
                <w:p w14:paraId="3640FAE9">
                  <w:pPr>
                    <w:pStyle w:val="41"/>
                    <w:widowControl/>
                    <w:spacing w:line="240" w:lineRule="auto"/>
                    <w:ind w:firstLine="0" w:firstLineChars="0"/>
                    <w:rPr>
                      <w:rFonts w:eastAsia="宋体"/>
                      <w:sz w:val="21"/>
                    </w:rPr>
                  </w:pPr>
                  <w:r>
                    <w:rPr>
                      <w:rFonts w:eastAsia="宋体"/>
                      <w:sz w:val="21"/>
                    </w:rPr>
                    <w:t>执行达州市城镇重点管控单元总体要求</w:t>
                  </w:r>
                </w:p>
                <w:p w14:paraId="75E67FC7">
                  <w:pPr>
                    <w:pStyle w:val="41"/>
                    <w:widowControl/>
                    <w:spacing w:line="240" w:lineRule="auto"/>
                    <w:ind w:firstLine="0" w:firstLineChars="0"/>
                    <w:rPr>
                      <w:rFonts w:eastAsia="宋体"/>
                      <w:sz w:val="21"/>
                    </w:rPr>
                  </w:pPr>
                  <w:r>
                    <w:rPr>
                      <w:rFonts w:eastAsia="宋体"/>
                      <w:sz w:val="21"/>
                    </w:rPr>
                    <w:t>限制开发建设活动的要求</w:t>
                  </w:r>
                </w:p>
                <w:p w14:paraId="26C0EBE8">
                  <w:pPr>
                    <w:pStyle w:val="41"/>
                    <w:widowControl/>
                    <w:spacing w:line="240" w:lineRule="auto"/>
                    <w:ind w:firstLine="0" w:firstLineChars="0"/>
                    <w:rPr>
                      <w:rFonts w:eastAsia="宋体"/>
                      <w:sz w:val="21"/>
                    </w:rPr>
                  </w:pPr>
                  <w:r>
                    <w:rPr>
                      <w:rFonts w:eastAsia="宋体"/>
                      <w:sz w:val="21"/>
                    </w:rPr>
                    <w:t>城市发展遵循“北控、西扩、南拓、东进、中优”的布局战略其他同达州市城镇重点总体管控要求</w:t>
                  </w:r>
                </w:p>
                <w:p w14:paraId="5226EB70">
                  <w:pPr>
                    <w:pStyle w:val="41"/>
                    <w:widowControl/>
                    <w:spacing w:line="240" w:lineRule="auto"/>
                    <w:ind w:firstLine="0" w:firstLineChars="0"/>
                    <w:rPr>
                      <w:rFonts w:eastAsia="宋体"/>
                      <w:sz w:val="21"/>
                    </w:rPr>
                  </w:pPr>
                  <w:r>
                    <w:rPr>
                      <w:rFonts w:eastAsia="宋体"/>
                      <w:sz w:val="21"/>
                    </w:rPr>
                    <w:t>允许开发建设活动的要求</w:t>
                  </w:r>
                </w:p>
                <w:p w14:paraId="3A22FE75">
                  <w:pPr>
                    <w:pStyle w:val="41"/>
                    <w:widowControl/>
                    <w:spacing w:line="240" w:lineRule="auto"/>
                    <w:ind w:firstLine="0" w:firstLineChars="0"/>
                    <w:rPr>
                      <w:rFonts w:eastAsia="宋体"/>
                      <w:sz w:val="21"/>
                    </w:rPr>
                  </w:pPr>
                  <w:r>
                    <w:rPr>
                      <w:rFonts w:eastAsia="宋体"/>
                      <w:sz w:val="21"/>
                    </w:rPr>
                    <w:t>/</w:t>
                  </w:r>
                </w:p>
                <w:p w14:paraId="6B888F04">
                  <w:pPr>
                    <w:pStyle w:val="41"/>
                    <w:widowControl/>
                    <w:spacing w:line="240" w:lineRule="auto"/>
                    <w:ind w:firstLine="0" w:firstLineChars="0"/>
                    <w:rPr>
                      <w:rFonts w:eastAsia="宋体"/>
                      <w:sz w:val="21"/>
                    </w:rPr>
                  </w:pPr>
                  <w:r>
                    <w:rPr>
                      <w:rFonts w:eastAsia="宋体"/>
                      <w:sz w:val="21"/>
                    </w:rPr>
                    <w:t>不符合空间布局要求活动的退出要求</w:t>
                  </w:r>
                </w:p>
                <w:p w14:paraId="70E3755A">
                  <w:pPr>
                    <w:pStyle w:val="41"/>
                    <w:widowControl/>
                    <w:spacing w:line="240" w:lineRule="auto"/>
                    <w:ind w:firstLine="0" w:firstLineChars="0"/>
                    <w:rPr>
                      <w:rFonts w:eastAsia="宋体"/>
                      <w:sz w:val="21"/>
                    </w:rPr>
                  </w:pPr>
                  <w:r>
                    <w:rPr>
                      <w:rFonts w:eastAsia="宋体"/>
                      <w:sz w:val="21"/>
                    </w:rPr>
                    <w:t>同达州市城镇重点总体管控要求</w:t>
                  </w:r>
                </w:p>
                <w:p w14:paraId="6119E2EC">
                  <w:pPr>
                    <w:pStyle w:val="41"/>
                    <w:widowControl/>
                    <w:spacing w:line="240" w:lineRule="auto"/>
                    <w:ind w:firstLine="0" w:firstLineChars="0"/>
                    <w:rPr>
                      <w:rFonts w:eastAsia="宋体"/>
                      <w:sz w:val="21"/>
                    </w:rPr>
                  </w:pPr>
                  <w:r>
                    <w:rPr>
                      <w:rFonts w:eastAsia="宋体"/>
                      <w:sz w:val="21"/>
                    </w:rPr>
                    <w:t>其他空间布局约束要求</w:t>
                  </w:r>
                </w:p>
                <w:p w14:paraId="392360DC">
                  <w:pPr>
                    <w:pStyle w:val="41"/>
                    <w:widowControl/>
                    <w:spacing w:line="240" w:lineRule="auto"/>
                    <w:ind w:firstLine="0" w:firstLineChars="0"/>
                    <w:rPr>
                      <w:rFonts w:eastAsia="宋体"/>
                      <w:sz w:val="21"/>
                    </w:rPr>
                  </w:pPr>
                  <w:r>
                    <w:rPr>
                      <w:rFonts w:eastAsia="宋体"/>
                      <w:sz w:val="21"/>
                    </w:rPr>
                    <w:t>/</w:t>
                  </w:r>
                </w:p>
              </w:tc>
              <w:tc>
                <w:tcPr>
                  <w:tcW w:w="667" w:type="pct"/>
                  <w:tcBorders>
                    <w:tl2br w:val="nil"/>
                    <w:tr2bl w:val="nil"/>
                  </w:tcBorders>
                  <w:vAlign w:val="center"/>
                </w:tcPr>
                <w:p w14:paraId="1D47ABB2">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，不属于以上禁止开发、限制开发、不符合空间布局要求活动中提及的情况</w:t>
                  </w:r>
                  <w:r>
                    <w:rPr>
                      <w:rFonts w:hint="eastAsia" w:eastAsia="宋体"/>
                      <w:sz w:val="21"/>
                    </w:rPr>
                    <w:t>。</w:t>
                  </w:r>
                </w:p>
              </w:tc>
              <w:tc>
                <w:tcPr>
                  <w:tcW w:w="147" w:type="pct"/>
                  <w:tcBorders>
                    <w:tl2br w:val="nil"/>
                    <w:tr2bl w:val="nil"/>
                  </w:tcBorders>
                  <w:vAlign w:val="center"/>
                </w:tcPr>
                <w:p w14:paraId="619281FC">
                  <w:pPr>
                    <w:pStyle w:val="41"/>
                    <w:widowControl/>
                    <w:spacing w:line="240" w:lineRule="auto"/>
                    <w:ind w:firstLine="0" w:firstLineChars="0"/>
                    <w:jc w:val="center"/>
                    <w:rPr>
                      <w:rFonts w:eastAsia="宋体"/>
                      <w:sz w:val="21"/>
                    </w:rPr>
                  </w:pPr>
                  <w:r>
                    <w:rPr>
                      <w:rFonts w:eastAsia="宋体"/>
                      <w:sz w:val="21"/>
                    </w:rPr>
                    <w:t>符合</w:t>
                  </w:r>
                </w:p>
              </w:tc>
            </w:tr>
            <w:tr w14:paraId="4803A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0807ABFD">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295DBF03">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0C758F1D">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150007C8">
                  <w:pPr>
                    <w:pStyle w:val="41"/>
                    <w:widowControl/>
                    <w:spacing w:line="240" w:lineRule="auto"/>
                    <w:ind w:firstLine="0" w:firstLineChars="0"/>
                    <w:jc w:val="center"/>
                    <w:rPr>
                      <w:rFonts w:eastAsia="宋体"/>
                      <w:sz w:val="21"/>
                    </w:rPr>
                  </w:pPr>
                  <w:r>
                    <w:rPr>
                      <w:rFonts w:eastAsia="宋体"/>
                      <w:sz w:val="21"/>
                    </w:rPr>
                    <w:t>污染物排放管控</w:t>
                  </w:r>
                </w:p>
              </w:tc>
              <w:tc>
                <w:tcPr>
                  <w:tcW w:w="1080" w:type="pct"/>
                  <w:tcBorders>
                    <w:tl2br w:val="nil"/>
                    <w:tr2bl w:val="nil"/>
                  </w:tcBorders>
                  <w:vAlign w:val="center"/>
                </w:tcPr>
                <w:p w14:paraId="3D3738A2">
                  <w:pPr>
                    <w:pStyle w:val="41"/>
                    <w:widowControl/>
                    <w:spacing w:line="240" w:lineRule="auto"/>
                    <w:ind w:firstLine="0" w:firstLineChars="0"/>
                    <w:rPr>
                      <w:rFonts w:eastAsia="宋体"/>
                      <w:sz w:val="21"/>
                    </w:rPr>
                  </w:pPr>
                  <w:r>
                    <w:rPr>
                      <w:rFonts w:eastAsia="宋体"/>
                      <w:sz w:val="21"/>
                    </w:rPr>
                    <w:t>现有源提标升级改造</w:t>
                  </w:r>
                </w:p>
                <w:p w14:paraId="0A846271">
                  <w:pPr>
                    <w:pStyle w:val="41"/>
                    <w:widowControl/>
                    <w:spacing w:line="240" w:lineRule="auto"/>
                    <w:ind w:firstLine="0" w:firstLineChars="0"/>
                    <w:rPr>
                      <w:rFonts w:eastAsia="宋体"/>
                      <w:sz w:val="21"/>
                    </w:rPr>
                  </w:pPr>
                  <w:r>
                    <w:rPr>
                      <w:rFonts w:eastAsia="宋体"/>
                      <w:sz w:val="21"/>
                    </w:rPr>
                    <w:t>通川区全域属于四川省大气污染防治重点区域，执行大气污染物特别排放限值。</w:t>
                  </w:r>
                </w:p>
                <w:p w14:paraId="13C13663">
                  <w:pPr>
                    <w:pStyle w:val="41"/>
                    <w:widowControl/>
                    <w:spacing w:line="240" w:lineRule="auto"/>
                    <w:ind w:firstLine="0" w:firstLineChars="0"/>
                    <w:rPr>
                      <w:rFonts w:eastAsia="宋体"/>
                      <w:sz w:val="21"/>
                    </w:rPr>
                  </w:pPr>
                  <w:r>
                    <w:rPr>
                      <w:rFonts w:eastAsia="宋体"/>
                      <w:sz w:val="21"/>
                    </w:rPr>
                    <w:t>新增源等量或倍量替代</w:t>
                  </w:r>
                </w:p>
                <w:p w14:paraId="76502351">
                  <w:pPr>
                    <w:pStyle w:val="41"/>
                    <w:widowControl/>
                    <w:spacing w:line="240" w:lineRule="auto"/>
                    <w:ind w:firstLine="0" w:firstLineChars="0"/>
                    <w:rPr>
                      <w:rFonts w:eastAsia="宋体"/>
                      <w:sz w:val="21"/>
                    </w:rPr>
                  </w:pPr>
                  <w:r>
                    <w:rPr>
                      <w:rFonts w:eastAsia="宋体"/>
                      <w:sz w:val="21"/>
                    </w:rPr>
                    <w:t>执行达州市城镇重点管控单元总体要求</w:t>
                  </w:r>
                </w:p>
                <w:p w14:paraId="7B67D2D5">
                  <w:pPr>
                    <w:pStyle w:val="41"/>
                    <w:widowControl/>
                    <w:spacing w:line="240" w:lineRule="auto"/>
                    <w:ind w:firstLine="0" w:firstLineChars="0"/>
                    <w:rPr>
                      <w:rFonts w:eastAsia="宋体"/>
                      <w:sz w:val="21"/>
                    </w:rPr>
                  </w:pPr>
                  <w:r>
                    <w:rPr>
                      <w:rFonts w:eastAsia="宋体"/>
                      <w:sz w:val="21"/>
                    </w:rPr>
                    <w:t>新增源排放标准限值</w:t>
                  </w:r>
                </w:p>
                <w:p w14:paraId="591031AF">
                  <w:pPr>
                    <w:pStyle w:val="41"/>
                    <w:widowControl/>
                    <w:spacing w:line="240" w:lineRule="auto"/>
                    <w:ind w:firstLine="0" w:firstLineChars="0"/>
                    <w:rPr>
                      <w:rFonts w:eastAsia="宋体"/>
                      <w:sz w:val="21"/>
                    </w:rPr>
                  </w:pPr>
                  <w:r>
                    <w:rPr>
                      <w:rFonts w:eastAsia="宋体"/>
                      <w:sz w:val="21"/>
                    </w:rPr>
                    <w:t>通川区全域属于四川省大气污染防治重点区域，执行大气污染物特别排放限值。其他同达州市城镇重点总体准入要求</w:t>
                  </w:r>
                </w:p>
                <w:p w14:paraId="5D4EED99">
                  <w:pPr>
                    <w:pStyle w:val="41"/>
                    <w:widowControl/>
                    <w:spacing w:line="240" w:lineRule="auto"/>
                    <w:ind w:firstLine="0" w:firstLineChars="0"/>
                    <w:rPr>
                      <w:rFonts w:eastAsia="宋体"/>
                      <w:sz w:val="21"/>
                    </w:rPr>
                  </w:pPr>
                  <w:r>
                    <w:rPr>
                      <w:rFonts w:eastAsia="宋体"/>
                      <w:sz w:val="21"/>
                    </w:rPr>
                    <w:t>污染物排放绩效水平准入要求</w:t>
                  </w:r>
                </w:p>
                <w:p w14:paraId="37FDFD6B">
                  <w:pPr>
                    <w:pStyle w:val="41"/>
                    <w:widowControl/>
                    <w:spacing w:line="240" w:lineRule="auto"/>
                    <w:ind w:firstLine="0" w:firstLineChars="0"/>
                    <w:rPr>
                      <w:rFonts w:eastAsia="宋体"/>
                      <w:sz w:val="21"/>
                    </w:rPr>
                  </w:pPr>
                  <w:r>
                    <w:rPr>
                      <w:rFonts w:eastAsia="宋体"/>
                      <w:sz w:val="21"/>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14:paraId="25EFCEDC">
                  <w:pPr>
                    <w:pStyle w:val="41"/>
                    <w:widowControl/>
                    <w:spacing w:line="240" w:lineRule="auto"/>
                    <w:ind w:firstLine="0" w:firstLineChars="0"/>
                    <w:rPr>
                      <w:rFonts w:eastAsia="宋体"/>
                      <w:sz w:val="21"/>
                    </w:rPr>
                  </w:pPr>
                  <w:r>
                    <w:rPr>
                      <w:rFonts w:eastAsia="宋体"/>
                      <w:sz w:val="21"/>
                    </w:rPr>
                    <w:t>-其他同城镇重点管控单元总体准入要求</w:t>
                  </w:r>
                </w:p>
                <w:p w14:paraId="7BDF915B">
                  <w:pPr>
                    <w:pStyle w:val="41"/>
                    <w:widowControl/>
                    <w:spacing w:line="240" w:lineRule="auto"/>
                    <w:ind w:firstLine="0" w:firstLineChars="0"/>
                    <w:rPr>
                      <w:rFonts w:eastAsia="宋体"/>
                      <w:sz w:val="21"/>
                    </w:rPr>
                  </w:pPr>
                  <w:r>
                    <w:rPr>
                      <w:rFonts w:eastAsia="宋体"/>
                      <w:sz w:val="21"/>
                    </w:rPr>
                    <w:t>其他污染物排放管控要求</w:t>
                  </w:r>
                </w:p>
                <w:p w14:paraId="4AD83C2E">
                  <w:pPr>
                    <w:pStyle w:val="41"/>
                    <w:widowControl/>
                    <w:spacing w:line="240" w:lineRule="auto"/>
                    <w:ind w:firstLine="0" w:firstLineChars="0"/>
                    <w:rPr>
                      <w:rFonts w:eastAsia="宋体"/>
                      <w:sz w:val="21"/>
                    </w:rPr>
                  </w:pPr>
                  <w:r>
                    <w:rPr>
                      <w:rFonts w:eastAsia="宋体"/>
                      <w:sz w:val="21"/>
                    </w:rPr>
                    <w:t>/</w:t>
                  </w:r>
                </w:p>
              </w:tc>
              <w:tc>
                <w:tcPr>
                  <w:tcW w:w="667" w:type="pct"/>
                  <w:tcBorders>
                    <w:tl2br w:val="nil"/>
                    <w:tr2bl w:val="nil"/>
                  </w:tcBorders>
                  <w:vAlign w:val="center"/>
                </w:tcPr>
                <w:p w14:paraId="0C360DA8">
                  <w:pPr>
                    <w:pStyle w:val="41"/>
                    <w:widowControl/>
                    <w:spacing w:line="240" w:lineRule="auto"/>
                    <w:ind w:firstLine="0" w:firstLineChars="0"/>
                    <w:jc w:val="center"/>
                    <w:rPr>
                      <w:rFonts w:eastAsia="宋体"/>
                      <w:sz w:val="21"/>
                    </w:rPr>
                  </w:pPr>
                  <w:r>
                    <w:rPr>
                      <w:rFonts w:eastAsia="宋体"/>
                      <w:sz w:val="21"/>
                    </w:rPr>
                    <w:t>本项目为</w:t>
                  </w:r>
                  <w:r>
                    <w:rPr>
                      <w:rFonts w:hint="eastAsia" w:eastAsia="宋体"/>
                      <w:sz w:val="21"/>
                    </w:rPr>
                    <w:t>专科医院建设项目</w:t>
                  </w:r>
                  <w:r>
                    <w:rPr>
                      <w:rFonts w:eastAsia="宋体"/>
                      <w:sz w:val="21"/>
                    </w:rPr>
                    <w:t>，</w:t>
                  </w:r>
                  <w:r>
                    <w:rPr>
                      <w:rFonts w:hint="eastAsia" w:eastAsia="宋体"/>
                      <w:sz w:val="21"/>
                    </w:rPr>
                    <w:t>根据现状监测，所在区</w:t>
                  </w:r>
                  <w:r>
                    <w:rPr>
                      <w:rFonts w:eastAsia="宋体"/>
                      <w:sz w:val="21"/>
                    </w:rPr>
                    <w:t>大气环境质量</w:t>
                  </w:r>
                  <w:r>
                    <w:rPr>
                      <w:rFonts w:hint="eastAsia" w:eastAsia="宋体"/>
                      <w:sz w:val="21"/>
                    </w:rPr>
                    <w:t>满足</w:t>
                  </w:r>
                  <w:r>
                    <w:rPr>
                      <w:rFonts w:eastAsia="宋体"/>
                      <w:sz w:val="21"/>
                    </w:rPr>
                    <w:t>《环境空气质量标准》（GB3095-2012）</w:t>
                  </w:r>
                  <w:r>
                    <w:rPr>
                      <w:rFonts w:hint="eastAsia" w:eastAsia="宋体"/>
                      <w:sz w:val="21"/>
                    </w:rPr>
                    <w:t>二级标准，项目废气</w:t>
                  </w:r>
                  <w:r>
                    <w:rPr>
                      <w:rFonts w:hint="eastAsia" w:eastAsia="宋体"/>
                      <w:sz w:val="21"/>
                      <w:lang w:eastAsia="zh-CN"/>
                    </w:rPr>
                    <w:t>、</w:t>
                  </w:r>
                  <w:r>
                    <w:rPr>
                      <w:rFonts w:hint="eastAsia" w:eastAsia="宋体"/>
                      <w:sz w:val="21"/>
                      <w:lang w:val="en-US" w:eastAsia="zh-CN"/>
                    </w:rPr>
                    <w:t>废水、固废采取相应措施后，</w:t>
                  </w:r>
                  <w:r>
                    <w:rPr>
                      <w:rFonts w:hint="eastAsia" w:eastAsia="宋体"/>
                      <w:sz w:val="21"/>
                    </w:rPr>
                    <w:t>对</w:t>
                  </w:r>
                  <w:r>
                    <w:rPr>
                      <w:rFonts w:hint="eastAsia" w:eastAsia="宋体"/>
                      <w:sz w:val="21"/>
                      <w:lang w:val="en-US" w:eastAsia="zh-CN"/>
                    </w:rPr>
                    <w:t>外界</w:t>
                  </w:r>
                  <w:r>
                    <w:rPr>
                      <w:rFonts w:hint="eastAsia" w:eastAsia="宋体"/>
                      <w:sz w:val="21"/>
                    </w:rPr>
                    <w:t>影响较小。</w:t>
                  </w:r>
                </w:p>
              </w:tc>
              <w:tc>
                <w:tcPr>
                  <w:tcW w:w="147" w:type="pct"/>
                  <w:tcBorders>
                    <w:tl2br w:val="nil"/>
                    <w:tr2bl w:val="nil"/>
                  </w:tcBorders>
                  <w:vAlign w:val="center"/>
                </w:tcPr>
                <w:p w14:paraId="10B69876">
                  <w:pPr>
                    <w:pStyle w:val="41"/>
                    <w:widowControl/>
                    <w:spacing w:line="240" w:lineRule="auto"/>
                    <w:ind w:firstLine="0" w:firstLineChars="0"/>
                    <w:jc w:val="center"/>
                    <w:rPr>
                      <w:rFonts w:eastAsia="宋体"/>
                      <w:sz w:val="21"/>
                    </w:rPr>
                  </w:pPr>
                  <w:r>
                    <w:rPr>
                      <w:rFonts w:eastAsia="宋体"/>
                      <w:sz w:val="21"/>
                    </w:rPr>
                    <w:t>符合</w:t>
                  </w:r>
                </w:p>
              </w:tc>
            </w:tr>
            <w:tr w14:paraId="396E4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4EAC4379">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41A5684D">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019F28AB">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51E7E1AA">
                  <w:pPr>
                    <w:pStyle w:val="41"/>
                    <w:widowControl/>
                    <w:spacing w:line="240" w:lineRule="auto"/>
                    <w:ind w:firstLine="0" w:firstLineChars="0"/>
                    <w:jc w:val="center"/>
                    <w:rPr>
                      <w:rFonts w:eastAsia="宋体"/>
                      <w:sz w:val="21"/>
                    </w:rPr>
                  </w:pPr>
                  <w:r>
                    <w:rPr>
                      <w:rFonts w:eastAsia="宋体"/>
                      <w:sz w:val="21"/>
                    </w:rPr>
                    <w:t>环境风险防控</w:t>
                  </w:r>
                </w:p>
              </w:tc>
              <w:tc>
                <w:tcPr>
                  <w:tcW w:w="1080" w:type="pct"/>
                  <w:tcBorders>
                    <w:tl2br w:val="nil"/>
                    <w:tr2bl w:val="nil"/>
                  </w:tcBorders>
                  <w:vAlign w:val="center"/>
                </w:tcPr>
                <w:p w14:paraId="47C923C8">
                  <w:pPr>
                    <w:pStyle w:val="41"/>
                    <w:widowControl/>
                    <w:spacing w:line="240" w:lineRule="auto"/>
                    <w:ind w:firstLine="0" w:firstLineChars="0"/>
                    <w:rPr>
                      <w:rFonts w:eastAsia="宋体"/>
                      <w:sz w:val="21"/>
                    </w:rPr>
                  </w:pPr>
                  <w:r>
                    <w:rPr>
                      <w:rFonts w:eastAsia="宋体"/>
                      <w:sz w:val="21"/>
                    </w:rPr>
                    <w:t>严格管控类农用地管控要求</w:t>
                  </w:r>
                </w:p>
                <w:p w14:paraId="0A6E799D">
                  <w:pPr>
                    <w:pStyle w:val="41"/>
                    <w:widowControl/>
                    <w:spacing w:line="240" w:lineRule="auto"/>
                    <w:ind w:firstLine="0" w:firstLineChars="0"/>
                    <w:rPr>
                      <w:rFonts w:eastAsia="宋体"/>
                      <w:sz w:val="21"/>
                    </w:rPr>
                  </w:pPr>
                  <w:r>
                    <w:rPr>
                      <w:rFonts w:eastAsia="宋体"/>
                      <w:sz w:val="21"/>
                    </w:rPr>
                    <w:t>执行达州市城镇重点管控单元总体要求</w:t>
                  </w:r>
                </w:p>
                <w:p w14:paraId="4B3C3A3A">
                  <w:pPr>
                    <w:pStyle w:val="41"/>
                    <w:widowControl/>
                    <w:spacing w:line="240" w:lineRule="auto"/>
                    <w:ind w:firstLine="0" w:firstLineChars="0"/>
                    <w:rPr>
                      <w:rFonts w:eastAsia="宋体"/>
                      <w:sz w:val="21"/>
                    </w:rPr>
                  </w:pPr>
                  <w:r>
                    <w:rPr>
                      <w:rFonts w:eastAsia="宋体"/>
                      <w:sz w:val="21"/>
                    </w:rPr>
                    <w:t>安全利用类农用地管控要求</w:t>
                  </w:r>
                </w:p>
                <w:p w14:paraId="609293C4">
                  <w:pPr>
                    <w:pStyle w:val="41"/>
                    <w:widowControl/>
                    <w:spacing w:line="240" w:lineRule="auto"/>
                    <w:ind w:firstLine="0" w:firstLineChars="0"/>
                    <w:rPr>
                      <w:rFonts w:eastAsia="宋体"/>
                      <w:sz w:val="21"/>
                    </w:rPr>
                  </w:pPr>
                  <w:r>
                    <w:rPr>
                      <w:rFonts w:eastAsia="宋体"/>
                      <w:sz w:val="21"/>
                    </w:rPr>
                    <w:t>有一定危险性仓库用地远离市区，按有关规范选址和建设，留够防护距离，原则上安排在铁山山谷。其他同达州市城镇重点总体准入要求</w:t>
                  </w:r>
                </w:p>
                <w:p w14:paraId="723BB817">
                  <w:pPr>
                    <w:pStyle w:val="41"/>
                    <w:widowControl/>
                    <w:spacing w:line="240" w:lineRule="auto"/>
                    <w:ind w:firstLine="0" w:firstLineChars="0"/>
                    <w:rPr>
                      <w:rFonts w:eastAsia="宋体"/>
                      <w:sz w:val="21"/>
                    </w:rPr>
                  </w:pPr>
                  <w:r>
                    <w:rPr>
                      <w:rFonts w:eastAsia="宋体"/>
                      <w:sz w:val="21"/>
                    </w:rPr>
                    <w:t>污染地块管控要求</w:t>
                  </w:r>
                </w:p>
                <w:p w14:paraId="78124E27">
                  <w:pPr>
                    <w:pStyle w:val="41"/>
                    <w:widowControl/>
                    <w:spacing w:line="240" w:lineRule="auto"/>
                    <w:ind w:firstLine="0" w:firstLineChars="0"/>
                    <w:rPr>
                      <w:rFonts w:eastAsia="宋体"/>
                      <w:sz w:val="21"/>
                    </w:rPr>
                  </w:pPr>
                  <w:r>
                    <w:rPr>
                      <w:rFonts w:eastAsia="宋体"/>
                      <w:sz w:val="21"/>
                    </w:rPr>
                    <w:t>执行达州市城镇重点管控单元总体要求</w:t>
                  </w:r>
                </w:p>
                <w:p w14:paraId="714D1B7C">
                  <w:pPr>
                    <w:pStyle w:val="41"/>
                    <w:widowControl/>
                    <w:spacing w:line="240" w:lineRule="auto"/>
                    <w:ind w:firstLine="0" w:firstLineChars="0"/>
                    <w:rPr>
                      <w:rFonts w:eastAsia="宋体"/>
                      <w:sz w:val="21"/>
                    </w:rPr>
                  </w:pPr>
                  <w:r>
                    <w:rPr>
                      <w:rFonts w:eastAsia="宋体"/>
                      <w:sz w:val="21"/>
                    </w:rPr>
                    <w:t>园区环境风险防控要求</w:t>
                  </w:r>
                </w:p>
                <w:p w14:paraId="362464D9">
                  <w:pPr>
                    <w:pStyle w:val="41"/>
                    <w:widowControl/>
                    <w:spacing w:line="240" w:lineRule="auto"/>
                    <w:ind w:firstLine="0" w:firstLineChars="0"/>
                    <w:rPr>
                      <w:rFonts w:eastAsia="宋体"/>
                      <w:sz w:val="21"/>
                    </w:rPr>
                  </w:pPr>
                  <w:r>
                    <w:rPr>
                      <w:rFonts w:eastAsia="宋体"/>
                      <w:sz w:val="21"/>
                    </w:rPr>
                    <w:t>/</w:t>
                  </w:r>
                </w:p>
                <w:p w14:paraId="2D3DBBF7">
                  <w:pPr>
                    <w:pStyle w:val="41"/>
                    <w:widowControl/>
                    <w:spacing w:line="240" w:lineRule="auto"/>
                    <w:ind w:firstLine="0" w:firstLineChars="0"/>
                    <w:rPr>
                      <w:rFonts w:eastAsia="宋体"/>
                      <w:sz w:val="21"/>
                    </w:rPr>
                  </w:pPr>
                  <w:r>
                    <w:rPr>
                      <w:rFonts w:eastAsia="宋体"/>
                      <w:sz w:val="21"/>
                    </w:rPr>
                    <w:t>企业环境风险防控要求</w:t>
                  </w:r>
                </w:p>
                <w:p w14:paraId="3460B21F">
                  <w:pPr>
                    <w:pStyle w:val="41"/>
                    <w:widowControl/>
                    <w:spacing w:line="240" w:lineRule="auto"/>
                    <w:ind w:firstLine="0" w:firstLineChars="0"/>
                    <w:rPr>
                      <w:rFonts w:eastAsia="宋体"/>
                      <w:sz w:val="21"/>
                    </w:rPr>
                  </w:pPr>
                  <w:r>
                    <w:rPr>
                      <w:rFonts w:eastAsia="宋体"/>
                      <w:sz w:val="21"/>
                    </w:rPr>
                    <w:t>执行达州市城镇重点管控单元总体要求</w:t>
                  </w:r>
                </w:p>
                <w:p w14:paraId="7C9E1C5C">
                  <w:pPr>
                    <w:pStyle w:val="41"/>
                    <w:widowControl/>
                    <w:spacing w:line="240" w:lineRule="auto"/>
                    <w:ind w:firstLine="0" w:firstLineChars="0"/>
                    <w:rPr>
                      <w:rFonts w:eastAsia="宋体"/>
                      <w:sz w:val="21"/>
                    </w:rPr>
                  </w:pPr>
                  <w:r>
                    <w:rPr>
                      <w:rFonts w:eastAsia="宋体"/>
                      <w:sz w:val="21"/>
                    </w:rPr>
                    <w:t>其他环境风险防控要求</w:t>
                  </w:r>
                </w:p>
                <w:p w14:paraId="58B2F21A">
                  <w:pPr>
                    <w:pStyle w:val="41"/>
                    <w:widowControl/>
                    <w:spacing w:line="240" w:lineRule="auto"/>
                    <w:ind w:firstLine="0" w:firstLineChars="0"/>
                    <w:rPr>
                      <w:rFonts w:eastAsia="宋体"/>
                      <w:sz w:val="21"/>
                    </w:rPr>
                  </w:pPr>
                  <w:r>
                    <w:rPr>
                      <w:rFonts w:eastAsia="宋体"/>
                      <w:sz w:val="21"/>
                    </w:rPr>
                    <w:t>/</w:t>
                  </w:r>
                </w:p>
              </w:tc>
              <w:tc>
                <w:tcPr>
                  <w:tcW w:w="667" w:type="pct"/>
                  <w:tcBorders>
                    <w:tl2br w:val="nil"/>
                    <w:tr2bl w:val="nil"/>
                  </w:tcBorders>
                  <w:vAlign w:val="center"/>
                </w:tcPr>
                <w:p w14:paraId="63FEB2E0">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w:t>
                  </w:r>
                  <w:r>
                    <w:rPr>
                      <w:rFonts w:hint="eastAsia" w:eastAsia="宋体"/>
                      <w:sz w:val="21"/>
                    </w:rPr>
                    <w:t>环境风险可控。</w:t>
                  </w:r>
                </w:p>
              </w:tc>
              <w:tc>
                <w:tcPr>
                  <w:tcW w:w="147" w:type="pct"/>
                  <w:tcBorders>
                    <w:tl2br w:val="nil"/>
                    <w:tr2bl w:val="nil"/>
                  </w:tcBorders>
                  <w:vAlign w:val="center"/>
                </w:tcPr>
                <w:p w14:paraId="3D2116A3">
                  <w:pPr>
                    <w:pStyle w:val="41"/>
                    <w:widowControl/>
                    <w:spacing w:line="240" w:lineRule="auto"/>
                    <w:ind w:firstLine="0" w:firstLineChars="0"/>
                    <w:jc w:val="center"/>
                    <w:rPr>
                      <w:rFonts w:eastAsia="宋体"/>
                      <w:sz w:val="21"/>
                    </w:rPr>
                  </w:pPr>
                  <w:r>
                    <w:rPr>
                      <w:rFonts w:eastAsia="宋体"/>
                      <w:sz w:val="21"/>
                    </w:rPr>
                    <w:t>符合</w:t>
                  </w:r>
                </w:p>
              </w:tc>
            </w:tr>
            <w:tr w14:paraId="424BD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3" w:type="pct"/>
                  <w:vMerge w:val="continue"/>
                  <w:tcBorders>
                    <w:tl2br w:val="nil"/>
                    <w:tr2bl w:val="nil"/>
                  </w:tcBorders>
                  <w:vAlign w:val="center"/>
                </w:tcPr>
                <w:p w14:paraId="57BAABFB">
                  <w:pPr>
                    <w:pStyle w:val="41"/>
                    <w:widowControl/>
                    <w:spacing w:line="240" w:lineRule="auto"/>
                    <w:ind w:firstLine="0" w:firstLineChars="0"/>
                    <w:jc w:val="left"/>
                    <w:rPr>
                      <w:rFonts w:eastAsia="宋体"/>
                      <w:sz w:val="21"/>
                    </w:rPr>
                  </w:pPr>
                </w:p>
              </w:tc>
              <w:tc>
                <w:tcPr>
                  <w:tcW w:w="298" w:type="pct"/>
                  <w:vMerge w:val="continue"/>
                  <w:tcBorders>
                    <w:tl2br w:val="nil"/>
                    <w:tr2bl w:val="nil"/>
                  </w:tcBorders>
                  <w:vAlign w:val="center"/>
                </w:tcPr>
                <w:p w14:paraId="2F649187">
                  <w:pPr>
                    <w:pStyle w:val="41"/>
                    <w:widowControl/>
                    <w:spacing w:line="240" w:lineRule="auto"/>
                    <w:ind w:firstLine="0" w:firstLineChars="0"/>
                    <w:jc w:val="left"/>
                    <w:rPr>
                      <w:rFonts w:eastAsia="宋体"/>
                      <w:sz w:val="21"/>
                    </w:rPr>
                  </w:pPr>
                </w:p>
              </w:tc>
              <w:tc>
                <w:tcPr>
                  <w:tcW w:w="1983" w:type="pct"/>
                  <w:vMerge w:val="continue"/>
                  <w:tcBorders>
                    <w:tl2br w:val="nil"/>
                    <w:tr2bl w:val="nil"/>
                  </w:tcBorders>
                  <w:vAlign w:val="center"/>
                </w:tcPr>
                <w:p w14:paraId="402FBD9D">
                  <w:pPr>
                    <w:pStyle w:val="41"/>
                    <w:spacing w:line="240" w:lineRule="auto"/>
                    <w:ind w:firstLine="0" w:firstLineChars="0"/>
                    <w:jc w:val="center"/>
                    <w:rPr>
                      <w:rFonts w:eastAsia="宋体"/>
                      <w:kern w:val="0"/>
                      <w:sz w:val="21"/>
                    </w:rPr>
                  </w:pPr>
                </w:p>
              </w:tc>
              <w:tc>
                <w:tcPr>
                  <w:tcW w:w="240" w:type="pct"/>
                  <w:tcBorders>
                    <w:tl2br w:val="nil"/>
                    <w:tr2bl w:val="nil"/>
                  </w:tcBorders>
                  <w:vAlign w:val="center"/>
                </w:tcPr>
                <w:p w14:paraId="0289F426">
                  <w:pPr>
                    <w:pStyle w:val="41"/>
                    <w:widowControl/>
                    <w:spacing w:line="240" w:lineRule="auto"/>
                    <w:ind w:firstLine="0" w:firstLineChars="0"/>
                    <w:jc w:val="center"/>
                    <w:rPr>
                      <w:rFonts w:eastAsia="宋体"/>
                      <w:sz w:val="21"/>
                    </w:rPr>
                  </w:pPr>
                  <w:r>
                    <w:rPr>
                      <w:rFonts w:eastAsia="宋体"/>
                      <w:sz w:val="21"/>
                    </w:rPr>
                    <w:t>资源开发效率要求</w:t>
                  </w:r>
                </w:p>
              </w:tc>
              <w:tc>
                <w:tcPr>
                  <w:tcW w:w="1080" w:type="pct"/>
                  <w:tcBorders>
                    <w:tl2br w:val="nil"/>
                    <w:tr2bl w:val="nil"/>
                  </w:tcBorders>
                  <w:vAlign w:val="center"/>
                </w:tcPr>
                <w:p w14:paraId="01680D8E">
                  <w:pPr>
                    <w:pStyle w:val="41"/>
                    <w:widowControl/>
                    <w:spacing w:line="240" w:lineRule="auto"/>
                    <w:ind w:firstLine="0" w:firstLineChars="0"/>
                    <w:rPr>
                      <w:rFonts w:eastAsia="宋体"/>
                      <w:sz w:val="21"/>
                    </w:rPr>
                  </w:pPr>
                  <w:r>
                    <w:rPr>
                      <w:rFonts w:eastAsia="宋体"/>
                      <w:sz w:val="21"/>
                    </w:rPr>
                    <w:t>水资源利用效率要求</w:t>
                  </w:r>
                </w:p>
                <w:p w14:paraId="0FDCB976">
                  <w:pPr>
                    <w:pStyle w:val="41"/>
                    <w:widowControl/>
                    <w:spacing w:line="240" w:lineRule="auto"/>
                    <w:ind w:firstLine="0" w:firstLineChars="0"/>
                    <w:rPr>
                      <w:rFonts w:eastAsia="宋体"/>
                      <w:sz w:val="21"/>
                    </w:rPr>
                  </w:pPr>
                  <w:r>
                    <w:rPr>
                      <w:rFonts w:eastAsia="宋体"/>
                      <w:sz w:val="21"/>
                    </w:rPr>
                    <w:t>执行达州市城镇重点管控单元总体要求</w:t>
                  </w:r>
                </w:p>
                <w:p w14:paraId="21C3A92C">
                  <w:pPr>
                    <w:pStyle w:val="41"/>
                    <w:widowControl/>
                    <w:spacing w:line="240" w:lineRule="auto"/>
                    <w:ind w:firstLine="0" w:firstLineChars="0"/>
                    <w:rPr>
                      <w:rFonts w:eastAsia="宋体"/>
                      <w:sz w:val="21"/>
                    </w:rPr>
                  </w:pPr>
                  <w:r>
                    <w:rPr>
                      <w:rFonts w:eastAsia="宋体"/>
                      <w:sz w:val="21"/>
                    </w:rPr>
                    <w:t>地下水开采要求</w:t>
                  </w:r>
                </w:p>
                <w:p w14:paraId="6A3DC45F">
                  <w:pPr>
                    <w:pStyle w:val="41"/>
                    <w:widowControl/>
                    <w:spacing w:line="240" w:lineRule="auto"/>
                    <w:ind w:firstLine="0" w:firstLineChars="0"/>
                    <w:rPr>
                      <w:rFonts w:eastAsia="宋体"/>
                      <w:sz w:val="21"/>
                    </w:rPr>
                  </w:pPr>
                  <w:r>
                    <w:rPr>
                      <w:rFonts w:eastAsia="宋体"/>
                      <w:sz w:val="21"/>
                    </w:rPr>
                    <w:t>执行达州市城镇重点管控单元总体要求</w:t>
                  </w:r>
                </w:p>
                <w:p w14:paraId="5EA35630">
                  <w:pPr>
                    <w:pStyle w:val="41"/>
                    <w:widowControl/>
                    <w:spacing w:line="240" w:lineRule="auto"/>
                    <w:ind w:firstLine="0" w:firstLineChars="0"/>
                    <w:rPr>
                      <w:rFonts w:eastAsia="宋体"/>
                      <w:sz w:val="21"/>
                    </w:rPr>
                  </w:pPr>
                  <w:r>
                    <w:rPr>
                      <w:rFonts w:eastAsia="宋体"/>
                      <w:sz w:val="21"/>
                    </w:rPr>
                    <w:t>能源利用效率要求</w:t>
                  </w:r>
                </w:p>
                <w:p w14:paraId="3B2E5BEF">
                  <w:pPr>
                    <w:pStyle w:val="41"/>
                    <w:widowControl/>
                    <w:spacing w:line="240" w:lineRule="auto"/>
                    <w:ind w:firstLine="0" w:firstLineChars="0"/>
                    <w:rPr>
                      <w:rFonts w:eastAsia="宋体"/>
                      <w:sz w:val="21"/>
                    </w:rPr>
                  </w:pPr>
                  <w:r>
                    <w:rPr>
                      <w:rFonts w:eastAsia="宋体"/>
                      <w:sz w:val="21"/>
                    </w:rPr>
                    <w:t>执行达州市城镇重点管控单元总体要求</w:t>
                  </w:r>
                </w:p>
                <w:p w14:paraId="7C89BA42">
                  <w:pPr>
                    <w:pStyle w:val="41"/>
                    <w:widowControl/>
                    <w:spacing w:line="240" w:lineRule="auto"/>
                    <w:ind w:firstLine="0" w:firstLineChars="0"/>
                    <w:rPr>
                      <w:rFonts w:eastAsia="宋体"/>
                      <w:sz w:val="21"/>
                    </w:rPr>
                  </w:pPr>
                  <w:r>
                    <w:rPr>
                      <w:rFonts w:eastAsia="宋体"/>
                      <w:sz w:val="21"/>
                    </w:rPr>
                    <w:t>其他资源利用效率要求</w:t>
                  </w:r>
                </w:p>
                <w:p w14:paraId="4ABB7F65">
                  <w:pPr>
                    <w:pStyle w:val="41"/>
                    <w:widowControl/>
                    <w:spacing w:line="240" w:lineRule="auto"/>
                    <w:ind w:firstLine="0" w:firstLineChars="0"/>
                    <w:rPr>
                      <w:rFonts w:eastAsia="宋体"/>
                      <w:sz w:val="21"/>
                    </w:rPr>
                  </w:pPr>
                  <w:r>
                    <w:rPr>
                      <w:rFonts w:eastAsia="宋体"/>
                      <w:sz w:val="21"/>
                    </w:rPr>
                    <w:t>禁燃区要求：同达州市城镇重点总体准入要求</w:t>
                  </w:r>
                </w:p>
              </w:tc>
              <w:tc>
                <w:tcPr>
                  <w:tcW w:w="667" w:type="pct"/>
                  <w:tcBorders>
                    <w:tl2br w:val="nil"/>
                    <w:tr2bl w:val="nil"/>
                  </w:tcBorders>
                  <w:vAlign w:val="center"/>
                </w:tcPr>
                <w:p w14:paraId="161324A1">
                  <w:pPr>
                    <w:pStyle w:val="41"/>
                    <w:widowControl/>
                    <w:spacing w:line="240" w:lineRule="auto"/>
                    <w:ind w:firstLine="0" w:firstLineChars="0"/>
                    <w:jc w:val="center"/>
                    <w:rPr>
                      <w:rFonts w:eastAsia="宋体"/>
                      <w:sz w:val="21"/>
                    </w:rPr>
                  </w:pPr>
                  <w:r>
                    <w:rPr>
                      <w:rFonts w:eastAsia="宋体"/>
                      <w:sz w:val="21"/>
                    </w:rPr>
                    <w:t>本项目属于</w:t>
                  </w:r>
                  <w:r>
                    <w:rPr>
                      <w:rFonts w:hint="eastAsia" w:eastAsia="宋体"/>
                      <w:sz w:val="21"/>
                    </w:rPr>
                    <w:t>专科医院建设项目</w:t>
                  </w:r>
                  <w:r>
                    <w:rPr>
                      <w:rFonts w:eastAsia="宋体"/>
                      <w:sz w:val="21"/>
                    </w:rPr>
                    <w:t>，</w:t>
                  </w:r>
                  <w:r>
                    <w:rPr>
                      <w:rFonts w:hint="eastAsia" w:eastAsia="宋体"/>
                      <w:sz w:val="21"/>
                    </w:rPr>
                    <w:t>项目用水来自乡镇管网，不涉及地下水开采</w:t>
                  </w:r>
                </w:p>
              </w:tc>
              <w:tc>
                <w:tcPr>
                  <w:tcW w:w="147" w:type="pct"/>
                  <w:tcBorders>
                    <w:tl2br w:val="nil"/>
                    <w:tr2bl w:val="nil"/>
                  </w:tcBorders>
                  <w:vAlign w:val="center"/>
                </w:tcPr>
                <w:p w14:paraId="7770ED48">
                  <w:pPr>
                    <w:pStyle w:val="41"/>
                    <w:widowControl/>
                    <w:spacing w:line="240" w:lineRule="auto"/>
                    <w:ind w:firstLine="0" w:firstLineChars="0"/>
                    <w:jc w:val="center"/>
                    <w:rPr>
                      <w:rFonts w:eastAsia="宋体"/>
                      <w:sz w:val="21"/>
                    </w:rPr>
                  </w:pPr>
                  <w:r>
                    <w:rPr>
                      <w:rFonts w:eastAsia="宋体"/>
                      <w:sz w:val="21"/>
                    </w:rPr>
                    <w:t>符合</w:t>
                  </w:r>
                </w:p>
              </w:tc>
            </w:tr>
          </w:tbl>
          <w:p w14:paraId="2F636FA3">
            <w:pPr>
              <w:spacing w:line="360" w:lineRule="auto"/>
              <w:ind w:firstLine="482" w:firstLineChars="200"/>
              <w:rPr>
                <w:b/>
                <w:bCs/>
                <w:sz w:val="24"/>
                <w:szCs w:val="24"/>
              </w:rPr>
            </w:pPr>
            <w:r>
              <w:rPr>
                <w:rFonts w:hint="eastAsia"/>
                <w:b/>
                <w:bCs/>
                <w:sz w:val="24"/>
                <w:szCs w:val="24"/>
              </w:rPr>
              <w:t>由上表可知，本项目符合生态环境分区管控的相关要求</w:t>
            </w:r>
          </w:p>
          <w:p w14:paraId="0F5CD9B2">
            <w:pPr>
              <w:spacing w:line="360" w:lineRule="auto"/>
              <w:ind w:firstLine="600" w:firstLineChars="200"/>
              <w:rPr>
                <w:rFonts w:eastAsia="黑体"/>
                <w:sz w:val="30"/>
                <w:szCs w:val="30"/>
              </w:rPr>
            </w:pPr>
          </w:p>
        </w:tc>
      </w:tr>
    </w:tbl>
    <w:p w14:paraId="4B97D075">
      <w:pPr>
        <w:autoSpaceDE w:val="0"/>
        <w:autoSpaceDN w:val="0"/>
        <w:adjustRightInd w:val="0"/>
        <w:snapToGrid w:val="0"/>
        <w:spacing w:line="360" w:lineRule="auto"/>
        <w:ind w:firstLine="600" w:firstLineChars="200"/>
        <w:rPr>
          <w:rFonts w:eastAsia="黑体"/>
          <w:sz w:val="30"/>
          <w:szCs w:val="30"/>
        </w:rPr>
        <w:sectPr>
          <w:pgSz w:w="16838" w:h="11906" w:orient="landscape"/>
          <w:pgMar w:top="1417"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766"/>
      </w:tblGrid>
      <w:tr w14:paraId="77BA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30781DB">
            <w:pPr>
              <w:spacing w:line="360" w:lineRule="auto"/>
              <w:jc w:val="center"/>
              <w:rPr>
                <w:rFonts w:eastAsia="黑体"/>
                <w:sz w:val="30"/>
                <w:szCs w:val="30"/>
              </w:rPr>
            </w:pPr>
            <w:r>
              <w:rPr>
                <w:kern w:val="0"/>
                <w:sz w:val="24"/>
              </w:rPr>
              <w:t>其他符合性分析</w:t>
            </w:r>
          </w:p>
        </w:tc>
        <w:tc>
          <w:tcPr>
            <w:tcW w:w="8766" w:type="dxa"/>
          </w:tcPr>
          <w:p w14:paraId="220D65DC">
            <w:pPr>
              <w:spacing w:line="360" w:lineRule="auto"/>
              <w:ind w:firstLine="482" w:firstLineChars="200"/>
              <w:rPr>
                <w:b/>
                <w:bCs/>
                <w:sz w:val="24"/>
                <w:szCs w:val="24"/>
              </w:rPr>
            </w:pPr>
            <w:r>
              <w:rPr>
                <w:rFonts w:hint="eastAsia"/>
                <w:b/>
                <w:bCs/>
                <w:sz w:val="24"/>
                <w:szCs w:val="24"/>
                <w:lang w:val="en-US" w:eastAsia="zh-CN"/>
              </w:rPr>
              <w:t>5</w:t>
            </w:r>
            <w:r>
              <w:rPr>
                <w:rFonts w:hint="eastAsia"/>
                <w:b/>
                <w:bCs/>
                <w:sz w:val="24"/>
                <w:szCs w:val="24"/>
              </w:rPr>
              <w:t>、选址合理性分析</w:t>
            </w:r>
          </w:p>
          <w:p w14:paraId="15BF88DE">
            <w:pPr>
              <w:spacing w:line="360" w:lineRule="auto"/>
              <w:ind w:firstLine="480" w:firstLineChars="200"/>
              <w:rPr>
                <w:rFonts w:hint="eastAsia"/>
                <w:bCs/>
                <w:sz w:val="24"/>
                <w:lang w:val="en-US" w:eastAsia="zh-CN"/>
              </w:rPr>
            </w:pPr>
            <w:r>
              <w:rPr>
                <w:rFonts w:hint="eastAsia"/>
                <w:bCs/>
                <w:sz w:val="24"/>
                <w:lang w:val="en-US" w:eastAsia="zh-CN"/>
              </w:rPr>
              <w:t>本项目</w:t>
            </w:r>
            <w:r>
              <w:rPr>
                <w:rFonts w:hint="eastAsia"/>
                <w:bCs/>
                <w:sz w:val="24"/>
              </w:rPr>
              <w:t>位于</w:t>
            </w:r>
            <w:r>
              <w:rPr>
                <w:rFonts w:hint="eastAsia"/>
                <w:bCs/>
                <w:sz w:val="24"/>
                <w:lang w:val="en-US" w:eastAsia="zh-CN"/>
              </w:rPr>
              <w:t>通川区</w:t>
            </w:r>
            <w:r>
              <w:rPr>
                <w:rFonts w:hint="eastAsia"/>
                <w:bCs/>
                <w:sz w:val="24"/>
              </w:rPr>
              <w:t>罗江镇</w:t>
            </w:r>
            <w:r>
              <w:rPr>
                <w:rFonts w:hint="eastAsia"/>
                <w:sz w:val="24"/>
                <w:szCs w:val="24"/>
              </w:rPr>
              <w:t>高岩村</w:t>
            </w:r>
            <w:r>
              <w:rPr>
                <w:rFonts w:hint="eastAsia"/>
                <w:bCs/>
                <w:sz w:val="24"/>
              </w:rPr>
              <w:t>，项目用地为已建闲置库房，周边仅有几户居民及库房</w:t>
            </w:r>
            <w:r>
              <w:rPr>
                <w:rFonts w:hint="eastAsia"/>
                <w:bCs/>
                <w:sz w:val="24"/>
                <w:lang w:eastAsia="zh-CN"/>
              </w:rPr>
              <w:t>，</w:t>
            </w:r>
            <w:r>
              <w:rPr>
                <w:rFonts w:hint="eastAsia"/>
                <w:bCs/>
                <w:sz w:val="24"/>
                <w:lang w:val="en-US" w:eastAsia="zh-CN"/>
              </w:rPr>
              <w:t>南侧约110m为州河。</w:t>
            </w:r>
          </w:p>
          <w:p w14:paraId="1703F2A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lang w:eastAsia="zh-CN"/>
              </w:rPr>
              <w:t>项目外环境关系如下表所示：</w:t>
            </w:r>
          </w:p>
          <w:p w14:paraId="1C77AF31">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eastAsia"/>
                <w:color w:val="auto"/>
                <w:kern w:val="0"/>
                <w:sz w:val="24"/>
                <w:highlight w:val="none"/>
              </w:rPr>
            </w:pPr>
            <w:r>
              <w:rPr>
                <w:rFonts w:hint="eastAsia"/>
                <w:b/>
                <w:bCs/>
                <w:color w:val="auto"/>
                <w:kern w:val="0"/>
                <w:sz w:val="21"/>
                <w:szCs w:val="21"/>
                <w:highlight w:val="none"/>
              </w:rPr>
              <w:t>表1</w:t>
            </w:r>
            <w:r>
              <w:rPr>
                <w:rFonts w:hint="eastAsia"/>
                <w:b/>
                <w:bCs/>
                <w:color w:val="auto"/>
                <w:kern w:val="0"/>
                <w:sz w:val="21"/>
                <w:szCs w:val="21"/>
                <w:highlight w:val="none"/>
                <w:lang w:val="en-US" w:eastAsia="zh-CN"/>
              </w:rPr>
              <w:t>-7</w:t>
            </w:r>
            <w:r>
              <w:rPr>
                <w:rFonts w:hint="eastAsia"/>
                <w:b/>
                <w:bCs/>
                <w:color w:val="auto"/>
                <w:kern w:val="0"/>
                <w:sz w:val="21"/>
                <w:szCs w:val="21"/>
                <w:highlight w:val="none"/>
              </w:rPr>
              <w:t xml:space="preserve">   项目</w:t>
            </w:r>
            <w:r>
              <w:rPr>
                <w:rFonts w:hint="eastAsia"/>
                <w:b/>
                <w:bCs/>
                <w:color w:val="auto"/>
                <w:kern w:val="0"/>
                <w:sz w:val="21"/>
                <w:szCs w:val="21"/>
                <w:highlight w:val="none"/>
                <w:lang w:val="en-US" w:eastAsia="zh-CN"/>
              </w:rPr>
              <w:t>周边</w:t>
            </w:r>
            <w:r>
              <w:rPr>
                <w:rFonts w:hint="eastAsia"/>
                <w:b/>
                <w:bCs/>
                <w:color w:val="auto"/>
                <w:kern w:val="0"/>
                <w:sz w:val="21"/>
                <w:szCs w:val="21"/>
                <w:highlight w:val="none"/>
              </w:rPr>
              <w:t>外环境关系一览表</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569"/>
              <w:gridCol w:w="1351"/>
              <w:gridCol w:w="1551"/>
              <w:gridCol w:w="990"/>
              <w:gridCol w:w="1203"/>
            </w:tblGrid>
            <w:tr w14:paraId="20B08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402444BB">
                  <w:pPr>
                    <w:pStyle w:val="4"/>
                    <w:bidi w:val="0"/>
                    <w:rPr>
                      <w:rFonts w:hint="eastAsia"/>
                      <w:b/>
                      <w:bCs/>
                      <w:lang w:val="en-US" w:eastAsia="zh-CN"/>
                    </w:rPr>
                  </w:pPr>
                  <w:r>
                    <w:rPr>
                      <w:rFonts w:hint="eastAsia"/>
                      <w:b/>
                      <w:bCs/>
                      <w:lang w:val="en-US" w:eastAsia="zh-CN"/>
                    </w:rPr>
                    <w:t>序号</w:t>
                  </w:r>
                </w:p>
              </w:tc>
              <w:tc>
                <w:tcPr>
                  <w:tcW w:w="1502" w:type="pct"/>
                  <w:tcBorders>
                    <w:tl2br w:val="nil"/>
                    <w:tr2bl w:val="nil"/>
                  </w:tcBorders>
                  <w:vAlign w:val="center"/>
                </w:tcPr>
                <w:p w14:paraId="448E72B2">
                  <w:pPr>
                    <w:pStyle w:val="4"/>
                    <w:bidi w:val="0"/>
                    <w:rPr>
                      <w:rFonts w:hint="eastAsia"/>
                      <w:b/>
                      <w:bCs/>
                      <w:lang w:val="en-US" w:eastAsia="zh-CN"/>
                    </w:rPr>
                  </w:pPr>
                  <w:r>
                    <w:rPr>
                      <w:rFonts w:hint="eastAsia"/>
                      <w:b/>
                      <w:bCs/>
                      <w:lang w:val="en-US" w:eastAsia="zh-CN"/>
                    </w:rPr>
                    <w:t>名称</w:t>
                  </w:r>
                </w:p>
              </w:tc>
              <w:tc>
                <w:tcPr>
                  <w:tcW w:w="790" w:type="pct"/>
                  <w:tcBorders>
                    <w:tl2br w:val="nil"/>
                    <w:tr2bl w:val="nil"/>
                  </w:tcBorders>
                  <w:vAlign w:val="center"/>
                </w:tcPr>
                <w:p w14:paraId="3989954B">
                  <w:pPr>
                    <w:pStyle w:val="4"/>
                    <w:bidi w:val="0"/>
                    <w:rPr>
                      <w:rFonts w:hint="eastAsia"/>
                      <w:b/>
                      <w:bCs/>
                      <w:lang w:val="en-US" w:eastAsia="zh-CN"/>
                    </w:rPr>
                  </w:pPr>
                  <w:r>
                    <w:rPr>
                      <w:rFonts w:hint="eastAsia"/>
                      <w:b/>
                      <w:bCs/>
                      <w:lang w:val="en-US" w:eastAsia="zh-CN"/>
                    </w:rPr>
                    <w:t>方位</w:t>
                  </w:r>
                </w:p>
              </w:tc>
              <w:tc>
                <w:tcPr>
                  <w:tcW w:w="907" w:type="pct"/>
                  <w:tcBorders>
                    <w:tl2br w:val="nil"/>
                    <w:tr2bl w:val="nil"/>
                  </w:tcBorders>
                  <w:vAlign w:val="center"/>
                </w:tcPr>
                <w:p w14:paraId="125AC621">
                  <w:pPr>
                    <w:pStyle w:val="4"/>
                    <w:bidi w:val="0"/>
                    <w:rPr>
                      <w:rFonts w:hint="eastAsia"/>
                      <w:b/>
                      <w:bCs/>
                    </w:rPr>
                  </w:pPr>
                  <w:r>
                    <w:rPr>
                      <w:rFonts w:hint="eastAsia"/>
                      <w:b/>
                      <w:bCs/>
                    </w:rPr>
                    <w:t>与厂界边界的距离(m)</w:t>
                  </w:r>
                </w:p>
              </w:tc>
              <w:tc>
                <w:tcPr>
                  <w:tcW w:w="579" w:type="pct"/>
                  <w:tcBorders>
                    <w:tl2br w:val="nil"/>
                    <w:tr2bl w:val="nil"/>
                  </w:tcBorders>
                  <w:vAlign w:val="center"/>
                </w:tcPr>
                <w:p w14:paraId="25221B65">
                  <w:pPr>
                    <w:pStyle w:val="4"/>
                    <w:bidi w:val="0"/>
                    <w:rPr>
                      <w:rFonts w:hint="default"/>
                      <w:b/>
                      <w:bCs/>
                      <w:lang w:val="en-US" w:eastAsia="zh-CN"/>
                    </w:rPr>
                  </w:pPr>
                  <w:r>
                    <w:rPr>
                      <w:rFonts w:hint="eastAsia"/>
                      <w:b/>
                      <w:bCs/>
                      <w:lang w:val="en-US" w:eastAsia="zh-CN"/>
                    </w:rPr>
                    <w:t>性质</w:t>
                  </w:r>
                </w:p>
              </w:tc>
              <w:tc>
                <w:tcPr>
                  <w:tcW w:w="703" w:type="pct"/>
                  <w:tcBorders>
                    <w:tl2br w:val="nil"/>
                    <w:tr2bl w:val="nil"/>
                  </w:tcBorders>
                  <w:vAlign w:val="center"/>
                </w:tcPr>
                <w:p w14:paraId="405B62F4">
                  <w:pPr>
                    <w:pStyle w:val="4"/>
                    <w:bidi w:val="0"/>
                    <w:rPr>
                      <w:rFonts w:hint="default"/>
                      <w:b/>
                      <w:bCs/>
                      <w:lang w:val="en-US" w:eastAsia="zh-CN"/>
                    </w:rPr>
                  </w:pPr>
                  <w:r>
                    <w:rPr>
                      <w:rFonts w:hint="eastAsia"/>
                      <w:b/>
                      <w:bCs/>
                      <w:lang w:val="en-US" w:eastAsia="zh-CN"/>
                    </w:rPr>
                    <w:t>规模</w:t>
                  </w:r>
                </w:p>
              </w:tc>
            </w:tr>
            <w:tr w14:paraId="6F553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67107182">
                  <w:pPr>
                    <w:pStyle w:val="4"/>
                    <w:bidi w:val="0"/>
                    <w:rPr>
                      <w:rFonts w:hint="eastAsia"/>
                      <w:lang w:val="en-US" w:eastAsia="zh-CN"/>
                    </w:rPr>
                  </w:pPr>
                  <w:r>
                    <w:rPr>
                      <w:rFonts w:hint="eastAsia"/>
                      <w:lang w:val="en-US" w:eastAsia="zh-CN"/>
                    </w:rPr>
                    <w:t>1</w:t>
                  </w:r>
                </w:p>
              </w:tc>
              <w:tc>
                <w:tcPr>
                  <w:tcW w:w="1502" w:type="pct"/>
                  <w:tcBorders>
                    <w:tl2br w:val="nil"/>
                    <w:tr2bl w:val="nil"/>
                  </w:tcBorders>
                  <w:vAlign w:val="center"/>
                </w:tcPr>
                <w:p w14:paraId="34CF233B">
                  <w:pPr>
                    <w:pStyle w:val="4"/>
                    <w:bidi w:val="0"/>
                    <w:rPr>
                      <w:rFonts w:hint="eastAsia"/>
                    </w:rPr>
                  </w:pPr>
                  <w:r>
                    <w:rPr>
                      <w:rFonts w:hint="eastAsia"/>
                      <w:kern w:val="0"/>
                    </w:rPr>
                    <w:t>罗江镇居民</w:t>
                  </w:r>
                </w:p>
              </w:tc>
              <w:tc>
                <w:tcPr>
                  <w:tcW w:w="790" w:type="pct"/>
                  <w:tcBorders>
                    <w:tl2br w:val="nil"/>
                    <w:tr2bl w:val="nil"/>
                  </w:tcBorders>
                  <w:shd w:val="clear" w:color="auto" w:fill="auto"/>
                  <w:vAlign w:val="center"/>
                </w:tcPr>
                <w:p w14:paraId="20FAFC1D">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rPr>
                    <w:t>北侧</w:t>
                  </w:r>
                </w:p>
              </w:tc>
              <w:tc>
                <w:tcPr>
                  <w:tcW w:w="907" w:type="pct"/>
                  <w:tcBorders>
                    <w:tl2br w:val="nil"/>
                    <w:tr2bl w:val="nil"/>
                  </w:tcBorders>
                  <w:vAlign w:val="center"/>
                </w:tcPr>
                <w:p w14:paraId="2B14C60A">
                  <w:pPr>
                    <w:pStyle w:val="4"/>
                    <w:bidi w:val="0"/>
                    <w:rPr>
                      <w:rFonts w:hint="default"/>
                      <w:lang w:val="en-US" w:eastAsia="zh-CN"/>
                    </w:rPr>
                  </w:pPr>
                  <w:r>
                    <w:rPr>
                      <w:rFonts w:hint="eastAsia"/>
                      <w:lang w:val="en-US" w:eastAsia="zh-CN"/>
                    </w:rPr>
                    <w:t>115~500</w:t>
                  </w:r>
                </w:p>
              </w:tc>
              <w:tc>
                <w:tcPr>
                  <w:tcW w:w="579" w:type="pct"/>
                  <w:tcBorders>
                    <w:tl2br w:val="nil"/>
                    <w:tr2bl w:val="nil"/>
                  </w:tcBorders>
                  <w:vAlign w:val="center"/>
                </w:tcPr>
                <w:p w14:paraId="12B689DF">
                  <w:pPr>
                    <w:pStyle w:val="4"/>
                    <w:bidi w:val="0"/>
                    <w:rPr>
                      <w:rFonts w:hint="default"/>
                      <w:lang w:val="en-US" w:eastAsia="zh-CN"/>
                    </w:rPr>
                  </w:pPr>
                  <w:r>
                    <w:rPr>
                      <w:rFonts w:hint="eastAsia"/>
                      <w:lang w:val="en-US" w:eastAsia="zh-CN"/>
                    </w:rPr>
                    <w:t>居民</w:t>
                  </w:r>
                </w:p>
              </w:tc>
              <w:tc>
                <w:tcPr>
                  <w:tcW w:w="703" w:type="pct"/>
                  <w:tcBorders>
                    <w:tl2br w:val="nil"/>
                    <w:tr2bl w:val="nil"/>
                  </w:tcBorders>
                  <w:vAlign w:val="center"/>
                </w:tcPr>
                <w:p w14:paraId="4C8A700F">
                  <w:pPr>
                    <w:pStyle w:val="4"/>
                    <w:bidi w:val="0"/>
                    <w:rPr>
                      <w:rFonts w:hint="eastAsia"/>
                      <w:lang w:val="en-US" w:eastAsia="zh-CN"/>
                    </w:rPr>
                  </w:pPr>
                  <w:r>
                    <w:rPr>
                      <w:rFonts w:hint="eastAsia"/>
                      <w:kern w:val="0"/>
                      <w:lang w:val="en-US" w:eastAsia="zh-CN"/>
                    </w:rPr>
                    <w:t>1</w:t>
                  </w:r>
                  <w:r>
                    <w:rPr>
                      <w:rFonts w:hint="eastAsia"/>
                      <w:kern w:val="0"/>
                    </w:rPr>
                    <w:t>8户，约</w:t>
                  </w:r>
                  <w:r>
                    <w:rPr>
                      <w:rFonts w:hint="eastAsia"/>
                      <w:kern w:val="0"/>
                      <w:lang w:val="en-US" w:eastAsia="zh-CN"/>
                    </w:rPr>
                    <w:t>54</w:t>
                  </w:r>
                  <w:r>
                    <w:rPr>
                      <w:rFonts w:hint="eastAsia"/>
                      <w:kern w:val="0"/>
                    </w:rPr>
                    <w:t>人</w:t>
                  </w:r>
                </w:p>
              </w:tc>
            </w:tr>
            <w:tr w14:paraId="676C7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35877C19">
                  <w:pPr>
                    <w:pStyle w:val="4"/>
                    <w:bidi w:val="0"/>
                    <w:rPr>
                      <w:rFonts w:hint="eastAsia"/>
                      <w:lang w:val="en-US" w:eastAsia="zh-CN"/>
                    </w:rPr>
                  </w:pPr>
                  <w:r>
                    <w:rPr>
                      <w:rFonts w:hint="eastAsia"/>
                      <w:lang w:val="en-US" w:eastAsia="zh-CN"/>
                    </w:rPr>
                    <w:t>2</w:t>
                  </w:r>
                </w:p>
              </w:tc>
              <w:tc>
                <w:tcPr>
                  <w:tcW w:w="1502" w:type="pct"/>
                  <w:tcBorders>
                    <w:tl2br w:val="nil"/>
                    <w:tr2bl w:val="nil"/>
                  </w:tcBorders>
                  <w:shd w:val="clear" w:color="auto" w:fill="auto"/>
                  <w:vAlign w:val="center"/>
                </w:tcPr>
                <w:p w14:paraId="16EA8C9D">
                  <w:pPr>
                    <w:pStyle w:val="4"/>
                    <w:bidi w:val="0"/>
                    <w:rPr>
                      <w:rFonts w:hint="eastAsia" w:ascii="Times New Roman" w:hAnsi="Times New Roman" w:eastAsia="宋体" w:cs="Times New Roman"/>
                      <w:kern w:val="0"/>
                      <w:sz w:val="21"/>
                      <w:szCs w:val="21"/>
                      <w:lang w:val="en-US" w:eastAsia="zh-CN" w:bidi="ar-SA"/>
                    </w:rPr>
                  </w:pPr>
                  <w:r>
                    <w:rPr>
                      <w:rFonts w:hint="eastAsia"/>
                      <w:kern w:val="0"/>
                    </w:rPr>
                    <w:t>罗江镇居民</w:t>
                  </w:r>
                </w:p>
              </w:tc>
              <w:tc>
                <w:tcPr>
                  <w:tcW w:w="790" w:type="pct"/>
                  <w:tcBorders>
                    <w:tl2br w:val="nil"/>
                    <w:tr2bl w:val="nil"/>
                  </w:tcBorders>
                  <w:shd w:val="clear" w:color="auto" w:fill="auto"/>
                  <w:vAlign w:val="center"/>
                </w:tcPr>
                <w:p w14:paraId="1CC00E2B">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rPr>
                    <w:t>东侧、东南侧、南侧</w:t>
                  </w:r>
                </w:p>
              </w:tc>
              <w:tc>
                <w:tcPr>
                  <w:tcW w:w="907" w:type="pct"/>
                  <w:tcBorders>
                    <w:tl2br w:val="nil"/>
                    <w:tr2bl w:val="nil"/>
                  </w:tcBorders>
                  <w:shd w:val="clear" w:color="auto" w:fill="auto"/>
                  <w:vAlign w:val="center"/>
                </w:tcPr>
                <w:p w14:paraId="74517B73">
                  <w:pPr>
                    <w:pStyle w:val="4"/>
                    <w:bidi w:val="0"/>
                    <w:rPr>
                      <w:rFonts w:hint="default" w:ascii="Times New Roman" w:hAnsi="Times New Roman" w:eastAsia="宋体" w:cs="Times New Roman"/>
                      <w:kern w:val="0"/>
                      <w:sz w:val="21"/>
                      <w:szCs w:val="21"/>
                      <w:lang w:val="en-US" w:eastAsia="zh-CN" w:bidi="ar-SA"/>
                    </w:rPr>
                  </w:pPr>
                  <w:r>
                    <w:rPr>
                      <w:rFonts w:hint="eastAsia"/>
                      <w:lang w:val="en-US" w:eastAsia="zh-CN"/>
                    </w:rPr>
                    <w:t>14~462</w:t>
                  </w:r>
                </w:p>
              </w:tc>
              <w:tc>
                <w:tcPr>
                  <w:tcW w:w="579" w:type="pct"/>
                  <w:tcBorders>
                    <w:tl2br w:val="nil"/>
                    <w:tr2bl w:val="nil"/>
                  </w:tcBorders>
                  <w:shd w:val="clear" w:color="auto" w:fill="auto"/>
                  <w:vAlign w:val="center"/>
                </w:tcPr>
                <w:p w14:paraId="15E9F279">
                  <w:pPr>
                    <w:pStyle w:val="4"/>
                    <w:bidi w:val="0"/>
                    <w:rPr>
                      <w:rFonts w:hint="eastAsia" w:ascii="Times New Roman" w:hAnsi="Times New Roman" w:eastAsia="宋体" w:cs="Times New Roman"/>
                      <w:kern w:val="0"/>
                      <w:sz w:val="21"/>
                      <w:szCs w:val="21"/>
                      <w:lang w:val="en-US" w:eastAsia="zh-CN" w:bidi="ar-SA"/>
                    </w:rPr>
                  </w:pPr>
                  <w:r>
                    <w:rPr>
                      <w:rFonts w:hint="eastAsia"/>
                      <w:lang w:val="en-US" w:eastAsia="zh-CN"/>
                    </w:rPr>
                    <w:t>居民</w:t>
                  </w:r>
                </w:p>
              </w:tc>
              <w:tc>
                <w:tcPr>
                  <w:tcW w:w="703" w:type="pct"/>
                  <w:tcBorders>
                    <w:tl2br w:val="nil"/>
                    <w:tr2bl w:val="nil"/>
                  </w:tcBorders>
                  <w:shd w:val="clear" w:color="auto" w:fill="auto"/>
                  <w:vAlign w:val="center"/>
                </w:tcPr>
                <w:p w14:paraId="629B0409">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rPr>
                    <w:t>40户，约120人</w:t>
                  </w:r>
                </w:p>
              </w:tc>
            </w:tr>
            <w:tr w14:paraId="47591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640173CD">
                  <w:pPr>
                    <w:pStyle w:val="4"/>
                    <w:bidi w:val="0"/>
                    <w:rPr>
                      <w:rFonts w:hint="default"/>
                      <w:lang w:val="en-US" w:eastAsia="zh-CN"/>
                    </w:rPr>
                  </w:pPr>
                  <w:r>
                    <w:rPr>
                      <w:rFonts w:hint="eastAsia"/>
                      <w:lang w:val="en-US" w:eastAsia="zh-CN"/>
                    </w:rPr>
                    <w:t>3</w:t>
                  </w:r>
                </w:p>
              </w:tc>
              <w:tc>
                <w:tcPr>
                  <w:tcW w:w="1502" w:type="pct"/>
                  <w:tcBorders>
                    <w:tl2br w:val="nil"/>
                    <w:tr2bl w:val="nil"/>
                  </w:tcBorders>
                  <w:shd w:val="clear" w:color="auto" w:fill="auto"/>
                  <w:vAlign w:val="center"/>
                </w:tcPr>
                <w:p w14:paraId="05C7B1E5">
                  <w:pPr>
                    <w:pStyle w:val="4"/>
                    <w:bidi w:val="0"/>
                    <w:rPr>
                      <w:rFonts w:hint="eastAsia" w:ascii="Times New Roman" w:hAnsi="Times New Roman" w:eastAsia="宋体" w:cs="Times New Roman"/>
                      <w:kern w:val="0"/>
                      <w:sz w:val="21"/>
                      <w:szCs w:val="21"/>
                      <w:lang w:val="en-US" w:eastAsia="zh-CN" w:bidi="ar-SA"/>
                    </w:rPr>
                  </w:pPr>
                  <w:r>
                    <w:rPr>
                      <w:rFonts w:hint="eastAsia"/>
                      <w:kern w:val="0"/>
                    </w:rPr>
                    <w:t>罗江镇居民</w:t>
                  </w:r>
                </w:p>
              </w:tc>
              <w:tc>
                <w:tcPr>
                  <w:tcW w:w="790" w:type="pct"/>
                  <w:tcBorders>
                    <w:tl2br w:val="nil"/>
                    <w:tr2bl w:val="nil"/>
                  </w:tcBorders>
                  <w:shd w:val="clear" w:color="auto" w:fill="auto"/>
                  <w:vAlign w:val="center"/>
                </w:tcPr>
                <w:p w14:paraId="5FB02607">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rPr>
                    <w:t>西南侧、西侧</w:t>
                  </w:r>
                </w:p>
              </w:tc>
              <w:tc>
                <w:tcPr>
                  <w:tcW w:w="907" w:type="pct"/>
                  <w:tcBorders>
                    <w:tl2br w:val="nil"/>
                    <w:tr2bl w:val="nil"/>
                  </w:tcBorders>
                  <w:shd w:val="clear" w:color="auto" w:fill="auto"/>
                  <w:vAlign w:val="center"/>
                </w:tcPr>
                <w:p w14:paraId="2C258C18">
                  <w:pPr>
                    <w:pStyle w:val="4"/>
                    <w:bidi w:val="0"/>
                    <w:rPr>
                      <w:rFonts w:hint="default" w:ascii="Times New Roman" w:hAnsi="Times New Roman" w:eastAsia="宋体" w:cs="Times New Roman"/>
                      <w:kern w:val="0"/>
                      <w:sz w:val="21"/>
                      <w:szCs w:val="21"/>
                      <w:lang w:val="en-US" w:eastAsia="zh-CN" w:bidi="ar-SA"/>
                    </w:rPr>
                  </w:pPr>
                  <w:r>
                    <w:rPr>
                      <w:rFonts w:hint="eastAsia"/>
                      <w:lang w:val="en-US" w:eastAsia="zh-CN"/>
                    </w:rPr>
                    <w:t>81~495</w:t>
                  </w:r>
                </w:p>
              </w:tc>
              <w:tc>
                <w:tcPr>
                  <w:tcW w:w="579" w:type="pct"/>
                  <w:tcBorders>
                    <w:tl2br w:val="nil"/>
                    <w:tr2bl w:val="nil"/>
                  </w:tcBorders>
                  <w:shd w:val="clear" w:color="auto" w:fill="auto"/>
                  <w:vAlign w:val="center"/>
                </w:tcPr>
                <w:p w14:paraId="62BAB560">
                  <w:pPr>
                    <w:pStyle w:val="4"/>
                    <w:bidi w:val="0"/>
                    <w:rPr>
                      <w:rFonts w:hint="eastAsia" w:ascii="Times New Roman" w:hAnsi="Times New Roman" w:eastAsia="宋体" w:cs="Times New Roman"/>
                      <w:kern w:val="0"/>
                      <w:sz w:val="21"/>
                      <w:szCs w:val="21"/>
                      <w:lang w:val="en-US" w:eastAsia="zh-CN" w:bidi="ar-SA"/>
                    </w:rPr>
                  </w:pPr>
                  <w:r>
                    <w:rPr>
                      <w:rFonts w:hint="eastAsia"/>
                      <w:lang w:val="en-US" w:eastAsia="zh-CN"/>
                    </w:rPr>
                    <w:t>居民</w:t>
                  </w:r>
                </w:p>
              </w:tc>
              <w:tc>
                <w:tcPr>
                  <w:tcW w:w="703" w:type="pct"/>
                  <w:tcBorders>
                    <w:tl2br w:val="nil"/>
                    <w:tr2bl w:val="nil"/>
                  </w:tcBorders>
                  <w:shd w:val="clear" w:color="auto" w:fill="auto"/>
                  <w:vAlign w:val="center"/>
                </w:tcPr>
                <w:p w14:paraId="281BECB8">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rPr>
                    <w:t>7户，约20人</w:t>
                  </w:r>
                </w:p>
              </w:tc>
            </w:tr>
            <w:tr w14:paraId="71A1B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5774B87F">
                  <w:pPr>
                    <w:pStyle w:val="4"/>
                    <w:bidi w:val="0"/>
                    <w:rPr>
                      <w:rFonts w:hint="default"/>
                      <w:lang w:val="en-US" w:eastAsia="zh-CN"/>
                    </w:rPr>
                  </w:pPr>
                  <w:r>
                    <w:rPr>
                      <w:rFonts w:hint="eastAsia"/>
                      <w:lang w:val="en-US" w:eastAsia="zh-CN"/>
                    </w:rPr>
                    <w:t>4</w:t>
                  </w:r>
                </w:p>
              </w:tc>
              <w:tc>
                <w:tcPr>
                  <w:tcW w:w="1502" w:type="pct"/>
                  <w:tcBorders>
                    <w:tl2br w:val="nil"/>
                    <w:tr2bl w:val="nil"/>
                  </w:tcBorders>
                  <w:shd w:val="clear" w:color="auto" w:fill="auto"/>
                  <w:vAlign w:val="center"/>
                </w:tcPr>
                <w:p w14:paraId="4AF96592">
                  <w:pPr>
                    <w:pStyle w:val="4"/>
                    <w:bidi w:val="0"/>
                    <w:rPr>
                      <w:rFonts w:hint="eastAsia" w:ascii="Times New Roman" w:hAnsi="Times New Roman" w:eastAsia="宋体" w:cs="Times New Roman"/>
                      <w:kern w:val="0"/>
                      <w:sz w:val="21"/>
                      <w:szCs w:val="21"/>
                      <w:lang w:val="en-US" w:eastAsia="zh-CN" w:bidi="ar-SA"/>
                    </w:rPr>
                  </w:pPr>
                  <w:r>
                    <w:rPr>
                      <w:rFonts w:hint="eastAsia"/>
                      <w:kern w:val="0"/>
                    </w:rPr>
                    <w:t>罗江镇居民</w:t>
                  </w:r>
                </w:p>
              </w:tc>
              <w:tc>
                <w:tcPr>
                  <w:tcW w:w="790" w:type="pct"/>
                  <w:tcBorders>
                    <w:tl2br w:val="nil"/>
                    <w:tr2bl w:val="nil"/>
                  </w:tcBorders>
                  <w:shd w:val="clear" w:color="auto" w:fill="auto"/>
                  <w:vAlign w:val="center"/>
                </w:tcPr>
                <w:p w14:paraId="5C4B3F3A">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rPr>
                    <w:t>西北侧</w:t>
                  </w:r>
                </w:p>
              </w:tc>
              <w:tc>
                <w:tcPr>
                  <w:tcW w:w="907" w:type="pct"/>
                  <w:tcBorders>
                    <w:tl2br w:val="nil"/>
                    <w:tr2bl w:val="nil"/>
                  </w:tcBorders>
                  <w:shd w:val="clear" w:color="auto" w:fill="auto"/>
                  <w:vAlign w:val="center"/>
                </w:tcPr>
                <w:p w14:paraId="105BDA02">
                  <w:pPr>
                    <w:pStyle w:val="4"/>
                    <w:bidi w:val="0"/>
                    <w:rPr>
                      <w:rFonts w:hint="default" w:ascii="Times New Roman" w:hAnsi="Times New Roman" w:eastAsia="宋体" w:cs="Times New Roman"/>
                      <w:kern w:val="0"/>
                      <w:sz w:val="21"/>
                      <w:szCs w:val="21"/>
                      <w:lang w:val="en-US" w:eastAsia="zh-CN" w:bidi="ar-SA"/>
                    </w:rPr>
                  </w:pPr>
                  <w:r>
                    <w:rPr>
                      <w:rFonts w:hint="eastAsia"/>
                      <w:lang w:val="en-US" w:eastAsia="zh-CN"/>
                    </w:rPr>
                    <w:t>75~480</w:t>
                  </w:r>
                </w:p>
              </w:tc>
              <w:tc>
                <w:tcPr>
                  <w:tcW w:w="579" w:type="pct"/>
                  <w:tcBorders>
                    <w:tl2br w:val="nil"/>
                    <w:tr2bl w:val="nil"/>
                  </w:tcBorders>
                  <w:shd w:val="clear" w:color="auto" w:fill="auto"/>
                  <w:vAlign w:val="center"/>
                </w:tcPr>
                <w:p w14:paraId="6592B4C9">
                  <w:pPr>
                    <w:pStyle w:val="4"/>
                    <w:bidi w:val="0"/>
                    <w:ind w:left="0" w:leftChars="0"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工业企业</w:t>
                  </w:r>
                </w:p>
              </w:tc>
              <w:tc>
                <w:tcPr>
                  <w:tcW w:w="703" w:type="pct"/>
                  <w:tcBorders>
                    <w:tl2br w:val="nil"/>
                    <w:tr2bl w:val="nil"/>
                  </w:tcBorders>
                  <w:shd w:val="clear" w:color="auto" w:fill="auto"/>
                  <w:vAlign w:val="center"/>
                </w:tcPr>
                <w:p w14:paraId="564BCD30">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rPr>
                    <w:t>30户，约100人</w:t>
                  </w:r>
                </w:p>
              </w:tc>
            </w:tr>
            <w:tr w14:paraId="1F430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73F4FB59">
                  <w:pPr>
                    <w:pStyle w:val="4"/>
                    <w:bidi w:val="0"/>
                    <w:ind w:left="0" w:leftChars="0"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5</w:t>
                  </w:r>
                </w:p>
              </w:tc>
              <w:tc>
                <w:tcPr>
                  <w:tcW w:w="1502" w:type="pct"/>
                  <w:tcBorders>
                    <w:tl2br w:val="nil"/>
                    <w:tr2bl w:val="nil"/>
                  </w:tcBorders>
                  <w:shd w:val="clear" w:color="auto" w:fill="auto"/>
                  <w:vAlign w:val="center"/>
                </w:tcPr>
                <w:p w14:paraId="205325F7">
                  <w:pPr>
                    <w:pStyle w:val="4"/>
                    <w:bidi w:val="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华欣电器物流配送中心\达州丰德康新能源有限公司</w:t>
                  </w:r>
                </w:p>
              </w:tc>
              <w:tc>
                <w:tcPr>
                  <w:tcW w:w="790" w:type="pct"/>
                  <w:tcBorders>
                    <w:tl2br w:val="nil"/>
                    <w:tr2bl w:val="nil"/>
                  </w:tcBorders>
                  <w:shd w:val="clear" w:color="auto" w:fill="auto"/>
                  <w:vAlign w:val="center"/>
                </w:tcPr>
                <w:p w14:paraId="5F4FF97D">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西南侧</w:t>
                  </w:r>
                </w:p>
              </w:tc>
              <w:tc>
                <w:tcPr>
                  <w:tcW w:w="907" w:type="pct"/>
                  <w:tcBorders>
                    <w:tl2br w:val="nil"/>
                    <w:tr2bl w:val="nil"/>
                  </w:tcBorders>
                  <w:vAlign w:val="center"/>
                </w:tcPr>
                <w:p w14:paraId="42A1E57A">
                  <w:pPr>
                    <w:pStyle w:val="4"/>
                    <w:bidi w:val="0"/>
                    <w:rPr>
                      <w:rFonts w:hint="default"/>
                      <w:lang w:val="en-US" w:eastAsia="zh-CN"/>
                    </w:rPr>
                  </w:pPr>
                  <w:r>
                    <w:rPr>
                      <w:rFonts w:hint="eastAsia"/>
                      <w:lang w:val="en-US" w:eastAsia="zh-CN"/>
                    </w:rPr>
                    <w:t>10</w:t>
                  </w:r>
                </w:p>
              </w:tc>
              <w:tc>
                <w:tcPr>
                  <w:tcW w:w="579" w:type="pct"/>
                  <w:tcBorders>
                    <w:tl2br w:val="nil"/>
                    <w:tr2bl w:val="nil"/>
                  </w:tcBorders>
                  <w:vAlign w:val="center"/>
                </w:tcPr>
                <w:p w14:paraId="72D349EF">
                  <w:pPr>
                    <w:pStyle w:val="4"/>
                    <w:bidi w:val="0"/>
                    <w:ind w:left="0" w:leftChars="0" w:firstLine="0" w:firstLineChars="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库房</w:t>
                  </w:r>
                </w:p>
              </w:tc>
              <w:tc>
                <w:tcPr>
                  <w:tcW w:w="703" w:type="pct"/>
                  <w:tcBorders>
                    <w:tl2br w:val="nil"/>
                    <w:tr2bl w:val="nil"/>
                  </w:tcBorders>
                  <w:shd w:val="clear" w:color="auto" w:fill="auto"/>
                  <w:vAlign w:val="center"/>
                </w:tcPr>
                <w:p w14:paraId="67AB51DD">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r>
            <w:tr w14:paraId="52734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tl2br w:val="nil"/>
                    <w:tr2bl w:val="nil"/>
                  </w:tcBorders>
                  <w:vAlign w:val="center"/>
                </w:tcPr>
                <w:p w14:paraId="00082D4D">
                  <w:pPr>
                    <w:pStyle w:val="4"/>
                    <w:bidi w:val="0"/>
                    <w:ind w:left="0" w:leftChars="0"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6</w:t>
                  </w:r>
                </w:p>
              </w:tc>
              <w:tc>
                <w:tcPr>
                  <w:tcW w:w="1502" w:type="pct"/>
                  <w:tcBorders>
                    <w:tl2br w:val="nil"/>
                    <w:tr2bl w:val="nil"/>
                  </w:tcBorders>
                  <w:vAlign w:val="center"/>
                </w:tcPr>
                <w:p w14:paraId="66FBC30C">
                  <w:pPr>
                    <w:pStyle w:val="4"/>
                    <w:bidi w:val="0"/>
                    <w:rPr>
                      <w:rFonts w:hint="default" w:eastAsia="宋体"/>
                      <w:lang w:val="en-US" w:eastAsia="zh-CN"/>
                    </w:rPr>
                  </w:pPr>
                  <w:r>
                    <w:rPr>
                      <w:rFonts w:hint="eastAsia"/>
                      <w:lang w:val="en-US" w:eastAsia="zh-CN"/>
                    </w:rPr>
                    <w:t>州河</w:t>
                  </w:r>
                </w:p>
              </w:tc>
              <w:tc>
                <w:tcPr>
                  <w:tcW w:w="790" w:type="pct"/>
                  <w:tcBorders>
                    <w:tl2br w:val="nil"/>
                    <w:tr2bl w:val="nil"/>
                  </w:tcBorders>
                  <w:vAlign w:val="center"/>
                </w:tcPr>
                <w:p w14:paraId="5BC6C8D8">
                  <w:pPr>
                    <w:pStyle w:val="4"/>
                    <w:bidi w:val="0"/>
                    <w:rPr>
                      <w:rFonts w:hint="eastAsia"/>
                      <w:lang w:val="en-US" w:eastAsia="zh-CN"/>
                    </w:rPr>
                  </w:pPr>
                  <w:r>
                    <w:rPr>
                      <w:rFonts w:hint="eastAsia"/>
                      <w:lang w:val="en-US" w:eastAsia="zh-CN"/>
                    </w:rPr>
                    <w:t>南侧</w:t>
                  </w:r>
                </w:p>
              </w:tc>
              <w:tc>
                <w:tcPr>
                  <w:tcW w:w="907" w:type="pct"/>
                  <w:tcBorders>
                    <w:tl2br w:val="nil"/>
                    <w:tr2bl w:val="nil"/>
                  </w:tcBorders>
                  <w:vAlign w:val="center"/>
                </w:tcPr>
                <w:p w14:paraId="75C7D21B">
                  <w:pPr>
                    <w:pStyle w:val="4"/>
                    <w:bidi w:val="0"/>
                    <w:rPr>
                      <w:rFonts w:hint="default"/>
                      <w:lang w:val="en-US" w:eastAsia="zh-CN"/>
                    </w:rPr>
                  </w:pPr>
                  <w:r>
                    <w:rPr>
                      <w:rFonts w:hint="eastAsia"/>
                      <w:lang w:val="en-US" w:eastAsia="zh-CN"/>
                    </w:rPr>
                    <w:t>110</w:t>
                  </w:r>
                </w:p>
              </w:tc>
              <w:tc>
                <w:tcPr>
                  <w:tcW w:w="579" w:type="pct"/>
                  <w:tcBorders>
                    <w:tl2br w:val="nil"/>
                    <w:tr2bl w:val="nil"/>
                  </w:tcBorders>
                  <w:vAlign w:val="center"/>
                </w:tcPr>
                <w:p w14:paraId="329C3EEA">
                  <w:pPr>
                    <w:pStyle w:val="4"/>
                    <w:bidi w:val="0"/>
                    <w:rPr>
                      <w:rFonts w:hint="default"/>
                      <w:lang w:val="en-US" w:eastAsia="zh-CN"/>
                    </w:rPr>
                  </w:pPr>
                  <w:r>
                    <w:rPr>
                      <w:rFonts w:hint="eastAsia"/>
                      <w:lang w:val="en-US" w:eastAsia="zh-CN"/>
                    </w:rPr>
                    <w:t>河流</w:t>
                  </w:r>
                </w:p>
              </w:tc>
              <w:tc>
                <w:tcPr>
                  <w:tcW w:w="703" w:type="pct"/>
                  <w:tcBorders>
                    <w:tl2br w:val="nil"/>
                    <w:tr2bl w:val="nil"/>
                  </w:tcBorders>
                  <w:vAlign w:val="center"/>
                </w:tcPr>
                <w:p w14:paraId="5E98F3B9">
                  <w:pPr>
                    <w:pStyle w:val="4"/>
                    <w:bidi w:val="0"/>
                    <w:rPr>
                      <w:rFonts w:hint="default"/>
                      <w:lang w:val="en-US" w:eastAsia="zh-CN"/>
                    </w:rPr>
                  </w:pPr>
                  <w:r>
                    <w:rPr>
                      <w:rFonts w:hint="eastAsia"/>
                      <w:lang w:val="en-US" w:eastAsia="zh-CN"/>
                    </w:rPr>
                    <w:t>/</w:t>
                  </w:r>
                </w:p>
              </w:tc>
            </w:tr>
          </w:tbl>
          <w:p w14:paraId="581E0604"/>
          <w:p w14:paraId="77095E58">
            <w:pPr>
              <w:spacing w:line="360" w:lineRule="auto"/>
              <w:ind w:firstLine="482" w:firstLineChars="200"/>
              <w:rPr>
                <w:b/>
                <w:bCs/>
                <w:sz w:val="24"/>
                <w:szCs w:val="24"/>
              </w:rPr>
            </w:pPr>
            <w:r>
              <w:rPr>
                <w:rFonts w:hint="eastAsia"/>
                <w:b/>
                <w:bCs/>
                <w:sz w:val="24"/>
                <w:szCs w:val="24"/>
              </w:rPr>
              <w:t>（1）与《精神专科医院建筑设计规范》（GB 51058-2014）符合性分析</w:t>
            </w:r>
          </w:p>
          <w:p w14:paraId="3D75435D">
            <w:pPr>
              <w:spacing w:line="360" w:lineRule="auto"/>
              <w:ind w:firstLine="480" w:firstLineChars="200"/>
              <w:rPr>
                <w:sz w:val="24"/>
                <w:szCs w:val="24"/>
              </w:rPr>
            </w:pPr>
            <w:r>
              <w:rPr>
                <w:rFonts w:hint="eastAsia"/>
                <w:sz w:val="24"/>
                <w:szCs w:val="24"/>
              </w:rPr>
              <w:t>参照《精神专科医院建筑设计规范》（GB 51058-2014），本项目选址与其相符性见下表：</w:t>
            </w:r>
          </w:p>
          <w:p w14:paraId="56A6281E">
            <w:pPr>
              <w:spacing w:line="360" w:lineRule="auto"/>
              <w:jc w:val="center"/>
              <w:rPr>
                <w:b/>
                <w:bCs/>
                <w:sz w:val="24"/>
                <w:szCs w:val="24"/>
              </w:rPr>
            </w:pPr>
            <w:r>
              <w:rPr>
                <w:rFonts w:hint="eastAsia"/>
                <w:b/>
                <w:bCs/>
                <w:sz w:val="24"/>
                <w:szCs w:val="24"/>
              </w:rPr>
              <w:t>表1-</w:t>
            </w:r>
            <w:r>
              <w:rPr>
                <w:rFonts w:hint="eastAsia"/>
                <w:b/>
                <w:bCs/>
                <w:sz w:val="24"/>
                <w:szCs w:val="24"/>
                <w:lang w:val="en-US" w:eastAsia="zh-CN"/>
              </w:rPr>
              <w:t>8</w:t>
            </w:r>
            <w:r>
              <w:rPr>
                <w:rFonts w:hint="eastAsia"/>
                <w:b/>
                <w:bCs/>
                <w:sz w:val="24"/>
                <w:szCs w:val="24"/>
              </w:rPr>
              <w:t xml:space="preserve"> 本项目与《精神专科医院建筑设计规范》（GB 51058-2014）符合性分析表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630"/>
              <w:gridCol w:w="3034"/>
              <w:gridCol w:w="1052"/>
            </w:tblGrid>
            <w:tr w14:paraId="29CFC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14:paraId="3F5DDEDD">
                  <w:pPr>
                    <w:autoSpaceDE w:val="0"/>
                    <w:autoSpaceDN w:val="0"/>
                    <w:adjustRightInd w:val="0"/>
                    <w:snapToGrid w:val="0"/>
                    <w:jc w:val="center"/>
                    <w:rPr>
                      <w:b/>
                      <w:szCs w:val="20"/>
                      <w:lang w:bidi="en-US"/>
                    </w:rPr>
                  </w:pPr>
                  <w:r>
                    <w:rPr>
                      <w:rFonts w:hint="eastAsia"/>
                      <w:b/>
                      <w:szCs w:val="20"/>
                      <w:lang w:bidi="en-US"/>
                    </w:rPr>
                    <w:t>序号</w:t>
                  </w:r>
                </w:p>
              </w:tc>
              <w:tc>
                <w:tcPr>
                  <w:tcW w:w="2123" w:type="pct"/>
                  <w:tcBorders>
                    <w:tl2br w:val="nil"/>
                    <w:tr2bl w:val="nil"/>
                  </w:tcBorders>
                  <w:vAlign w:val="center"/>
                </w:tcPr>
                <w:p w14:paraId="0F3BA792">
                  <w:pPr>
                    <w:autoSpaceDE w:val="0"/>
                    <w:autoSpaceDN w:val="0"/>
                    <w:adjustRightInd w:val="0"/>
                    <w:snapToGrid w:val="0"/>
                    <w:jc w:val="center"/>
                    <w:rPr>
                      <w:b/>
                      <w:szCs w:val="20"/>
                      <w:lang w:bidi="en-US"/>
                    </w:rPr>
                  </w:pPr>
                  <w:r>
                    <w:rPr>
                      <w:rFonts w:hint="eastAsia"/>
                      <w:b/>
                      <w:szCs w:val="20"/>
                      <w:lang w:bidi="en-US"/>
                    </w:rPr>
                    <w:t>标准要求</w:t>
                  </w:r>
                </w:p>
              </w:tc>
              <w:tc>
                <w:tcPr>
                  <w:tcW w:w="1774" w:type="pct"/>
                  <w:tcBorders>
                    <w:tl2br w:val="nil"/>
                    <w:tr2bl w:val="nil"/>
                  </w:tcBorders>
                  <w:vAlign w:val="center"/>
                </w:tcPr>
                <w:p w14:paraId="7E983300">
                  <w:pPr>
                    <w:autoSpaceDE w:val="0"/>
                    <w:autoSpaceDN w:val="0"/>
                    <w:adjustRightInd w:val="0"/>
                    <w:snapToGrid w:val="0"/>
                    <w:jc w:val="center"/>
                    <w:rPr>
                      <w:b/>
                      <w:szCs w:val="20"/>
                      <w:lang w:bidi="en-US"/>
                    </w:rPr>
                  </w:pPr>
                  <w:r>
                    <w:rPr>
                      <w:rFonts w:hint="eastAsia"/>
                      <w:b/>
                      <w:szCs w:val="20"/>
                      <w:lang w:bidi="en-US"/>
                    </w:rPr>
                    <w:t>本项目选址情况</w:t>
                  </w:r>
                </w:p>
              </w:tc>
              <w:tc>
                <w:tcPr>
                  <w:tcW w:w="615" w:type="pct"/>
                  <w:tcBorders>
                    <w:tl2br w:val="nil"/>
                    <w:tr2bl w:val="nil"/>
                  </w:tcBorders>
                  <w:vAlign w:val="center"/>
                </w:tcPr>
                <w:p w14:paraId="2FE97239">
                  <w:pPr>
                    <w:autoSpaceDE w:val="0"/>
                    <w:autoSpaceDN w:val="0"/>
                    <w:adjustRightInd w:val="0"/>
                    <w:snapToGrid w:val="0"/>
                    <w:jc w:val="center"/>
                    <w:rPr>
                      <w:b/>
                      <w:szCs w:val="20"/>
                      <w:lang w:bidi="en-US"/>
                    </w:rPr>
                  </w:pPr>
                  <w:r>
                    <w:rPr>
                      <w:rFonts w:hint="eastAsia"/>
                      <w:b/>
                      <w:szCs w:val="20"/>
                      <w:lang w:bidi="en-US"/>
                    </w:rPr>
                    <w:t>符合性</w:t>
                  </w:r>
                </w:p>
              </w:tc>
            </w:tr>
            <w:tr w14:paraId="6F339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14:paraId="23CC2730">
                  <w:pPr>
                    <w:autoSpaceDE w:val="0"/>
                    <w:autoSpaceDN w:val="0"/>
                    <w:adjustRightInd w:val="0"/>
                    <w:snapToGrid w:val="0"/>
                    <w:jc w:val="center"/>
                    <w:rPr>
                      <w:bCs/>
                      <w:szCs w:val="20"/>
                      <w:lang w:bidi="en-US"/>
                    </w:rPr>
                  </w:pPr>
                  <w:r>
                    <w:rPr>
                      <w:rFonts w:hint="eastAsia"/>
                      <w:bCs/>
                      <w:szCs w:val="20"/>
                      <w:lang w:bidi="en-US"/>
                    </w:rPr>
                    <w:t>1</w:t>
                  </w:r>
                </w:p>
              </w:tc>
              <w:tc>
                <w:tcPr>
                  <w:tcW w:w="2123" w:type="pct"/>
                  <w:tcBorders>
                    <w:tl2br w:val="nil"/>
                    <w:tr2bl w:val="nil"/>
                  </w:tcBorders>
                  <w:vAlign w:val="center"/>
                </w:tcPr>
                <w:p w14:paraId="6A0830BB">
                  <w:pPr>
                    <w:autoSpaceDE w:val="0"/>
                    <w:autoSpaceDN w:val="0"/>
                    <w:adjustRightInd w:val="0"/>
                    <w:snapToGrid w:val="0"/>
                    <w:jc w:val="center"/>
                    <w:rPr>
                      <w:bCs/>
                      <w:szCs w:val="20"/>
                      <w:lang w:bidi="en-US"/>
                    </w:rPr>
                  </w:pPr>
                  <w:r>
                    <w:rPr>
                      <w:rFonts w:hint="eastAsia"/>
                      <w:bCs/>
                      <w:szCs w:val="20"/>
                      <w:lang w:bidi="en-US"/>
                    </w:rPr>
                    <w:t>交通方便</w:t>
                  </w:r>
                </w:p>
              </w:tc>
              <w:tc>
                <w:tcPr>
                  <w:tcW w:w="1774" w:type="pct"/>
                  <w:tcBorders>
                    <w:tl2br w:val="nil"/>
                    <w:tr2bl w:val="nil"/>
                  </w:tcBorders>
                  <w:vAlign w:val="center"/>
                </w:tcPr>
                <w:p w14:paraId="57425D09">
                  <w:pPr>
                    <w:autoSpaceDE w:val="0"/>
                    <w:autoSpaceDN w:val="0"/>
                    <w:adjustRightInd w:val="0"/>
                    <w:snapToGrid w:val="0"/>
                    <w:jc w:val="center"/>
                    <w:rPr>
                      <w:bCs/>
                      <w:szCs w:val="20"/>
                      <w:lang w:bidi="en-US"/>
                    </w:rPr>
                  </w:pPr>
                  <w:r>
                    <w:rPr>
                      <w:rFonts w:hint="eastAsia"/>
                      <w:bCs/>
                      <w:szCs w:val="20"/>
                      <w:lang w:bidi="en-US"/>
                    </w:rPr>
                    <w:t>本项目院区紧邻201省道，交通便利</w:t>
                  </w:r>
                </w:p>
              </w:tc>
              <w:tc>
                <w:tcPr>
                  <w:tcW w:w="615" w:type="pct"/>
                  <w:tcBorders>
                    <w:tl2br w:val="nil"/>
                    <w:tr2bl w:val="nil"/>
                  </w:tcBorders>
                  <w:vAlign w:val="center"/>
                </w:tcPr>
                <w:p w14:paraId="27F7F9B6">
                  <w:pPr>
                    <w:autoSpaceDE w:val="0"/>
                    <w:autoSpaceDN w:val="0"/>
                    <w:adjustRightInd w:val="0"/>
                    <w:snapToGrid w:val="0"/>
                    <w:jc w:val="center"/>
                    <w:rPr>
                      <w:bCs/>
                      <w:szCs w:val="20"/>
                      <w:lang w:bidi="en-US"/>
                    </w:rPr>
                  </w:pPr>
                  <w:r>
                    <w:rPr>
                      <w:rFonts w:hint="eastAsia"/>
                      <w:bCs/>
                      <w:szCs w:val="20"/>
                      <w:lang w:bidi="en-US"/>
                    </w:rPr>
                    <w:t>符合</w:t>
                  </w:r>
                </w:p>
              </w:tc>
            </w:tr>
            <w:tr w14:paraId="7B21B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14:paraId="28C0EE5C">
                  <w:pPr>
                    <w:autoSpaceDE w:val="0"/>
                    <w:autoSpaceDN w:val="0"/>
                    <w:adjustRightInd w:val="0"/>
                    <w:snapToGrid w:val="0"/>
                    <w:jc w:val="center"/>
                    <w:rPr>
                      <w:bCs/>
                      <w:szCs w:val="20"/>
                      <w:lang w:bidi="en-US"/>
                    </w:rPr>
                  </w:pPr>
                  <w:r>
                    <w:rPr>
                      <w:rFonts w:hint="eastAsia"/>
                      <w:bCs/>
                      <w:szCs w:val="20"/>
                      <w:lang w:bidi="en-US"/>
                    </w:rPr>
                    <w:t>2</w:t>
                  </w:r>
                </w:p>
              </w:tc>
              <w:tc>
                <w:tcPr>
                  <w:tcW w:w="2123" w:type="pct"/>
                  <w:tcBorders>
                    <w:tl2br w:val="nil"/>
                    <w:tr2bl w:val="nil"/>
                  </w:tcBorders>
                  <w:vAlign w:val="center"/>
                </w:tcPr>
                <w:p w14:paraId="0C8501BD">
                  <w:pPr>
                    <w:autoSpaceDE w:val="0"/>
                    <w:autoSpaceDN w:val="0"/>
                    <w:adjustRightInd w:val="0"/>
                    <w:snapToGrid w:val="0"/>
                    <w:jc w:val="center"/>
                    <w:rPr>
                      <w:bCs/>
                      <w:szCs w:val="20"/>
                      <w:lang w:bidi="en-US"/>
                    </w:rPr>
                  </w:pPr>
                  <w:r>
                    <w:rPr>
                      <w:rFonts w:hint="eastAsia"/>
                      <w:bCs/>
                      <w:szCs w:val="20"/>
                      <w:lang w:bidi="en-US"/>
                    </w:rPr>
                    <w:t>便于利用城镇基础设施</w:t>
                  </w:r>
                </w:p>
              </w:tc>
              <w:tc>
                <w:tcPr>
                  <w:tcW w:w="1774" w:type="pct"/>
                  <w:tcBorders>
                    <w:tl2br w:val="nil"/>
                    <w:tr2bl w:val="nil"/>
                  </w:tcBorders>
                  <w:vAlign w:val="center"/>
                </w:tcPr>
                <w:p w14:paraId="65A0599E">
                  <w:pPr>
                    <w:autoSpaceDE w:val="0"/>
                    <w:autoSpaceDN w:val="0"/>
                    <w:adjustRightInd w:val="0"/>
                    <w:snapToGrid w:val="0"/>
                    <w:jc w:val="center"/>
                    <w:rPr>
                      <w:bCs/>
                      <w:szCs w:val="20"/>
                      <w:lang w:bidi="en-US"/>
                    </w:rPr>
                  </w:pPr>
                  <w:r>
                    <w:rPr>
                      <w:rFonts w:hint="eastAsia"/>
                      <w:bCs/>
                      <w:szCs w:val="20"/>
                      <w:lang w:bidi="en-US"/>
                    </w:rPr>
                    <w:t>本项目院区紧邻201省道，交通便利</w:t>
                  </w:r>
                </w:p>
              </w:tc>
              <w:tc>
                <w:tcPr>
                  <w:tcW w:w="615" w:type="pct"/>
                  <w:tcBorders>
                    <w:tl2br w:val="nil"/>
                    <w:tr2bl w:val="nil"/>
                  </w:tcBorders>
                  <w:vAlign w:val="center"/>
                </w:tcPr>
                <w:p w14:paraId="539AF7CF">
                  <w:pPr>
                    <w:autoSpaceDE w:val="0"/>
                    <w:autoSpaceDN w:val="0"/>
                    <w:adjustRightInd w:val="0"/>
                    <w:snapToGrid w:val="0"/>
                    <w:jc w:val="center"/>
                    <w:rPr>
                      <w:bCs/>
                      <w:szCs w:val="20"/>
                      <w:lang w:bidi="en-US"/>
                    </w:rPr>
                  </w:pPr>
                  <w:r>
                    <w:rPr>
                      <w:rFonts w:hint="eastAsia"/>
                      <w:bCs/>
                      <w:szCs w:val="20"/>
                      <w:lang w:bidi="en-US"/>
                    </w:rPr>
                    <w:t>符合</w:t>
                  </w:r>
                </w:p>
              </w:tc>
            </w:tr>
            <w:tr w14:paraId="21B5A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14:paraId="56BFB988">
                  <w:pPr>
                    <w:autoSpaceDE w:val="0"/>
                    <w:autoSpaceDN w:val="0"/>
                    <w:adjustRightInd w:val="0"/>
                    <w:snapToGrid w:val="0"/>
                    <w:jc w:val="center"/>
                    <w:rPr>
                      <w:bCs/>
                      <w:szCs w:val="20"/>
                      <w:lang w:bidi="en-US"/>
                    </w:rPr>
                  </w:pPr>
                  <w:r>
                    <w:rPr>
                      <w:rFonts w:hint="eastAsia"/>
                      <w:bCs/>
                      <w:szCs w:val="20"/>
                      <w:lang w:bidi="en-US"/>
                    </w:rPr>
                    <w:t>3</w:t>
                  </w:r>
                </w:p>
              </w:tc>
              <w:tc>
                <w:tcPr>
                  <w:tcW w:w="2123" w:type="pct"/>
                  <w:tcBorders>
                    <w:tl2br w:val="nil"/>
                    <w:tr2bl w:val="nil"/>
                  </w:tcBorders>
                  <w:vAlign w:val="center"/>
                </w:tcPr>
                <w:p w14:paraId="143D7B7D">
                  <w:pPr>
                    <w:autoSpaceDE w:val="0"/>
                    <w:autoSpaceDN w:val="0"/>
                    <w:adjustRightInd w:val="0"/>
                    <w:snapToGrid w:val="0"/>
                    <w:jc w:val="center"/>
                    <w:rPr>
                      <w:bCs/>
                      <w:szCs w:val="20"/>
                      <w:lang w:bidi="en-US"/>
                    </w:rPr>
                  </w:pPr>
                  <w:r>
                    <w:rPr>
                      <w:rFonts w:hint="eastAsia"/>
                      <w:bCs/>
                      <w:szCs w:val="20"/>
                      <w:lang w:bidi="en-US"/>
                    </w:rPr>
                    <w:t>地形宜规整平坦，地质宜构造稳定，地势应比较高且不受洪水威胁</w:t>
                  </w:r>
                </w:p>
              </w:tc>
              <w:tc>
                <w:tcPr>
                  <w:tcW w:w="1774" w:type="pct"/>
                  <w:tcBorders>
                    <w:tl2br w:val="nil"/>
                    <w:tr2bl w:val="nil"/>
                  </w:tcBorders>
                  <w:vAlign w:val="center"/>
                </w:tcPr>
                <w:p w14:paraId="15B71F2A">
                  <w:pPr>
                    <w:autoSpaceDE w:val="0"/>
                    <w:autoSpaceDN w:val="0"/>
                    <w:adjustRightInd w:val="0"/>
                    <w:snapToGrid w:val="0"/>
                    <w:jc w:val="center"/>
                    <w:rPr>
                      <w:bCs/>
                      <w:szCs w:val="20"/>
                      <w:lang w:bidi="en-US"/>
                    </w:rPr>
                  </w:pPr>
                  <w:r>
                    <w:rPr>
                      <w:rFonts w:hint="eastAsia"/>
                      <w:bCs/>
                      <w:szCs w:val="20"/>
                      <w:lang w:bidi="en-US"/>
                    </w:rPr>
                    <w:t>项目周边主要为居民区、空地、道路，地形较规整平坦，地质构造稳定。</w:t>
                  </w:r>
                </w:p>
              </w:tc>
              <w:tc>
                <w:tcPr>
                  <w:tcW w:w="615" w:type="pct"/>
                  <w:tcBorders>
                    <w:tl2br w:val="nil"/>
                    <w:tr2bl w:val="nil"/>
                  </w:tcBorders>
                  <w:vAlign w:val="center"/>
                </w:tcPr>
                <w:p w14:paraId="2D333CF1">
                  <w:pPr>
                    <w:autoSpaceDE w:val="0"/>
                    <w:autoSpaceDN w:val="0"/>
                    <w:adjustRightInd w:val="0"/>
                    <w:snapToGrid w:val="0"/>
                    <w:jc w:val="center"/>
                    <w:rPr>
                      <w:bCs/>
                      <w:szCs w:val="20"/>
                      <w:lang w:bidi="en-US"/>
                    </w:rPr>
                  </w:pPr>
                  <w:r>
                    <w:rPr>
                      <w:rFonts w:hint="eastAsia"/>
                      <w:bCs/>
                      <w:szCs w:val="20"/>
                      <w:lang w:bidi="en-US"/>
                    </w:rPr>
                    <w:t>符合</w:t>
                  </w:r>
                </w:p>
              </w:tc>
            </w:tr>
            <w:tr w14:paraId="6CBC0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l2br w:val="nil"/>
                    <w:tr2bl w:val="nil"/>
                  </w:tcBorders>
                  <w:vAlign w:val="center"/>
                </w:tcPr>
                <w:p w14:paraId="50447C7B">
                  <w:pPr>
                    <w:autoSpaceDE w:val="0"/>
                    <w:autoSpaceDN w:val="0"/>
                    <w:adjustRightInd w:val="0"/>
                    <w:snapToGrid w:val="0"/>
                    <w:jc w:val="center"/>
                    <w:rPr>
                      <w:bCs/>
                      <w:szCs w:val="20"/>
                      <w:lang w:bidi="en-US"/>
                    </w:rPr>
                  </w:pPr>
                  <w:r>
                    <w:rPr>
                      <w:rFonts w:hint="eastAsia"/>
                      <w:bCs/>
                      <w:szCs w:val="20"/>
                      <w:lang w:bidi="en-US"/>
                    </w:rPr>
                    <w:t>4</w:t>
                  </w:r>
                </w:p>
              </w:tc>
              <w:tc>
                <w:tcPr>
                  <w:tcW w:w="2123" w:type="pct"/>
                  <w:tcBorders>
                    <w:tl2br w:val="nil"/>
                    <w:tr2bl w:val="nil"/>
                  </w:tcBorders>
                  <w:vAlign w:val="center"/>
                </w:tcPr>
                <w:p w14:paraId="6E68574B">
                  <w:pPr>
                    <w:autoSpaceDE w:val="0"/>
                    <w:autoSpaceDN w:val="0"/>
                    <w:adjustRightInd w:val="0"/>
                    <w:snapToGrid w:val="0"/>
                    <w:jc w:val="center"/>
                    <w:rPr>
                      <w:bCs/>
                      <w:szCs w:val="20"/>
                      <w:lang w:bidi="en-US"/>
                    </w:rPr>
                  </w:pPr>
                  <w:r>
                    <w:rPr>
                      <w:rFonts w:hint="eastAsia"/>
                      <w:bCs/>
                      <w:szCs w:val="20"/>
                      <w:lang w:bidi="en-US"/>
                    </w:rPr>
                    <w:t>远离易燃、易爆物品的生产和储存区</w:t>
                  </w:r>
                </w:p>
              </w:tc>
              <w:tc>
                <w:tcPr>
                  <w:tcW w:w="1774" w:type="pct"/>
                  <w:tcBorders>
                    <w:tl2br w:val="nil"/>
                    <w:tr2bl w:val="nil"/>
                  </w:tcBorders>
                  <w:vAlign w:val="center"/>
                </w:tcPr>
                <w:p w14:paraId="33E9C591">
                  <w:pPr>
                    <w:autoSpaceDE w:val="0"/>
                    <w:autoSpaceDN w:val="0"/>
                    <w:adjustRightInd w:val="0"/>
                    <w:snapToGrid w:val="0"/>
                    <w:jc w:val="center"/>
                    <w:rPr>
                      <w:rFonts w:cs="黑体"/>
                      <w:bCs/>
                      <w:szCs w:val="20"/>
                      <w:lang w:bidi="en-US"/>
                    </w:rPr>
                  </w:pPr>
                  <w:r>
                    <w:rPr>
                      <w:rFonts w:hint="eastAsia" w:cs="黑体"/>
                      <w:bCs/>
                      <w:szCs w:val="20"/>
                      <w:lang w:bidi="en-US"/>
                    </w:rPr>
                    <w:t>本项目周边无明显污染源，无易燃、易爆物品的生产和储存区，远离高压线路及设施</w:t>
                  </w:r>
                </w:p>
              </w:tc>
              <w:tc>
                <w:tcPr>
                  <w:tcW w:w="615" w:type="pct"/>
                  <w:tcBorders>
                    <w:tl2br w:val="nil"/>
                    <w:tr2bl w:val="nil"/>
                  </w:tcBorders>
                  <w:vAlign w:val="center"/>
                </w:tcPr>
                <w:p w14:paraId="2A4D261E">
                  <w:pPr>
                    <w:autoSpaceDE w:val="0"/>
                    <w:autoSpaceDN w:val="0"/>
                    <w:adjustRightInd w:val="0"/>
                    <w:snapToGrid w:val="0"/>
                    <w:jc w:val="center"/>
                    <w:rPr>
                      <w:bCs/>
                      <w:szCs w:val="20"/>
                      <w:lang w:bidi="en-US"/>
                    </w:rPr>
                  </w:pPr>
                  <w:r>
                    <w:rPr>
                      <w:rFonts w:hint="eastAsia"/>
                      <w:bCs/>
                      <w:szCs w:val="20"/>
                      <w:lang w:bidi="en-US"/>
                    </w:rPr>
                    <w:t>符合</w:t>
                  </w:r>
                </w:p>
              </w:tc>
            </w:tr>
          </w:tbl>
          <w:p w14:paraId="04C8C4A5"/>
          <w:p w14:paraId="252C98E1">
            <w:pPr>
              <w:spacing w:line="360" w:lineRule="auto"/>
              <w:ind w:firstLine="480" w:firstLineChars="200"/>
              <w:rPr>
                <w:sz w:val="24"/>
                <w:szCs w:val="24"/>
              </w:rPr>
            </w:pPr>
            <w:r>
              <w:rPr>
                <w:rFonts w:hint="eastAsia"/>
                <w:sz w:val="24"/>
                <w:szCs w:val="24"/>
              </w:rPr>
              <w:t>综上，项目符合《精神专科医院建筑设计规范》（GB 51058-2014）中的相关要求。</w:t>
            </w:r>
          </w:p>
          <w:p w14:paraId="3AF1A649">
            <w:pPr>
              <w:spacing w:line="360" w:lineRule="auto"/>
              <w:ind w:firstLine="482" w:firstLineChars="200"/>
              <w:rPr>
                <w:b/>
                <w:bCs/>
                <w:sz w:val="24"/>
                <w:szCs w:val="24"/>
              </w:rPr>
            </w:pPr>
            <w:r>
              <w:rPr>
                <w:rFonts w:hint="eastAsia"/>
                <w:b/>
                <w:bCs/>
                <w:sz w:val="24"/>
                <w:szCs w:val="24"/>
              </w:rPr>
              <w:t>（2）项目外环境相容性分析</w:t>
            </w:r>
          </w:p>
          <w:p w14:paraId="63852159">
            <w:pPr>
              <w:spacing w:line="360" w:lineRule="auto"/>
              <w:ind w:firstLine="480" w:firstLineChars="200"/>
              <w:rPr>
                <w:sz w:val="24"/>
                <w:szCs w:val="24"/>
              </w:rPr>
            </w:pPr>
            <w:r>
              <w:rPr>
                <w:rFonts w:hint="eastAsia"/>
                <w:sz w:val="24"/>
                <w:szCs w:val="24"/>
              </w:rPr>
              <w:t>经现场调查，</w:t>
            </w:r>
            <w:r>
              <w:rPr>
                <w:rFonts w:hint="eastAsia"/>
                <w:b/>
                <w:bCs/>
                <w:sz w:val="24"/>
                <w:szCs w:val="24"/>
                <w:u w:val="single"/>
              </w:rPr>
              <w:t>建设单位租赁达州市通川区华欣实业有限责任公司（出租单位）部分库房建设本项目，其他库房的承租单位为华欣电器物流配送中心、达州丰德康新能源有限公司，承租单位均不是生产性企业，租赁该区域均作为库房使用。</w:t>
            </w:r>
            <w:r>
              <w:rPr>
                <w:rFonts w:hint="eastAsia"/>
                <w:sz w:val="24"/>
                <w:szCs w:val="24"/>
              </w:rPr>
              <w:t>本项目周边无大型污染型企业，外环境主要以农户、仓库、州河等为主，项目评价区域内无文物古迹、自然保护区、风景名胜区等特定的保护目标，外环境关系相对简单。因此项目外环境对本项目影响较小。</w:t>
            </w:r>
          </w:p>
          <w:p w14:paraId="055D4394">
            <w:pPr>
              <w:spacing w:line="360" w:lineRule="auto"/>
              <w:ind w:firstLine="480" w:firstLineChars="200"/>
              <w:rPr>
                <w:sz w:val="24"/>
                <w:szCs w:val="24"/>
              </w:rPr>
            </w:pPr>
            <w:r>
              <w:rPr>
                <w:rFonts w:hint="eastAsia"/>
                <w:sz w:val="24"/>
                <w:szCs w:val="24"/>
              </w:rPr>
              <w:t>本项目为专科医院建设项目，属于轻污染类项目，</w:t>
            </w:r>
            <w:r>
              <w:rPr>
                <w:rFonts w:hint="eastAsia"/>
                <w:bCs/>
                <w:sz w:val="24"/>
                <w:lang w:bidi="en-US"/>
              </w:rPr>
              <w:t>项目污水处理站位于综合楼西南侧，废水处理达标后进入罗江镇污水处理厂处理，项目废水不会对外环境造成不利影响；病区含菌空气采用常规消毒措施定期消毒，利用紫外线、移动式臭氧消毒机等进行室内外消毒，同时加强自然通风和机械通风</w:t>
            </w:r>
            <w:r>
              <w:rPr>
                <w:rFonts w:hint="eastAsia"/>
                <w:sz w:val="24"/>
                <w:szCs w:val="36"/>
              </w:rPr>
              <w:t>等措施降低对周边环境的影响</w:t>
            </w:r>
            <w:r>
              <w:rPr>
                <w:rFonts w:hint="eastAsia"/>
                <w:bCs/>
                <w:sz w:val="24"/>
                <w:lang w:bidi="en-US"/>
              </w:rPr>
              <w:t>；项目污水处理站为地埋式封闭运行（池体均位于地下，地面设置污水处理控制室），通过向污水处理站周边投加除臭剂，加强院区周边绿化等措施降低恶臭对周边居民的影响；医疗废物暂存间恶臭通过医疗废物密封储存，加强管理，定期消毒，日产日清等措施降低对周边环境影响；柴油发电机废气经自带烟气净化装置处理后外排；汽车尾气产生量较小，通过自然扩散的方式排放；项目废气通过上述处理后排放，不会对周边环境造成明显影响；项目主要产噪设备通过隔声、基础减振等有效降噪措施后，不会对声环境造成明显不利影响；项目营运期产生的医疗废物日产日清，定期消毒，经有资质的危废处理单位收集处置，生活垃圾日产日清，交由环卫清运处置，餐厨垃圾</w:t>
            </w:r>
            <w:r>
              <w:rPr>
                <w:sz w:val="24"/>
              </w:rPr>
              <w:t>收集后交由有资质的餐厨垃圾处理单位处理</w:t>
            </w:r>
            <w:r>
              <w:rPr>
                <w:rFonts w:hint="eastAsia"/>
                <w:sz w:val="24"/>
              </w:rPr>
              <w:t>，</w:t>
            </w:r>
            <w:r>
              <w:rPr>
                <w:rFonts w:hint="eastAsia"/>
                <w:bCs/>
                <w:sz w:val="24"/>
                <w:lang w:bidi="en-US"/>
              </w:rPr>
              <w:t>固废去向明显，不会对外环境产生不利影响。因此，本项目产生的废气、废水、噪声、固废在采取规范的污染物治理措施后，对区域环境不会产生明显影响</w:t>
            </w:r>
            <w:r>
              <w:rPr>
                <w:rFonts w:hint="eastAsia"/>
                <w:sz w:val="24"/>
                <w:szCs w:val="24"/>
              </w:rPr>
              <w:t>，与外环境较为相容。</w:t>
            </w:r>
          </w:p>
          <w:p w14:paraId="65F63BFC">
            <w:pPr>
              <w:spacing w:line="360" w:lineRule="auto"/>
              <w:ind w:firstLine="480" w:firstLineChars="200"/>
              <w:rPr>
                <w:sz w:val="24"/>
                <w:szCs w:val="24"/>
              </w:rPr>
            </w:pPr>
            <w:r>
              <w:rPr>
                <w:rFonts w:hint="eastAsia"/>
                <w:sz w:val="24"/>
                <w:szCs w:val="24"/>
              </w:rPr>
              <w:t>综上所述，本项目与周边环境较相容，不在国家限制、禁止用地项目的范围内，项目选址合理。</w:t>
            </w:r>
          </w:p>
          <w:p w14:paraId="32682DBB">
            <w:pPr>
              <w:spacing w:line="360" w:lineRule="auto"/>
              <w:ind w:firstLine="480" w:firstLineChars="200"/>
              <w:rPr>
                <w:sz w:val="24"/>
                <w:szCs w:val="24"/>
              </w:rPr>
            </w:pPr>
          </w:p>
          <w:p w14:paraId="61AF2A16">
            <w:pPr>
              <w:spacing w:line="360" w:lineRule="auto"/>
              <w:ind w:firstLine="480" w:firstLineChars="200"/>
              <w:rPr>
                <w:sz w:val="24"/>
                <w:szCs w:val="24"/>
              </w:rPr>
            </w:pPr>
          </w:p>
          <w:p w14:paraId="17EE6EF4">
            <w:pPr>
              <w:spacing w:line="360" w:lineRule="auto"/>
              <w:ind w:firstLine="480" w:firstLineChars="200"/>
              <w:rPr>
                <w:sz w:val="24"/>
                <w:szCs w:val="24"/>
              </w:rPr>
            </w:pPr>
          </w:p>
          <w:p w14:paraId="31233BC4">
            <w:pPr>
              <w:spacing w:line="360" w:lineRule="auto"/>
              <w:ind w:firstLine="480" w:firstLineChars="200"/>
              <w:rPr>
                <w:sz w:val="24"/>
                <w:szCs w:val="24"/>
              </w:rPr>
            </w:pPr>
          </w:p>
          <w:p w14:paraId="2FB89FBA">
            <w:pPr>
              <w:spacing w:line="360" w:lineRule="auto"/>
              <w:ind w:firstLine="480" w:firstLineChars="200"/>
              <w:rPr>
                <w:sz w:val="24"/>
                <w:szCs w:val="24"/>
              </w:rPr>
            </w:pPr>
          </w:p>
          <w:p w14:paraId="688DB2A5">
            <w:pPr>
              <w:spacing w:line="360" w:lineRule="auto"/>
              <w:ind w:firstLine="480" w:firstLineChars="200"/>
              <w:rPr>
                <w:sz w:val="24"/>
                <w:szCs w:val="24"/>
              </w:rPr>
            </w:pPr>
          </w:p>
          <w:p w14:paraId="1F0B554F">
            <w:pPr>
              <w:spacing w:line="360" w:lineRule="auto"/>
              <w:ind w:firstLine="480" w:firstLineChars="200"/>
              <w:rPr>
                <w:sz w:val="24"/>
                <w:szCs w:val="24"/>
              </w:rPr>
            </w:pPr>
          </w:p>
          <w:p w14:paraId="4FBF44AE">
            <w:pPr>
              <w:spacing w:line="360" w:lineRule="auto"/>
              <w:ind w:firstLine="600" w:firstLineChars="200"/>
              <w:rPr>
                <w:rFonts w:eastAsia="黑体"/>
                <w:sz w:val="30"/>
                <w:szCs w:val="30"/>
              </w:rPr>
            </w:pPr>
          </w:p>
        </w:tc>
      </w:tr>
    </w:tbl>
    <w:p w14:paraId="57FF5AD4">
      <w:pPr>
        <w:pStyle w:val="34"/>
        <w:jc w:val="left"/>
        <w:rPr>
          <w:rFonts w:eastAsia="黑体"/>
          <w:b w:val="0"/>
          <w:sz w:val="21"/>
          <w:szCs w:val="21"/>
        </w:rPr>
        <w:sectPr>
          <w:pgSz w:w="11906" w:h="16838"/>
          <w:pgMar w:top="1134" w:right="1134" w:bottom="1134" w:left="1417" w:header="851" w:footer="992" w:gutter="0"/>
          <w:pgBorders>
            <w:top w:val="none" w:sz="0" w:space="0"/>
            <w:left w:val="none" w:sz="0" w:space="0"/>
            <w:bottom w:val="none" w:sz="0" w:space="0"/>
            <w:right w:val="none" w:sz="0" w:space="0"/>
          </w:pgBorders>
          <w:cols w:space="720" w:num="1"/>
          <w:docGrid w:type="lines" w:linePitch="312" w:charSpace="0"/>
        </w:sectPr>
      </w:pPr>
    </w:p>
    <w:p w14:paraId="0FAB456D">
      <w:pPr>
        <w:pStyle w:val="34"/>
        <w:jc w:val="center"/>
        <w:rPr>
          <w:rFonts w:eastAsia="黑体"/>
          <w:b w:val="0"/>
          <w:sz w:val="30"/>
          <w:szCs w:val="30"/>
        </w:rPr>
      </w:pPr>
      <w:r>
        <w:rPr>
          <w:rFonts w:eastAsia="黑体"/>
          <w:b w:val="0"/>
          <w:sz w:val="30"/>
          <w:szCs w:val="30"/>
        </w:rPr>
        <w:t>二、建设项目工程分析</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180"/>
      </w:tblGrid>
      <w:tr w14:paraId="68A8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2" w:type="dxa"/>
            <w:vAlign w:val="center"/>
          </w:tcPr>
          <w:p w14:paraId="38931E7F">
            <w:pPr>
              <w:pStyle w:val="8"/>
              <w:spacing w:after="0" w:line="360" w:lineRule="auto"/>
              <w:jc w:val="center"/>
              <w:rPr>
                <w:sz w:val="24"/>
                <w:szCs w:val="36"/>
              </w:rPr>
            </w:pPr>
            <w:r>
              <w:rPr>
                <w:rFonts w:hint="eastAsia"/>
                <w:sz w:val="24"/>
                <w:szCs w:val="36"/>
              </w:rPr>
              <w:t>建设内容</w:t>
            </w:r>
          </w:p>
        </w:tc>
        <w:tc>
          <w:tcPr>
            <w:tcW w:w="9180" w:type="dxa"/>
          </w:tcPr>
          <w:p w14:paraId="7F05B4F1">
            <w:pPr>
              <w:pStyle w:val="8"/>
              <w:spacing w:after="0" w:line="360" w:lineRule="auto"/>
              <w:ind w:firstLine="482" w:firstLineChars="200"/>
              <w:rPr>
                <w:b/>
                <w:bCs/>
                <w:sz w:val="24"/>
                <w:szCs w:val="36"/>
              </w:rPr>
            </w:pPr>
            <w:r>
              <w:rPr>
                <w:rFonts w:hint="eastAsia"/>
                <w:b/>
                <w:bCs/>
                <w:sz w:val="24"/>
                <w:szCs w:val="36"/>
              </w:rPr>
              <w:t>1、项目由来</w:t>
            </w:r>
          </w:p>
          <w:p w14:paraId="18FB7458">
            <w:pPr>
              <w:spacing w:line="360" w:lineRule="auto"/>
              <w:ind w:firstLine="480" w:firstLineChars="200"/>
              <w:rPr>
                <w:kern w:val="0"/>
                <w:sz w:val="24"/>
                <w:szCs w:val="24"/>
              </w:rPr>
            </w:pPr>
            <w:r>
              <w:rPr>
                <w:rFonts w:hint="eastAsia"/>
                <w:sz w:val="24"/>
                <w:szCs w:val="24"/>
              </w:rPr>
              <w:t>“</w:t>
            </w:r>
            <w:r>
              <w:rPr>
                <w:kern w:val="0"/>
                <w:sz w:val="24"/>
                <w:szCs w:val="24"/>
              </w:rPr>
              <w:t>重庆熙柚商贸有限公司</w:t>
            </w:r>
            <w:r>
              <w:rPr>
                <w:rFonts w:hint="eastAsia"/>
                <w:sz w:val="24"/>
                <w:szCs w:val="24"/>
              </w:rPr>
              <w:t>（以下简称“熙柚公司”）”</w:t>
            </w:r>
            <w:r>
              <w:rPr>
                <w:rFonts w:hint="eastAsia"/>
                <w:kern w:val="0"/>
                <w:sz w:val="24"/>
                <w:szCs w:val="24"/>
              </w:rPr>
              <w:t>为“达州市广慈精神病医院有限公司</w:t>
            </w:r>
            <w:r>
              <w:rPr>
                <w:rFonts w:hint="eastAsia"/>
                <w:sz w:val="24"/>
                <w:szCs w:val="24"/>
              </w:rPr>
              <w:t>（以下简称“广慈公司”）</w:t>
            </w:r>
            <w:r>
              <w:rPr>
                <w:rFonts w:hint="eastAsia"/>
                <w:kern w:val="0"/>
                <w:sz w:val="24"/>
                <w:szCs w:val="24"/>
              </w:rPr>
              <w:t>”的投资方。广慈公司</w:t>
            </w:r>
            <w:r>
              <w:rPr>
                <w:rFonts w:hint="eastAsia"/>
                <w:sz w:val="24"/>
                <w:szCs w:val="24"/>
              </w:rPr>
              <w:t>租用位于</w:t>
            </w:r>
            <w:r>
              <w:rPr>
                <w:rFonts w:hint="eastAsia"/>
                <w:kern w:val="0"/>
                <w:sz w:val="24"/>
                <w:szCs w:val="24"/>
              </w:rPr>
              <w:t>四川省达州市通川区罗江镇高岩村四组的华欣电器物流配送中心库房（物业面积23000m</w:t>
            </w:r>
            <w:r>
              <w:rPr>
                <w:rFonts w:hint="eastAsia"/>
                <w:kern w:val="0"/>
                <w:sz w:val="24"/>
                <w:szCs w:val="24"/>
                <w:vertAlign w:val="superscript"/>
              </w:rPr>
              <w:t>2</w:t>
            </w:r>
            <w:r>
              <w:rPr>
                <w:rFonts w:hint="eastAsia"/>
                <w:kern w:val="0"/>
                <w:sz w:val="24"/>
                <w:szCs w:val="24"/>
              </w:rPr>
              <w:t>），熙柚公司作为建设单位承建“</w:t>
            </w:r>
            <w:r>
              <w:rPr>
                <w:rFonts w:hint="eastAsia"/>
                <w:sz w:val="24"/>
                <w:szCs w:val="24"/>
              </w:rPr>
              <w:t>通川区广慈精神病专科医院（养老、精神病专科）建设项目</w:t>
            </w:r>
            <w:r>
              <w:rPr>
                <w:rFonts w:hint="eastAsia"/>
                <w:kern w:val="0"/>
                <w:sz w:val="24"/>
                <w:szCs w:val="24"/>
              </w:rPr>
              <w:t>”（以下简称“项目”或“本项目”）。</w:t>
            </w:r>
          </w:p>
          <w:p w14:paraId="01AB11F0">
            <w:pPr>
              <w:spacing w:line="360" w:lineRule="auto"/>
              <w:ind w:firstLine="480" w:firstLineChars="200"/>
              <w:rPr>
                <w:kern w:val="0"/>
                <w:sz w:val="24"/>
                <w:szCs w:val="24"/>
              </w:rPr>
            </w:pPr>
            <w:r>
              <w:rPr>
                <w:rFonts w:hint="eastAsia"/>
                <w:kern w:val="0"/>
                <w:sz w:val="24"/>
                <w:szCs w:val="24"/>
              </w:rPr>
              <w:t>本项目精神病医院</w:t>
            </w:r>
            <w:r>
              <w:rPr>
                <w:kern w:val="0"/>
                <w:sz w:val="24"/>
                <w:szCs w:val="24"/>
              </w:rPr>
              <w:t>是一所民营专科医院，具有科学化、现代化管理的医疗机构，有良</w:t>
            </w:r>
            <w:r>
              <w:rPr>
                <w:rFonts w:hint="eastAsia"/>
                <w:kern w:val="0"/>
                <w:sz w:val="24"/>
                <w:szCs w:val="24"/>
              </w:rPr>
              <w:t>好的</w:t>
            </w:r>
            <w:r>
              <w:rPr>
                <w:kern w:val="0"/>
                <w:sz w:val="24"/>
                <w:szCs w:val="24"/>
              </w:rPr>
              <w:t>专业人才队伍和先进医疗设施。本医院为专科医院，本医院的建设有利于改善当地医疗条件。医院设1栋综合楼，设床位70张，医院内设</w:t>
            </w:r>
            <w:r>
              <w:rPr>
                <w:rFonts w:hint="eastAsia"/>
                <w:kern w:val="0"/>
                <w:sz w:val="24"/>
                <w:szCs w:val="24"/>
                <w:lang w:val="en-US" w:eastAsia="zh-CN"/>
              </w:rPr>
              <w:t>养老服务、</w:t>
            </w:r>
            <w:r>
              <w:rPr>
                <w:kern w:val="0"/>
                <w:sz w:val="24"/>
                <w:szCs w:val="24"/>
              </w:rPr>
              <w:t>精神科（门诊、住院）、预防保健科、医学检验科、医学影像科等，各类专业技术人员约</w:t>
            </w:r>
            <w:r>
              <w:rPr>
                <w:rFonts w:hint="eastAsia"/>
                <w:kern w:val="0"/>
                <w:sz w:val="24"/>
                <w:szCs w:val="24"/>
                <w:lang w:val="en-US" w:eastAsia="zh-CN"/>
              </w:rPr>
              <w:t>10</w:t>
            </w:r>
            <w:r>
              <w:rPr>
                <w:kern w:val="0"/>
                <w:sz w:val="24"/>
                <w:szCs w:val="24"/>
              </w:rPr>
              <w:t>0人，医院设计最大日门诊接待约50人次。</w:t>
            </w:r>
            <w:r>
              <w:rPr>
                <w:b/>
                <w:bCs/>
                <w:kern w:val="0"/>
                <w:sz w:val="24"/>
                <w:szCs w:val="24"/>
              </w:rPr>
              <w:t>项目内不设传染病科、不设手术室。</w:t>
            </w:r>
          </w:p>
          <w:p w14:paraId="1ADBDFFC">
            <w:pPr>
              <w:spacing w:line="360" w:lineRule="auto"/>
              <w:ind w:firstLine="480" w:firstLineChars="200"/>
              <w:rPr>
                <w:sz w:val="24"/>
                <w:szCs w:val="24"/>
              </w:rPr>
            </w:pPr>
            <w:r>
              <w:rPr>
                <w:sz w:val="24"/>
                <w:szCs w:val="24"/>
              </w:rPr>
              <w:t>根据《建设项目环境影响评价分类管理名录》（2021 年版），本项目属于“四十九、卫生/108</w:t>
            </w:r>
            <w:r>
              <w:rPr>
                <w:rFonts w:hint="eastAsia"/>
                <w:sz w:val="24"/>
                <w:szCs w:val="24"/>
              </w:rPr>
              <w:t>医院841/其他（住院床位20张以下的除外）</w:t>
            </w:r>
            <w:r>
              <w:rPr>
                <w:sz w:val="24"/>
                <w:szCs w:val="24"/>
              </w:rPr>
              <w:t>”，本项目环境影响评价类型为报告表。为此，</w:t>
            </w:r>
            <w:r>
              <w:rPr>
                <w:rFonts w:hint="eastAsia"/>
                <w:sz w:val="24"/>
                <w:szCs w:val="36"/>
              </w:rPr>
              <w:t>熙柚公司</w:t>
            </w:r>
            <w:r>
              <w:rPr>
                <w:sz w:val="24"/>
                <w:szCs w:val="24"/>
              </w:rPr>
              <w:t>委托四川恒延科技咨询有限公司进行本项目的环境影响评价工作。接受委托后，评价单位立即组织技术人员到项目现场进行了实地勘察和调研、收集，在完成工程分析和环境影响因素识别的基础上，按照有关法律、法规和“建设项目环境影响报告表编制技术指南（</w:t>
            </w:r>
            <w:r>
              <w:rPr>
                <w:rFonts w:hint="eastAsia"/>
                <w:sz w:val="24"/>
                <w:szCs w:val="24"/>
              </w:rPr>
              <w:t>污染类</w:t>
            </w:r>
            <w:r>
              <w:rPr>
                <w:sz w:val="24"/>
                <w:szCs w:val="24"/>
              </w:rPr>
              <w:t>）（试行）”等技术规范要求，并根据建设单位提供的资料编制完成了《</w:t>
            </w:r>
            <w:r>
              <w:rPr>
                <w:rFonts w:hint="eastAsia"/>
                <w:sz w:val="24"/>
                <w:szCs w:val="36"/>
              </w:rPr>
              <w:t>通川区广慈精神病专科医院（养老、精神病专科）建设项目</w:t>
            </w:r>
            <w:r>
              <w:rPr>
                <w:sz w:val="24"/>
                <w:szCs w:val="24"/>
              </w:rPr>
              <w:t>环境影响报告表》。</w:t>
            </w:r>
          </w:p>
          <w:p w14:paraId="002C7815">
            <w:pPr>
              <w:spacing w:line="360" w:lineRule="auto"/>
              <w:ind w:firstLine="482" w:firstLineChars="200"/>
              <w:rPr>
                <w:b/>
                <w:bCs/>
                <w:sz w:val="24"/>
                <w:szCs w:val="24"/>
              </w:rPr>
            </w:pPr>
            <w:r>
              <w:rPr>
                <w:rFonts w:hint="eastAsia"/>
                <w:b/>
                <w:bCs/>
                <w:sz w:val="24"/>
                <w:szCs w:val="24"/>
              </w:rPr>
              <w:t>2、项目概况</w:t>
            </w:r>
          </w:p>
          <w:p w14:paraId="45076438">
            <w:pPr>
              <w:spacing w:line="360" w:lineRule="auto"/>
              <w:ind w:firstLine="480" w:firstLineChars="200"/>
              <w:rPr>
                <w:sz w:val="24"/>
                <w:szCs w:val="24"/>
              </w:rPr>
            </w:pPr>
            <w:r>
              <w:rPr>
                <w:rFonts w:hint="eastAsia"/>
                <w:sz w:val="24"/>
                <w:szCs w:val="24"/>
              </w:rPr>
              <w:t>项目名称：</w:t>
            </w:r>
            <w:bookmarkStart w:id="0" w:name="_Hlk99387135"/>
            <w:r>
              <w:rPr>
                <w:rFonts w:hint="eastAsia"/>
                <w:sz w:val="24"/>
                <w:szCs w:val="24"/>
              </w:rPr>
              <w:t>通川区广慈精神病专科医院（养老、精神病专科）建设项目</w:t>
            </w:r>
          </w:p>
          <w:bookmarkEnd w:id="0"/>
          <w:p w14:paraId="479C80BA">
            <w:pPr>
              <w:spacing w:line="360" w:lineRule="auto"/>
              <w:ind w:firstLine="480" w:firstLineChars="200"/>
              <w:rPr>
                <w:sz w:val="24"/>
                <w:szCs w:val="24"/>
              </w:rPr>
            </w:pPr>
            <w:r>
              <w:rPr>
                <w:rFonts w:hint="eastAsia"/>
                <w:sz w:val="24"/>
                <w:szCs w:val="24"/>
              </w:rPr>
              <w:t>建设单位：重庆熙柚商贸有限公司</w:t>
            </w:r>
          </w:p>
          <w:p w14:paraId="5A033344">
            <w:pPr>
              <w:spacing w:line="360" w:lineRule="auto"/>
              <w:ind w:firstLine="480" w:firstLineChars="200"/>
              <w:rPr>
                <w:sz w:val="24"/>
                <w:szCs w:val="24"/>
              </w:rPr>
            </w:pPr>
            <w:r>
              <w:rPr>
                <w:rFonts w:hint="eastAsia"/>
                <w:sz w:val="24"/>
                <w:szCs w:val="24"/>
              </w:rPr>
              <w:t>建设地点：</w:t>
            </w:r>
            <w:bookmarkStart w:id="1" w:name="_Hlk99387124"/>
            <w:r>
              <w:rPr>
                <w:rFonts w:hint="eastAsia"/>
                <w:sz w:val="24"/>
                <w:szCs w:val="24"/>
              </w:rPr>
              <w:t>通川区罗江镇高岩村</w:t>
            </w:r>
          </w:p>
          <w:bookmarkEnd w:id="1"/>
          <w:p w14:paraId="47D28D6C">
            <w:pPr>
              <w:spacing w:line="360" w:lineRule="auto"/>
              <w:ind w:firstLine="480" w:firstLineChars="200"/>
              <w:rPr>
                <w:sz w:val="24"/>
                <w:szCs w:val="24"/>
              </w:rPr>
            </w:pPr>
            <w:r>
              <w:rPr>
                <w:rFonts w:hint="eastAsia"/>
                <w:sz w:val="24"/>
                <w:szCs w:val="24"/>
              </w:rPr>
              <w:t>建设性质：新建</w:t>
            </w:r>
          </w:p>
          <w:p w14:paraId="73883A47">
            <w:pPr>
              <w:pStyle w:val="8"/>
              <w:spacing w:after="0" w:line="360" w:lineRule="auto"/>
              <w:ind w:firstLine="480" w:firstLineChars="200"/>
              <w:rPr>
                <w:sz w:val="24"/>
                <w:szCs w:val="36"/>
              </w:rPr>
            </w:pPr>
            <w:r>
              <w:rPr>
                <w:rFonts w:hint="eastAsia"/>
                <w:sz w:val="24"/>
                <w:szCs w:val="36"/>
              </w:rPr>
              <w:t>项目投资：总投资10000万元</w:t>
            </w:r>
          </w:p>
          <w:p w14:paraId="4C30B206">
            <w:pPr>
              <w:pStyle w:val="8"/>
              <w:spacing w:after="0" w:line="360" w:lineRule="auto"/>
              <w:ind w:firstLine="480" w:firstLineChars="200"/>
              <w:rPr>
                <w:sz w:val="24"/>
                <w:szCs w:val="36"/>
              </w:rPr>
            </w:pPr>
            <w:r>
              <w:rPr>
                <w:rFonts w:hint="eastAsia"/>
                <w:sz w:val="24"/>
                <w:szCs w:val="36"/>
              </w:rPr>
              <w:t>项目定位：专科医院</w:t>
            </w:r>
          </w:p>
          <w:p w14:paraId="032A7051">
            <w:pPr>
              <w:pStyle w:val="8"/>
              <w:spacing w:after="0" w:line="360" w:lineRule="auto"/>
              <w:ind w:firstLine="480" w:firstLineChars="200"/>
              <w:rPr>
                <w:sz w:val="24"/>
                <w:szCs w:val="36"/>
              </w:rPr>
            </w:pPr>
            <w:r>
              <w:rPr>
                <w:rFonts w:hint="eastAsia"/>
                <w:sz w:val="24"/>
                <w:szCs w:val="36"/>
              </w:rPr>
              <w:t>设置床位：床位70张</w:t>
            </w:r>
          </w:p>
          <w:p w14:paraId="0E2388A1">
            <w:pPr>
              <w:pStyle w:val="8"/>
              <w:spacing w:after="0" w:line="360" w:lineRule="auto"/>
              <w:ind w:firstLine="482" w:firstLineChars="200"/>
              <w:rPr>
                <w:b/>
                <w:bCs/>
                <w:sz w:val="24"/>
                <w:szCs w:val="36"/>
              </w:rPr>
            </w:pPr>
            <w:r>
              <w:rPr>
                <w:rFonts w:hint="eastAsia"/>
                <w:b/>
                <w:bCs/>
                <w:sz w:val="24"/>
                <w:szCs w:val="36"/>
              </w:rPr>
              <w:t>3、建设内容及规模</w:t>
            </w:r>
          </w:p>
          <w:p w14:paraId="043D3A9F">
            <w:pPr>
              <w:pStyle w:val="8"/>
              <w:spacing w:after="0" w:line="360" w:lineRule="auto"/>
              <w:ind w:firstLine="480" w:firstLineChars="200"/>
              <w:rPr>
                <w:sz w:val="24"/>
              </w:rPr>
            </w:pPr>
            <w:r>
              <w:rPr>
                <w:rFonts w:hint="eastAsia"/>
                <w:sz w:val="24"/>
              </w:rPr>
              <w:t>项目建筑面积约23000m</w:t>
            </w:r>
            <w:r>
              <w:rPr>
                <w:rFonts w:hint="eastAsia"/>
                <w:sz w:val="24"/>
                <w:vertAlign w:val="superscript"/>
              </w:rPr>
              <w:t>2</w:t>
            </w:r>
            <w:r>
              <w:rPr>
                <w:rFonts w:hint="eastAsia"/>
                <w:sz w:val="24"/>
              </w:rPr>
              <w:t>，主要建设养老设施及精神科服务设施，并配套相关附属设施。</w:t>
            </w:r>
          </w:p>
          <w:p w14:paraId="3BFE9DBC">
            <w:pPr>
              <w:pStyle w:val="8"/>
              <w:spacing w:after="0" w:line="360" w:lineRule="auto"/>
              <w:ind w:firstLine="480" w:firstLineChars="200"/>
              <w:rPr>
                <w:sz w:val="24"/>
              </w:rPr>
            </w:pPr>
            <w:r>
              <w:rPr>
                <w:rFonts w:hint="eastAsia"/>
                <w:sz w:val="24"/>
              </w:rPr>
              <w:t>医院主要收治有轻度心理障碍、心理疾病的患者，以心理治疗及音乐松弛治疗为主，少量抗精神病药物治疗为辅。同时接诊少量门诊病人，项目内不设手术室，不接收传染病人。</w:t>
            </w:r>
          </w:p>
          <w:p w14:paraId="31F60313">
            <w:pPr>
              <w:pStyle w:val="8"/>
              <w:spacing w:after="0" w:line="360" w:lineRule="auto"/>
              <w:ind w:firstLine="482" w:firstLineChars="200"/>
              <w:rPr>
                <w:b/>
                <w:bCs/>
                <w:sz w:val="24"/>
              </w:rPr>
            </w:pPr>
            <w:r>
              <w:rPr>
                <w:rFonts w:hint="eastAsia"/>
                <w:b/>
                <w:bCs/>
                <w:sz w:val="24"/>
              </w:rPr>
              <w:t>特别说明：</w:t>
            </w:r>
          </w:p>
          <w:p w14:paraId="45E0B835">
            <w:pPr>
              <w:pStyle w:val="8"/>
              <w:spacing w:after="0" w:line="360" w:lineRule="auto"/>
              <w:ind w:firstLine="480" w:firstLineChars="200"/>
              <w:rPr>
                <w:b/>
                <w:bCs/>
                <w:sz w:val="24"/>
                <w:szCs w:val="36"/>
              </w:rPr>
            </w:pPr>
            <w:r>
              <w:rPr>
                <w:rFonts w:hint="eastAsia"/>
                <w:sz w:val="24"/>
              </w:rPr>
              <w:t>①本项目不设置传染科门诊与病房，在检查过程中一旦发现确诊或疑似传染病病人，立即要求患者去专业传染病医院就诊，并按照《中华人民共和国传染病防治法》（2004年12月1日起施行）等法律法规，遵循疫情报告属地管理原则，按照国务院规定的或者国务院卫生行政部门规定的内容、程序、方式和时限报告。</w:t>
            </w:r>
          </w:p>
          <w:p w14:paraId="5907ADF5">
            <w:pPr>
              <w:pStyle w:val="8"/>
              <w:spacing w:after="0" w:line="360" w:lineRule="auto"/>
              <w:ind w:firstLine="480" w:firstLineChars="200"/>
              <w:rPr>
                <w:sz w:val="24"/>
              </w:rPr>
            </w:pPr>
            <w:r>
              <w:rPr>
                <w:rFonts w:hint="eastAsia"/>
                <w:sz w:val="24"/>
              </w:rPr>
              <w:t>②项目不设置传染科、口腔科、中药煎药室、手术室。</w:t>
            </w:r>
          </w:p>
          <w:p w14:paraId="16A96EA4">
            <w:pPr>
              <w:pStyle w:val="8"/>
              <w:spacing w:after="0" w:line="360" w:lineRule="auto"/>
              <w:ind w:firstLine="480" w:firstLineChars="200"/>
              <w:rPr>
                <w:sz w:val="24"/>
              </w:rPr>
            </w:pPr>
            <w:r>
              <w:rPr>
                <w:rFonts w:hint="eastAsia"/>
                <w:sz w:val="24"/>
              </w:rPr>
              <w:t>③项目医学影像照片采用数码打印，无洗印废水产生。</w:t>
            </w:r>
          </w:p>
          <w:p w14:paraId="7D064CDC">
            <w:pPr>
              <w:pStyle w:val="8"/>
              <w:spacing w:after="0" w:line="360" w:lineRule="auto"/>
              <w:ind w:firstLine="480" w:firstLineChars="200"/>
              <w:rPr>
                <w:sz w:val="24"/>
              </w:rPr>
            </w:pPr>
            <w:r>
              <w:rPr>
                <w:rFonts w:hint="eastAsia"/>
                <w:sz w:val="24"/>
              </w:rPr>
              <w:t>④项目医学检验科内的血液、血清的化学检查和病理、血液化验均使用外购的成品一次性试剂盒检测，部分试剂盒使用一定量的纯化水进行稀释等工作，产生的检验废水与废试剂盒一并作为危废处理。</w:t>
            </w:r>
          </w:p>
          <w:p w14:paraId="75BF9878">
            <w:pPr>
              <w:pStyle w:val="8"/>
              <w:spacing w:after="0" w:line="360" w:lineRule="auto"/>
              <w:ind w:firstLine="480" w:firstLineChars="200"/>
              <w:rPr>
                <w:sz w:val="24"/>
              </w:rPr>
            </w:pPr>
            <w:r>
              <w:rPr>
                <w:rFonts w:hint="eastAsia"/>
                <w:sz w:val="24"/>
              </w:rPr>
              <w:t>⑤项目不设置锅炉房，设置有开水房。</w:t>
            </w:r>
          </w:p>
          <w:p w14:paraId="524919DF">
            <w:pPr>
              <w:pStyle w:val="8"/>
              <w:spacing w:after="0" w:line="360" w:lineRule="auto"/>
              <w:ind w:firstLine="480" w:firstLineChars="200"/>
              <w:rPr>
                <w:sz w:val="24"/>
              </w:rPr>
            </w:pPr>
            <w:r>
              <w:rPr>
                <w:rFonts w:hint="eastAsia"/>
                <w:sz w:val="24"/>
                <w:u w:val="single"/>
              </w:rPr>
              <w:t>⑥项目放射科及辐射等内容不在本次评价范围内，需委托有资质的单位另行环评，得到相关部门的批准后，方能正式投入运行。</w:t>
            </w:r>
          </w:p>
          <w:p w14:paraId="5972579A">
            <w:pPr>
              <w:pStyle w:val="8"/>
              <w:spacing w:after="0" w:line="360" w:lineRule="auto"/>
              <w:ind w:firstLine="482" w:firstLineChars="200"/>
              <w:rPr>
                <w:b/>
                <w:bCs/>
                <w:sz w:val="24"/>
              </w:rPr>
            </w:pPr>
            <w:r>
              <w:rPr>
                <w:rFonts w:hint="eastAsia"/>
                <w:b/>
                <w:bCs/>
                <w:sz w:val="24"/>
              </w:rPr>
              <w:t>4、项目组成及主要环境问题</w:t>
            </w:r>
          </w:p>
          <w:p w14:paraId="129795C0">
            <w:pPr>
              <w:pStyle w:val="8"/>
              <w:spacing w:after="0" w:line="360" w:lineRule="auto"/>
              <w:ind w:firstLine="480" w:firstLineChars="200"/>
              <w:rPr>
                <w:b/>
                <w:bCs/>
                <w:sz w:val="24"/>
              </w:rPr>
            </w:pPr>
            <w:r>
              <w:rPr>
                <w:rFonts w:hint="eastAsia"/>
                <w:sz w:val="24"/>
              </w:rPr>
              <w:t>项目组成及主要环境问题见下表。</w:t>
            </w:r>
          </w:p>
          <w:p w14:paraId="5C58A251">
            <w:pPr>
              <w:spacing w:line="360" w:lineRule="auto"/>
              <w:jc w:val="center"/>
              <w:rPr>
                <w:b/>
                <w:bCs/>
                <w:sz w:val="24"/>
                <w:szCs w:val="24"/>
              </w:rPr>
            </w:pPr>
            <w:r>
              <w:rPr>
                <w:b/>
                <w:bCs/>
                <w:sz w:val="24"/>
                <w:szCs w:val="24"/>
              </w:rPr>
              <w:t>表2-1 项目组成及主要环境问题</w:t>
            </w:r>
          </w:p>
          <w:tbl>
            <w:tblPr>
              <w:tblStyle w:val="23"/>
              <w:tblW w:w="476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32"/>
              <w:gridCol w:w="4704"/>
              <w:gridCol w:w="912"/>
              <w:gridCol w:w="1356"/>
            </w:tblGrid>
            <w:tr w14:paraId="05358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4F57E6C6">
                  <w:pPr>
                    <w:pStyle w:val="21"/>
                    <w:spacing w:after="0"/>
                    <w:ind w:left="0" w:leftChars="0" w:firstLine="0" w:firstLineChars="0"/>
                    <w:jc w:val="center"/>
                    <w:rPr>
                      <w:b/>
                      <w:bCs/>
                    </w:rPr>
                  </w:pPr>
                  <w:r>
                    <w:rPr>
                      <w:b/>
                      <w:bCs/>
                    </w:rPr>
                    <w:t>工程类别</w:t>
                  </w:r>
                </w:p>
              </w:tc>
              <w:tc>
                <w:tcPr>
                  <w:tcW w:w="3295" w:type="pct"/>
                  <w:gridSpan w:val="2"/>
                  <w:vMerge w:val="restart"/>
                  <w:tcBorders>
                    <w:tl2br w:val="nil"/>
                    <w:tr2bl w:val="nil"/>
                  </w:tcBorders>
                  <w:vAlign w:val="center"/>
                </w:tcPr>
                <w:p w14:paraId="7A3D229A">
                  <w:pPr>
                    <w:pStyle w:val="21"/>
                    <w:spacing w:after="0"/>
                    <w:ind w:left="0" w:leftChars="0" w:firstLine="0" w:firstLineChars="0"/>
                    <w:jc w:val="center"/>
                    <w:rPr>
                      <w:b/>
                      <w:bCs/>
                    </w:rPr>
                  </w:pPr>
                  <w:r>
                    <w:rPr>
                      <w:b/>
                      <w:bCs/>
                    </w:rPr>
                    <w:t>建设内容及规模</w:t>
                  </w:r>
                </w:p>
              </w:tc>
              <w:tc>
                <w:tcPr>
                  <w:tcW w:w="1326" w:type="pct"/>
                  <w:gridSpan w:val="2"/>
                  <w:tcBorders>
                    <w:tl2br w:val="nil"/>
                    <w:tr2bl w:val="nil"/>
                  </w:tcBorders>
                  <w:vAlign w:val="center"/>
                </w:tcPr>
                <w:p w14:paraId="166564A2">
                  <w:pPr>
                    <w:pStyle w:val="21"/>
                    <w:spacing w:after="0"/>
                    <w:ind w:left="0" w:leftChars="0" w:firstLine="0" w:firstLineChars="0"/>
                    <w:jc w:val="center"/>
                    <w:rPr>
                      <w:b/>
                      <w:bCs/>
                    </w:rPr>
                  </w:pPr>
                  <w:r>
                    <w:rPr>
                      <w:b/>
                      <w:bCs/>
                    </w:rPr>
                    <w:t>可能产生的环境问题</w:t>
                  </w:r>
                </w:p>
              </w:tc>
            </w:tr>
            <w:tr w14:paraId="67E51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2AC4897">
                  <w:pPr>
                    <w:pStyle w:val="21"/>
                    <w:spacing w:after="0"/>
                    <w:ind w:left="0" w:leftChars="0" w:firstLine="0" w:firstLineChars="0"/>
                    <w:jc w:val="center"/>
                  </w:pPr>
                </w:p>
              </w:tc>
              <w:tc>
                <w:tcPr>
                  <w:tcW w:w="3295" w:type="pct"/>
                  <w:gridSpan w:val="2"/>
                  <w:vMerge w:val="continue"/>
                  <w:tcBorders>
                    <w:tl2br w:val="nil"/>
                    <w:tr2bl w:val="nil"/>
                  </w:tcBorders>
                  <w:vAlign w:val="center"/>
                </w:tcPr>
                <w:p w14:paraId="5669ADDC">
                  <w:pPr>
                    <w:pStyle w:val="21"/>
                    <w:spacing w:after="0"/>
                    <w:ind w:left="0" w:leftChars="0" w:firstLine="0" w:firstLineChars="0"/>
                    <w:jc w:val="center"/>
                  </w:pPr>
                </w:p>
              </w:tc>
              <w:tc>
                <w:tcPr>
                  <w:tcW w:w="533" w:type="pct"/>
                  <w:tcBorders>
                    <w:tl2br w:val="nil"/>
                    <w:tr2bl w:val="nil"/>
                  </w:tcBorders>
                  <w:vAlign w:val="center"/>
                </w:tcPr>
                <w:p w14:paraId="2F3FA511">
                  <w:pPr>
                    <w:pStyle w:val="21"/>
                    <w:spacing w:after="0"/>
                    <w:ind w:left="0" w:leftChars="0" w:firstLine="0" w:firstLineChars="0"/>
                    <w:jc w:val="center"/>
                    <w:rPr>
                      <w:b/>
                      <w:bCs/>
                    </w:rPr>
                  </w:pPr>
                  <w:r>
                    <w:rPr>
                      <w:b/>
                      <w:bCs/>
                    </w:rPr>
                    <w:t>施工期</w:t>
                  </w:r>
                </w:p>
              </w:tc>
              <w:tc>
                <w:tcPr>
                  <w:tcW w:w="792" w:type="pct"/>
                  <w:tcBorders>
                    <w:tl2br w:val="nil"/>
                    <w:tr2bl w:val="nil"/>
                  </w:tcBorders>
                  <w:vAlign w:val="center"/>
                </w:tcPr>
                <w:p w14:paraId="37AC5657">
                  <w:pPr>
                    <w:pStyle w:val="21"/>
                    <w:spacing w:after="0"/>
                    <w:ind w:left="0" w:leftChars="0" w:firstLine="0" w:firstLineChars="0"/>
                    <w:jc w:val="center"/>
                    <w:rPr>
                      <w:b/>
                      <w:bCs/>
                    </w:rPr>
                  </w:pPr>
                  <w:r>
                    <w:rPr>
                      <w:b/>
                      <w:bCs/>
                    </w:rPr>
                    <w:t>营运期</w:t>
                  </w:r>
                </w:p>
              </w:tc>
            </w:tr>
            <w:tr w14:paraId="55AD5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5B233CDA">
                  <w:pPr>
                    <w:pStyle w:val="21"/>
                    <w:spacing w:after="0"/>
                    <w:ind w:left="0" w:leftChars="0" w:firstLine="0" w:firstLineChars="0"/>
                    <w:jc w:val="center"/>
                  </w:pPr>
                  <w:r>
                    <w:t>主体工程</w:t>
                  </w:r>
                </w:p>
              </w:tc>
              <w:tc>
                <w:tcPr>
                  <w:tcW w:w="545" w:type="pct"/>
                  <w:vMerge w:val="restart"/>
                  <w:tcBorders>
                    <w:tl2br w:val="nil"/>
                    <w:tr2bl w:val="nil"/>
                  </w:tcBorders>
                  <w:vAlign w:val="center"/>
                </w:tcPr>
                <w:p w14:paraId="71E262A4">
                  <w:pPr>
                    <w:pStyle w:val="21"/>
                    <w:spacing w:after="0"/>
                    <w:ind w:left="0" w:leftChars="0" w:firstLine="0" w:firstLineChars="0"/>
                    <w:jc w:val="both"/>
                    <w:rPr>
                      <w:rFonts w:hint="default" w:eastAsia="宋体"/>
                      <w:lang w:val="en-US" w:eastAsia="zh-CN"/>
                    </w:rPr>
                  </w:pPr>
                  <w:r>
                    <w:rPr>
                      <w:rFonts w:hint="eastAsia"/>
                    </w:rPr>
                    <w:t>综合楼（-1</w:t>
                  </w:r>
                  <w:r>
                    <w:rPr>
                      <w:rFonts w:hint="eastAsia"/>
                      <w:lang w:eastAsia="zh-CN"/>
                    </w:rPr>
                    <w:t>~</w:t>
                  </w:r>
                  <w:r>
                    <w:rPr>
                      <w:rFonts w:hint="eastAsia"/>
                    </w:rPr>
                    <w:t>6F）</w:t>
                  </w:r>
                </w:p>
              </w:tc>
              <w:tc>
                <w:tcPr>
                  <w:tcW w:w="2750" w:type="pct"/>
                  <w:tcBorders>
                    <w:tl2br w:val="nil"/>
                    <w:tr2bl w:val="nil"/>
                  </w:tcBorders>
                  <w:vAlign w:val="center"/>
                </w:tcPr>
                <w:p w14:paraId="14EF198E">
                  <w:pPr>
                    <w:pStyle w:val="21"/>
                    <w:spacing w:after="0"/>
                    <w:ind w:left="0" w:leftChars="0" w:firstLine="0" w:firstLineChars="0"/>
                    <w:jc w:val="both"/>
                    <w:rPr>
                      <w:rFonts w:hint="default" w:eastAsia="宋体"/>
                      <w:lang w:val="en-US" w:eastAsia="zh-CN"/>
                    </w:rPr>
                  </w:pPr>
                  <w:r>
                    <w:t>1F，建筑面积</w:t>
                  </w:r>
                  <w:r>
                    <w:rPr>
                      <w:rFonts w:hint="eastAsia"/>
                    </w:rPr>
                    <w:t>3532.42</w:t>
                  </w:r>
                  <w:r>
                    <w:t>m</w:t>
                  </w:r>
                  <w:r>
                    <w:rPr>
                      <w:vertAlign w:val="superscript"/>
                    </w:rPr>
                    <w:t>2</w:t>
                  </w:r>
                  <w:r>
                    <w:t>，设置有</w:t>
                  </w:r>
                  <w:r>
                    <w:rPr>
                      <w:rFonts w:hint="eastAsia"/>
                    </w:rPr>
                    <w:t>医护办公室、主任办公室、值班室、收费室、保卫/值班室、休息室、档案室、药房、接待室、康复科、中医科、外科、内科、观察室、心电图彩超室、胃肠镜室、标本库、更衣室、试剂库、库房、检验科、CT室、DR室、</w:t>
                  </w:r>
                  <w:r>
                    <w:rPr>
                      <w:rFonts w:hint="eastAsia"/>
                      <w:lang w:val="en-US" w:eastAsia="zh-CN"/>
                    </w:rPr>
                    <w:t>养老用房</w:t>
                  </w:r>
                  <w:r>
                    <w:rPr>
                      <w:rFonts w:hint="eastAsia"/>
                    </w:rPr>
                    <w:t>、医疗废物暂存间、厨房、食堂（餐厅）、卫生间、开水房、洗衣间等</w:t>
                  </w:r>
                  <w:r>
                    <w:rPr>
                      <w:rFonts w:hint="eastAsia"/>
                      <w:lang w:eastAsia="zh-CN"/>
                    </w:rPr>
                    <w:t>。</w:t>
                  </w:r>
                  <w:r>
                    <w:rPr>
                      <w:rFonts w:hint="eastAsia"/>
                      <w:lang w:val="en-US" w:eastAsia="zh-CN"/>
                    </w:rPr>
                    <w:t>提供养老服务，设置床位35张。</w:t>
                  </w:r>
                </w:p>
              </w:tc>
              <w:tc>
                <w:tcPr>
                  <w:tcW w:w="533" w:type="pct"/>
                  <w:vMerge w:val="restart"/>
                  <w:tcBorders>
                    <w:tl2br w:val="nil"/>
                    <w:tr2bl w:val="nil"/>
                  </w:tcBorders>
                  <w:vAlign w:val="center"/>
                </w:tcPr>
                <w:p w14:paraId="33B40652">
                  <w:pPr>
                    <w:pStyle w:val="21"/>
                    <w:spacing w:after="0"/>
                    <w:ind w:left="0" w:leftChars="0" w:firstLine="0" w:firstLineChars="0"/>
                    <w:jc w:val="center"/>
                  </w:pPr>
                  <w:r>
                    <w:t>施工</w:t>
                  </w:r>
                  <w:r>
                    <w:rPr>
                      <w:rFonts w:hint="eastAsia"/>
                    </w:rPr>
                    <w:t>废水、施工废气、施工噪声、施工固废等</w:t>
                  </w:r>
                </w:p>
              </w:tc>
              <w:tc>
                <w:tcPr>
                  <w:tcW w:w="792" w:type="pct"/>
                  <w:vMerge w:val="restart"/>
                  <w:tcBorders>
                    <w:tl2br w:val="nil"/>
                    <w:tr2bl w:val="nil"/>
                  </w:tcBorders>
                  <w:vAlign w:val="center"/>
                </w:tcPr>
                <w:p w14:paraId="1C63584D">
                  <w:pPr>
                    <w:pStyle w:val="21"/>
                    <w:spacing w:after="0"/>
                    <w:ind w:left="0" w:leftChars="0" w:firstLine="0" w:firstLineChars="0"/>
                    <w:jc w:val="center"/>
                  </w:pPr>
                  <w:r>
                    <w:t>病区含菌空气、生活污水、生活垃圾、医疗废物、噪声</w:t>
                  </w:r>
                </w:p>
              </w:tc>
            </w:tr>
            <w:tr w14:paraId="0E29D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51E7DCA">
                  <w:pPr>
                    <w:pStyle w:val="21"/>
                    <w:spacing w:after="0"/>
                    <w:ind w:left="0" w:leftChars="0" w:firstLine="0" w:firstLineChars="0"/>
                    <w:jc w:val="center"/>
                  </w:pPr>
                </w:p>
              </w:tc>
              <w:tc>
                <w:tcPr>
                  <w:tcW w:w="545" w:type="pct"/>
                  <w:vMerge w:val="continue"/>
                  <w:tcBorders>
                    <w:tl2br w:val="nil"/>
                    <w:tr2bl w:val="nil"/>
                  </w:tcBorders>
                  <w:vAlign w:val="center"/>
                </w:tcPr>
                <w:p w14:paraId="2DCC99FB">
                  <w:pPr>
                    <w:pStyle w:val="21"/>
                    <w:spacing w:after="0"/>
                    <w:ind w:left="0" w:leftChars="0" w:firstLine="0" w:firstLineChars="0"/>
                    <w:jc w:val="both"/>
                  </w:pPr>
                </w:p>
              </w:tc>
              <w:tc>
                <w:tcPr>
                  <w:tcW w:w="2750" w:type="pct"/>
                  <w:tcBorders>
                    <w:tl2br w:val="nil"/>
                    <w:tr2bl w:val="nil"/>
                  </w:tcBorders>
                  <w:vAlign w:val="center"/>
                </w:tcPr>
                <w:p w14:paraId="1D3C05BB">
                  <w:pPr>
                    <w:pStyle w:val="21"/>
                    <w:spacing w:after="0"/>
                    <w:ind w:left="0" w:leftChars="0" w:firstLine="0" w:firstLineChars="0"/>
                    <w:jc w:val="both"/>
                    <w:rPr>
                      <w:rFonts w:hint="default" w:eastAsia="宋体"/>
                      <w:lang w:val="en-US" w:eastAsia="zh-CN"/>
                    </w:rPr>
                  </w:pPr>
                  <w:r>
                    <w:t>3F，建筑面积</w:t>
                  </w:r>
                  <w:r>
                    <w:rPr>
                      <w:rFonts w:hint="eastAsia"/>
                    </w:rPr>
                    <w:t>3532.42</w:t>
                  </w:r>
                  <w:r>
                    <w:t>m</w:t>
                  </w:r>
                  <w:r>
                    <w:rPr>
                      <w:vertAlign w:val="superscript"/>
                    </w:rPr>
                    <w:t>2</w:t>
                  </w:r>
                  <w:r>
                    <w:t>，设置有</w:t>
                  </w:r>
                  <w:r>
                    <w:rPr>
                      <w:rFonts w:hint="eastAsia"/>
                    </w:rPr>
                    <w:t>医生办公室、护理站、食堂（餐厅）、心理CT室、档案室、入院检查室、入院登记室、治疗室、监护病室、心理咨询诊疗室、普通诊疗室、病房、保管室、公共娱乐室、浴室、开水间、卫生间等</w:t>
                  </w:r>
                  <w:r>
                    <w:rPr>
                      <w:rFonts w:hint="eastAsia"/>
                      <w:lang w:eastAsia="zh-CN"/>
                    </w:rPr>
                    <w:t>。</w:t>
                  </w:r>
                  <w:r>
                    <w:rPr>
                      <w:rFonts w:hint="eastAsia"/>
                      <w:lang w:val="en-US" w:eastAsia="zh-CN"/>
                    </w:rPr>
                    <w:t>提供精神科住院服务，设置床位35张。</w:t>
                  </w:r>
                </w:p>
              </w:tc>
              <w:tc>
                <w:tcPr>
                  <w:tcW w:w="533" w:type="pct"/>
                  <w:vMerge w:val="continue"/>
                  <w:tcBorders>
                    <w:tl2br w:val="nil"/>
                    <w:tr2bl w:val="nil"/>
                  </w:tcBorders>
                  <w:vAlign w:val="center"/>
                </w:tcPr>
                <w:p w14:paraId="22B49EB8">
                  <w:pPr>
                    <w:pStyle w:val="21"/>
                    <w:spacing w:after="0"/>
                    <w:ind w:left="0" w:leftChars="0" w:firstLine="0" w:firstLineChars="0"/>
                    <w:jc w:val="center"/>
                  </w:pPr>
                </w:p>
              </w:tc>
              <w:tc>
                <w:tcPr>
                  <w:tcW w:w="792" w:type="pct"/>
                  <w:vMerge w:val="continue"/>
                  <w:tcBorders>
                    <w:tl2br w:val="nil"/>
                    <w:tr2bl w:val="nil"/>
                  </w:tcBorders>
                  <w:vAlign w:val="center"/>
                </w:tcPr>
                <w:p w14:paraId="0639ACC6">
                  <w:pPr>
                    <w:pStyle w:val="21"/>
                    <w:spacing w:after="0"/>
                    <w:ind w:left="0" w:leftChars="0" w:firstLine="0" w:firstLineChars="0"/>
                    <w:jc w:val="center"/>
                  </w:pPr>
                </w:p>
              </w:tc>
            </w:tr>
            <w:tr w14:paraId="4067B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7" w:type="pct"/>
                  <w:vMerge w:val="continue"/>
                  <w:tcBorders>
                    <w:tl2br w:val="nil"/>
                    <w:tr2bl w:val="nil"/>
                  </w:tcBorders>
                  <w:vAlign w:val="center"/>
                </w:tcPr>
                <w:p w14:paraId="774D8A7D">
                  <w:pPr>
                    <w:pStyle w:val="21"/>
                    <w:spacing w:after="0"/>
                    <w:ind w:left="0" w:leftChars="0" w:firstLine="0" w:firstLineChars="0"/>
                    <w:jc w:val="center"/>
                  </w:pPr>
                </w:p>
              </w:tc>
              <w:tc>
                <w:tcPr>
                  <w:tcW w:w="545" w:type="pct"/>
                  <w:vMerge w:val="continue"/>
                  <w:tcBorders>
                    <w:tl2br w:val="nil"/>
                    <w:tr2bl w:val="nil"/>
                  </w:tcBorders>
                  <w:vAlign w:val="center"/>
                </w:tcPr>
                <w:p w14:paraId="74C6E7BA">
                  <w:pPr>
                    <w:pStyle w:val="21"/>
                    <w:spacing w:after="0"/>
                    <w:ind w:left="0" w:leftChars="0" w:firstLine="0" w:firstLineChars="0"/>
                    <w:jc w:val="both"/>
                  </w:pPr>
                </w:p>
              </w:tc>
              <w:tc>
                <w:tcPr>
                  <w:tcW w:w="2750" w:type="pct"/>
                  <w:tcBorders>
                    <w:tl2br w:val="nil"/>
                    <w:tr2bl w:val="nil"/>
                  </w:tcBorders>
                  <w:vAlign w:val="center"/>
                </w:tcPr>
                <w:p w14:paraId="0DB4B067">
                  <w:pPr>
                    <w:pStyle w:val="21"/>
                    <w:spacing w:after="0"/>
                    <w:ind w:left="0" w:leftChars="0" w:firstLine="0" w:firstLineChars="0"/>
                    <w:jc w:val="both"/>
                  </w:pPr>
                  <w:r>
                    <w:rPr>
                      <w:rFonts w:hint="eastAsia"/>
                    </w:rPr>
                    <w:t>2F、4F、5F、6F暂时闲置</w:t>
                  </w:r>
                </w:p>
              </w:tc>
              <w:tc>
                <w:tcPr>
                  <w:tcW w:w="533" w:type="pct"/>
                  <w:vMerge w:val="continue"/>
                  <w:tcBorders>
                    <w:tl2br w:val="nil"/>
                    <w:tr2bl w:val="nil"/>
                  </w:tcBorders>
                  <w:vAlign w:val="center"/>
                </w:tcPr>
                <w:p w14:paraId="67E00D32">
                  <w:pPr>
                    <w:pStyle w:val="21"/>
                    <w:spacing w:after="0"/>
                    <w:ind w:left="0" w:leftChars="0" w:firstLine="0" w:firstLineChars="0"/>
                    <w:jc w:val="center"/>
                  </w:pPr>
                </w:p>
              </w:tc>
              <w:tc>
                <w:tcPr>
                  <w:tcW w:w="792" w:type="pct"/>
                  <w:tcBorders>
                    <w:tl2br w:val="nil"/>
                    <w:tr2bl w:val="nil"/>
                  </w:tcBorders>
                  <w:vAlign w:val="center"/>
                </w:tcPr>
                <w:p w14:paraId="196736B2">
                  <w:pPr>
                    <w:pStyle w:val="21"/>
                    <w:spacing w:after="0"/>
                    <w:ind w:left="0" w:leftChars="0" w:firstLine="0" w:firstLineChars="0"/>
                    <w:jc w:val="center"/>
                  </w:pPr>
                  <w:r>
                    <w:rPr>
                      <w:rFonts w:hint="eastAsia"/>
                    </w:rPr>
                    <w:t>/</w:t>
                  </w:r>
                </w:p>
              </w:tc>
            </w:tr>
            <w:tr w14:paraId="7133F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53DEE9C">
                  <w:pPr>
                    <w:pStyle w:val="21"/>
                    <w:spacing w:after="0"/>
                    <w:ind w:left="0" w:leftChars="0" w:firstLine="0" w:firstLineChars="0"/>
                    <w:jc w:val="center"/>
                  </w:pPr>
                </w:p>
              </w:tc>
              <w:tc>
                <w:tcPr>
                  <w:tcW w:w="545" w:type="pct"/>
                  <w:vMerge w:val="continue"/>
                  <w:tcBorders>
                    <w:tl2br w:val="nil"/>
                    <w:tr2bl w:val="nil"/>
                  </w:tcBorders>
                  <w:vAlign w:val="center"/>
                </w:tcPr>
                <w:p w14:paraId="13F7C21F">
                  <w:pPr>
                    <w:pStyle w:val="21"/>
                    <w:spacing w:after="0"/>
                    <w:ind w:left="0" w:leftChars="0" w:firstLine="0" w:firstLineChars="0"/>
                    <w:jc w:val="both"/>
                  </w:pPr>
                </w:p>
              </w:tc>
              <w:tc>
                <w:tcPr>
                  <w:tcW w:w="2750" w:type="pct"/>
                  <w:tcBorders>
                    <w:tl2br w:val="nil"/>
                    <w:tr2bl w:val="nil"/>
                  </w:tcBorders>
                  <w:vAlign w:val="center"/>
                </w:tcPr>
                <w:p w14:paraId="22DEE4DF">
                  <w:pPr>
                    <w:pStyle w:val="21"/>
                    <w:spacing w:after="0"/>
                    <w:ind w:left="0" w:leftChars="0" w:firstLine="0" w:firstLineChars="0"/>
                    <w:jc w:val="both"/>
                  </w:pPr>
                  <w:r>
                    <w:rPr>
                      <w:rFonts w:hint="eastAsia"/>
                    </w:rPr>
                    <w:t>-1F：</w:t>
                  </w:r>
                  <w:r>
                    <w:t>建筑面积</w:t>
                  </w:r>
                  <w:r>
                    <w:rPr>
                      <w:rFonts w:hint="eastAsia"/>
                    </w:rPr>
                    <w:t>约199</w:t>
                  </w:r>
                  <w:r>
                    <w:t>m</w:t>
                  </w:r>
                  <w:r>
                    <w:rPr>
                      <w:vertAlign w:val="superscript"/>
                    </w:rPr>
                    <w:t>2</w:t>
                  </w:r>
                  <w:r>
                    <w:t>，</w:t>
                  </w:r>
                  <w:r>
                    <w:rPr>
                      <w:rFonts w:hint="eastAsia"/>
                    </w:rPr>
                    <w:t>设置有柴油发电机房、氧气供应室、消防水泵房。</w:t>
                  </w:r>
                </w:p>
              </w:tc>
              <w:tc>
                <w:tcPr>
                  <w:tcW w:w="533" w:type="pct"/>
                  <w:vMerge w:val="continue"/>
                  <w:tcBorders>
                    <w:tl2br w:val="nil"/>
                    <w:tr2bl w:val="nil"/>
                  </w:tcBorders>
                  <w:vAlign w:val="center"/>
                </w:tcPr>
                <w:p w14:paraId="5BFF0F09">
                  <w:pPr>
                    <w:pStyle w:val="21"/>
                    <w:spacing w:after="0"/>
                    <w:ind w:left="0" w:leftChars="0" w:firstLine="0" w:firstLineChars="0"/>
                    <w:jc w:val="center"/>
                  </w:pPr>
                </w:p>
              </w:tc>
              <w:tc>
                <w:tcPr>
                  <w:tcW w:w="792" w:type="pct"/>
                  <w:tcBorders>
                    <w:tl2br w:val="nil"/>
                    <w:tr2bl w:val="nil"/>
                  </w:tcBorders>
                  <w:vAlign w:val="center"/>
                </w:tcPr>
                <w:p w14:paraId="62F0A5CF">
                  <w:pPr>
                    <w:pStyle w:val="21"/>
                    <w:spacing w:after="0"/>
                    <w:ind w:left="0" w:leftChars="0" w:firstLine="0" w:firstLineChars="0"/>
                    <w:jc w:val="center"/>
                  </w:pPr>
                  <w:r>
                    <w:rPr>
                      <w:rFonts w:hint="eastAsia"/>
                    </w:rPr>
                    <w:t>废气、噪声</w:t>
                  </w:r>
                </w:p>
              </w:tc>
            </w:tr>
            <w:tr w14:paraId="4BA5B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72891955">
                  <w:pPr>
                    <w:pStyle w:val="21"/>
                    <w:spacing w:after="0"/>
                    <w:ind w:left="0" w:leftChars="0" w:firstLine="0" w:firstLineChars="0"/>
                    <w:jc w:val="center"/>
                  </w:pPr>
                  <w:r>
                    <w:t>辅助工程</w:t>
                  </w:r>
                </w:p>
              </w:tc>
              <w:tc>
                <w:tcPr>
                  <w:tcW w:w="545" w:type="pct"/>
                  <w:tcBorders>
                    <w:tl2br w:val="nil"/>
                    <w:tr2bl w:val="nil"/>
                  </w:tcBorders>
                  <w:vAlign w:val="center"/>
                </w:tcPr>
                <w:p w14:paraId="109DD216">
                  <w:pPr>
                    <w:pStyle w:val="21"/>
                    <w:spacing w:after="0"/>
                    <w:ind w:left="0" w:leftChars="0" w:firstLine="0" w:firstLineChars="0"/>
                    <w:jc w:val="center"/>
                  </w:pPr>
                  <w:r>
                    <w:rPr>
                      <w:rFonts w:hint="eastAsia"/>
                    </w:rPr>
                    <w:t>厨房</w:t>
                  </w:r>
                </w:p>
              </w:tc>
              <w:tc>
                <w:tcPr>
                  <w:tcW w:w="2750" w:type="pct"/>
                  <w:tcBorders>
                    <w:tl2br w:val="nil"/>
                    <w:tr2bl w:val="nil"/>
                  </w:tcBorders>
                  <w:vAlign w:val="center"/>
                </w:tcPr>
                <w:p w14:paraId="11914161">
                  <w:pPr>
                    <w:pStyle w:val="21"/>
                    <w:spacing w:after="0"/>
                    <w:ind w:left="0" w:leftChars="0" w:firstLine="0" w:firstLineChars="0"/>
                    <w:jc w:val="both"/>
                  </w:pPr>
                  <w:r>
                    <w:rPr>
                      <w:rFonts w:hint="eastAsia"/>
                    </w:rPr>
                    <w:t>位于综合楼1F，用于制备餐食。</w:t>
                  </w:r>
                </w:p>
              </w:tc>
              <w:tc>
                <w:tcPr>
                  <w:tcW w:w="533" w:type="pct"/>
                  <w:vMerge w:val="continue"/>
                  <w:tcBorders>
                    <w:tl2br w:val="nil"/>
                    <w:tr2bl w:val="nil"/>
                  </w:tcBorders>
                  <w:vAlign w:val="center"/>
                </w:tcPr>
                <w:p w14:paraId="0C85E03C">
                  <w:pPr>
                    <w:pStyle w:val="21"/>
                    <w:spacing w:after="0"/>
                    <w:ind w:left="0" w:leftChars="0" w:firstLine="0" w:firstLineChars="0"/>
                    <w:jc w:val="center"/>
                  </w:pPr>
                </w:p>
              </w:tc>
              <w:tc>
                <w:tcPr>
                  <w:tcW w:w="792" w:type="pct"/>
                  <w:tcBorders>
                    <w:tl2br w:val="nil"/>
                    <w:tr2bl w:val="nil"/>
                  </w:tcBorders>
                  <w:vAlign w:val="center"/>
                </w:tcPr>
                <w:p w14:paraId="06F827E8">
                  <w:pPr>
                    <w:jc w:val="center"/>
                  </w:pPr>
                  <w:r>
                    <w:rPr>
                      <w:rFonts w:hint="eastAsia"/>
                    </w:rPr>
                    <w:t>油烟、生活废水、餐厨垃圾</w:t>
                  </w:r>
                </w:p>
              </w:tc>
            </w:tr>
            <w:tr w14:paraId="05FA7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2F3CDF47">
                  <w:pPr>
                    <w:pStyle w:val="21"/>
                    <w:spacing w:after="0"/>
                    <w:ind w:left="0" w:leftChars="0" w:firstLine="0" w:firstLineChars="0"/>
                    <w:jc w:val="center"/>
                  </w:pPr>
                </w:p>
              </w:tc>
              <w:tc>
                <w:tcPr>
                  <w:tcW w:w="545" w:type="pct"/>
                  <w:tcBorders>
                    <w:tl2br w:val="nil"/>
                    <w:tr2bl w:val="nil"/>
                  </w:tcBorders>
                  <w:vAlign w:val="center"/>
                </w:tcPr>
                <w:p w14:paraId="4D4E8427">
                  <w:pPr>
                    <w:pStyle w:val="21"/>
                    <w:spacing w:after="0"/>
                    <w:ind w:left="0" w:leftChars="0" w:firstLine="0" w:firstLineChars="0"/>
                    <w:jc w:val="center"/>
                  </w:pPr>
                  <w:r>
                    <w:rPr>
                      <w:rFonts w:hint="eastAsia"/>
                    </w:rPr>
                    <w:t>食堂</w:t>
                  </w:r>
                </w:p>
                <w:p w14:paraId="5830B272">
                  <w:pPr>
                    <w:pStyle w:val="21"/>
                    <w:spacing w:after="0"/>
                    <w:ind w:left="0" w:leftChars="0" w:firstLine="0" w:firstLineChars="0"/>
                    <w:jc w:val="center"/>
                  </w:pPr>
                  <w:r>
                    <w:rPr>
                      <w:rFonts w:hint="eastAsia"/>
                    </w:rPr>
                    <w:t>（即餐厅）</w:t>
                  </w:r>
                </w:p>
              </w:tc>
              <w:tc>
                <w:tcPr>
                  <w:tcW w:w="2750" w:type="pct"/>
                  <w:tcBorders>
                    <w:tl2br w:val="nil"/>
                    <w:tr2bl w:val="nil"/>
                  </w:tcBorders>
                  <w:vAlign w:val="center"/>
                </w:tcPr>
                <w:p w14:paraId="5F3A96EE">
                  <w:pPr>
                    <w:pStyle w:val="21"/>
                    <w:spacing w:after="0"/>
                    <w:ind w:left="0" w:leftChars="0" w:firstLine="0" w:firstLineChars="0"/>
                    <w:jc w:val="both"/>
                  </w:pPr>
                  <w:r>
                    <w:rPr>
                      <w:rFonts w:hint="eastAsia"/>
                    </w:rPr>
                    <w:t>位于综合楼1F、3F，供医护人员和病人就餐使用</w:t>
                  </w:r>
                </w:p>
              </w:tc>
              <w:tc>
                <w:tcPr>
                  <w:tcW w:w="533" w:type="pct"/>
                  <w:vMerge w:val="continue"/>
                  <w:tcBorders>
                    <w:tl2br w:val="nil"/>
                    <w:tr2bl w:val="nil"/>
                  </w:tcBorders>
                  <w:vAlign w:val="center"/>
                </w:tcPr>
                <w:p w14:paraId="65BD084B">
                  <w:pPr>
                    <w:pStyle w:val="21"/>
                    <w:spacing w:after="0"/>
                    <w:ind w:left="0" w:leftChars="0" w:firstLine="0" w:firstLineChars="0"/>
                    <w:jc w:val="center"/>
                  </w:pPr>
                </w:p>
              </w:tc>
              <w:tc>
                <w:tcPr>
                  <w:tcW w:w="792" w:type="pct"/>
                  <w:tcBorders>
                    <w:tl2br w:val="nil"/>
                    <w:tr2bl w:val="nil"/>
                  </w:tcBorders>
                  <w:vAlign w:val="center"/>
                </w:tcPr>
                <w:p w14:paraId="1FF40B4D">
                  <w:pPr>
                    <w:jc w:val="center"/>
                  </w:pPr>
                  <w:r>
                    <w:rPr>
                      <w:rFonts w:hint="eastAsia"/>
                    </w:rPr>
                    <w:t>/</w:t>
                  </w:r>
                </w:p>
              </w:tc>
            </w:tr>
            <w:tr w14:paraId="3660B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5F37814">
                  <w:pPr>
                    <w:pStyle w:val="21"/>
                    <w:spacing w:after="0"/>
                    <w:ind w:left="0" w:leftChars="0" w:firstLine="0" w:firstLineChars="0"/>
                    <w:jc w:val="center"/>
                  </w:pPr>
                </w:p>
              </w:tc>
              <w:tc>
                <w:tcPr>
                  <w:tcW w:w="545" w:type="pct"/>
                  <w:tcBorders>
                    <w:tl2br w:val="nil"/>
                    <w:tr2bl w:val="nil"/>
                  </w:tcBorders>
                  <w:vAlign w:val="center"/>
                </w:tcPr>
                <w:p w14:paraId="18528ACF">
                  <w:pPr>
                    <w:pStyle w:val="21"/>
                    <w:spacing w:after="0"/>
                    <w:ind w:left="0" w:leftChars="0" w:firstLine="0" w:firstLineChars="0"/>
                    <w:jc w:val="center"/>
                  </w:pPr>
                  <w:r>
                    <w:t>氧气供应</w:t>
                  </w:r>
                </w:p>
              </w:tc>
              <w:tc>
                <w:tcPr>
                  <w:tcW w:w="2750" w:type="pct"/>
                  <w:tcBorders>
                    <w:tl2br w:val="nil"/>
                    <w:tr2bl w:val="nil"/>
                  </w:tcBorders>
                  <w:vAlign w:val="center"/>
                </w:tcPr>
                <w:p w14:paraId="31A3DE46">
                  <w:pPr>
                    <w:pStyle w:val="21"/>
                    <w:spacing w:after="0"/>
                    <w:ind w:left="0" w:leftChars="0" w:firstLine="0" w:firstLineChars="0"/>
                    <w:jc w:val="both"/>
                  </w:pPr>
                  <w:r>
                    <w:t>位于</w:t>
                  </w:r>
                  <w:r>
                    <w:rPr>
                      <w:rFonts w:hint="eastAsia"/>
                    </w:rPr>
                    <w:t>综合楼-1</w:t>
                  </w:r>
                  <w:r>
                    <w:t>F</w:t>
                  </w:r>
                  <w:r>
                    <w:rPr>
                      <w:rFonts w:hint="eastAsia"/>
                    </w:rPr>
                    <w:t>氧气供应室</w:t>
                  </w:r>
                  <w:r>
                    <w:t>，采用氧气瓶，每月根据用量定期配送，</w:t>
                  </w:r>
                  <w:r>
                    <w:rPr>
                      <w:rFonts w:hint="eastAsia"/>
                    </w:rPr>
                    <w:t>最大储存量约0.5t，</w:t>
                  </w:r>
                  <w:r>
                    <w:t>建筑面积</w:t>
                  </w:r>
                  <w:r>
                    <w:rPr>
                      <w:rFonts w:hint="eastAsia"/>
                    </w:rPr>
                    <w:t>9</w:t>
                  </w:r>
                  <w:r>
                    <w:t>m</w:t>
                  </w:r>
                  <w:r>
                    <w:rPr>
                      <w:vertAlign w:val="superscript"/>
                    </w:rPr>
                    <w:t>2</w:t>
                  </w:r>
                </w:p>
              </w:tc>
              <w:tc>
                <w:tcPr>
                  <w:tcW w:w="533" w:type="pct"/>
                  <w:vMerge w:val="continue"/>
                  <w:tcBorders>
                    <w:tl2br w:val="nil"/>
                    <w:tr2bl w:val="nil"/>
                  </w:tcBorders>
                  <w:vAlign w:val="center"/>
                </w:tcPr>
                <w:p w14:paraId="7692EA4F">
                  <w:pPr>
                    <w:pStyle w:val="21"/>
                    <w:spacing w:after="0"/>
                    <w:ind w:left="0" w:leftChars="0" w:firstLine="0" w:firstLineChars="0"/>
                    <w:jc w:val="center"/>
                  </w:pPr>
                </w:p>
              </w:tc>
              <w:tc>
                <w:tcPr>
                  <w:tcW w:w="792" w:type="pct"/>
                  <w:tcBorders>
                    <w:tl2br w:val="nil"/>
                    <w:tr2bl w:val="nil"/>
                  </w:tcBorders>
                  <w:vAlign w:val="center"/>
                </w:tcPr>
                <w:p w14:paraId="7D33D274">
                  <w:pPr>
                    <w:jc w:val="center"/>
                  </w:pPr>
                  <w:r>
                    <w:rPr>
                      <w:rFonts w:hint="eastAsia"/>
                    </w:rPr>
                    <w:t>/</w:t>
                  </w:r>
                </w:p>
              </w:tc>
            </w:tr>
            <w:tr w14:paraId="5EFB4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36B04870">
                  <w:pPr>
                    <w:pStyle w:val="21"/>
                    <w:spacing w:after="0"/>
                    <w:ind w:left="0" w:leftChars="0" w:firstLine="0" w:firstLineChars="0"/>
                    <w:jc w:val="center"/>
                  </w:pPr>
                </w:p>
              </w:tc>
              <w:tc>
                <w:tcPr>
                  <w:tcW w:w="545" w:type="pct"/>
                  <w:tcBorders>
                    <w:tl2br w:val="nil"/>
                    <w:tr2bl w:val="nil"/>
                  </w:tcBorders>
                  <w:vAlign w:val="center"/>
                </w:tcPr>
                <w:p w14:paraId="23D7B4A6">
                  <w:pPr>
                    <w:pStyle w:val="21"/>
                    <w:spacing w:after="0"/>
                    <w:ind w:left="0" w:leftChars="0" w:firstLine="0" w:firstLineChars="0"/>
                    <w:jc w:val="center"/>
                  </w:pPr>
                  <w:r>
                    <w:rPr>
                      <w:rFonts w:hint="eastAsia"/>
                    </w:rPr>
                    <w:t>洗衣间</w:t>
                  </w:r>
                </w:p>
              </w:tc>
              <w:tc>
                <w:tcPr>
                  <w:tcW w:w="2750" w:type="pct"/>
                  <w:tcBorders>
                    <w:tl2br w:val="nil"/>
                    <w:tr2bl w:val="nil"/>
                  </w:tcBorders>
                  <w:vAlign w:val="center"/>
                </w:tcPr>
                <w:p w14:paraId="253A147B">
                  <w:pPr>
                    <w:pStyle w:val="21"/>
                    <w:spacing w:after="0"/>
                    <w:ind w:left="0" w:leftChars="0" w:firstLine="0" w:firstLineChars="0"/>
                    <w:jc w:val="both"/>
                  </w:pPr>
                  <w:r>
                    <w:rPr>
                      <w:rFonts w:hint="eastAsia"/>
                    </w:rPr>
                    <w:t>位于综合楼1F，用于病人床单、病服、医护人员工作服清洗。</w:t>
                  </w:r>
                </w:p>
              </w:tc>
              <w:tc>
                <w:tcPr>
                  <w:tcW w:w="533" w:type="pct"/>
                  <w:vMerge w:val="continue"/>
                  <w:tcBorders>
                    <w:tl2br w:val="nil"/>
                    <w:tr2bl w:val="nil"/>
                  </w:tcBorders>
                  <w:vAlign w:val="center"/>
                </w:tcPr>
                <w:p w14:paraId="403073CC">
                  <w:pPr>
                    <w:pStyle w:val="21"/>
                    <w:spacing w:after="0"/>
                    <w:ind w:left="0" w:leftChars="0" w:firstLine="0" w:firstLineChars="0"/>
                    <w:jc w:val="center"/>
                  </w:pPr>
                </w:p>
              </w:tc>
              <w:tc>
                <w:tcPr>
                  <w:tcW w:w="792" w:type="pct"/>
                  <w:tcBorders>
                    <w:tl2br w:val="nil"/>
                    <w:tr2bl w:val="nil"/>
                  </w:tcBorders>
                  <w:vAlign w:val="center"/>
                </w:tcPr>
                <w:p w14:paraId="1DD72D08">
                  <w:pPr>
                    <w:jc w:val="center"/>
                  </w:pPr>
                  <w:r>
                    <w:rPr>
                      <w:rFonts w:hint="eastAsia"/>
                    </w:rPr>
                    <w:t>洗衣废水</w:t>
                  </w:r>
                </w:p>
              </w:tc>
            </w:tr>
            <w:tr w14:paraId="774F6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8EB5253">
                  <w:pPr>
                    <w:pStyle w:val="21"/>
                    <w:spacing w:after="0"/>
                    <w:ind w:left="0" w:leftChars="0" w:firstLine="0" w:firstLineChars="0"/>
                    <w:jc w:val="center"/>
                  </w:pPr>
                </w:p>
              </w:tc>
              <w:tc>
                <w:tcPr>
                  <w:tcW w:w="545" w:type="pct"/>
                  <w:tcBorders>
                    <w:tl2br w:val="nil"/>
                    <w:tr2bl w:val="nil"/>
                  </w:tcBorders>
                  <w:vAlign w:val="center"/>
                </w:tcPr>
                <w:p w14:paraId="26C235F0">
                  <w:pPr>
                    <w:pStyle w:val="21"/>
                    <w:spacing w:after="0"/>
                    <w:ind w:left="0" w:leftChars="0" w:firstLine="0" w:firstLineChars="0"/>
                    <w:jc w:val="center"/>
                  </w:pPr>
                  <w:r>
                    <w:t>消防系统</w:t>
                  </w:r>
                </w:p>
              </w:tc>
              <w:tc>
                <w:tcPr>
                  <w:tcW w:w="2750" w:type="pct"/>
                  <w:tcBorders>
                    <w:tl2br w:val="nil"/>
                    <w:tr2bl w:val="nil"/>
                  </w:tcBorders>
                  <w:vAlign w:val="center"/>
                </w:tcPr>
                <w:p w14:paraId="039BEE5D">
                  <w:pPr>
                    <w:pStyle w:val="21"/>
                    <w:spacing w:after="0"/>
                    <w:ind w:left="0" w:leftChars="0" w:firstLine="0" w:firstLineChars="0"/>
                    <w:jc w:val="both"/>
                  </w:pPr>
                  <w:r>
                    <w:t>设置消防栓系统</w:t>
                  </w:r>
                  <w:r>
                    <w:rPr>
                      <w:rFonts w:hint="eastAsia"/>
                    </w:rPr>
                    <w:t>、</w:t>
                  </w:r>
                  <w:r>
                    <w:t>灭火器，</w:t>
                  </w:r>
                  <w:r>
                    <w:rPr>
                      <w:rFonts w:hint="eastAsia"/>
                    </w:rPr>
                    <w:t>-1F设置有消防水泵房，建筑面积170</w:t>
                  </w:r>
                  <w:r>
                    <w:t>m</w:t>
                  </w:r>
                  <w:r>
                    <w:rPr>
                      <w:vertAlign w:val="superscript"/>
                    </w:rPr>
                    <w:t>2</w:t>
                  </w:r>
                  <w:r>
                    <w:rPr>
                      <w:rFonts w:hint="eastAsia"/>
                    </w:rPr>
                    <w:t>。</w:t>
                  </w:r>
                </w:p>
              </w:tc>
              <w:tc>
                <w:tcPr>
                  <w:tcW w:w="533" w:type="pct"/>
                  <w:vMerge w:val="continue"/>
                  <w:tcBorders>
                    <w:tl2br w:val="nil"/>
                    <w:tr2bl w:val="nil"/>
                  </w:tcBorders>
                  <w:vAlign w:val="center"/>
                </w:tcPr>
                <w:p w14:paraId="101425C7">
                  <w:pPr>
                    <w:pStyle w:val="21"/>
                    <w:spacing w:after="0"/>
                    <w:ind w:left="0" w:leftChars="0" w:firstLine="0" w:firstLineChars="0"/>
                    <w:jc w:val="center"/>
                  </w:pPr>
                </w:p>
              </w:tc>
              <w:tc>
                <w:tcPr>
                  <w:tcW w:w="792" w:type="pct"/>
                  <w:tcBorders>
                    <w:tl2br w:val="nil"/>
                    <w:tr2bl w:val="nil"/>
                  </w:tcBorders>
                  <w:vAlign w:val="center"/>
                </w:tcPr>
                <w:p w14:paraId="6FF9FB69">
                  <w:pPr>
                    <w:pStyle w:val="21"/>
                    <w:spacing w:after="0"/>
                    <w:ind w:left="0" w:leftChars="0" w:firstLine="0" w:firstLineChars="0"/>
                    <w:jc w:val="center"/>
                  </w:pPr>
                  <w:r>
                    <w:t>/</w:t>
                  </w:r>
                </w:p>
              </w:tc>
            </w:tr>
            <w:tr w14:paraId="17887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3BB36205">
                  <w:pPr>
                    <w:pStyle w:val="21"/>
                    <w:spacing w:after="0"/>
                    <w:ind w:left="0" w:leftChars="0" w:firstLine="0" w:firstLineChars="0"/>
                    <w:jc w:val="center"/>
                  </w:pPr>
                </w:p>
              </w:tc>
              <w:tc>
                <w:tcPr>
                  <w:tcW w:w="545" w:type="pct"/>
                  <w:tcBorders>
                    <w:tl2br w:val="nil"/>
                    <w:tr2bl w:val="nil"/>
                  </w:tcBorders>
                  <w:vAlign w:val="center"/>
                </w:tcPr>
                <w:p w14:paraId="6BC4318E">
                  <w:pPr>
                    <w:pStyle w:val="21"/>
                    <w:spacing w:after="0"/>
                    <w:ind w:left="0" w:leftChars="0" w:firstLine="0" w:firstLineChars="0"/>
                    <w:jc w:val="center"/>
                    <w:rPr>
                      <w:b/>
                      <w:bCs/>
                    </w:rPr>
                  </w:pPr>
                  <w:r>
                    <w:t>空调系统</w:t>
                  </w:r>
                </w:p>
              </w:tc>
              <w:tc>
                <w:tcPr>
                  <w:tcW w:w="2750" w:type="pct"/>
                  <w:tcBorders>
                    <w:tl2br w:val="nil"/>
                    <w:tr2bl w:val="nil"/>
                  </w:tcBorders>
                  <w:vAlign w:val="center"/>
                </w:tcPr>
                <w:p w14:paraId="60AE0953">
                  <w:pPr>
                    <w:pStyle w:val="21"/>
                    <w:spacing w:after="0"/>
                    <w:ind w:left="0" w:leftChars="0" w:firstLine="0" w:firstLineChars="0"/>
                    <w:jc w:val="both"/>
                    <w:rPr>
                      <w:b/>
                      <w:bCs/>
                    </w:rPr>
                  </w:pPr>
                  <w:r>
                    <w:t>采用分体式空调</w:t>
                  </w:r>
                </w:p>
              </w:tc>
              <w:tc>
                <w:tcPr>
                  <w:tcW w:w="533" w:type="pct"/>
                  <w:vMerge w:val="continue"/>
                  <w:tcBorders>
                    <w:tl2br w:val="nil"/>
                    <w:tr2bl w:val="nil"/>
                  </w:tcBorders>
                  <w:vAlign w:val="center"/>
                </w:tcPr>
                <w:p w14:paraId="0FA88EFF">
                  <w:pPr>
                    <w:pStyle w:val="21"/>
                    <w:spacing w:after="0"/>
                    <w:ind w:left="0" w:leftChars="0" w:firstLine="0" w:firstLineChars="0"/>
                    <w:jc w:val="center"/>
                  </w:pPr>
                </w:p>
              </w:tc>
              <w:tc>
                <w:tcPr>
                  <w:tcW w:w="792" w:type="pct"/>
                  <w:tcBorders>
                    <w:tl2br w:val="nil"/>
                    <w:tr2bl w:val="nil"/>
                  </w:tcBorders>
                  <w:vAlign w:val="center"/>
                </w:tcPr>
                <w:p w14:paraId="508277F2">
                  <w:pPr>
                    <w:pStyle w:val="21"/>
                    <w:spacing w:after="0"/>
                    <w:ind w:left="0" w:leftChars="0" w:firstLine="0" w:firstLineChars="0"/>
                    <w:jc w:val="center"/>
                  </w:pPr>
                  <w:r>
                    <w:t>/</w:t>
                  </w:r>
                </w:p>
              </w:tc>
            </w:tr>
            <w:tr w14:paraId="5D263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69393E10">
                  <w:pPr>
                    <w:pStyle w:val="21"/>
                    <w:spacing w:after="0"/>
                    <w:ind w:left="0" w:leftChars="0" w:firstLine="0" w:firstLineChars="0"/>
                    <w:jc w:val="center"/>
                  </w:pPr>
                  <w:r>
                    <w:t>办公生活设施</w:t>
                  </w:r>
                </w:p>
              </w:tc>
              <w:tc>
                <w:tcPr>
                  <w:tcW w:w="545" w:type="pct"/>
                  <w:tcBorders>
                    <w:tl2br w:val="nil"/>
                    <w:tr2bl w:val="nil"/>
                  </w:tcBorders>
                  <w:vAlign w:val="center"/>
                </w:tcPr>
                <w:p w14:paraId="540EDE27">
                  <w:pPr>
                    <w:pStyle w:val="21"/>
                    <w:spacing w:after="0"/>
                    <w:ind w:left="0" w:leftChars="0" w:firstLine="0" w:firstLineChars="0"/>
                    <w:jc w:val="center"/>
                  </w:pPr>
                  <w:r>
                    <w:t>办公室</w:t>
                  </w:r>
                </w:p>
              </w:tc>
              <w:tc>
                <w:tcPr>
                  <w:tcW w:w="2750" w:type="pct"/>
                  <w:tcBorders>
                    <w:tl2br w:val="nil"/>
                    <w:tr2bl w:val="nil"/>
                  </w:tcBorders>
                  <w:vAlign w:val="center"/>
                </w:tcPr>
                <w:p w14:paraId="596D5F0D">
                  <w:pPr>
                    <w:pStyle w:val="19"/>
                    <w:rPr>
                      <w:rFonts w:ascii="Times New Roman" w:hAnsi="Times New Roman"/>
                      <w:sz w:val="21"/>
                      <w:szCs w:val="21"/>
                    </w:rPr>
                  </w:pPr>
                  <w:r>
                    <w:rPr>
                      <w:rFonts w:hint="eastAsia" w:ascii="Times New Roman" w:hAnsi="Times New Roman"/>
                      <w:sz w:val="21"/>
                      <w:szCs w:val="21"/>
                    </w:rPr>
                    <w:t>综合楼1F、3F各楼层均设置有办公室</w:t>
                  </w:r>
                </w:p>
              </w:tc>
              <w:tc>
                <w:tcPr>
                  <w:tcW w:w="533" w:type="pct"/>
                  <w:vMerge w:val="continue"/>
                  <w:tcBorders>
                    <w:tl2br w:val="nil"/>
                    <w:tr2bl w:val="nil"/>
                  </w:tcBorders>
                  <w:vAlign w:val="center"/>
                </w:tcPr>
                <w:p w14:paraId="53E44A3E">
                  <w:pPr>
                    <w:pStyle w:val="21"/>
                    <w:spacing w:after="0"/>
                    <w:ind w:left="0" w:leftChars="0" w:firstLine="0" w:firstLineChars="0"/>
                    <w:jc w:val="center"/>
                  </w:pPr>
                </w:p>
              </w:tc>
              <w:tc>
                <w:tcPr>
                  <w:tcW w:w="792" w:type="pct"/>
                  <w:tcBorders>
                    <w:tl2br w:val="nil"/>
                    <w:tr2bl w:val="nil"/>
                  </w:tcBorders>
                  <w:vAlign w:val="center"/>
                </w:tcPr>
                <w:p w14:paraId="7801022A">
                  <w:pPr>
                    <w:pStyle w:val="21"/>
                    <w:spacing w:after="0"/>
                    <w:ind w:left="0" w:leftChars="0" w:firstLine="0" w:firstLineChars="0"/>
                    <w:jc w:val="center"/>
                  </w:pPr>
                  <w:r>
                    <w:t>生活垃圾、</w:t>
                  </w:r>
                </w:p>
                <w:p w14:paraId="59BCF6B3">
                  <w:pPr>
                    <w:pStyle w:val="21"/>
                    <w:spacing w:after="0"/>
                    <w:ind w:left="0" w:leftChars="0" w:firstLine="0" w:firstLineChars="0"/>
                    <w:jc w:val="center"/>
                  </w:pPr>
                  <w:r>
                    <w:t>生活污水</w:t>
                  </w:r>
                </w:p>
              </w:tc>
            </w:tr>
            <w:tr w14:paraId="6DCF8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1E37A2BE">
                  <w:pPr>
                    <w:pStyle w:val="21"/>
                    <w:spacing w:after="0"/>
                    <w:ind w:left="0" w:leftChars="0" w:firstLine="0" w:firstLineChars="0"/>
                    <w:jc w:val="center"/>
                  </w:pPr>
                  <w:r>
                    <w:t>公用工程</w:t>
                  </w:r>
                </w:p>
              </w:tc>
              <w:tc>
                <w:tcPr>
                  <w:tcW w:w="545" w:type="pct"/>
                  <w:tcBorders>
                    <w:tl2br w:val="nil"/>
                    <w:tr2bl w:val="nil"/>
                  </w:tcBorders>
                  <w:vAlign w:val="center"/>
                </w:tcPr>
                <w:p w14:paraId="576B22BF">
                  <w:pPr>
                    <w:pStyle w:val="21"/>
                    <w:spacing w:after="0"/>
                    <w:ind w:left="0" w:leftChars="0" w:firstLine="0" w:firstLineChars="0"/>
                    <w:jc w:val="center"/>
                  </w:pPr>
                  <w:r>
                    <w:t>供电</w:t>
                  </w:r>
                </w:p>
              </w:tc>
              <w:tc>
                <w:tcPr>
                  <w:tcW w:w="2750" w:type="pct"/>
                  <w:tcBorders>
                    <w:tl2br w:val="nil"/>
                    <w:tr2bl w:val="nil"/>
                  </w:tcBorders>
                  <w:vAlign w:val="center"/>
                </w:tcPr>
                <w:p w14:paraId="4420DD6B">
                  <w:pPr>
                    <w:pStyle w:val="21"/>
                    <w:spacing w:after="0"/>
                    <w:ind w:left="0" w:leftChars="0" w:firstLine="0" w:firstLineChars="0"/>
                    <w:jc w:val="both"/>
                  </w:pPr>
                  <w:r>
                    <w:t>由</w:t>
                  </w:r>
                  <w:r>
                    <w:rPr>
                      <w:rFonts w:hint="eastAsia"/>
                    </w:rPr>
                    <w:t>市政</w:t>
                  </w:r>
                  <w:r>
                    <w:t>供电，项目设备用柴油发电机1台用于紧急供电，发电房位于</w:t>
                  </w:r>
                  <w:r>
                    <w:rPr>
                      <w:rFonts w:hint="eastAsia"/>
                    </w:rPr>
                    <w:t>-1F，建筑面积2</w:t>
                  </w:r>
                  <w:r>
                    <w:t>0m</w:t>
                  </w:r>
                  <w:r>
                    <w:rPr>
                      <w:vertAlign w:val="superscript"/>
                    </w:rPr>
                    <w:t>2</w:t>
                  </w:r>
                </w:p>
              </w:tc>
              <w:tc>
                <w:tcPr>
                  <w:tcW w:w="533" w:type="pct"/>
                  <w:vMerge w:val="continue"/>
                  <w:tcBorders>
                    <w:tl2br w:val="nil"/>
                    <w:tr2bl w:val="nil"/>
                  </w:tcBorders>
                  <w:vAlign w:val="center"/>
                </w:tcPr>
                <w:p w14:paraId="3BDB1828">
                  <w:pPr>
                    <w:pStyle w:val="21"/>
                    <w:spacing w:after="0"/>
                    <w:ind w:left="0" w:leftChars="0" w:firstLine="0" w:firstLineChars="0"/>
                    <w:jc w:val="center"/>
                  </w:pPr>
                </w:p>
              </w:tc>
              <w:tc>
                <w:tcPr>
                  <w:tcW w:w="792" w:type="pct"/>
                  <w:tcBorders>
                    <w:tl2br w:val="nil"/>
                    <w:tr2bl w:val="nil"/>
                  </w:tcBorders>
                  <w:vAlign w:val="center"/>
                </w:tcPr>
                <w:p w14:paraId="5F3A788B">
                  <w:pPr>
                    <w:pStyle w:val="21"/>
                    <w:spacing w:after="0"/>
                    <w:ind w:left="0" w:leftChars="0" w:firstLine="0" w:firstLineChars="0"/>
                    <w:jc w:val="center"/>
                  </w:pPr>
                  <w:r>
                    <w:rPr>
                      <w:rFonts w:hint="eastAsia"/>
                    </w:rPr>
                    <w:t>噪声、废气</w:t>
                  </w:r>
                </w:p>
              </w:tc>
            </w:tr>
            <w:tr w14:paraId="1B88C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4C9DA4FA">
                  <w:pPr>
                    <w:pStyle w:val="21"/>
                    <w:spacing w:after="0"/>
                    <w:ind w:left="0" w:leftChars="0" w:firstLine="0" w:firstLineChars="0"/>
                    <w:jc w:val="center"/>
                  </w:pPr>
                </w:p>
              </w:tc>
              <w:tc>
                <w:tcPr>
                  <w:tcW w:w="545" w:type="pct"/>
                  <w:tcBorders>
                    <w:tl2br w:val="nil"/>
                    <w:tr2bl w:val="nil"/>
                  </w:tcBorders>
                  <w:vAlign w:val="center"/>
                </w:tcPr>
                <w:p w14:paraId="56CEDE11">
                  <w:pPr>
                    <w:pStyle w:val="21"/>
                    <w:spacing w:after="0"/>
                    <w:ind w:left="0" w:leftChars="0" w:firstLine="0" w:firstLineChars="0"/>
                    <w:jc w:val="center"/>
                  </w:pPr>
                  <w:r>
                    <w:t>给水</w:t>
                  </w:r>
                </w:p>
              </w:tc>
              <w:tc>
                <w:tcPr>
                  <w:tcW w:w="2750" w:type="pct"/>
                  <w:tcBorders>
                    <w:tl2br w:val="nil"/>
                    <w:tr2bl w:val="nil"/>
                  </w:tcBorders>
                  <w:vAlign w:val="center"/>
                </w:tcPr>
                <w:p w14:paraId="592A0472">
                  <w:pPr>
                    <w:pStyle w:val="21"/>
                    <w:spacing w:after="0"/>
                    <w:ind w:left="0" w:leftChars="0" w:firstLine="0" w:firstLineChars="0"/>
                    <w:jc w:val="both"/>
                  </w:pPr>
                  <w:r>
                    <w:rPr>
                      <w:rFonts w:hint="eastAsia"/>
                    </w:rPr>
                    <w:t>由市政</w:t>
                  </w:r>
                  <w:r>
                    <w:t>给水管网供给</w:t>
                  </w:r>
                  <w:r>
                    <w:rPr>
                      <w:rFonts w:hint="eastAsia"/>
                    </w:rPr>
                    <w:t>；其中检验科使用纯水，设置有纯水机（采用“过滤+反渗透”工艺）</w:t>
                  </w:r>
                </w:p>
              </w:tc>
              <w:tc>
                <w:tcPr>
                  <w:tcW w:w="533" w:type="pct"/>
                  <w:vMerge w:val="continue"/>
                  <w:tcBorders>
                    <w:tl2br w:val="nil"/>
                    <w:tr2bl w:val="nil"/>
                  </w:tcBorders>
                  <w:vAlign w:val="center"/>
                </w:tcPr>
                <w:p w14:paraId="3BF97430">
                  <w:pPr>
                    <w:pStyle w:val="21"/>
                    <w:spacing w:after="0"/>
                    <w:ind w:left="0" w:leftChars="0" w:firstLine="0" w:firstLineChars="0"/>
                    <w:jc w:val="center"/>
                  </w:pPr>
                </w:p>
              </w:tc>
              <w:tc>
                <w:tcPr>
                  <w:tcW w:w="792" w:type="pct"/>
                  <w:tcBorders>
                    <w:tl2br w:val="nil"/>
                    <w:tr2bl w:val="nil"/>
                  </w:tcBorders>
                  <w:vAlign w:val="center"/>
                </w:tcPr>
                <w:p w14:paraId="6BEB290E">
                  <w:pPr>
                    <w:pStyle w:val="21"/>
                    <w:spacing w:after="0"/>
                    <w:ind w:left="0" w:leftChars="0" w:firstLine="0" w:firstLineChars="0"/>
                    <w:jc w:val="center"/>
                  </w:pPr>
                  <w:r>
                    <w:t>/</w:t>
                  </w:r>
                </w:p>
              </w:tc>
            </w:tr>
            <w:tr w14:paraId="7B1FF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87E7F07">
                  <w:pPr>
                    <w:pStyle w:val="21"/>
                    <w:spacing w:after="0"/>
                    <w:ind w:left="0" w:leftChars="0" w:firstLine="0" w:firstLineChars="0"/>
                    <w:jc w:val="center"/>
                  </w:pPr>
                </w:p>
              </w:tc>
              <w:tc>
                <w:tcPr>
                  <w:tcW w:w="545" w:type="pct"/>
                  <w:tcBorders>
                    <w:tl2br w:val="nil"/>
                    <w:tr2bl w:val="nil"/>
                  </w:tcBorders>
                  <w:vAlign w:val="center"/>
                </w:tcPr>
                <w:p w14:paraId="57DC0EED">
                  <w:pPr>
                    <w:pStyle w:val="21"/>
                    <w:spacing w:after="0"/>
                    <w:ind w:left="0" w:leftChars="0" w:firstLine="0" w:firstLineChars="0"/>
                    <w:jc w:val="center"/>
                  </w:pPr>
                  <w:r>
                    <w:t>排水</w:t>
                  </w:r>
                </w:p>
              </w:tc>
              <w:tc>
                <w:tcPr>
                  <w:tcW w:w="2750" w:type="pct"/>
                  <w:tcBorders>
                    <w:tl2br w:val="nil"/>
                    <w:tr2bl w:val="nil"/>
                  </w:tcBorders>
                  <w:vAlign w:val="center"/>
                </w:tcPr>
                <w:p w14:paraId="30357CB4">
                  <w:pPr>
                    <w:pStyle w:val="21"/>
                    <w:spacing w:after="0"/>
                    <w:ind w:left="0" w:leftChars="0" w:firstLine="0" w:firstLineChars="0"/>
                    <w:jc w:val="both"/>
                  </w:pPr>
                  <w:r>
                    <w:t>雨污分流制</w:t>
                  </w:r>
                </w:p>
              </w:tc>
              <w:tc>
                <w:tcPr>
                  <w:tcW w:w="533" w:type="pct"/>
                  <w:vMerge w:val="continue"/>
                  <w:tcBorders>
                    <w:tl2br w:val="nil"/>
                    <w:tr2bl w:val="nil"/>
                  </w:tcBorders>
                  <w:vAlign w:val="center"/>
                </w:tcPr>
                <w:p w14:paraId="0EFDE0BB">
                  <w:pPr>
                    <w:pStyle w:val="21"/>
                    <w:spacing w:after="0"/>
                    <w:ind w:left="0" w:leftChars="0" w:firstLine="0" w:firstLineChars="0"/>
                    <w:jc w:val="center"/>
                  </w:pPr>
                </w:p>
              </w:tc>
              <w:tc>
                <w:tcPr>
                  <w:tcW w:w="792" w:type="pct"/>
                  <w:tcBorders>
                    <w:tl2br w:val="nil"/>
                    <w:tr2bl w:val="nil"/>
                  </w:tcBorders>
                  <w:vAlign w:val="center"/>
                </w:tcPr>
                <w:p w14:paraId="3CA32985">
                  <w:pPr>
                    <w:pStyle w:val="21"/>
                    <w:spacing w:after="0"/>
                    <w:ind w:left="0" w:leftChars="0" w:firstLine="0" w:firstLineChars="0"/>
                    <w:jc w:val="center"/>
                  </w:pPr>
                  <w:r>
                    <w:t>/</w:t>
                  </w:r>
                </w:p>
              </w:tc>
            </w:tr>
            <w:tr w14:paraId="118C8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13D91E40">
                  <w:pPr>
                    <w:pStyle w:val="21"/>
                    <w:spacing w:after="0"/>
                    <w:ind w:left="0" w:leftChars="0" w:firstLine="0" w:firstLineChars="0"/>
                    <w:jc w:val="center"/>
                  </w:pPr>
                  <w:r>
                    <w:t>环保工程</w:t>
                  </w:r>
                </w:p>
              </w:tc>
              <w:tc>
                <w:tcPr>
                  <w:tcW w:w="545" w:type="pct"/>
                  <w:vMerge w:val="restart"/>
                  <w:tcBorders>
                    <w:tl2br w:val="nil"/>
                    <w:tr2bl w:val="nil"/>
                  </w:tcBorders>
                  <w:vAlign w:val="center"/>
                </w:tcPr>
                <w:p w14:paraId="0B6A2CD5">
                  <w:pPr>
                    <w:pStyle w:val="21"/>
                    <w:spacing w:after="0"/>
                    <w:ind w:left="0" w:leftChars="0" w:firstLine="0" w:firstLineChars="0"/>
                    <w:jc w:val="center"/>
                  </w:pPr>
                  <w:r>
                    <w:t>废气治理</w:t>
                  </w:r>
                </w:p>
              </w:tc>
              <w:tc>
                <w:tcPr>
                  <w:tcW w:w="2750" w:type="pct"/>
                  <w:tcBorders>
                    <w:tl2br w:val="nil"/>
                    <w:tr2bl w:val="nil"/>
                  </w:tcBorders>
                  <w:shd w:val="clear" w:color="auto" w:fill="auto"/>
                  <w:vAlign w:val="center"/>
                </w:tcPr>
                <w:p w14:paraId="0346A7F9">
                  <w:pPr>
                    <w:pStyle w:val="21"/>
                    <w:spacing w:after="0"/>
                    <w:ind w:left="0" w:leftChars="0" w:firstLine="0" w:firstLineChars="0"/>
                    <w:jc w:val="both"/>
                  </w:pPr>
                  <w:r>
                    <w:rPr>
                      <w:b/>
                      <w:bCs/>
                    </w:rPr>
                    <w:t>病区含菌空气：</w:t>
                  </w:r>
                  <w:r>
                    <w:t>对病房区、走廊、各科诊室和检验科室定期消毒处理，并加强病区通风</w:t>
                  </w:r>
                </w:p>
              </w:tc>
              <w:tc>
                <w:tcPr>
                  <w:tcW w:w="533" w:type="pct"/>
                  <w:vMerge w:val="continue"/>
                  <w:tcBorders>
                    <w:tl2br w:val="nil"/>
                    <w:tr2bl w:val="nil"/>
                  </w:tcBorders>
                  <w:shd w:val="clear" w:color="auto" w:fill="auto"/>
                  <w:vAlign w:val="center"/>
                </w:tcPr>
                <w:p w14:paraId="48A69E99">
                  <w:pPr>
                    <w:pStyle w:val="21"/>
                    <w:spacing w:after="0"/>
                    <w:ind w:left="0" w:leftChars="0" w:firstLine="0" w:firstLineChars="0"/>
                    <w:jc w:val="center"/>
                  </w:pPr>
                </w:p>
              </w:tc>
              <w:tc>
                <w:tcPr>
                  <w:tcW w:w="792" w:type="pct"/>
                  <w:tcBorders>
                    <w:tl2br w:val="nil"/>
                    <w:tr2bl w:val="nil"/>
                  </w:tcBorders>
                  <w:shd w:val="clear" w:color="auto" w:fill="auto"/>
                  <w:vAlign w:val="center"/>
                </w:tcPr>
                <w:p w14:paraId="3B1F34B1">
                  <w:pPr>
                    <w:pStyle w:val="21"/>
                    <w:spacing w:after="0"/>
                    <w:ind w:left="0" w:leftChars="0" w:firstLine="0" w:firstLineChars="0"/>
                    <w:jc w:val="center"/>
                  </w:pPr>
                  <w:r>
                    <w:t>含菌空气</w:t>
                  </w:r>
                </w:p>
              </w:tc>
            </w:tr>
            <w:tr w14:paraId="743C5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57A4DECF">
                  <w:pPr>
                    <w:pStyle w:val="21"/>
                    <w:spacing w:after="0"/>
                    <w:ind w:left="0" w:leftChars="0" w:firstLine="0" w:firstLineChars="0"/>
                    <w:jc w:val="center"/>
                  </w:pPr>
                </w:p>
              </w:tc>
              <w:tc>
                <w:tcPr>
                  <w:tcW w:w="545" w:type="pct"/>
                  <w:vMerge w:val="continue"/>
                  <w:tcBorders>
                    <w:tl2br w:val="nil"/>
                    <w:tr2bl w:val="nil"/>
                  </w:tcBorders>
                  <w:vAlign w:val="center"/>
                </w:tcPr>
                <w:p w14:paraId="6B04A0E9">
                  <w:pPr>
                    <w:pStyle w:val="21"/>
                    <w:spacing w:after="0"/>
                    <w:ind w:left="0" w:leftChars="0" w:firstLine="0" w:firstLineChars="0"/>
                    <w:jc w:val="center"/>
                  </w:pPr>
                </w:p>
              </w:tc>
              <w:tc>
                <w:tcPr>
                  <w:tcW w:w="2750" w:type="pct"/>
                  <w:tcBorders>
                    <w:tl2br w:val="nil"/>
                    <w:tr2bl w:val="nil"/>
                  </w:tcBorders>
                  <w:vAlign w:val="center"/>
                </w:tcPr>
                <w:p w14:paraId="2B9DF232">
                  <w:pPr>
                    <w:pStyle w:val="21"/>
                    <w:spacing w:after="0"/>
                    <w:ind w:left="0" w:leftChars="0" w:firstLine="0" w:firstLineChars="0"/>
                    <w:jc w:val="both"/>
                  </w:pPr>
                  <w:r>
                    <w:rPr>
                      <w:b/>
                      <w:bCs/>
                    </w:rPr>
                    <w:t>污水处理站恶臭：</w:t>
                  </w:r>
                  <w:r>
                    <w:t>项目污水处理站采取地埋式封闭运行（池体均位于地下，地面设置污水处理控制室），</w:t>
                  </w:r>
                  <w:r>
                    <w:rPr>
                      <w:rFonts w:hint="eastAsia"/>
                    </w:rPr>
                    <w:t>通过</w:t>
                  </w:r>
                  <w:r>
                    <w:t>紫外线消毒+活性炭吸附装置处理后引致污水处理站设备间屋顶排放（高度约5m），</w:t>
                  </w:r>
                  <w:r>
                    <w:rPr>
                      <w:rFonts w:hint="eastAsia"/>
                    </w:rPr>
                    <w:t>同时</w:t>
                  </w:r>
                  <w:r>
                    <w:t>污水处理站周边投加除臭剂、加强院区周边绿化等措施降低恶臭</w:t>
                  </w:r>
                </w:p>
              </w:tc>
              <w:tc>
                <w:tcPr>
                  <w:tcW w:w="533" w:type="pct"/>
                  <w:vMerge w:val="continue"/>
                  <w:tcBorders>
                    <w:tl2br w:val="nil"/>
                    <w:tr2bl w:val="nil"/>
                  </w:tcBorders>
                  <w:vAlign w:val="center"/>
                </w:tcPr>
                <w:p w14:paraId="65614333">
                  <w:pPr>
                    <w:pStyle w:val="21"/>
                    <w:spacing w:after="0"/>
                    <w:ind w:left="0" w:leftChars="0" w:firstLine="0" w:firstLineChars="0"/>
                    <w:jc w:val="center"/>
                  </w:pPr>
                </w:p>
              </w:tc>
              <w:tc>
                <w:tcPr>
                  <w:tcW w:w="792" w:type="pct"/>
                  <w:tcBorders>
                    <w:tl2br w:val="nil"/>
                    <w:tr2bl w:val="nil"/>
                  </w:tcBorders>
                  <w:vAlign w:val="center"/>
                </w:tcPr>
                <w:p w14:paraId="5F5BEFF7">
                  <w:pPr>
                    <w:pStyle w:val="21"/>
                    <w:spacing w:after="0"/>
                    <w:ind w:left="0" w:leftChars="0" w:firstLine="0" w:firstLineChars="0"/>
                    <w:jc w:val="center"/>
                    <w:rPr>
                      <w:rFonts w:hint="default" w:eastAsia="宋体"/>
                      <w:lang w:val="en-US" w:eastAsia="zh-CN"/>
                    </w:rPr>
                  </w:pPr>
                  <w:r>
                    <w:t>恶臭</w:t>
                  </w:r>
                  <w:r>
                    <w:rPr>
                      <w:rFonts w:hint="eastAsia"/>
                      <w:lang w:eastAsia="zh-CN"/>
                    </w:rPr>
                    <w:t>、</w:t>
                  </w:r>
                  <w:r>
                    <w:rPr>
                      <w:rFonts w:hint="eastAsia"/>
                      <w:lang w:val="en-US" w:eastAsia="zh-CN"/>
                    </w:rPr>
                    <w:t>废活性炭</w:t>
                  </w:r>
                </w:p>
              </w:tc>
            </w:tr>
            <w:tr w14:paraId="66622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48F70E6B">
                  <w:pPr>
                    <w:pStyle w:val="21"/>
                    <w:spacing w:after="0"/>
                    <w:ind w:left="0" w:leftChars="0" w:firstLine="0" w:firstLineChars="0"/>
                    <w:jc w:val="center"/>
                  </w:pPr>
                </w:p>
              </w:tc>
              <w:tc>
                <w:tcPr>
                  <w:tcW w:w="545" w:type="pct"/>
                  <w:vMerge w:val="continue"/>
                  <w:tcBorders>
                    <w:tl2br w:val="nil"/>
                    <w:tr2bl w:val="nil"/>
                  </w:tcBorders>
                  <w:vAlign w:val="center"/>
                </w:tcPr>
                <w:p w14:paraId="48F0FA82">
                  <w:pPr>
                    <w:pStyle w:val="21"/>
                    <w:spacing w:after="0"/>
                    <w:ind w:left="0" w:leftChars="0" w:firstLine="0" w:firstLineChars="0"/>
                    <w:jc w:val="center"/>
                  </w:pPr>
                </w:p>
              </w:tc>
              <w:tc>
                <w:tcPr>
                  <w:tcW w:w="2750" w:type="pct"/>
                  <w:tcBorders>
                    <w:tl2br w:val="nil"/>
                    <w:tr2bl w:val="nil"/>
                  </w:tcBorders>
                  <w:vAlign w:val="center"/>
                </w:tcPr>
                <w:p w14:paraId="5FC72CAF">
                  <w:pPr>
                    <w:pStyle w:val="21"/>
                    <w:spacing w:after="0"/>
                    <w:ind w:left="0" w:leftChars="0" w:firstLine="0" w:firstLineChars="0"/>
                    <w:jc w:val="both"/>
                  </w:pPr>
                  <w:r>
                    <w:rPr>
                      <w:b/>
                      <w:bCs/>
                    </w:rPr>
                    <w:t>医疗废物间恶臭：</w:t>
                  </w:r>
                  <w:r>
                    <w:t>医疗废物密封储存，加强管理，定期消毒，日产日清</w:t>
                  </w:r>
                  <w:r>
                    <w:rPr>
                      <w:rFonts w:hint="eastAsia"/>
                    </w:rPr>
                    <w:t>。</w:t>
                  </w:r>
                </w:p>
              </w:tc>
              <w:tc>
                <w:tcPr>
                  <w:tcW w:w="533" w:type="pct"/>
                  <w:vMerge w:val="continue"/>
                  <w:tcBorders>
                    <w:tl2br w:val="nil"/>
                    <w:tr2bl w:val="nil"/>
                  </w:tcBorders>
                  <w:vAlign w:val="center"/>
                </w:tcPr>
                <w:p w14:paraId="770A1F25">
                  <w:pPr>
                    <w:pStyle w:val="21"/>
                    <w:spacing w:after="0"/>
                    <w:ind w:left="0" w:leftChars="0" w:firstLine="0" w:firstLineChars="0"/>
                    <w:jc w:val="center"/>
                  </w:pPr>
                </w:p>
              </w:tc>
              <w:tc>
                <w:tcPr>
                  <w:tcW w:w="792" w:type="pct"/>
                  <w:tcBorders>
                    <w:tl2br w:val="nil"/>
                    <w:tr2bl w:val="nil"/>
                  </w:tcBorders>
                  <w:vAlign w:val="center"/>
                </w:tcPr>
                <w:p w14:paraId="5A59CC05">
                  <w:pPr>
                    <w:pStyle w:val="21"/>
                    <w:spacing w:after="0"/>
                    <w:ind w:left="0" w:leftChars="0" w:firstLine="0" w:firstLineChars="0"/>
                    <w:jc w:val="center"/>
                  </w:pPr>
                  <w:r>
                    <w:t>恶臭</w:t>
                  </w:r>
                </w:p>
              </w:tc>
            </w:tr>
            <w:tr w14:paraId="51771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5DEF35B9">
                  <w:pPr>
                    <w:pStyle w:val="21"/>
                    <w:spacing w:after="0"/>
                    <w:ind w:left="0" w:leftChars="0" w:firstLine="0" w:firstLineChars="0"/>
                    <w:jc w:val="center"/>
                  </w:pPr>
                </w:p>
              </w:tc>
              <w:tc>
                <w:tcPr>
                  <w:tcW w:w="545" w:type="pct"/>
                  <w:vMerge w:val="continue"/>
                  <w:tcBorders>
                    <w:tl2br w:val="nil"/>
                    <w:tr2bl w:val="nil"/>
                  </w:tcBorders>
                  <w:vAlign w:val="center"/>
                </w:tcPr>
                <w:p w14:paraId="3CECF47E">
                  <w:pPr>
                    <w:pStyle w:val="21"/>
                    <w:spacing w:after="0"/>
                    <w:ind w:left="0" w:leftChars="0" w:firstLine="0" w:firstLineChars="0"/>
                    <w:jc w:val="center"/>
                  </w:pPr>
                </w:p>
              </w:tc>
              <w:tc>
                <w:tcPr>
                  <w:tcW w:w="2750" w:type="pct"/>
                  <w:tcBorders>
                    <w:tl2br w:val="nil"/>
                    <w:tr2bl w:val="nil"/>
                  </w:tcBorders>
                  <w:vAlign w:val="center"/>
                </w:tcPr>
                <w:p w14:paraId="696C4A08">
                  <w:pPr>
                    <w:pStyle w:val="21"/>
                    <w:spacing w:after="0"/>
                    <w:ind w:left="0" w:leftChars="0" w:firstLine="0" w:firstLineChars="0"/>
                    <w:jc w:val="both"/>
                    <w:rPr>
                      <w:b/>
                      <w:bCs/>
                    </w:rPr>
                  </w:pPr>
                  <w:r>
                    <w:rPr>
                      <w:rFonts w:hint="eastAsia"/>
                      <w:b/>
                      <w:bCs/>
                    </w:rPr>
                    <w:t>厨房油烟：</w:t>
                  </w:r>
                  <w:r>
                    <w:rPr>
                      <w:rFonts w:hint="eastAsia"/>
                    </w:rPr>
                    <w:t>经油烟净化器处理后通过专用</w:t>
                  </w:r>
                  <w:r>
                    <w:t>烟道</w:t>
                  </w:r>
                  <w:r>
                    <w:rPr>
                      <w:rFonts w:hint="eastAsia"/>
                    </w:rPr>
                    <w:t>外排</w:t>
                  </w:r>
                </w:p>
              </w:tc>
              <w:tc>
                <w:tcPr>
                  <w:tcW w:w="533" w:type="pct"/>
                  <w:vMerge w:val="continue"/>
                  <w:tcBorders>
                    <w:tl2br w:val="nil"/>
                    <w:tr2bl w:val="nil"/>
                  </w:tcBorders>
                  <w:vAlign w:val="center"/>
                </w:tcPr>
                <w:p w14:paraId="7A6100F3">
                  <w:pPr>
                    <w:pStyle w:val="21"/>
                    <w:spacing w:after="0"/>
                    <w:ind w:left="0" w:leftChars="0" w:firstLine="0" w:firstLineChars="0"/>
                    <w:jc w:val="center"/>
                  </w:pPr>
                </w:p>
              </w:tc>
              <w:tc>
                <w:tcPr>
                  <w:tcW w:w="792" w:type="pct"/>
                  <w:tcBorders>
                    <w:tl2br w:val="nil"/>
                    <w:tr2bl w:val="nil"/>
                  </w:tcBorders>
                  <w:vAlign w:val="center"/>
                </w:tcPr>
                <w:p w14:paraId="766E67A1">
                  <w:pPr>
                    <w:pStyle w:val="21"/>
                    <w:spacing w:after="0"/>
                    <w:ind w:left="0" w:leftChars="0" w:firstLine="0" w:firstLineChars="0"/>
                    <w:jc w:val="center"/>
                  </w:pPr>
                  <w:r>
                    <w:rPr>
                      <w:rFonts w:hint="eastAsia"/>
                    </w:rPr>
                    <w:t>油烟</w:t>
                  </w:r>
                </w:p>
              </w:tc>
            </w:tr>
            <w:tr w14:paraId="62DCF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1DBCA0F">
                  <w:pPr>
                    <w:pStyle w:val="21"/>
                    <w:spacing w:after="0"/>
                    <w:ind w:left="0" w:leftChars="0" w:firstLine="0" w:firstLineChars="0"/>
                    <w:jc w:val="center"/>
                  </w:pPr>
                </w:p>
              </w:tc>
              <w:tc>
                <w:tcPr>
                  <w:tcW w:w="545" w:type="pct"/>
                  <w:vMerge w:val="continue"/>
                  <w:tcBorders>
                    <w:tl2br w:val="nil"/>
                    <w:tr2bl w:val="nil"/>
                  </w:tcBorders>
                  <w:vAlign w:val="center"/>
                </w:tcPr>
                <w:p w14:paraId="47E37C30">
                  <w:pPr>
                    <w:pStyle w:val="21"/>
                    <w:spacing w:after="0"/>
                    <w:ind w:left="0" w:leftChars="0" w:firstLine="0" w:firstLineChars="0"/>
                    <w:jc w:val="center"/>
                  </w:pPr>
                </w:p>
              </w:tc>
              <w:tc>
                <w:tcPr>
                  <w:tcW w:w="2750" w:type="pct"/>
                  <w:tcBorders>
                    <w:tl2br w:val="nil"/>
                    <w:tr2bl w:val="nil"/>
                  </w:tcBorders>
                  <w:vAlign w:val="center"/>
                </w:tcPr>
                <w:p w14:paraId="7D201600">
                  <w:pPr>
                    <w:pStyle w:val="21"/>
                    <w:spacing w:after="0"/>
                    <w:ind w:left="0" w:leftChars="0" w:firstLine="0" w:firstLineChars="0"/>
                    <w:jc w:val="both"/>
                  </w:pPr>
                  <w:r>
                    <w:rPr>
                      <w:rFonts w:hint="eastAsia"/>
                      <w:b/>
                    </w:rPr>
                    <w:t>柴油发电机</w:t>
                  </w:r>
                  <w:r>
                    <w:rPr>
                      <w:b/>
                    </w:rPr>
                    <w:t>废气：</w:t>
                  </w:r>
                  <w:r>
                    <w:rPr>
                      <w:bCs/>
                    </w:rPr>
                    <w:t>经自带烟气净化装置处理后外排</w:t>
                  </w:r>
                </w:p>
              </w:tc>
              <w:tc>
                <w:tcPr>
                  <w:tcW w:w="533" w:type="pct"/>
                  <w:vMerge w:val="continue"/>
                  <w:tcBorders>
                    <w:tl2br w:val="nil"/>
                    <w:tr2bl w:val="nil"/>
                  </w:tcBorders>
                  <w:vAlign w:val="center"/>
                </w:tcPr>
                <w:p w14:paraId="52F8F2AA">
                  <w:pPr>
                    <w:pStyle w:val="21"/>
                    <w:spacing w:after="0"/>
                    <w:ind w:left="0" w:leftChars="0" w:firstLine="0" w:firstLineChars="0"/>
                    <w:jc w:val="center"/>
                  </w:pPr>
                </w:p>
              </w:tc>
              <w:tc>
                <w:tcPr>
                  <w:tcW w:w="792" w:type="pct"/>
                  <w:tcBorders>
                    <w:tl2br w:val="nil"/>
                    <w:tr2bl w:val="nil"/>
                  </w:tcBorders>
                  <w:vAlign w:val="center"/>
                </w:tcPr>
                <w:p w14:paraId="3382368E">
                  <w:pPr>
                    <w:jc w:val="center"/>
                  </w:pPr>
                  <w:r>
                    <w:t>废气、噪声</w:t>
                  </w:r>
                </w:p>
              </w:tc>
            </w:tr>
            <w:tr w14:paraId="67E72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52ED8487">
                  <w:pPr>
                    <w:pStyle w:val="21"/>
                    <w:spacing w:after="0"/>
                    <w:ind w:left="0" w:leftChars="0" w:firstLine="0" w:firstLineChars="0"/>
                    <w:jc w:val="center"/>
                  </w:pPr>
                </w:p>
              </w:tc>
              <w:tc>
                <w:tcPr>
                  <w:tcW w:w="545" w:type="pct"/>
                  <w:vMerge w:val="continue"/>
                  <w:tcBorders>
                    <w:tl2br w:val="nil"/>
                    <w:tr2bl w:val="nil"/>
                  </w:tcBorders>
                  <w:vAlign w:val="center"/>
                </w:tcPr>
                <w:p w14:paraId="7D0212EB">
                  <w:pPr>
                    <w:pStyle w:val="21"/>
                    <w:spacing w:after="0"/>
                    <w:ind w:left="0" w:leftChars="0" w:firstLine="0" w:firstLineChars="0"/>
                    <w:jc w:val="center"/>
                  </w:pPr>
                </w:p>
              </w:tc>
              <w:tc>
                <w:tcPr>
                  <w:tcW w:w="2750" w:type="pct"/>
                  <w:tcBorders>
                    <w:tl2br w:val="nil"/>
                    <w:tr2bl w:val="nil"/>
                  </w:tcBorders>
                  <w:vAlign w:val="center"/>
                </w:tcPr>
                <w:p w14:paraId="539CC671">
                  <w:pPr>
                    <w:pStyle w:val="21"/>
                    <w:spacing w:after="0"/>
                    <w:ind w:left="0" w:leftChars="0" w:firstLine="0" w:firstLineChars="0"/>
                    <w:jc w:val="both"/>
                    <w:rPr>
                      <w:b/>
                    </w:rPr>
                  </w:pPr>
                  <w:r>
                    <w:rPr>
                      <w:b/>
                    </w:rPr>
                    <w:t>汽车尾气：</w:t>
                  </w:r>
                  <w:r>
                    <w:t>产生量较小，自然扩散</w:t>
                  </w:r>
                </w:p>
              </w:tc>
              <w:tc>
                <w:tcPr>
                  <w:tcW w:w="533" w:type="pct"/>
                  <w:vMerge w:val="continue"/>
                  <w:tcBorders>
                    <w:tl2br w:val="nil"/>
                    <w:tr2bl w:val="nil"/>
                  </w:tcBorders>
                  <w:vAlign w:val="center"/>
                </w:tcPr>
                <w:p w14:paraId="4075CDAB">
                  <w:pPr>
                    <w:pStyle w:val="21"/>
                    <w:spacing w:after="0"/>
                    <w:ind w:left="0" w:leftChars="0" w:firstLine="0" w:firstLineChars="0"/>
                    <w:jc w:val="center"/>
                  </w:pPr>
                </w:p>
              </w:tc>
              <w:tc>
                <w:tcPr>
                  <w:tcW w:w="792" w:type="pct"/>
                  <w:tcBorders>
                    <w:tl2br w:val="nil"/>
                    <w:tr2bl w:val="nil"/>
                  </w:tcBorders>
                  <w:vAlign w:val="center"/>
                </w:tcPr>
                <w:p w14:paraId="025FF330">
                  <w:pPr>
                    <w:jc w:val="center"/>
                  </w:pPr>
                  <w:r>
                    <w:t>废气</w:t>
                  </w:r>
                </w:p>
              </w:tc>
            </w:tr>
            <w:tr w14:paraId="43C1D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2A843205">
                  <w:pPr>
                    <w:pStyle w:val="21"/>
                    <w:spacing w:after="0"/>
                    <w:ind w:left="0" w:leftChars="0" w:firstLine="0" w:firstLineChars="0"/>
                    <w:jc w:val="center"/>
                  </w:pPr>
                </w:p>
              </w:tc>
              <w:tc>
                <w:tcPr>
                  <w:tcW w:w="545" w:type="pct"/>
                  <w:vMerge w:val="restart"/>
                  <w:tcBorders>
                    <w:tl2br w:val="nil"/>
                    <w:tr2bl w:val="nil"/>
                  </w:tcBorders>
                  <w:vAlign w:val="center"/>
                </w:tcPr>
                <w:p w14:paraId="2C7FA1F0">
                  <w:pPr>
                    <w:pStyle w:val="21"/>
                    <w:spacing w:after="0"/>
                    <w:ind w:left="0" w:leftChars="0" w:firstLine="0" w:firstLineChars="0"/>
                    <w:jc w:val="center"/>
                  </w:pPr>
                  <w:r>
                    <w:t>废水治理</w:t>
                  </w:r>
                </w:p>
              </w:tc>
              <w:tc>
                <w:tcPr>
                  <w:tcW w:w="2750" w:type="pct"/>
                  <w:tcBorders>
                    <w:tl2br w:val="nil"/>
                    <w:tr2bl w:val="nil"/>
                  </w:tcBorders>
                  <w:vAlign w:val="center"/>
                </w:tcPr>
                <w:p w14:paraId="37744FE7">
                  <w:pPr>
                    <w:pStyle w:val="21"/>
                    <w:spacing w:after="0"/>
                    <w:ind w:left="0" w:leftChars="0" w:firstLine="0" w:firstLineChars="0"/>
                    <w:jc w:val="both"/>
                  </w:pPr>
                  <w:r>
                    <w:rPr>
                      <w:b/>
                      <w:bCs/>
                    </w:rPr>
                    <w:t>化粪池：</w:t>
                  </w:r>
                  <w:r>
                    <w:rPr>
                      <w:rFonts w:hint="eastAsia"/>
                    </w:rPr>
                    <w:t>综合楼西南侧</w:t>
                  </w:r>
                  <w:r>
                    <w:t>设置有1座化粪池，容积为20</w:t>
                  </w:r>
                  <w:r>
                    <w:rPr>
                      <w:rFonts w:hint="eastAsia"/>
                    </w:rPr>
                    <w:t>0</w:t>
                  </w:r>
                  <w:r>
                    <w:t>m</w:t>
                  </w:r>
                  <w:r>
                    <w:rPr>
                      <w:vertAlign w:val="superscript"/>
                    </w:rPr>
                    <w:t>3</w:t>
                  </w:r>
                </w:p>
              </w:tc>
              <w:tc>
                <w:tcPr>
                  <w:tcW w:w="533" w:type="pct"/>
                  <w:vMerge w:val="continue"/>
                  <w:tcBorders>
                    <w:tl2br w:val="nil"/>
                    <w:tr2bl w:val="nil"/>
                  </w:tcBorders>
                  <w:vAlign w:val="center"/>
                </w:tcPr>
                <w:p w14:paraId="042A10FC">
                  <w:pPr>
                    <w:pStyle w:val="21"/>
                    <w:spacing w:after="0"/>
                    <w:ind w:left="0" w:leftChars="0" w:firstLine="0" w:firstLineChars="0"/>
                    <w:jc w:val="center"/>
                  </w:pPr>
                </w:p>
              </w:tc>
              <w:tc>
                <w:tcPr>
                  <w:tcW w:w="792" w:type="pct"/>
                  <w:tcBorders>
                    <w:tl2br w:val="nil"/>
                    <w:tr2bl w:val="nil"/>
                  </w:tcBorders>
                  <w:vAlign w:val="center"/>
                </w:tcPr>
                <w:p w14:paraId="5CDA52A3">
                  <w:pPr>
                    <w:jc w:val="center"/>
                  </w:pPr>
                  <w:r>
                    <w:t>污泥</w:t>
                  </w:r>
                </w:p>
              </w:tc>
            </w:tr>
            <w:tr w14:paraId="09F70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F13DE25">
                  <w:pPr>
                    <w:pStyle w:val="21"/>
                    <w:spacing w:after="0"/>
                    <w:ind w:left="0" w:leftChars="0" w:firstLine="0" w:firstLineChars="0"/>
                    <w:jc w:val="center"/>
                  </w:pPr>
                </w:p>
              </w:tc>
              <w:tc>
                <w:tcPr>
                  <w:tcW w:w="545" w:type="pct"/>
                  <w:vMerge w:val="continue"/>
                  <w:tcBorders>
                    <w:tl2br w:val="nil"/>
                    <w:tr2bl w:val="nil"/>
                  </w:tcBorders>
                  <w:vAlign w:val="center"/>
                </w:tcPr>
                <w:p w14:paraId="383E1ACB">
                  <w:pPr>
                    <w:pStyle w:val="21"/>
                    <w:spacing w:after="0"/>
                    <w:ind w:left="0" w:leftChars="0" w:firstLine="0" w:firstLineChars="0"/>
                    <w:jc w:val="center"/>
                  </w:pPr>
                </w:p>
              </w:tc>
              <w:tc>
                <w:tcPr>
                  <w:tcW w:w="2750" w:type="pct"/>
                  <w:tcBorders>
                    <w:tl2br w:val="nil"/>
                    <w:tr2bl w:val="nil"/>
                  </w:tcBorders>
                  <w:vAlign w:val="center"/>
                </w:tcPr>
                <w:p w14:paraId="4196A035">
                  <w:pPr>
                    <w:pStyle w:val="21"/>
                    <w:spacing w:after="0"/>
                    <w:ind w:left="0" w:leftChars="0" w:firstLine="0" w:firstLineChars="0"/>
                    <w:jc w:val="both"/>
                    <w:rPr>
                      <w:b/>
                      <w:bCs/>
                    </w:rPr>
                  </w:pPr>
                  <w:r>
                    <w:rPr>
                      <w:rFonts w:hint="eastAsia"/>
                      <w:b/>
                      <w:bCs/>
                    </w:rPr>
                    <w:t>油水分离器：</w:t>
                  </w:r>
                  <w:r>
                    <w:rPr>
                      <w:rFonts w:hint="eastAsia"/>
                    </w:rPr>
                    <w:t>1个，设置于厨房水池下，容积为2m</w:t>
                  </w:r>
                  <w:r>
                    <w:rPr>
                      <w:rFonts w:hint="eastAsia"/>
                      <w:vertAlign w:val="superscript"/>
                    </w:rPr>
                    <w:t>3</w:t>
                  </w:r>
                </w:p>
              </w:tc>
              <w:tc>
                <w:tcPr>
                  <w:tcW w:w="533" w:type="pct"/>
                  <w:vMerge w:val="continue"/>
                  <w:tcBorders>
                    <w:tl2br w:val="nil"/>
                    <w:tr2bl w:val="nil"/>
                  </w:tcBorders>
                  <w:vAlign w:val="center"/>
                </w:tcPr>
                <w:p w14:paraId="4A8CEF83">
                  <w:pPr>
                    <w:pStyle w:val="21"/>
                    <w:spacing w:after="0"/>
                    <w:ind w:left="0" w:leftChars="0" w:firstLine="0" w:firstLineChars="0"/>
                    <w:jc w:val="center"/>
                  </w:pPr>
                </w:p>
              </w:tc>
              <w:tc>
                <w:tcPr>
                  <w:tcW w:w="792" w:type="pct"/>
                  <w:tcBorders>
                    <w:tl2br w:val="nil"/>
                    <w:tr2bl w:val="nil"/>
                  </w:tcBorders>
                  <w:vAlign w:val="center"/>
                </w:tcPr>
                <w:p w14:paraId="1BCD61C3">
                  <w:pPr>
                    <w:jc w:val="center"/>
                  </w:pPr>
                  <w:r>
                    <w:rPr>
                      <w:rFonts w:hint="eastAsia"/>
                    </w:rPr>
                    <w:t>废油脂</w:t>
                  </w:r>
                </w:p>
              </w:tc>
            </w:tr>
            <w:tr w14:paraId="7AAD0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608880F">
                  <w:pPr>
                    <w:pStyle w:val="21"/>
                    <w:spacing w:after="0"/>
                    <w:ind w:left="0" w:leftChars="0" w:firstLine="0" w:firstLineChars="0"/>
                    <w:jc w:val="center"/>
                  </w:pPr>
                </w:p>
              </w:tc>
              <w:tc>
                <w:tcPr>
                  <w:tcW w:w="545" w:type="pct"/>
                  <w:vMerge w:val="continue"/>
                  <w:tcBorders>
                    <w:tl2br w:val="nil"/>
                    <w:tr2bl w:val="nil"/>
                  </w:tcBorders>
                  <w:vAlign w:val="center"/>
                </w:tcPr>
                <w:p w14:paraId="7058A5B3">
                  <w:pPr>
                    <w:pStyle w:val="21"/>
                    <w:spacing w:after="0"/>
                    <w:ind w:left="0" w:leftChars="0" w:firstLine="0" w:firstLineChars="0"/>
                    <w:jc w:val="center"/>
                  </w:pPr>
                </w:p>
              </w:tc>
              <w:tc>
                <w:tcPr>
                  <w:tcW w:w="2750" w:type="pct"/>
                  <w:tcBorders>
                    <w:tl2br w:val="nil"/>
                    <w:tr2bl w:val="nil"/>
                  </w:tcBorders>
                  <w:vAlign w:val="center"/>
                </w:tcPr>
                <w:p w14:paraId="13D9C6B5">
                  <w:pPr>
                    <w:pStyle w:val="21"/>
                    <w:spacing w:after="0"/>
                    <w:ind w:left="0" w:leftChars="0" w:firstLine="0" w:firstLineChars="0"/>
                    <w:jc w:val="both"/>
                  </w:pPr>
                  <w:r>
                    <w:rPr>
                      <w:b/>
                      <w:bCs/>
                    </w:rPr>
                    <w:t>污水处理站：</w:t>
                  </w:r>
                  <w:r>
                    <w:rPr>
                      <w:rFonts w:hint="eastAsia"/>
                    </w:rPr>
                    <w:t>综合楼西南侧</w:t>
                  </w:r>
                  <w:r>
                    <w:t>设置有1座地埋式污水处理站。医疗废水、生活污水经化粪池+调节池+地埋式一体化污水处理设施（采用“</w:t>
                  </w:r>
                  <w:r>
                    <w:rPr>
                      <w:rFonts w:hint="eastAsia"/>
                      <w:lang w:val="en-US" w:eastAsia="zh-CN"/>
                    </w:rPr>
                    <w:t>预处理+A2O+沉淀+消毒</w:t>
                  </w:r>
                  <w:r>
                    <w:rPr>
                      <w:rFonts w:hint="eastAsia"/>
                      <w:lang w:eastAsia="zh-CN"/>
                    </w:rPr>
                    <w:t>（</w:t>
                  </w:r>
                  <w:r>
                    <w:rPr>
                      <w:rFonts w:hint="eastAsia"/>
                      <w:lang w:val="en-US" w:eastAsia="zh-CN"/>
                    </w:rPr>
                    <w:t>次氯酸钠消毒</w:t>
                  </w:r>
                  <w:r>
                    <w:rPr>
                      <w:rFonts w:hint="eastAsia"/>
                      <w:lang w:eastAsia="zh-CN"/>
                    </w:rPr>
                    <w:t>）</w:t>
                  </w:r>
                  <w:r>
                    <w:t>”</w:t>
                  </w:r>
                  <w:r>
                    <w:rPr>
                      <w:rFonts w:hint="eastAsia"/>
                      <w:lang w:val="en-US" w:eastAsia="zh-CN"/>
                    </w:rPr>
                    <w:t>处理工艺</w:t>
                  </w:r>
                  <w:r>
                    <w:t>）处理，处理规模拟设计为</w:t>
                  </w:r>
                  <w:r>
                    <w:rPr>
                      <w:rFonts w:hint="eastAsia"/>
                      <w:lang w:val="en-US" w:eastAsia="zh-CN"/>
                    </w:rPr>
                    <w:t>7</w:t>
                  </w:r>
                  <w:r>
                    <w:t>0m</w:t>
                  </w:r>
                  <w:r>
                    <w:rPr>
                      <w:vertAlign w:val="superscript"/>
                    </w:rPr>
                    <w:t>3</w:t>
                  </w:r>
                  <w:r>
                    <w:t>/d，废水处理后进入市政污水管网，最后进入</w:t>
                  </w:r>
                  <w:r>
                    <w:rPr>
                      <w:rFonts w:hint="eastAsia"/>
                    </w:rPr>
                    <w:t>罗江</w:t>
                  </w:r>
                  <w:r>
                    <w:t>镇污水处理厂处理。</w:t>
                  </w:r>
                </w:p>
              </w:tc>
              <w:tc>
                <w:tcPr>
                  <w:tcW w:w="533" w:type="pct"/>
                  <w:vMerge w:val="continue"/>
                  <w:tcBorders>
                    <w:tl2br w:val="nil"/>
                    <w:tr2bl w:val="nil"/>
                  </w:tcBorders>
                  <w:vAlign w:val="center"/>
                </w:tcPr>
                <w:p w14:paraId="24A8B8D7">
                  <w:pPr>
                    <w:pStyle w:val="21"/>
                    <w:spacing w:after="0"/>
                    <w:ind w:left="0" w:leftChars="0" w:firstLine="0" w:firstLineChars="0"/>
                    <w:jc w:val="center"/>
                  </w:pPr>
                </w:p>
              </w:tc>
              <w:tc>
                <w:tcPr>
                  <w:tcW w:w="792" w:type="pct"/>
                  <w:tcBorders>
                    <w:tl2br w:val="nil"/>
                    <w:tr2bl w:val="nil"/>
                  </w:tcBorders>
                  <w:vAlign w:val="center"/>
                </w:tcPr>
                <w:p w14:paraId="77C7D496">
                  <w:pPr>
                    <w:jc w:val="center"/>
                  </w:pPr>
                  <w:r>
                    <w:t>恶臭、污泥</w:t>
                  </w:r>
                </w:p>
              </w:tc>
            </w:tr>
            <w:tr w14:paraId="102CB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5A5D7368">
                  <w:pPr>
                    <w:pStyle w:val="21"/>
                    <w:spacing w:after="0"/>
                    <w:ind w:left="0" w:leftChars="0" w:firstLine="0" w:firstLineChars="0"/>
                    <w:jc w:val="center"/>
                  </w:pPr>
                </w:p>
              </w:tc>
              <w:tc>
                <w:tcPr>
                  <w:tcW w:w="545" w:type="pct"/>
                  <w:tcBorders>
                    <w:tl2br w:val="nil"/>
                    <w:tr2bl w:val="nil"/>
                  </w:tcBorders>
                  <w:vAlign w:val="center"/>
                </w:tcPr>
                <w:p w14:paraId="4E2150FF">
                  <w:pPr>
                    <w:pStyle w:val="21"/>
                    <w:spacing w:after="0"/>
                    <w:ind w:left="0" w:leftChars="0" w:firstLine="0" w:firstLineChars="0"/>
                    <w:jc w:val="center"/>
                  </w:pPr>
                  <w:r>
                    <w:t>噪声治理</w:t>
                  </w:r>
                </w:p>
              </w:tc>
              <w:tc>
                <w:tcPr>
                  <w:tcW w:w="2750" w:type="pct"/>
                  <w:tcBorders>
                    <w:tl2br w:val="nil"/>
                    <w:tr2bl w:val="nil"/>
                  </w:tcBorders>
                  <w:vAlign w:val="center"/>
                </w:tcPr>
                <w:p w14:paraId="6F2D15E9">
                  <w:pPr>
                    <w:jc w:val="left"/>
                    <w:rPr>
                      <w:highlight w:val="yellow"/>
                    </w:rPr>
                  </w:pPr>
                  <w:r>
                    <w:t>选用低噪声设备；高噪声设备置于单独的房间内，安装设备减震器，加强管理，通过隔声和距离衰减使噪声达标</w:t>
                  </w:r>
                </w:p>
              </w:tc>
              <w:tc>
                <w:tcPr>
                  <w:tcW w:w="533" w:type="pct"/>
                  <w:vMerge w:val="continue"/>
                  <w:tcBorders>
                    <w:tl2br w:val="nil"/>
                    <w:tr2bl w:val="nil"/>
                  </w:tcBorders>
                  <w:vAlign w:val="center"/>
                </w:tcPr>
                <w:p w14:paraId="2FAE6C3A">
                  <w:pPr>
                    <w:pStyle w:val="21"/>
                    <w:spacing w:after="0"/>
                    <w:ind w:left="0" w:leftChars="0" w:firstLine="0" w:firstLineChars="0"/>
                    <w:jc w:val="center"/>
                  </w:pPr>
                </w:p>
              </w:tc>
              <w:tc>
                <w:tcPr>
                  <w:tcW w:w="792" w:type="pct"/>
                  <w:tcBorders>
                    <w:tl2br w:val="nil"/>
                    <w:tr2bl w:val="nil"/>
                  </w:tcBorders>
                  <w:vAlign w:val="center"/>
                </w:tcPr>
                <w:p w14:paraId="517ACC27">
                  <w:pPr>
                    <w:pStyle w:val="21"/>
                    <w:spacing w:after="0"/>
                    <w:ind w:left="0" w:leftChars="0" w:firstLine="0" w:firstLineChars="0"/>
                    <w:jc w:val="center"/>
                  </w:pPr>
                  <w:r>
                    <w:t>/</w:t>
                  </w:r>
                </w:p>
              </w:tc>
            </w:tr>
            <w:tr w14:paraId="421D7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1DE2146C">
                  <w:pPr>
                    <w:pStyle w:val="21"/>
                    <w:spacing w:after="0"/>
                    <w:ind w:left="0" w:leftChars="0" w:firstLine="0" w:firstLineChars="0"/>
                    <w:jc w:val="center"/>
                  </w:pPr>
                </w:p>
              </w:tc>
              <w:tc>
                <w:tcPr>
                  <w:tcW w:w="545" w:type="pct"/>
                  <w:vMerge w:val="restart"/>
                  <w:tcBorders>
                    <w:tl2br w:val="nil"/>
                    <w:tr2bl w:val="nil"/>
                  </w:tcBorders>
                  <w:vAlign w:val="center"/>
                </w:tcPr>
                <w:p w14:paraId="053635A0">
                  <w:pPr>
                    <w:pStyle w:val="21"/>
                    <w:spacing w:after="0"/>
                    <w:ind w:left="0" w:leftChars="0" w:firstLine="0" w:firstLineChars="0"/>
                    <w:jc w:val="center"/>
                  </w:pPr>
                  <w:r>
                    <w:t>固废治理</w:t>
                  </w:r>
                </w:p>
              </w:tc>
              <w:tc>
                <w:tcPr>
                  <w:tcW w:w="2750" w:type="pct"/>
                  <w:tcBorders>
                    <w:tl2br w:val="nil"/>
                    <w:tr2bl w:val="nil"/>
                  </w:tcBorders>
                  <w:vAlign w:val="center"/>
                </w:tcPr>
                <w:p w14:paraId="0BB3EC0F">
                  <w:pPr>
                    <w:jc w:val="left"/>
                  </w:pPr>
                  <w:r>
                    <w:rPr>
                      <w:b/>
                      <w:bCs/>
                    </w:rPr>
                    <w:t>污泥（污水站污泥、化粪池污泥）：</w:t>
                  </w:r>
                  <w:r>
                    <w:t>污泥定期清掏，交由</w:t>
                  </w:r>
                  <w:r>
                    <w:rPr>
                      <w:rFonts w:hint="eastAsia"/>
                    </w:rPr>
                    <w:t>有资质单位</w:t>
                  </w:r>
                  <w:r>
                    <w:t>处理。</w:t>
                  </w:r>
                </w:p>
              </w:tc>
              <w:tc>
                <w:tcPr>
                  <w:tcW w:w="533" w:type="pct"/>
                  <w:vMerge w:val="continue"/>
                  <w:tcBorders>
                    <w:tl2br w:val="nil"/>
                    <w:tr2bl w:val="nil"/>
                  </w:tcBorders>
                  <w:vAlign w:val="center"/>
                </w:tcPr>
                <w:p w14:paraId="1073A004">
                  <w:pPr>
                    <w:pStyle w:val="21"/>
                    <w:spacing w:after="0"/>
                    <w:ind w:left="0" w:leftChars="0" w:firstLine="0" w:firstLineChars="0"/>
                    <w:jc w:val="center"/>
                  </w:pPr>
                </w:p>
              </w:tc>
              <w:tc>
                <w:tcPr>
                  <w:tcW w:w="792" w:type="pct"/>
                  <w:tcBorders>
                    <w:tl2br w:val="nil"/>
                    <w:tr2bl w:val="nil"/>
                  </w:tcBorders>
                  <w:vAlign w:val="center"/>
                </w:tcPr>
                <w:p w14:paraId="3ECE8581">
                  <w:pPr>
                    <w:pStyle w:val="21"/>
                    <w:spacing w:after="0"/>
                    <w:ind w:left="0" w:leftChars="0" w:firstLine="0" w:firstLineChars="0"/>
                    <w:jc w:val="center"/>
                  </w:pPr>
                  <w:r>
                    <w:t>环境风险</w:t>
                  </w:r>
                </w:p>
              </w:tc>
            </w:tr>
            <w:tr w14:paraId="40928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F400EC1">
                  <w:pPr>
                    <w:pStyle w:val="21"/>
                    <w:spacing w:after="0"/>
                    <w:ind w:left="0" w:leftChars="0" w:firstLine="0" w:firstLineChars="0"/>
                    <w:jc w:val="center"/>
                  </w:pPr>
                </w:p>
              </w:tc>
              <w:tc>
                <w:tcPr>
                  <w:tcW w:w="545" w:type="pct"/>
                  <w:vMerge w:val="continue"/>
                  <w:tcBorders>
                    <w:tl2br w:val="nil"/>
                    <w:tr2bl w:val="nil"/>
                  </w:tcBorders>
                  <w:vAlign w:val="center"/>
                </w:tcPr>
                <w:p w14:paraId="5782F008">
                  <w:pPr>
                    <w:pStyle w:val="21"/>
                    <w:spacing w:after="0"/>
                    <w:ind w:left="0" w:leftChars="0" w:firstLine="0" w:firstLineChars="0"/>
                    <w:jc w:val="center"/>
                  </w:pPr>
                </w:p>
              </w:tc>
              <w:tc>
                <w:tcPr>
                  <w:tcW w:w="2750" w:type="pct"/>
                  <w:tcBorders>
                    <w:tl2br w:val="nil"/>
                    <w:tr2bl w:val="nil"/>
                  </w:tcBorders>
                  <w:vAlign w:val="center"/>
                </w:tcPr>
                <w:p w14:paraId="553F4EBA">
                  <w:pPr>
                    <w:jc w:val="left"/>
                    <w:rPr>
                      <w:b/>
                      <w:bCs/>
                    </w:rPr>
                  </w:pPr>
                  <w:r>
                    <w:rPr>
                      <w:rFonts w:hint="eastAsia"/>
                      <w:b/>
                      <w:bCs/>
                    </w:rPr>
                    <w:t>废活性炭：</w:t>
                  </w:r>
                  <w:r>
                    <w:t>经</w:t>
                  </w:r>
                  <w:r>
                    <w:rPr>
                      <w:rFonts w:hint="eastAsia"/>
                    </w:rPr>
                    <w:t>桶</w:t>
                  </w:r>
                  <w:r>
                    <w:t>装收集后，交由有资质的单位处理</w:t>
                  </w:r>
                  <w:r>
                    <w:rPr>
                      <w:rFonts w:hint="eastAsia"/>
                    </w:rPr>
                    <w:t>。</w:t>
                  </w:r>
                </w:p>
              </w:tc>
              <w:tc>
                <w:tcPr>
                  <w:tcW w:w="533" w:type="pct"/>
                  <w:vMerge w:val="continue"/>
                  <w:tcBorders>
                    <w:tl2br w:val="nil"/>
                    <w:tr2bl w:val="nil"/>
                  </w:tcBorders>
                  <w:vAlign w:val="center"/>
                </w:tcPr>
                <w:p w14:paraId="78BC1E04">
                  <w:pPr>
                    <w:pStyle w:val="21"/>
                    <w:spacing w:after="0"/>
                    <w:ind w:left="0" w:leftChars="0" w:firstLine="0" w:firstLineChars="0"/>
                    <w:jc w:val="center"/>
                  </w:pPr>
                </w:p>
              </w:tc>
              <w:tc>
                <w:tcPr>
                  <w:tcW w:w="792" w:type="pct"/>
                  <w:tcBorders>
                    <w:tl2br w:val="nil"/>
                    <w:tr2bl w:val="nil"/>
                  </w:tcBorders>
                  <w:vAlign w:val="center"/>
                </w:tcPr>
                <w:p w14:paraId="63D88799">
                  <w:pPr>
                    <w:pStyle w:val="21"/>
                    <w:spacing w:after="0"/>
                    <w:ind w:left="0" w:leftChars="0" w:firstLine="0" w:firstLineChars="0"/>
                    <w:jc w:val="center"/>
                  </w:pPr>
                  <w:r>
                    <w:rPr>
                      <w:rFonts w:hint="eastAsia"/>
                    </w:rPr>
                    <w:t>环境风险</w:t>
                  </w:r>
                </w:p>
              </w:tc>
            </w:tr>
            <w:tr w14:paraId="0E37F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507A9944">
                  <w:pPr>
                    <w:pStyle w:val="21"/>
                    <w:spacing w:after="0"/>
                    <w:ind w:left="0" w:leftChars="0" w:firstLine="0" w:firstLineChars="0"/>
                    <w:jc w:val="center"/>
                  </w:pPr>
                </w:p>
              </w:tc>
              <w:tc>
                <w:tcPr>
                  <w:tcW w:w="545" w:type="pct"/>
                  <w:vMerge w:val="continue"/>
                  <w:tcBorders>
                    <w:tl2br w:val="nil"/>
                    <w:tr2bl w:val="nil"/>
                  </w:tcBorders>
                  <w:vAlign w:val="center"/>
                </w:tcPr>
                <w:p w14:paraId="0A569C2D">
                  <w:pPr>
                    <w:pStyle w:val="21"/>
                    <w:spacing w:after="0"/>
                    <w:ind w:left="0" w:leftChars="0" w:firstLine="0" w:firstLineChars="0"/>
                    <w:jc w:val="center"/>
                  </w:pPr>
                </w:p>
              </w:tc>
              <w:tc>
                <w:tcPr>
                  <w:tcW w:w="2750" w:type="pct"/>
                  <w:tcBorders>
                    <w:tl2br w:val="nil"/>
                    <w:tr2bl w:val="nil"/>
                  </w:tcBorders>
                  <w:vAlign w:val="center"/>
                </w:tcPr>
                <w:p w14:paraId="37B20EFD">
                  <w:pPr>
                    <w:jc w:val="left"/>
                    <w:rPr>
                      <w:highlight w:val="yellow"/>
                    </w:rPr>
                  </w:pPr>
                  <w:r>
                    <w:rPr>
                      <w:b/>
                      <w:bCs/>
                    </w:rPr>
                    <w:t>医疗废物：</w:t>
                  </w:r>
                  <w:r>
                    <w:t>各科室及护理站设置医疗废物收集专用桶，在</w:t>
                  </w:r>
                  <w:r>
                    <w:rPr>
                      <w:rFonts w:hint="eastAsia"/>
                    </w:rPr>
                    <w:t>综合楼1F设置医疗废物暂存间</w:t>
                  </w:r>
                  <w:r>
                    <w:t>，建筑面积</w:t>
                  </w:r>
                  <w:r>
                    <w:rPr>
                      <w:rFonts w:hint="eastAsia"/>
                    </w:rPr>
                    <w:t>7.77</w:t>
                  </w:r>
                  <w:r>
                    <w:t>m</w:t>
                  </w:r>
                  <w:r>
                    <w:rPr>
                      <w:vertAlign w:val="superscript"/>
                    </w:rPr>
                    <w:t>2</w:t>
                  </w:r>
                  <w:r>
                    <w:t>，</w:t>
                  </w:r>
                  <w:r>
                    <w:rPr>
                      <w:rFonts w:hint="eastAsia"/>
                    </w:rPr>
                    <w:t>感染性废物、损伤性废物、实验室废液</w:t>
                  </w:r>
                  <w:r>
                    <w:t>经专用容器分类收集后，交由</w:t>
                  </w:r>
                  <w:r>
                    <w:rPr>
                      <w:rFonts w:hint="eastAsia"/>
                    </w:rPr>
                    <w:t>有资质单位</w:t>
                  </w:r>
                  <w:r>
                    <w:t>处理，</w:t>
                  </w:r>
                  <w:r>
                    <w:rPr>
                      <w:rFonts w:hint="eastAsia"/>
                    </w:rPr>
                    <w:t>病理性废物采用冰柜暂存，定期交由殡仪馆处置</w:t>
                  </w:r>
                  <w:r>
                    <w:t>。</w:t>
                  </w:r>
                </w:p>
              </w:tc>
              <w:tc>
                <w:tcPr>
                  <w:tcW w:w="533" w:type="pct"/>
                  <w:vMerge w:val="continue"/>
                  <w:tcBorders>
                    <w:tl2br w:val="nil"/>
                    <w:tr2bl w:val="nil"/>
                  </w:tcBorders>
                  <w:vAlign w:val="center"/>
                </w:tcPr>
                <w:p w14:paraId="44F5D2EE">
                  <w:pPr>
                    <w:pStyle w:val="21"/>
                    <w:spacing w:after="0"/>
                    <w:ind w:left="0" w:leftChars="0" w:firstLine="0" w:firstLineChars="0"/>
                    <w:jc w:val="center"/>
                  </w:pPr>
                </w:p>
              </w:tc>
              <w:tc>
                <w:tcPr>
                  <w:tcW w:w="792" w:type="pct"/>
                  <w:tcBorders>
                    <w:tl2br w:val="nil"/>
                    <w:tr2bl w:val="nil"/>
                  </w:tcBorders>
                  <w:vAlign w:val="center"/>
                </w:tcPr>
                <w:p w14:paraId="25A9D831">
                  <w:pPr>
                    <w:pStyle w:val="21"/>
                    <w:spacing w:after="0"/>
                    <w:ind w:left="0" w:leftChars="0" w:firstLine="0" w:firstLineChars="0"/>
                    <w:jc w:val="center"/>
                  </w:pPr>
                  <w:r>
                    <w:t>环境风险、恶臭</w:t>
                  </w:r>
                </w:p>
              </w:tc>
            </w:tr>
            <w:tr w14:paraId="758BC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147AC5F2">
                  <w:pPr>
                    <w:pStyle w:val="21"/>
                    <w:spacing w:after="0"/>
                    <w:ind w:left="0" w:leftChars="0" w:firstLine="0" w:firstLineChars="0"/>
                    <w:jc w:val="center"/>
                  </w:pPr>
                </w:p>
              </w:tc>
              <w:tc>
                <w:tcPr>
                  <w:tcW w:w="545" w:type="pct"/>
                  <w:vMerge w:val="continue"/>
                  <w:tcBorders>
                    <w:tl2br w:val="nil"/>
                    <w:tr2bl w:val="nil"/>
                  </w:tcBorders>
                  <w:vAlign w:val="center"/>
                </w:tcPr>
                <w:p w14:paraId="4508A324">
                  <w:pPr>
                    <w:pStyle w:val="21"/>
                    <w:spacing w:after="0"/>
                    <w:ind w:left="0" w:leftChars="0" w:firstLine="0" w:firstLineChars="0"/>
                    <w:jc w:val="center"/>
                  </w:pPr>
                </w:p>
              </w:tc>
              <w:tc>
                <w:tcPr>
                  <w:tcW w:w="2750" w:type="pct"/>
                  <w:tcBorders>
                    <w:tl2br w:val="nil"/>
                    <w:tr2bl w:val="nil"/>
                  </w:tcBorders>
                  <w:vAlign w:val="center"/>
                </w:tcPr>
                <w:p w14:paraId="776767D4">
                  <w:pPr>
                    <w:jc w:val="left"/>
                  </w:pPr>
                  <w:r>
                    <w:rPr>
                      <w:b/>
                      <w:bCs/>
                    </w:rPr>
                    <w:t>废紫外灯管：</w:t>
                  </w:r>
                  <w:r>
                    <w:t>经袋装收集后，交由有资质的单位处理</w:t>
                  </w:r>
                  <w:r>
                    <w:rPr>
                      <w:rFonts w:hint="eastAsia"/>
                    </w:rPr>
                    <w:t>。</w:t>
                  </w:r>
                </w:p>
              </w:tc>
              <w:tc>
                <w:tcPr>
                  <w:tcW w:w="533" w:type="pct"/>
                  <w:vMerge w:val="continue"/>
                  <w:tcBorders>
                    <w:tl2br w:val="nil"/>
                    <w:tr2bl w:val="nil"/>
                  </w:tcBorders>
                  <w:vAlign w:val="center"/>
                </w:tcPr>
                <w:p w14:paraId="5507225B">
                  <w:pPr>
                    <w:pStyle w:val="21"/>
                    <w:spacing w:after="0"/>
                    <w:ind w:left="0" w:leftChars="0" w:firstLine="0" w:firstLineChars="0"/>
                    <w:jc w:val="center"/>
                  </w:pPr>
                </w:p>
              </w:tc>
              <w:tc>
                <w:tcPr>
                  <w:tcW w:w="792" w:type="pct"/>
                  <w:tcBorders>
                    <w:tl2br w:val="nil"/>
                    <w:tr2bl w:val="nil"/>
                  </w:tcBorders>
                  <w:vAlign w:val="center"/>
                </w:tcPr>
                <w:p w14:paraId="0DBDDE18">
                  <w:pPr>
                    <w:pStyle w:val="21"/>
                    <w:spacing w:after="0"/>
                    <w:ind w:left="0" w:leftChars="0" w:firstLine="0" w:firstLineChars="0"/>
                    <w:jc w:val="center"/>
                  </w:pPr>
                  <w:r>
                    <w:t>/</w:t>
                  </w:r>
                </w:p>
              </w:tc>
            </w:tr>
            <w:tr w14:paraId="2C37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0EF63190">
                  <w:pPr>
                    <w:pStyle w:val="21"/>
                    <w:spacing w:after="0"/>
                    <w:ind w:left="0" w:leftChars="0" w:firstLine="0" w:firstLineChars="0"/>
                    <w:jc w:val="center"/>
                  </w:pPr>
                </w:p>
              </w:tc>
              <w:tc>
                <w:tcPr>
                  <w:tcW w:w="545" w:type="pct"/>
                  <w:vMerge w:val="continue"/>
                  <w:tcBorders>
                    <w:tl2br w:val="nil"/>
                    <w:tr2bl w:val="nil"/>
                  </w:tcBorders>
                  <w:vAlign w:val="center"/>
                </w:tcPr>
                <w:p w14:paraId="15D80DE6">
                  <w:pPr>
                    <w:pStyle w:val="21"/>
                    <w:spacing w:after="0"/>
                    <w:ind w:left="0" w:leftChars="0" w:firstLine="0" w:firstLineChars="0"/>
                    <w:jc w:val="center"/>
                  </w:pPr>
                </w:p>
              </w:tc>
              <w:tc>
                <w:tcPr>
                  <w:tcW w:w="2750" w:type="pct"/>
                  <w:tcBorders>
                    <w:tl2br w:val="nil"/>
                    <w:tr2bl w:val="nil"/>
                  </w:tcBorders>
                  <w:vAlign w:val="center"/>
                </w:tcPr>
                <w:p w14:paraId="1C99E6F5">
                  <w:pPr>
                    <w:jc w:val="left"/>
                    <w:rPr>
                      <w:highlight w:val="yellow"/>
                    </w:rPr>
                  </w:pPr>
                  <w:r>
                    <w:rPr>
                      <w:b/>
                      <w:bCs/>
                    </w:rPr>
                    <w:t>未感染的输液瓶（袋）：</w:t>
                  </w:r>
                  <w:r>
                    <w:t>经统一容器收集后，定期交由</w:t>
                  </w:r>
                  <w:r>
                    <w:rPr>
                      <w:rFonts w:hint="eastAsia"/>
                    </w:rPr>
                    <w:t>有资质单位</w:t>
                  </w:r>
                  <w:r>
                    <w:t>处理</w:t>
                  </w:r>
                </w:p>
              </w:tc>
              <w:tc>
                <w:tcPr>
                  <w:tcW w:w="533" w:type="pct"/>
                  <w:vMerge w:val="continue"/>
                  <w:tcBorders>
                    <w:tl2br w:val="nil"/>
                    <w:tr2bl w:val="nil"/>
                  </w:tcBorders>
                  <w:vAlign w:val="center"/>
                </w:tcPr>
                <w:p w14:paraId="573DF389">
                  <w:pPr>
                    <w:pStyle w:val="21"/>
                    <w:spacing w:after="0"/>
                    <w:ind w:left="0" w:leftChars="0" w:firstLine="0" w:firstLineChars="0"/>
                    <w:jc w:val="center"/>
                  </w:pPr>
                </w:p>
              </w:tc>
              <w:tc>
                <w:tcPr>
                  <w:tcW w:w="792" w:type="pct"/>
                  <w:tcBorders>
                    <w:tl2br w:val="nil"/>
                    <w:tr2bl w:val="nil"/>
                  </w:tcBorders>
                  <w:vAlign w:val="center"/>
                </w:tcPr>
                <w:p w14:paraId="7EB4A0E3">
                  <w:pPr>
                    <w:pStyle w:val="21"/>
                    <w:spacing w:after="0"/>
                    <w:ind w:left="0" w:leftChars="0" w:firstLine="0" w:firstLineChars="0"/>
                    <w:jc w:val="center"/>
                  </w:pPr>
                  <w:r>
                    <w:t>/</w:t>
                  </w:r>
                </w:p>
              </w:tc>
            </w:tr>
            <w:tr w14:paraId="18DA7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685101B5">
                  <w:pPr>
                    <w:pStyle w:val="21"/>
                    <w:spacing w:after="0"/>
                    <w:ind w:left="0" w:leftChars="0" w:firstLine="0" w:firstLineChars="0"/>
                    <w:jc w:val="center"/>
                  </w:pPr>
                </w:p>
              </w:tc>
              <w:tc>
                <w:tcPr>
                  <w:tcW w:w="545" w:type="pct"/>
                  <w:vMerge w:val="continue"/>
                  <w:tcBorders>
                    <w:tl2br w:val="nil"/>
                    <w:tr2bl w:val="nil"/>
                  </w:tcBorders>
                  <w:vAlign w:val="center"/>
                </w:tcPr>
                <w:p w14:paraId="06BB5CD1">
                  <w:pPr>
                    <w:pStyle w:val="21"/>
                    <w:spacing w:after="0"/>
                    <w:ind w:left="0" w:leftChars="0" w:firstLine="0" w:firstLineChars="0"/>
                    <w:jc w:val="center"/>
                  </w:pPr>
                </w:p>
              </w:tc>
              <w:tc>
                <w:tcPr>
                  <w:tcW w:w="2750" w:type="pct"/>
                  <w:tcBorders>
                    <w:tl2br w:val="nil"/>
                    <w:tr2bl w:val="nil"/>
                  </w:tcBorders>
                  <w:vAlign w:val="center"/>
                </w:tcPr>
                <w:p w14:paraId="5CE46C28">
                  <w:pPr>
                    <w:jc w:val="left"/>
                  </w:pPr>
                  <w:r>
                    <w:rPr>
                      <w:b/>
                      <w:bCs/>
                    </w:rPr>
                    <w:t>废包装材料：</w:t>
                  </w:r>
                  <w:r>
                    <w:t>经收集后外售废品回收站</w:t>
                  </w:r>
                </w:p>
              </w:tc>
              <w:tc>
                <w:tcPr>
                  <w:tcW w:w="533" w:type="pct"/>
                  <w:vMerge w:val="continue"/>
                  <w:tcBorders>
                    <w:tl2br w:val="nil"/>
                    <w:tr2bl w:val="nil"/>
                  </w:tcBorders>
                  <w:vAlign w:val="center"/>
                </w:tcPr>
                <w:p w14:paraId="42161725">
                  <w:pPr>
                    <w:pStyle w:val="21"/>
                    <w:spacing w:after="0"/>
                    <w:ind w:left="0" w:leftChars="0" w:firstLine="0" w:firstLineChars="0"/>
                    <w:jc w:val="center"/>
                  </w:pPr>
                </w:p>
              </w:tc>
              <w:tc>
                <w:tcPr>
                  <w:tcW w:w="792" w:type="pct"/>
                  <w:tcBorders>
                    <w:tl2br w:val="nil"/>
                    <w:tr2bl w:val="nil"/>
                  </w:tcBorders>
                  <w:vAlign w:val="center"/>
                </w:tcPr>
                <w:p w14:paraId="6482AD66">
                  <w:pPr>
                    <w:pStyle w:val="21"/>
                    <w:spacing w:after="0"/>
                    <w:ind w:left="0" w:leftChars="0" w:firstLine="0" w:firstLineChars="0"/>
                    <w:jc w:val="center"/>
                  </w:pPr>
                  <w:r>
                    <w:t>/</w:t>
                  </w:r>
                </w:p>
              </w:tc>
            </w:tr>
            <w:tr w14:paraId="18DBB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0F2C49EA">
                  <w:pPr>
                    <w:pStyle w:val="21"/>
                    <w:spacing w:after="0"/>
                    <w:ind w:left="0" w:leftChars="0" w:firstLine="0" w:firstLineChars="0"/>
                    <w:jc w:val="center"/>
                  </w:pPr>
                </w:p>
              </w:tc>
              <w:tc>
                <w:tcPr>
                  <w:tcW w:w="545" w:type="pct"/>
                  <w:vMerge w:val="continue"/>
                  <w:tcBorders>
                    <w:tl2br w:val="nil"/>
                    <w:tr2bl w:val="nil"/>
                  </w:tcBorders>
                  <w:vAlign w:val="center"/>
                </w:tcPr>
                <w:p w14:paraId="311C407E">
                  <w:pPr>
                    <w:pStyle w:val="21"/>
                    <w:spacing w:after="0"/>
                    <w:ind w:left="0" w:leftChars="0" w:firstLine="0" w:firstLineChars="0"/>
                    <w:jc w:val="center"/>
                  </w:pPr>
                </w:p>
              </w:tc>
              <w:tc>
                <w:tcPr>
                  <w:tcW w:w="2750" w:type="pct"/>
                  <w:tcBorders>
                    <w:tl2br w:val="nil"/>
                    <w:tr2bl w:val="nil"/>
                  </w:tcBorders>
                  <w:vAlign w:val="center"/>
                </w:tcPr>
                <w:p w14:paraId="23E2FB3D">
                  <w:pPr>
                    <w:jc w:val="left"/>
                    <w:rPr>
                      <w:highlight w:val="yellow"/>
                    </w:rPr>
                  </w:pPr>
                  <w:r>
                    <w:rPr>
                      <w:b/>
                    </w:rPr>
                    <w:t>生活垃圾：</w:t>
                  </w:r>
                  <w:r>
                    <w:rPr>
                      <w:bCs/>
                    </w:rPr>
                    <w:t>房间和楼道均设置垃圾桶，经集中收集后交由环卫部门清运，日产日清</w:t>
                  </w:r>
                </w:p>
              </w:tc>
              <w:tc>
                <w:tcPr>
                  <w:tcW w:w="533" w:type="pct"/>
                  <w:vMerge w:val="continue"/>
                  <w:tcBorders>
                    <w:tl2br w:val="nil"/>
                    <w:tr2bl w:val="nil"/>
                  </w:tcBorders>
                  <w:vAlign w:val="center"/>
                </w:tcPr>
                <w:p w14:paraId="55CD285A">
                  <w:pPr>
                    <w:pStyle w:val="21"/>
                    <w:spacing w:after="0"/>
                    <w:ind w:left="0" w:leftChars="0" w:firstLine="0" w:firstLineChars="0"/>
                    <w:jc w:val="center"/>
                  </w:pPr>
                </w:p>
              </w:tc>
              <w:tc>
                <w:tcPr>
                  <w:tcW w:w="792" w:type="pct"/>
                  <w:tcBorders>
                    <w:tl2br w:val="nil"/>
                    <w:tr2bl w:val="nil"/>
                  </w:tcBorders>
                  <w:vAlign w:val="center"/>
                </w:tcPr>
                <w:p w14:paraId="3A91F2B1">
                  <w:pPr>
                    <w:pStyle w:val="21"/>
                    <w:spacing w:after="0"/>
                    <w:ind w:left="0" w:leftChars="0" w:firstLine="0" w:firstLineChars="0"/>
                    <w:jc w:val="center"/>
                  </w:pPr>
                  <w:r>
                    <w:rPr>
                      <w:rFonts w:hint="eastAsia"/>
                    </w:rPr>
                    <w:t>/</w:t>
                  </w:r>
                </w:p>
              </w:tc>
            </w:tr>
            <w:tr w14:paraId="09123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3EFCE2D2">
                  <w:pPr>
                    <w:pStyle w:val="21"/>
                    <w:spacing w:after="0"/>
                    <w:ind w:left="0" w:leftChars="0" w:firstLine="0" w:firstLineChars="0"/>
                    <w:jc w:val="center"/>
                  </w:pPr>
                </w:p>
              </w:tc>
              <w:tc>
                <w:tcPr>
                  <w:tcW w:w="545" w:type="pct"/>
                  <w:vMerge w:val="continue"/>
                  <w:tcBorders>
                    <w:tl2br w:val="nil"/>
                    <w:tr2bl w:val="nil"/>
                  </w:tcBorders>
                  <w:vAlign w:val="center"/>
                </w:tcPr>
                <w:p w14:paraId="069669CF">
                  <w:pPr>
                    <w:pStyle w:val="21"/>
                    <w:spacing w:after="0"/>
                    <w:ind w:left="0" w:leftChars="0" w:firstLine="0" w:firstLineChars="0"/>
                    <w:jc w:val="center"/>
                  </w:pPr>
                </w:p>
              </w:tc>
              <w:tc>
                <w:tcPr>
                  <w:tcW w:w="2750" w:type="pct"/>
                  <w:tcBorders>
                    <w:tl2br w:val="nil"/>
                    <w:tr2bl w:val="nil"/>
                  </w:tcBorders>
                  <w:vAlign w:val="center"/>
                </w:tcPr>
                <w:p w14:paraId="5365E3AB">
                  <w:pPr>
                    <w:jc w:val="left"/>
                    <w:rPr>
                      <w:b/>
                    </w:rPr>
                  </w:pPr>
                  <w:r>
                    <w:rPr>
                      <w:rFonts w:hint="eastAsia"/>
                      <w:b/>
                    </w:rPr>
                    <w:t>餐厨垃圾：</w:t>
                  </w:r>
                  <w:r>
                    <w:rPr>
                      <w:rFonts w:hint="eastAsia"/>
                      <w:bCs/>
                    </w:rPr>
                    <w:t>收集后交由有资质的餐厨垃圾处理单位处理</w:t>
                  </w:r>
                </w:p>
              </w:tc>
              <w:tc>
                <w:tcPr>
                  <w:tcW w:w="533" w:type="pct"/>
                  <w:vMerge w:val="continue"/>
                  <w:tcBorders>
                    <w:tl2br w:val="nil"/>
                    <w:tr2bl w:val="nil"/>
                  </w:tcBorders>
                  <w:vAlign w:val="center"/>
                </w:tcPr>
                <w:p w14:paraId="06DBFD2D">
                  <w:pPr>
                    <w:pStyle w:val="21"/>
                    <w:spacing w:after="0"/>
                    <w:ind w:left="0" w:leftChars="0" w:firstLine="0" w:firstLineChars="0"/>
                    <w:jc w:val="center"/>
                  </w:pPr>
                </w:p>
              </w:tc>
              <w:tc>
                <w:tcPr>
                  <w:tcW w:w="792" w:type="pct"/>
                  <w:tcBorders>
                    <w:tl2br w:val="nil"/>
                    <w:tr2bl w:val="nil"/>
                  </w:tcBorders>
                  <w:vAlign w:val="center"/>
                </w:tcPr>
                <w:p w14:paraId="408C69F6">
                  <w:pPr>
                    <w:pStyle w:val="21"/>
                    <w:spacing w:after="0"/>
                    <w:ind w:left="0" w:leftChars="0" w:firstLine="0" w:firstLineChars="0"/>
                    <w:jc w:val="center"/>
                  </w:pPr>
                  <w:r>
                    <w:rPr>
                      <w:rFonts w:hint="eastAsia"/>
                    </w:rPr>
                    <w:t>/</w:t>
                  </w:r>
                </w:p>
              </w:tc>
            </w:tr>
            <w:tr w14:paraId="545A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1A0022AF">
                  <w:pPr>
                    <w:pStyle w:val="21"/>
                    <w:spacing w:after="0"/>
                    <w:ind w:left="0" w:leftChars="0" w:firstLine="0" w:firstLineChars="0"/>
                    <w:jc w:val="center"/>
                  </w:pPr>
                </w:p>
              </w:tc>
              <w:tc>
                <w:tcPr>
                  <w:tcW w:w="545" w:type="pct"/>
                  <w:vMerge w:val="continue"/>
                  <w:tcBorders>
                    <w:tl2br w:val="nil"/>
                    <w:tr2bl w:val="nil"/>
                  </w:tcBorders>
                  <w:vAlign w:val="center"/>
                </w:tcPr>
                <w:p w14:paraId="123F4A80">
                  <w:pPr>
                    <w:pStyle w:val="21"/>
                    <w:spacing w:after="0"/>
                    <w:ind w:left="0" w:leftChars="0" w:firstLine="0" w:firstLineChars="0"/>
                    <w:jc w:val="center"/>
                  </w:pPr>
                </w:p>
              </w:tc>
              <w:tc>
                <w:tcPr>
                  <w:tcW w:w="2750" w:type="pct"/>
                  <w:tcBorders>
                    <w:tl2br w:val="nil"/>
                    <w:tr2bl w:val="nil"/>
                  </w:tcBorders>
                  <w:vAlign w:val="center"/>
                </w:tcPr>
                <w:p w14:paraId="2119C973">
                  <w:pPr>
                    <w:jc w:val="left"/>
                    <w:rPr>
                      <w:b/>
                    </w:rPr>
                  </w:pPr>
                  <w:r>
                    <w:rPr>
                      <w:rFonts w:hint="eastAsia"/>
                      <w:b/>
                      <w:bCs/>
                    </w:rPr>
                    <w:t>废过滤材料、废反渗透膜：</w:t>
                  </w:r>
                  <w:r>
                    <w:rPr>
                      <w:rFonts w:hint="eastAsia"/>
                    </w:rPr>
                    <w:t>厂家回收利用</w:t>
                  </w:r>
                </w:p>
              </w:tc>
              <w:tc>
                <w:tcPr>
                  <w:tcW w:w="533" w:type="pct"/>
                  <w:vMerge w:val="continue"/>
                  <w:tcBorders>
                    <w:tl2br w:val="nil"/>
                    <w:tr2bl w:val="nil"/>
                  </w:tcBorders>
                  <w:vAlign w:val="center"/>
                </w:tcPr>
                <w:p w14:paraId="7551F60C">
                  <w:pPr>
                    <w:pStyle w:val="21"/>
                    <w:spacing w:after="0"/>
                    <w:ind w:left="0" w:leftChars="0" w:firstLine="0" w:firstLineChars="0"/>
                    <w:jc w:val="center"/>
                  </w:pPr>
                </w:p>
              </w:tc>
              <w:tc>
                <w:tcPr>
                  <w:tcW w:w="792" w:type="pct"/>
                  <w:tcBorders>
                    <w:tl2br w:val="nil"/>
                    <w:tr2bl w:val="nil"/>
                  </w:tcBorders>
                  <w:vAlign w:val="center"/>
                </w:tcPr>
                <w:p w14:paraId="6459302E">
                  <w:pPr>
                    <w:pStyle w:val="21"/>
                    <w:spacing w:after="0"/>
                    <w:ind w:left="0" w:leftChars="0" w:firstLine="0" w:firstLineChars="0"/>
                    <w:jc w:val="center"/>
                  </w:pPr>
                </w:p>
              </w:tc>
            </w:tr>
            <w:tr w14:paraId="5D4F5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1DC3E367">
                  <w:pPr>
                    <w:pStyle w:val="21"/>
                    <w:spacing w:after="0"/>
                    <w:ind w:left="0" w:leftChars="0" w:firstLine="0" w:firstLineChars="0"/>
                    <w:jc w:val="center"/>
                  </w:pPr>
                </w:p>
              </w:tc>
              <w:tc>
                <w:tcPr>
                  <w:tcW w:w="545" w:type="pct"/>
                  <w:tcBorders>
                    <w:tl2br w:val="nil"/>
                    <w:tr2bl w:val="nil"/>
                  </w:tcBorders>
                  <w:vAlign w:val="center"/>
                </w:tcPr>
                <w:p w14:paraId="7EF7B756">
                  <w:pPr>
                    <w:pStyle w:val="21"/>
                    <w:spacing w:after="0"/>
                    <w:ind w:left="0" w:leftChars="0" w:firstLine="0" w:firstLineChars="0"/>
                    <w:jc w:val="center"/>
                  </w:pPr>
                  <w:r>
                    <w:t>地下水</w:t>
                  </w:r>
                </w:p>
                <w:p w14:paraId="0041650B">
                  <w:pPr>
                    <w:pStyle w:val="21"/>
                    <w:spacing w:after="0"/>
                    <w:ind w:left="0" w:leftChars="0" w:firstLine="0" w:firstLineChars="0"/>
                    <w:jc w:val="center"/>
                  </w:pPr>
                  <w:r>
                    <w:t>防范</w:t>
                  </w:r>
                </w:p>
              </w:tc>
              <w:tc>
                <w:tcPr>
                  <w:tcW w:w="2750" w:type="pct"/>
                  <w:tcBorders>
                    <w:tl2br w:val="nil"/>
                    <w:tr2bl w:val="nil"/>
                  </w:tcBorders>
                  <w:vAlign w:val="center"/>
                </w:tcPr>
                <w:p w14:paraId="67CE01C7">
                  <w:pPr>
                    <w:jc w:val="left"/>
                    <w:rPr>
                      <w:b/>
                    </w:rPr>
                  </w:pPr>
                  <w:r>
                    <w:t>院区</w:t>
                  </w:r>
                  <w:r>
                    <w:rPr>
                      <w:rFonts w:hint="eastAsia"/>
                    </w:rPr>
                    <w:t>医疗废物暂存间、柴油发电机房、</w:t>
                  </w:r>
                  <w:r>
                    <w:t>污水处理站池体、化粪池、污水埋地管道等进行重点防渗；院区</w:t>
                  </w:r>
                  <w:r>
                    <w:rPr>
                      <w:rFonts w:hint="eastAsia"/>
                    </w:rPr>
                    <w:t>综合楼其他区域</w:t>
                  </w:r>
                  <w:r>
                    <w:t>进行一般防渗；厂区道路等采取简单防渗</w:t>
                  </w:r>
                </w:p>
              </w:tc>
              <w:tc>
                <w:tcPr>
                  <w:tcW w:w="533" w:type="pct"/>
                  <w:vMerge w:val="continue"/>
                  <w:tcBorders>
                    <w:tl2br w:val="nil"/>
                    <w:tr2bl w:val="nil"/>
                  </w:tcBorders>
                  <w:vAlign w:val="center"/>
                </w:tcPr>
                <w:p w14:paraId="652724A1">
                  <w:pPr>
                    <w:pStyle w:val="21"/>
                    <w:spacing w:after="0"/>
                    <w:ind w:left="0" w:leftChars="0" w:firstLine="0" w:firstLineChars="0"/>
                    <w:jc w:val="center"/>
                  </w:pPr>
                </w:p>
              </w:tc>
              <w:tc>
                <w:tcPr>
                  <w:tcW w:w="792" w:type="pct"/>
                  <w:tcBorders>
                    <w:tl2br w:val="nil"/>
                    <w:tr2bl w:val="nil"/>
                  </w:tcBorders>
                  <w:vAlign w:val="center"/>
                </w:tcPr>
                <w:p w14:paraId="29B52DF3">
                  <w:pPr>
                    <w:pStyle w:val="21"/>
                    <w:spacing w:after="0"/>
                    <w:ind w:left="0" w:leftChars="0" w:firstLine="0" w:firstLineChars="0"/>
                    <w:jc w:val="center"/>
                  </w:pPr>
                  <w:r>
                    <w:t>环境风险</w:t>
                  </w:r>
                </w:p>
              </w:tc>
            </w:tr>
          </w:tbl>
          <w:p w14:paraId="48F058CF">
            <w:pPr>
              <w:pStyle w:val="8"/>
              <w:spacing w:after="0" w:line="360" w:lineRule="auto"/>
              <w:ind w:firstLine="482" w:firstLineChars="200"/>
              <w:rPr>
                <w:b/>
                <w:bCs/>
                <w:sz w:val="24"/>
                <w:szCs w:val="36"/>
              </w:rPr>
            </w:pPr>
            <w:r>
              <w:rPr>
                <w:rFonts w:hint="eastAsia"/>
                <w:b/>
                <w:bCs/>
                <w:sz w:val="24"/>
                <w:szCs w:val="36"/>
              </w:rPr>
              <w:t>5、主要原辅材料及设备清单</w:t>
            </w:r>
          </w:p>
          <w:p w14:paraId="478BD2FE">
            <w:pPr>
              <w:pStyle w:val="8"/>
              <w:spacing w:after="0" w:line="360" w:lineRule="auto"/>
              <w:ind w:firstLine="482" w:firstLineChars="200"/>
              <w:rPr>
                <w:b/>
                <w:bCs/>
                <w:sz w:val="24"/>
                <w:szCs w:val="36"/>
              </w:rPr>
            </w:pPr>
            <w:r>
              <w:rPr>
                <w:rFonts w:hint="eastAsia"/>
                <w:b/>
                <w:bCs/>
                <w:sz w:val="24"/>
                <w:szCs w:val="36"/>
              </w:rPr>
              <w:t>（1）主要医疗原辅材料</w:t>
            </w:r>
          </w:p>
          <w:p w14:paraId="5A2A3349">
            <w:pPr>
              <w:spacing w:line="360" w:lineRule="auto"/>
              <w:jc w:val="center"/>
              <w:rPr>
                <w:b/>
                <w:bCs/>
                <w:sz w:val="24"/>
                <w:szCs w:val="24"/>
              </w:rPr>
            </w:pPr>
          </w:p>
          <w:p w14:paraId="3D5675F0">
            <w:pPr>
              <w:spacing w:line="360" w:lineRule="auto"/>
              <w:jc w:val="center"/>
              <w:rPr>
                <w:b/>
                <w:bCs/>
                <w:sz w:val="24"/>
                <w:szCs w:val="24"/>
              </w:rPr>
            </w:pPr>
            <w:r>
              <w:rPr>
                <w:b/>
                <w:bCs/>
                <w:sz w:val="24"/>
                <w:szCs w:val="24"/>
              </w:rPr>
              <w:t>表2-</w:t>
            </w:r>
            <w:r>
              <w:rPr>
                <w:rFonts w:hint="eastAsia"/>
                <w:b/>
                <w:bCs/>
                <w:sz w:val="24"/>
                <w:szCs w:val="24"/>
              </w:rPr>
              <w:t>2</w:t>
            </w:r>
            <w:r>
              <w:rPr>
                <w:b/>
                <w:bCs/>
                <w:sz w:val="24"/>
                <w:szCs w:val="24"/>
              </w:rPr>
              <w:t xml:space="preserve"> 主要原辅材料及其来源</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38"/>
              <w:gridCol w:w="897"/>
              <w:gridCol w:w="2655"/>
              <w:gridCol w:w="1812"/>
              <w:gridCol w:w="1645"/>
              <w:gridCol w:w="1099"/>
              <w:gridCol w:w="405"/>
            </w:tblGrid>
            <w:tr w14:paraId="0F4A6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44" w:type="pct"/>
                  <w:tcBorders>
                    <w:tl2br w:val="nil"/>
                    <w:tr2bl w:val="nil"/>
                  </w:tcBorders>
                  <w:vAlign w:val="center"/>
                </w:tcPr>
                <w:p w14:paraId="38F74464">
                  <w:pPr>
                    <w:jc w:val="center"/>
                    <w:rPr>
                      <w:b/>
                      <w:bCs/>
                    </w:rPr>
                  </w:pPr>
                  <w:r>
                    <w:rPr>
                      <w:b/>
                      <w:bCs/>
                    </w:rPr>
                    <w:t>类型</w:t>
                  </w:r>
                </w:p>
              </w:tc>
              <w:tc>
                <w:tcPr>
                  <w:tcW w:w="501" w:type="pct"/>
                  <w:tcBorders>
                    <w:tl2br w:val="nil"/>
                    <w:tr2bl w:val="nil"/>
                  </w:tcBorders>
                  <w:vAlign w:val="center"/>
                </w:tcPr>
                <w:p w14:paraId="01077FC2">
                  <w:pPr>
                    <w:jc w:val="center"/>
                    <w:rPr>
                      <w:b/>
                      <w:bCs/>
                    </w:rPr>
                  </w:pPr>
                  <w:r>
                    <w:rPr>
                      <w:b/>
                      <w:bCs/>
                    </w:rPr>
                    <w:t>类别</w:t>
                  </w:r>
                </w:p>
              </w:tc>
              <w:tc>
                <w:tcPr>
                  <w:tcW w:w="1482" w:type="pct"/>
                  <w:tcBorders>
                    <w:tl2br w:val="nil"/>
                    <w:tr2bl w:val="nil"/>
                  </w:tcBorders>
                  <w:vAlign w:val="center"/>
                </w:tcPr>
                <w:p w14:paraId="17BCD746">
                  <w:pPr>
                    <w:jc w:val="center"/>
                    <w:rPr>
                      <w:b/>
                      <w:bCs/>
                    </w:rPr>
                  </w:pPr>
                  <w:r>
                    <w:rPr>
                      <w:b/>
                      <w:bCs/>
                    </w:rPr>
                    <w:t>名称</w:t>
                  </w:r>
                </w:p>
              </w:tc>
              <w:tc>
                <w:tcPr>
                  <w:tcW w:w="1012" w:type="pct"/>
                  <w:tcBorders>
                    <w:tl2br w:val="nil"/>
                    <w:tr2bl w:val="nil"/>
                  </w:tcBorders>
                  <w:vAlign w:val="center"/>
                </w:tcPr>
                <w:p w14:paraId="429B48D6">
                  <w:pPr>
                    <w:jc w:val="center"/>
                    <w:rPr>
                      <w:b/>
                      <w:bCs/>
                    </w:rPr>
                  </w:pPr>
                  <w:r>
                    <w:rPr>
                      <w:b/>
                      <w:bCs/>
                    </w:rPr>
                    <w:t>年耗量</w:t>
                  </w:r>
                </w:p>
              </w:tc>
              <w:tc>
                <w:tcPr>
                  <w:tcW w:w="919" w:type="pct"/>
                  <w:tcBorders>
                    <w:tl2br w:val="nil"/>
                    <w:tr2bl w:val="nil"/>
                  </w:tcBorders>
                  <w:vAlign w:val="center"/>
                </w:tcPr>
                <w:p w14:paraId="5A4605C1">
                  <w:pPr>
                    <w:jc w:val="center"/>
                    <w:rPr>
                      <w:b/>
                      <w:bCs/>
                    </w:rPr>
                  </w:pPr>
                  <w:r>
                    <w:rPr>
                      <w:b/>
                      <w:bCs/>
                    </w:rPr>
                    <w:t>来源</w:t>
                  </w:r>
                </w:p>
              </w:tc>
              <w:tc>
                <w:tcPr>
                  <w:tcW w:w="614" w:type="pct"/>
                  <w:tcBorders>
                    <w:tl2br w:val="nil"/>
                    <w:tr2bl w:val="nil"/>
                  </w:tcBorders>
                  <w:vAlign w:val="center"/>
                </w:tcPr>
                <w:p w14:paraId="4B57B4B3">
                  <w:pPr>
                    <w:jc w:val="center"/>
                    <w:rPr>
                      <w:b/>
                      <w:bCs/>
                    </w:rPr>
                  </w:pPr>
                  <w:r>
                    <w:rPr>
                      <w:b/>
                      <w:bCs/>
                    </w:rPr>
                    <w:t>储存地点</w:t>
                  </w:r>
                </w:p>
              </w:tc>
              <w:tc>
                <w:tcPr>
                  <w:tcW w:w="226" w:type="pct"/>
                  <w:tcBorders>
                    <w:tl2br w:val="nil"/>
                    <w:tr2bl w:val="nil"/>
                  </w:tcBorders>
                  <w:vAlign w:val="center"/>
                </w:tcPr>
                <w:p w14:paraId="7EBC0CF7">
                  <w:pPr>
                    <w:jc w:val="center"/>
                    <w:rPr>
                      <w:b/>
                      <w:bCs/>
                    </w:rPr>
                  </w:pPr>
                  <w:r>
                    <w:rPr>
                      <w:rFonts w:hint="eastAsia"/>
                      <w:b/>
                      <w:bCs/>
                    </w:rPr>
                    <w:t>备注</w:t>
                  </w:r>
                </w:p>
              </w:tc>
            </w:tr>
            <w:tr w14:paraId="13086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restart"/>
                  <w:tcBorders>
                    <w:tl2br w:val="nil"/>
                    <w:tr2bl w:val="nil"/>
                  </w:tcBorders>
                  <w:vAlign w:val="center"/>
                </w:tcPr>
                <w:p w14:paraId="35462F04">
                  <w:pPr>
                    <w:jc w:val="center"/>
                    <w:rPr>
                      <w:kern w:val="0"/>
                    </w:rPr>
                  </w:pPr>
                  <w:r>
                    <w:rPr>
                      <w:rFonts w:hint="eastAsia"/>
                      <w:kern w:val="0"/>
                    </w:rPr>
                    <w:t>原辅材料</w:t>
                  </w:r>
                </w:p>
              </w:tc>
              <w:tc>
                <w:tcPr>
                  <w:tcW w:w="1482" w:type="pct"/>
                  <w:tcBorders>
                    <w:tl2br w:val="nil"/>
                    <w:tr2bl w:val="nil"/>
                  </w:tcBorders>
                  <w:vAlign w:val="center"/>
                </w:tcPr>
                <w:p w14:paraId="60867522">
                  <w:pPr>
                    <w:jc w:val="center"/>
                  </w:pPr>
                  <w:r>
                    <w:rPr>
                      <w:rFonts w:hint="eastAsia"/>
                    </w:rPr>
                    <w:t>针管</w:t>
                  </w:r>
                </w:p>
              </w:tc>
              <w:tc>
                <w:tcPr>
                  <w:tcW w:w="1012" w:type="pct"/>
                  <w:tcBorders>
                    <w:tl2br w:val="nil"/>
                    <w:tr2bl w:val="nil"/>
                  </w:tcBorders>
                  <w:vAlign w:val="center"/>
                </w:tcPr>
                <w:p w14:paraId="21487A89">
                  <w:pPr>
                    <w:jc w:val="center"/>
                  </w:pPr>
                  <w:r>
                    <w:rPr>
                      <w:rFonts w:hint="eastAsia"/>
                    </w:rPr>
                    <w:t>3000支</w:t>
                  </w:r>
                </w:p>
              </w:tc>
              <w:tc>
                <w:tcPr>
                  <w:tcW w:w="919" w:type="pct"/>
                  <w:tcBorders>
                    <w:tl2br w:val="nil"/>
                    <w:tr2bl w:val="nil"/>
                  </w:tcBorders>
                  <w:vAlign w:val="center"/>
                </w:tcPr>
                <w:p w14:paraId="7491A3CC">
                  <w:pPr>
                    <w:jc w:val="center"/>
                  </w:pPr>
                  <w:r>
                    <w:rPr>
                      <w:rFonts w:hint="eastAsia"/>
                    </w:rPr>
                    <w:t>外购</w:t>
                  </w:r>
                </w:p>
              </w:tc>
              <w:tc>
                <w:tcPr>
                  <w:tcW w:w="614" w:type="pct"/>
                  <w:tcBorders>
                    <w:tl2br w:val="nil"/>
                    <w:tr2bl w:val="nil"/>
                  </w:tcBorders>
                  <w:vAlign w:val="center"/>
                </w:tcPr>
                <w:p w14:paraId="1245B4A2">
                  <w:pPr>
                    <w:jc w:val="center"/>
                  </w:pPr>
                  <w:r>
                    <w:rPr>
                      <w:rFonts w:hint="eastAsia"/>
                    </w:rPr>
                    <w:t>库房</w:t>
                  </w:r>
                </w:p>
              </w:tc>
              <w:tc>
                <w:tcPr>
                  <w:tcW w:w="226" w:type="pct"/>
                  <w:vMerge w:val="restart"/>
                  <w:tcBorders>
                    <w:tl2br w:val="nil"/>
                    <w:tr2bl w:val="nil"/>
                  </w:tcBorders>
                  <w:vAlign w:val="center"/>
                </w:tcPr>
                <w:p w14:paraId="172F7782">
                  <w:pPr>
                    <w:jc w:val="center"/>
                  </w:pPr>
                  <w:r>
                    <w:rPr>
                      <w:rFonts w:hint="eastAsia"/>
                    </w:rPr>
                    <w:t>根据营运情况而定</w:t>
                  </w:r>
                </w:p>
              </w:tc>
            </w:tr>
            <w:tr w14:paraId="6B8D9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43C09C17">
                  <w:pPr>
                    <w:jc w:val="center"/>
                  </w:pPr>
                </w:p>
              </w:tc>
              <w:tc>
                <w:tcPr>
                  <w:tcW w:w="1482" w:type="pct"/>
                  <w:tcBorders>
                    <w:tl2br w:val="nil"/>
                    <w:tr2bl w:val="nil"/>
                  </w:tcBorders>
                  <w:vAlign w:val="center"/>
                </w:tcPr>
                <w:p w14:paraId="4F30F75F">
                  <w:pPr>
                    <w:jc w:val="center"/>
                    <w:rPr>
                      <w:kern w:val="0"/>
                    </w:rPr>
                  </w:pPr>
                  <w:r>
                    <w:rPr>
                      <w:rFonts w:hint="eastAsia"/>
                      <w:kern w:val="0"/>
                    </w:rPr>
                    <w:t>一次性采血管</w:t>
                  </w:r>
                </w:p>
              </w:tc>
              <w:tc>
                <w:tcPr>
                  <w:tcW w:w="1012" w:type="pct"/>
                  <w:tcBorders>
                    <w:tl2br w:val="nil"/>
                    <w:tr2bl w:val="nil"/>
                  </w:tcBorders>
                  <w:vAlign w:val="center"/>
                </w:tcPr>
                <w:p w14:paraId="248EC943">
                  <w:pPr>
                    <w:jc w:val="center"/>
                  </w:pPr>
                  <w:r>
                    <w:rPr>
                      <w:rFonts w:hint="eastAsia"/>
                    </w:rPr>
                    <w:t>3500支</w:t>
                  </w:r>
                </w:p>
              </w:tc>
              <w:tc>
                <w:tcPr>
                  <w:tcW w:w="919" w:type="pct"/>
                  <w:tcBorders>
                    <w:tl2br w:val="nil"/>
                    <w:tr2bl w:val="nil"/>
                  </w:tcBorders>
                  <w:vAlign w:val="center"/>
                </w:tcPr>
                <w:p w14:paraId="14CBC956">
                  <w:pPr>
                    <w:jc w:val="center"/>
                  </w:pPr>
                  <w:r>
                    <w:rPr>
                      <w:rFonts w:hint="eastAsia"/>
                    </w:rPr>
                    <w:t>外购</w:t>
                  </w:r>
                </w:p>
              </w:tc>
              <w:tc>
                <w:tcPr>
                  <w:tcW w:w="614" w:type="pct"/>
                  <w:tcBorders>
                    <w:tl2br w:val="nil"/>
                    <w:tr2bl w:val="nil"/>
                  </w:tcBorders>
                  <w:vAlign w:val="center"/>
                </w:tcPr>
                <w:p w14:paraId="68F7B258">
                  <w:pPr>
                    <w:jc w:val="center"/>
                  </w:pPr>
                  <w:r>
                    <w:rPr>
                      <w:rFonts w:hint="eastAsia"/>
                    </w:rPr>
                    <w:t>库房</w:t>
                  </w:r>
                </w:p>
              </w:tc>
              <w:tc>
                <w:tcPr>
                  <w:tcW w:w="226" w:type="pct"/>
                  <w:vMerge w:val="continue"/>
                  <w:tcBorders>
                    <w:tl2br w:val="nil"/>
                    <w:tr2bl w:val="nil"/>
                  </w:tcBorders>
                  <w:vAlign w:val="center"/>
                </w:tcPr>
                <w:p w14:paraId="0181CC77">
                  <w:pPr>
                    <w:jc w:val="center"/>
                  </w:pPr>
                </w:p>
              </w:tc>
            </w:tr>
            <w:tr w14:paraId="41321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3159A36F">
                  <w:pPr>
                    <w:jc w:val="center"/>
                  </w:pPr>
                </w:p>
              </w:tc>
              <w:tc>
                <w:tcPr>
                  <w:tcW w:w="1482" w:type="pct"/>
                  <w:tcBorders>
                    <w:tl2br w:val="nil"/>
                    <w:tr2bl w:val="nil"/>
                  </w:tcBorders>
                  <w:vAlign w:val="center"/>
                </w:tcPr>
                <w:p w14:paraId="56DF94E4">
                  <w:pPr>
                    <w:autoSpaceDE w:val="0"/>
                    <w:autoSpaceDN w:val="0"/>
                    <w:adjustRightInd w:val="0"/>
                    <w:jc w:val="center"/>
                    <w:rPr>
                      <w:kern w:val="0"/>
                    </w:rPr>
                  </w:pPr>
                  <w:r>
                    <w:rPr>
                      <w:rFonts w:hint="eastAsia"/>
                      <w:kern w:val="0"/>
                    </w:rPr>
                    <w:t>真空采血管</w:t>
                  </w:r>
                </w:p>
              </w:tc>
              <w:tc>
                <w:tcPr>
                  <w:tcW w:w="1012" w:type="pct"/>
                  <w:tcBorders>
                    <w:tl2br w:val="nil"/>
                    <w:tr2bl w:val="nil"/>
                  </w:tcBorders>
                  <w:vAlign w:val="center"/>
                </w:tcPr>
                <w:p w14:paraId="5A5FD82D">
                  <w:pPr>
                    <w:jc w:val="center"/>
                  </w:pPr>
                  <w:r>
                    <w:rPr>
                      <w:rFonts w:hint="eastAsia"/>
                    </w:rPr>
                    <w:t>4000管</w:t>
                  </w:r>
                </w:p>
              </w:tc>
              <w:tc>
                <w:tcPr>
                  <w:tcW w:w="919" w:type="pct"/>
                  <w:tcBorders>
                    <w:tl2br w:val="nil"/>
                    <w:tr2bl w:val="nil"/>
                  </w:tcBorders>
                  <w:vAlign w:val="center"/>
                </w:tcPr>
                <w:p w14:paraId="29F51F06">
                  <w:pPr>
                    <w:jc w:val="center"/>
                  </w:pPr>
                  <w:r>
                    <w:rPr>
                      <w:rFonts w:hint="eastAsia"/>
                    </w:rPr>
                    <w:t>外购</w:t>
                  </w:r>
                </w:p>
              </w:tc>
              <w:tc>
                <w:tcPr>
                  <w:tcW w:w="614" w:type="pct"/>
                  <w:tcBorders>
                    <w:tl2br w:val="nil"/>
                    <w:tr2bl w:val="nil"/>
                  </w:tcBorders>
                  <w:vAlign w:val="center"/>
                </w:tcPr>
                <w:p w14:paraId="3BB3F981">
                  <w:pPr>
                    <w:jc w:val="center"/>
                  </w:pPr>
                  <w:r>
                    <w:rPr>
                      <w:rFonts w:hint="eastAsia"/>
                    </w:rPr>
                    <w:t>库房</w:t>
                  </w:r>
                </w:p>
              </w:tc>
              <w:tc>
                <w:tcPr>
                  <w:tcW w:w="226" w:type="pct"/>
                  <w:vMerge w:val="continue"/>
                  <w:tcBorders>
                    <w:tl2br w:val="nil"/>
                    <w:tr2bl w:val="nil"/>
                  </w:tcBorders>
                  <w:vAlign w:val="center"/>
                </w:tcPr>
                <w:p w14:paraId="027798EB">
                  <w:pPr>
                    <w:jc w:val="center"/>
                  </w:pPr>
                </w:p>
              </w:tc>
            </w:tr>
            <w:tr w14:paraId="415D9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395068F3">
                  <w:pPr>
                    <w:jc w:val="center"/>
                  </w:pPr>
                </w:p>
              </w:tc>
              <w:tc>
                <w:tcPr>
                  <w:tcW w:w="1482" w:type="pct"/>
                  <w:tcBorders>
                    <w:tl2br w:val="nil"/>
                    <w:tr2bl w:val="nil"/>
                  </w:tcBorders>
                  <w:vAlign w:val="center"/>
                </w:tcPr>
                <w:p w14:paraId="5CD707EB">
                  <w:pPr>
                    <w:jc w:val="center"/>
                  </w:pPr>
                  <w:r>
                    <w:rPr>
                      <w:rFonts w:hint="eastAsia"/>
                    </w:rPr>
                    <w:t>输液器</w:t>
                  </w:r>
                </w:p>
              </w:tc>
              <w:tc>
                <w:tcPr>
                  <w:tcW w:w="1012" w:type="pct"/>
                  <w:tcBorders>
                    <w:tl2br w:val="nil"/>
                    <w:tr2bl w:val="nil"/>
                  </w:tcBorders>
                  <w:vAlign w:val="center"/>
                </w:tcPr>
                <w:p w14:paraId="4057B3D0">
                  <w:pPr>
                    <w:jc w:val="center"/>
                  </w:pPr>
                  <w:r>
                    <w:rPr>
                      <w:rFonts w:hint="eastAsia"/>
                    </w:rPr>
                    <w:t>300套</w:t>
                  </w:r>
                </w:p>
              </w:tc>
              <w:tc>
                <w:tcPr>
                  <w:tcW w:w="919" w:type="pct"/>
                  <w:tcBorders>
                    <w:tl2br w:val="nil"/>
                    <w:tr2bl w:val="nil"/>
                  </w:tcBorders>
                  <w:vAlign w:val="center"/>
                </w:tcPr>
                <w:p w14:paraId="7F9A0C8C">
                  <w:pPr>
                    <w:jc w:val="center"/>
                  </w:pPr>
                  <w:r>
                    <w:rPr>
                      <w:rFonts w:hint="eastAsia"/>
                    </w:rPr>
                    <w:t>外购</w:t>
                  </w:r>
                </w:p>
              </w:tc>
              <w:tc>
                <w:tcPr>
                  <w:tcW w:w="614" w:type="pct"/>
                  <w:tcBorders>
                    <w:tl2br w:val="nil"/>
                    <w:tr2bl w:val="nil"/>
                  </w:tcBorders>
                  <w:vAlign w:val="center"/>
                </w:tcPr>
                <w:p w14:paraId="53E05CD5">
                  <w:pPr>
                    <w:jc w:val="center"/>
                  </w:pPr>
                  <w:r>
                    <w:rPr>
                      <w:rFonts w:hint="eastAsia"/>
                    </w:rPr>
                    <w:t>库房</w:t>
                  </w:r>
                </w:p>
              </w:tc>
              <w:tc>
                <w:tcPr>
                  <w:tcW w:w="226" w:type="pct"/>
                  <w:vMerge w:val="continue"/>
                  <w:tcBorders>
                    <w:tl2br w:val="nil"/>
                    <w:tr2bl w:val="nil"/>
                  </w:tcBorders>
                  <w:vAlign w:val="center"/>
                </w:tcPr>
                <w:p w14:paraId="61562886">
                  <w:pPr>
                    <w:jc w:val="center"/>
                  </w:pPr>
                </w:p>
              </w:tc>
            </w:tr>
            <w:tr w14:paraId="3926D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3DB78E87">
                  <w:pPr>
                    <w:jc w:val="center"/>
                  </w:pPr>
                </w:p>
              </w:tc>
              <w:tc>
                <w:tcPr>
                  <w:tcW w:w="1482" w:type="pct"/>
                  <w:tcBorders>
                    <w:tl2br w:val="nil"/>
                    <w:tr2bl w:val="nil"/>
                  </w:tcBorders>
                  <w:vAlign w:val="center"/>
                </w:tcPr>
                <w:p w14:paraId="45E39A2C">
                  <w:pPr>
                    <w:jc w:val="center"/>
                  </w:pPr>
                  <w:r>
                    <w:rPr>
                      <w:rFonts w:hint="eastAsia"/>
                    </w:rPr>
                    <w:t>检查手套</w:t>
                  </w:r>
                </w:p>
              </w:tc>
              <w:tc>
                <w:tcPr>
                  <w:tcW w:w="1012" w:type="pct"/>
                  <w:tcBorders>
                    <w:tl2br w:val="nil"/>
                    <w:tr2bl w:val="nil"/>
                  </w:tcBorders>
                  <w:vAlign w:val="center"/>
                </w:tcPr>
                <w:p w14:paraId="479E6E9D">
                  <w:pPr>
                    <w:jc w:val="center"/>
                  </w:pPr>
                  <w:r>
                    <w:rPr>
                      <w:rFonts w:hint="eastAsia"/>
                    </w:rPr>
                    <w:t>8000只</w:t>
                  </w:r>
                </w:p>
              </w:tc>
              <w:tc>
                <w:tcPr>
                  <w:tcW w:w="919" w:type="pct"/>
                  <w:tcBorders>
                    <w:tl2br w:val="nil"/>
                    <w:tr2bl w:val="nil"/>
                  </w:tcBorders>
                  <w:vAlign w:val="center"/>
                </w:tcPr>
                <w:p w14:paraId="240654B4">
                  <w:pPr>
                    <w:jc w:val="center"/>
                  </w:pPr>
                  <w:r>
                    <w:rPr>
                      <w:rFonts w:hint="eastAsia"/>
                    </w:rPr>
                    <w:t>外购</w:t>
                  </w:r>
                </w:p>
              </w:tc>
              <w:tc>
                <w:tcPr>
                  <w:tcW w:w="614" w:type="pct"/>
                  <w:tcBorders>
                    <w:tl2br w:val="nil"/>
                    <w:tr2bl w:val="nil"/>
                  </w:tcBorders>
                  <w:vAlign w:val="center"/>
                </w:tcPr>
                <w:p w14:paraId="21EC44CD">
                  <w:pPr>
                    <w:jc w:val="center"/>
                  </w:pPr>
                  <w:r>
                    <w:rPr>
                      <w:rFonts w:hint="eastAsia"/>
                    </w:rPr>
                    <w:t>库房</w:t>
                  </w:r>
                </w:p>
              </w:tc>
              <w:tc>
                <w:tcPr>
                  <w:tcW w:w="226" w:type="pct"/>
                  <w:vMerge w:val="continue"/>
                  <w:tcBorders>
                    <w:tl2br w:val="nil"/>
                    <w:tr2bl w:val="nil"/>
                  </w:tcBorders>
                  <w:vAlign w:val="center"/>
                </w:tcPr>
                <w:p w14:paraId="001823EC">
                  <w:pPr>
                    <w:jc w:val="center"/>
                  </w:pPr>
                </w:p>
              </w:tc>
            </w:tr>
            <w:tr w14:paraId="64960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223CF5E0">
                  <w:pPr>
                    <w:jc w:val="center"/>
                  </w:pPr>
                </w:p>
              </w:tc>
              <w:tc>
                <w:tcPr>
                  <w:tcW w:w="1482" w:type="pct"/>
                  <w:tcBorders>
                    <w:tl2br w:val="nil"/>
                    <w:tr2bl w:val="nil"/>
                  </w:tcBorders>
                  <w:vAlign w:val="center"/>
                </w:tcPr>
                <w:p w14:paraId="17B15BBC">
                  <w:pPr>
                    <w:jc w:val="center"/>
                    <w:rPr>
                      <w:kern w:val="0"/>
                    </w:rPr>
                  </w:pPr>
                  <w:r>
                    <w:rPr>
                      <w:rFonts w:hint="eastAsia"/>
                      <w:kern w:val="0"/>
                    </w:rPr>
                    <w:t>留置针贴</w:t>
                  </w:r>
                </w:p>
              </w:tc>
              <w:tc>
                <w:tcPr>
                  <w:tcW w:w="1012" w:type="pct"/>
                  <w:tcBorders>
                    <w:tl2br w:val="nil"/>
                    <w:tr2bl w:val="nil"/>
                  </w:tcBorders>
                  <w:vAlign w:val="center"/>
                </w:tcPr>
                <w:p w14:paraId="0A18E81C">
                  <w:pPr>
                    <w:jc w:val="center"/>
                  </w:pPr>
                  <w:r>
                    <w:rPr>
                      <w:rFonts w:hint="eastAsia"/>
                    </w:rPr>
                    <w:t>200贴</w:t>
                  </w:r>
                </w:p>
              </w:tc>
              <w:tc>
                <w:tcPr>
                  <w:tcW w:w="919" w:type="pct"/>
                  <w:tcBorders>
                    <w:tl2br w:val="nil"/>
                    <w:tr2bl w:val="nil"/>
                  </w:tcBorders>
                  <w:vAlign w:val="center"/>
                </w:tcPr>
                <w:p w14:paraId="788D1F1C">
                  <w:pPr>
                    <w:jc w:val="center"/>
                  </w:pPr>
                  <w:r>
                    <w:rPr>
                      <w:rFonts w:hint="eastAsia"/>
                    </w:rPr>
                    <w:t>外购</w:t>
                  </w:r>
                </w:p>
              </w:tc>
              <w:tc>
                <w:tcPr>
                  <w:tcW w:w="614" w:type="pct"/>
                  <w:tcBorders>
                    <w:tl2br w:val="nil"/>
                    <w:tr2bl w:val="nil"/>
                  </w:tcBorders>
                  <w:vAlign w:val="center"/>
                </w:tcPr>
                <w:p w14:paraId="58EF6411">
                  <w:pPr>
                    <w:jc w:val="center"/>
                  </w:pPr>
                  <w:r>
                    <w:rPr>
                      <w:rFonts w:hint="eastAsia"/>
                    </w:rPr>
                    <w:t>库房</w:t>
                  </w:r>
                </w:p>
              </w:tc>
              <w:tc>
                <w:tcPr>
                  <w:tcW w:w="226" w:type="pct"/>
                  <w:vMerge w:val="continue"/>
                  <w:tcBorders>
                    <w:tl2br w:val="nil"/>
                    <w:tr2bl w:val="nil"/>
                  </w:tcBorders>
                  <w:vAlign w:val="center"/>
                </w:tcPr>
                <w:p w14:paraId="72DEB36B">
                  <w:pPr>
                    <w:jc w:val="center"/>
                  </w:pPr>
                </w:p>
              </w:tc>
            </w:tr>
            <w:tr w14:paraId="673DA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6AD127C9">
                  <w:pPr>
                    <w:jc w:val="center"/>
                    <w:rPr>
                      <w:kern w:val="0"/>
                      <w:lang w:val="zh-CN"/>
                    </w:rPr>
                  </w:pPr>
                </w:p>
              </w:tc>
              <w:tc>
                <w:tcPr>
                  <w:tcW w:w="1482" w:type="pct"/>
                  <w:tcBorders>
                    <w:tl2br w:val="nil"/>
                    <w:tr2bl w:val="nil"/>
                  </w:tcBorders>
                  <w:vAlign w:val="center"/>
                </w:tcPr>
                <w:p w14:paraId="74F02B93">
                  <w:pPr>
                    <w:jc w:val="center"/>
                    <w:rPr>
                      <w:lang w:val="zh-CN"/>
                    </w:rPr>
                  </w:pPr>
                  <w:r>
                    <w:rPr>
                      <w:rFonts w:hint="eastAsia"/>
                      <w:lang w:val="zh-CN"/>
                    </w:rPr>
                    <w:t>动静脉穿刺针</w:t>
                  </w:r>
                </w:p>
              </w:tc>
              <w:tc>
                <w:tcPr>
                  <w:tcW w:w="1012" w:type="pct"/>
                  <w:tcBorders>
                    <w:tl2br w:val="nil"/>
                    <w:tr2bl w:val="nil"/>
                  </w:tcBorders>
                  <w:vAlign w:val="center"/>
                </w:tcPr>
                <w:p w14:paraId="3CC4936C">
                  <w:pPr>
                    <w:jc w:val="center"/>
                  </w:pPr>
                  <w:r>
                    <w:rPr>
                      <w:rFonts w:hint="eastAsia"/>
                    </w:rPr>
                    <w:t>300支</w:t>
                  </w:r>
                </w:p>
              </w:tc>
              <w:tc>
                <w:tcPr>
                  <w:tcW w:w="919" w:type="pct"/>
                  <w:tcBorders>
                    <w:tl2br w:val="nil"/>
                    <w:tr2bl w:val="nil"/>
                  </w:tcBorders>
                  <w:vAlign w:val="center"/>
                </w:tcPr>
                <w:p w14:paraId="5C587B29">
                  <w:pPr>
                    <w:jc w:val="center"/>
                  </w:pPr>
                  <w:r>
                    <w:rPr>
                      <w:rFonts w:hint="eastAsia"/>
                    </w:rPr>
                    <w:t>外购</w:t>
                  </w:r>
                </w:p>
              </w:tc>
              <w:tc>
                <w:tcPr>
                  <w:tcW w:w="614" w:type="pct"/>
                  <w:tcBorders>
                    <w:tl2br w:val="nil"/>
                    <w:tr2bl w:val="nil"/>
                  </w:tcBorders>
                  <w:vAlign w:val="center"/>
                </w:tcPr>
                <w:p w14:paraId="4979C76F">
                  <w:pPr>
                    <w:jc w:val="center"/>
                  </w:pPr>
                  <w:r>
                    <w:rPr>
                      <w:rFonts w:hint="eastAsia"/>
                    </w:rPr>
                    <w:t>库房</w:t>
                  </w:r>
                </w:p>
              </w:tc>
              <w:tc>
                <w:tcPr>
                  <w:tcW w:w="226" w:type="pct"/>
                  <w:vMerge w:val="continue"/>
                  <w:tcBorders>
                    <w:tl2br w:val="nil"/>
                    <w:tr2bl w:val="nil"/>
                  </w:tcBorders>
                  <w:vAlign w:val="center"/>
                </w:tcPr>
                <w:p w14:paraId="5FE4CA9C">
                  <w:pPr>
                    <w:jc w:val="center"/>
                  </w:pPr>
                </w:p>
              </w:tc>
            </w:tr>
            <w:tr w14:paraId="7942C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427BF5D2">
                  <w:pPr>
                    <w:jc w:val="center"/>
                    <w:rPr>
                      <w:kern w:val="0"/>
                      <w:lang w:val="zh-CN"/>
                    </w:rPr>
                  </w:pPr>
                </w:p>
              </w:tc>
              <w:tc>
                <w:tcPr>
                  <w:tcW w:w="1482" w:type="pct"/>
                  <w:tcBorders>
                    <w:tl2br w:val="nil"/>
                    <w:tr2bl w:val="nil"/>
                  </w:tcBorders>
                  <w:vAlign w:val="center"/>
                </w:tcPr>
                <w:p w14:paraId="289258C0">
                  <w:pPr>
                    <w:jc w:val="center"/>
                    <w:rPr>
                      <w:lang w:val="zh-CN"/>
                    </w:rPr>
                  </w:pPr>
                  <w:r>
                    <w:rPr>
                      <w:rFonts w:hint="eastAsia"/>
                      <w:lang w:val="zh-CN"/>
                    </w:rPr>
                    <w:t>一次性电极贴</w:t>
                  </w:r>
                </w:p>
              </w:tc>
              <w:tc>
                <w:tcPr>
                  <w:tcW w:w="1012" w:type="pct"/>
                  <w:tcBorders>
                    <w:tl2br w:val="nil"/>
                    <w:tr2bl w:val="nil"/>
                  </w:tcBorders>
                  <w:vAlign w:val="center"/>
                </w:tcPr>
                <w:p w14:paraId="116380F7">
                  <w:pPr>
                    <w:jc w:val="center"/>
                  </w:pPr>
                  <w:r>
                    <w:rPr>
                      <w:rFonts w:hint="eastAsia"/>
                    </w:rPr>
                    <w:t>1000贴</w:t>
                  </w:r>
                </w:p>
              </w:tc>
              <w:tc>
                <w:tcPr>
                  <w:tcW w:w="919" w:type="pct"/>
                  <w:tcBorders>
                    <w:tl2br w:val="nil"/>
                    <w:tr2bl w:val="nil"/>
                  </w:tcBorders>
                  <w:vAlign w:val="center"/>
                </w:tcPr>
                <w:p w14:paraId="31573496">
                  <w:pPr>
                    <w:jc w:val="center"/>
                  </w:pPr>
                  <w:r>
                    <w:rPr>
                      <w:rFonts w:hint="eastAsia"/>
                    </w:rPr>
                    <w:t>外购</w:t>
                  </w:r>
                </w:p>
              </w:tc>
              <w:tc>
                <w:tcPr>
                  <w:tcW w:w="614" w:type="pct"/>
                  <w:tcBorders>
                    <w:tl2br w:val="nil"/>
                    <w:tr2bl w:val="nil"/>
                  </w:tcBorders>
                  <w:vAlign w:val="center"/>
                </w:tcPr>
                <w:p w14:paraId="79892273">
                  <w:pPr>
                    <w:jc w:val="center"/>
                  </w:pPr>
                  <w:r>
                    <w:rPr>
                      <w:rFonts w:hint="eastAsia"/>
                    </w:rPr>
                    <w:t>库房</w:t>
                  </w:r>
                </w:p>
              </w:tc>
              <w:tc>
                <w:tcPr>
                  <w:tcW w:w="226" w:type="pct"/>
                  <w:vMerge w:val="continue"/>
                  <w:tcBorders>
                    <w:tl2br w:val="nil"/>
                    <w:tr2bl w:val="nil"/>
                  </w:tcBorders>
                  <w:vAlign w:val="center"/>
                </w:tcPr>
                <w:p w14:paraId="1CFB8C51">
                  <w:pPr>
                    <w:jc w:val="center"/>
                  </w:pPr>
                </w:p>
              </w:tc>
            </w:tr>
            <w:tr w14:paraId="46755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10E701CC">
                  <w:pPr>
                    <w:jc w:val="center"/>
                  </w:pPr>
                </w:p>
              </w:tc>
              <w:tc>
                <w:tcPr>
                  <w:tcW w:w="1482" w:type="pct"/>
                  <w:tcBorders>
                    <w:tl2br w:val="nil"/>
                    <w:tr2bl w:val="nil"/>
                  </w:tcBorders>
                  <w:vAlign w:val="center"/>
                </w:tcPr>
                <w:p w14:paraId="093CAB48">
                  <w:pPr>
                    <w:jc w:val="center"/>
                  </w:pPr>
                  <w:r>
                    <w:rPr>
                      <w:rFonts w:hint="eastAsia"/>
                    </w:rPr>
                    <w:t>鼻氧管</w:t>
                  </w:r>
                </w:p>
              </w:tc>
              <w:tc>
                <w:tcPr>
                  <w:tcW w:w="1012" w:type="pct"/>
                  <w:tcBorders>
                    <w:tl2br w:val="nil"/>
                    <w:tr2bl w:val="nil"/>
                  </w:tcBorders>
                  <w:vAlign w:val="center"/>
                </w:tcPr>
                <w:p w14:paraId="77839729">
                  <w:pPr>
                    <w:jc w:val="center"/>
                  </w:pPr>
                  <w:r>
                    <w:rPr>
                      <w:rFonts w:hint="eastAsia"/>
                    </w:rPr>
                    <w:t>200根</w:t>
                  </w:r>
                </w:p>
              </w:tc>
              <w:tc>
                <w:tcPr>
                  <w:tcW w:w="919" w:type="pct"/>
                  <w:tcBorders>
                    <w:tl2br w:val="nil"/>
                    <w:tr2bl w:val="nil"/>
                  </w:tcBorders>
                  <w:vAlign w:val="center"/>
                </w:tcPr>
                <w:p w14:paraId="0E4AEDF8">
                  <w:pPr>
                    <w:jc w:val="center"/>
                  </w:pPr>
                  <w:r>
                    <w:rPr>
                      <w:rFonts w:hint="eastAsia"/>
                    </w:rPr>
                    <w:t>外购</w:t>
                  </w:r>
                </w:p>
              </w:tc>
              <w:tc>
                <w:tcPr>
                  <w:tcW w:w="614" w:type="pct"/>
                  <w:tcBorders>
                    <w:tl2br w:val="nil"/>
                    <w:tr2bl w:val="nil"/>
                  </w:tcBorders>
                  <w:vAlign w:val="center"/>
                </w:tcPr>
                <w:p w14:paraId="6B97F020">
                  <w:pPr>
                    <w:jc w:val="center"/>
                  </w:pPr>
                  <w:r>
                    <w:rPr>
                      <w:rFonts w:hint="eastAsia"/>
                    </w:rPr>
                    <w:t>库房</w:t>
                  </w:r>
                </w:p>
              </w:tc>
              <w:tc>
                <w:tcPr>
                  <w:tcW w:w="226" w:type="pct"/>
                  <w:vMerge w:val="continue"/>
                  <w:tcBorders>
                    <w:tl2br w:val="nil"/>
                    <w:tr2bl w:val="nil"/>
                  </w:tcBorders>
                  <w:vAlign w:val="center"/>
                </w:tcPr>
                <w:p w14:paraId="3EE3DBD5">
                  <w:pPr>
                    <w:jc w:val="center"/>
                  </w:pPr>
                </w:p>
              </w:tc>
            </w:tr>
            <w:tr w14:paraId="6DA7B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1F7A2B04">
                  <w:pPr>
                    <w:jc w:val="center"/>
                  </w:pPr>
                </w:p>
              </w:tc>
              <w:tc>
                <w:tcPr>
                  <w:tcW w:w="1482" w:type="pct"/>
                  <w:tcBorders>
                    <w:tl2br w:val="nil"/>
                    <w:tr2bl w:val="nil"/>
                  </w:tcBorders>
                  <w:vAlign w:val="center"/>
                </w:tcPr>
                <w:p w14:paraId="2CD10029">
                  <w:pPr>
                    <w:jc w:val="center"/>
                  </w:pPr>
                  <w:r>
                    <w:rPr>
                      <w:rFonts w:hint="eastAsia"/>
                    </w:rPr>
                    <w:t>一次性吸痰包</w:t>
                  </w:r>
                </w:p>
              </w:tc>
              <w:tc>
                <w:tcPr>
                  <w:tcW w:w="1012" w:type="pct"/>
                  <w:tcBorders>
                    <w:tl2br w:val="nil"/>
                    <w:tr2bl w:val="nil"/>
                  </w:tcBorders>
                  <w:vAlign w:val="center"/>
                </w:tcPr>
                <w:p w14:paraId="68FFF836">
                  <w:pPr>
                    <w:jc w:val="center"/>
                  </w:pPr>
                  <w:r>
                    <w:rPr>
                      <w:rFonts w:hint="eastAsia"/>
                    </w:rPr>
                    <w:t>100套</w:t>
                  </w:r>
                </w:p>
              </w:tc>
              <w:tc>
                <w:tcPr>
                  <w:tcW w:w="919" w:type="pct"/>
                  <w:tcBorders>
                    <w:tl2br w:val="nil"/>
                    <w:tr2bl w:val="nil"/>
                  </w:tcBorders>
                  <w:vAlign w:val="center"/>
                </w:tcPr>
                <w:p w14:paraId="3EE22F38">
                  <w:pPr>
                    <w:jc w:val="center"/>
                  </w:pPr>
                  <w:r>
                    <w:rPr>
                      <w:rFonts w:hint="eastAsia"/>
                    </w:rPr>
                    <w:t>外购</w:t>
                  </w:r>
                </w:p>
              </w:tc>
              <w:tc>
                <w:tcPr>
                  <w:tcW w:w="614" w:type="pct"/>
                  <w:tcBorders>
                    <w:tl2br w:val="nil"/>
                    <w:tr2bl w:val="nil"/>
                  </w:tcBorders>
                  <w:vAlign w:val="center"/>
                </w:tcPr>
                <w:p w14:paraId="063A5E00">
                  <w:pPr>
                    <w:jc w:val="center"/>
                  </w:pPr>
                  <w:r>
                    <w:rPr>
                      <w:rFonts w:hint="eastAsia"/>
                    </w:rPr>
                    <w:t>库房</w:t>
                  </w:r>
                </w:p>
              </w:tc>
              <w:tc>
                <w:tcPr>
                  <w:tcW w:w="226" w:type="pct"/>
                  <w:vMerge w:val="continue"/>
                  <w:tcBorders>
                    <w:tl2br w:val="nil"/>
                    <w:tr2bl w:val="nil"/>
                  </w:tcBorders>
                  <w:vAlign w:val="center"/>
                </w:tcPr>
                <w:p w14:paraId="0834D3A3">
                  <w:pPr>
                    <w:jc w:val="center"/>
                  </w:pPr>
                </w:p>
              </w:tc>
            </w:tr>
            <w:tr w14:paraId="5A920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56741C31">
                  <w:pPr>
                    <w:jc w:val="center"/>
                  </w:pPr>
                </w:p>
              </w:tc>
              <w:tc>
                <w:tcPr>
                  <w:tcW w:w="1482" w:type="pct"/>
                  <w:tcBorders>
                    <w:tl2br w:val="nil"/>
                    <w:tr2bl w:val="nil"/>
                  </w:tcBorders>
                  <w:vAlign w:val="center"/>
                </w:tcPr>
                <w:p w14:paraId="3F6A5B3E">
                  <w:pPr>
                    <w:jc w:val="center"/>
                  </w:pPr>
                  <w:r>
                    <w:rPr>
                      <w:rFonts w:hint="eastAsia"/>
                    </w:rPr>
                    <w:t>宽绷带</w:t>
                  </w:r>
                </w:p>
              </w:tc>
              <w:tc>
                <w:tcPr>
                  <w:tcW w:w="1012" w:type="pct"/>
                  <w:tcBorders>
                    <w:tl2br w:val="nil"/>
                    <w:tr2bl w:val="nil"/>
                  </w:tcBorders>
                  <w:vAlign w:val="center"/>
                </w:tcPr>
                <w:p w14:paraId="6E3B3263">
                  <w:pPr>
                    <w:jc w:val="center"/>
                  </w:pPr>
                  <w:r>
                    <w:rPr>
                      <w:rFonts w:hint="eastAsia"/>
                    </w:rPr>
                    <w:t>500卷</w:t>
                  </w:r>
                </w:p>
              </w:tc>
              <w:tc>
                <w:tcPr>
                  <w:tcW w:w="919" w:type="pct"/>
                  <w:tcBorders>
                    <w:tl2br w:val="nil"/>
                    <w:tr2bl w:val="nil"/>
                  </w:tcBorders>
                  <w:vAlign w:val="center"/>
                </w:tcPr>
                <w:p w14:paraId="7008EA23">
                  <w:pPr>
                    <w:jc w:val="center"/>
                  </w:pPr>
                  <w:r>
                    <w:rPr>
                      <w:rFonts w:hint="eastAsia"/>
                    </w:rPr>
                    <w:t>外购</w:t>
                  </w:r>
                </w:p>
              </w:tc>
              <w:tc>
                <w:tcPr>
                  <w:tcW w:w="614" w:type="pct"/>
                  <w:tcBorders>
                    <w:tl2br w:val="nil"/>
                    <w:tr2bl w:val="nil"/>
                  </w:tcBorders>
                  <w:vAlign w:val="center"/>
                </w:tcPr>
                <w:p w14:paraId="210B2964">
                  <w:pPr>
                    <w:jc w:val="center"/>
                  </w:pPr>
                  <w:r>
                    <w:rPr>
                      <w:rFonts w:hint="eastAsia"/>
                    </w:rPr>
                    <w:t>库房</w:t>
                  </w:r>
                </w:p>
              </w:tc>
              <w:tc>
                <w:tcPr>
                  <w:tcW w:w="226" w:type="pct"/>
                  <w:vMerge w:val="continue"/>
                  <w:tcBorders>
                    <w:tl2br w:val="nil"/>
                    <w:tr2bl w:val="nil"/>
                  </w:tcBorders>
                  <w:vAlign w:val="center"/>
                </w:tcPr>
                <w:p w14:paraId="443FB1BA">
                  <w:pPr>
                    <w:jc w:val="center"/>
                  </w:pPr>
                </w:p>
              </w:tc>
            </w:tr>
            <w:tr w14:paraId="6945A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2E7A226A">
                  <w:pPr>
                    <w:jc w:val="center"/>
                  </w:pPr>
                </w:p>
              </w:tc>
              <w:tc>
                <w:tcPr>
                  <w:tcW w:w="1482" w:type="pct"/>
                  <w:tcBorders>
                    <w:tl2br w:val="nil"/>
                    <w:tr2bl w:val="nil"/>
                  </w:tcBorders>
                  <w:vAlign w:val="center"/>
                </w:tcPr>
                <w:p w14:paraId="1E8701E5">
                  <w:pPr>
                    <w:jc w:val="center"/>
                  </w:pPr>
                  <w:r>
                    <w:rPr>
                      <w:rFonts w:hint="eastAsia"/>
                    </w:rPr>
                    <w:t>各类药品</w:t>
                  </w:r>
                </w:p>
              </w:tc>
              <w:tc>
                <w:tcPr>
                  <w:tcW w:w="1012" w:type="pct"/>
                  <w:tcBorders>
                    <w:tl2br w:val="nil"/>
                    <w:tr2bl w:val="nil"/>
                  </w:tcBorders>
                  <w:vAlign w:val="center"/>
                </w:tcPr>
                <w:p w14:paraId="3C60694F">
                  <w:pPr>
                    <w:jc w:val="center"/>
                  </w:pPr>
                  <w:r>
                    <w:rPr>
                      <w:rFonts w:hint="eastAsia"/>
                    </w:rPr>
                    <w:t>若干</w:t>
                  </w:r>
                </w:p>
              </w:tc>
              <w:tc>
                <w:tcPr>
                  <w:tcW w:w="919" w:type="pct"/>
                  <w:tcBorders>
                    <w:tl2br w:val="nil"/>
                    <w:tr2bl w:val="nil"/>
                  </w:tcBorders>
                  <w:vAlign w:val="center"/>
                </w:tcPr>
                <w:p w14:paraId="59B4E19A">
                  <w:pPr>
                    <w:jc w:val="center"/>
                  </w:pPr>
                  <w:r>
                    <w:rPr>
                      <w:rFonts w:hint="eastAsia"/>
                    </w:rPr>
                    <w:t>外购</w:t>
                  </w:r>
                </w:p>
              </w:tc>
              <w:tc>
                <w:tcPr>
                  <w:tcW w:w="614" w:type="pct"/>
                  <w:tcBorders>
                    <w:tl2br w:val="nil"/>
                    <w:tr2bl w:val="nil"/>
                  </w:tcBorders>
                  <w:vAlign w:val="center"/>
                </w:tcPr>
                <w:p w14:paraId="0B3FABFD">
                  <w:pPr>
                    <w:jc w:val="center"/>
                  </w:pPr>
                  <w:r>
                    <w:rPr>
                      <w:rFonts w:hint="eastAsia"/>
                    </w:rPr>
                    <w:t>药房</w:t>
                  </w:r>
                </w:p>
              </w:tc>
              <w:tc>
                <w:tcPr>
                  <w:tcW w:w="226" w:type="pct"/>
                  <w:vMerge w:val="continue"/>
                  <w:tcBorders>
                    <w:tl2br w:val="nil"/>
                    <w:tr2bl w:val="nil"/>
                  </w:tcBorders>
                  <w:vAlign w:val="center"/>
                </w:tcPr>
                <w:p w14:paraId="24B5B0A0">
                  <w:pPr>
                    <w:jc w:val="center"/>
                  </w:pPr>
                </w:p>
              </w:tc>
            </w:tr>
            <w:tr w14:paraId="6C547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30489CC5">
                  <w:pPr>
                    <w:jc w:val="center"/>
                  </w:pPr>
                </w:p>
              </w:tc>
              <w:tc>
                <w:tcPr>
                  <w:tcW w:w="1482" w:type="pct"/>
                  <w:tcBorders>
                    <w:tl2br w:val="nil"/>
                    <w:tr2bl w:val="nil"/>
                  </w:tcBorders>
                  <w:vAlign w:val="center"/>
                </w:tcPr>
                <w:p w14:paraId="6CB311B2">
                  <w:pPr>
                    <w:jc w:val="center"/>
                  </w:pPr>
                  <w:r>
                    <w:rPr>
                      <w:rFonts w:hint="eastAsia"/>
                    </w:rPr>
                    <w:t>输液贴</w:t>
                  </w:r>
                </w:p>
              </w:tc>
              <w:tc>
                <w:tcPr>
                  <w:tcW w:w="1012" w:type="pct"/>
                  <w:tcBorders>
                    <w:tl2br w:val="nil"/>
                    <w:tr2bl w:val="nil"/>
                  </w:tcBorders>
                  <w:vAlign w:val="center"/>
                </w:tcPr>
                <w:p w14:paraId="2CBADB97">
                  <w:pPr>
                    <w:jc w:val="center"/>
                  </w:pPr>
                  <w:r>
                    <w:rPr>
                      <w:rFonts w:hint="eastAsia"/>
                    </w:rPr>
                    <w:t>300贴</w:t>
                  </w:r>
                </w:p>
              </w:tc>
              <w:tc>
                <w:tcPr>
                  <w:tcW w:w="919" w:type="pct"/>
                  <w:tcBorders>
                    <w:tl2br w:val="nil"/>
                    <w:tr2bl w:val="nil"/>
                  </w:tcBorders>
                  <w:vAlign w:val="center"/>
                </w:tcPr>
                <w:p w14:paraId="17870880">
                  <w:pPr>
                    <w:jc w:val="center"/>
                  </w:pPr>
                  <w:r>
                    <w:rPr>
                      <w:rFonts w:hint="eastAsia"/>
                    </w:rPr>
                    <w:t>外购</w:t>
                  </w:r>
                </w:p>
              </w:tc>
              <w:tc>
                <w:tcPr>
                  <w:tcW w:w="614" w:type="pct"/>
                  <w:tcBorders>
                    <w:tl2br w:val="nil"/>
                    <w:tr2bl w:val="nil"/>
                  </w:tcBorders>
                  <w:vAlign w:val="center"/>
                </w:tcPr>
                <w:p w14:paraId="325DC568">
                  <w:pPr>
                    <w:jc w:val="center"/>
                  </w:pPr>
                  <w:r>
                    <w:rPr>
                      <w:rFonts w:hint="eastAsia"/>
                    </w:rPr>
                    <w:t>库房</w:t>
                  </w:r>
                </w:p>
              </w:tc>
              <w:tc>
                <w:tcPr>
                  <w:tcW w:w="226" w:type="pct"/>
                  <w:vMerge w:val="continue"/>
                  <w:tcBorders>
                    <w:tl2br w:val="nil"/>
                    <w:tr2bl w:val="nil"/>
                  </w:tcBorders>
                  <w:vAlign w:val="center"/>
                </w:tcPr>
                <w:p w14:paraId="526AF561">
                  <w:pPr>
                    <w:jc w:val="center"/>
                  </w:pPr>
                </w:p>
              </w:tc>
            </w:tr>
            <w:tr w14:paraId="0CBBC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7FAC611C">
                  <w:pPr>
                    <w:jc w:val="center"/>
                  </w:pPr>
                </w:p>
              </w:tc>
              <w:tc>
                <w:tcPr>
                  <w:tcW w:w="1482" w:type="pct"/>
                  <w:tcBorders>
                    <w:tl2br w:val="nil"/>
                    <w:tr2bl w:val="nil"/>
                  </w:tcBorders>
                  <w:vAlign w:val="center"/>
                </w:tcPr>
                <w:p w14:paraId="1316785E">
                  <w:pPr>
                    <w:jc w:val="center"/>
                  </w:pPr>
                  <w:r>
                    <w:rPr>
                      <w:rFonts w:hint="eastAsia"/>
                    </w:rPr>
                    <w:t>酒精</w:t>
                  </w:r>
                </w:p>
              </w:tc>
              <w:tc>
                <w:tcPr>
                  <w:tcW w:w="1012" w:type="pct"/>
                  <w:tcBorders>
                    <w:tl2br w:val="nil"/>
                    <w:tr2bl w:val="nil"/>
                  </w:tcBorders>
                  <w:vAlign w:val="center"/>
                </w:tcPr>
                <w:p w14:paraId="6014781A">
                  <w:pPr>
                    <w:jc w:val="center"/>
                  </w:pPr>
                  <w:r>
                    <w:rPr>
                      <w:rFonts w:hint="eastAsia"/>
                    </w:rPr>
                    <w:t>120升</w:t>
                  </w:r>
                </w:p>
              </w:tc>
              <w:tc>
                <w:tcPr>
                  <w:tcW w:w="919" w:type="pct"/>
                  <w:tcBorders>
                    <w:tl2br w:val="nil"/>
                    <w:tr2bl w:val="nil"/>
                  </w:tcBorders>
                  <w:vAlign w:val="center"/>
                </w:tcPr>
                <w:p w14:paraId="0C506201">
                  <w:pPr>
                    <w:jc w:val="center"/>
                  </w:pPr>
                  <w:r>
                    <w:rPr>
                      <w:rFonts w:hint="eastAsia"/>
                    </w:rPr>
                    <w:t>外购</w:t>
                  </w:r>
                </w:p>
              </w:tc>
              <w:tc>
                <w:tcPr>
                  <w:tcW w:w="614" w:type="pct"/>
                  <w:tcBorders>
                    <w:tl2br w:val="nil"/>
                    <w:tr2bl w:val="nil"/>
                  </w:tcBorders>
                  <w:vAlign w:val="center"/>
                </w:tcPr>
                <w:p w14:paraId="02CC6AB4">
                  <w:pPr>
                    <w:jc w:val="center"/>
                  </w:pPr>
                  <w:r>
                    <w:rPr>
                      <w:rFonts w:hint="eastAsia"/>
                    </w:rPr>
                    <w:t>库房</w:t>
                  </w:r>
                </w:p>
              </w:tc>
              <w:tc>
                <w:tcPr>
                  <w:tcW w:w="226" w:type="pct"/>
                  <w:vMerge w:val="continue"/>
                  <w:tcBorders>
                    <w:tl2br w:val="nil"/>
                    <w:tr2bl w:val="nil"/>
                  </w:tcBorders>
                  <w:vAlign w:val="center"/>
                </w:tcPr>
                <w:p w14:paraId="7726208D">
                  <w:pPr>
                    <w:jc w:val="center"/>
                  </w:pPr>
                </w:p>
              </w:tc>
            </w:tr>
            <w:tr w14:paraId="2E5A8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1A825511">
                  <w:pPr>
                    <w:jc w:val="center"/>
                    <w:rPr>
                      <w:kern w:val="0"/>
                    </w:rPr>
                  </w:pPr>
                </w:p>
              </w:tc>
              <w:tc>
                <w:tcPr>
                  <w:tcW w:w="1482" w:type="pct"/>
                  <w:tcBorders>
                    <w:tl2br w:val="nil"/>
                    <w:tr2bl w:val="nil"/>
                  </w:tcBorders>
                  <w:vAlign w:val="center"/>
                </w:tcPr>
                <w:p w14:paraId="15063782">
                  <w:pPr>
                    <w:jc w:val="center"/>
                    <w:rPr>
                      <w:kern w:val="0"/>
                    </w:rPr>
                  </w:pPr>
                  <w:r>
                    <w:rPr>
                      <w:rFonts w:hint="eastAsia"/>
                      <w:kern w:val="0"/>
                    </w:rPr>
                    <w:t>84消毒液</w:t>
                  </w:r>
                </w:p>
              </w:tc>
              <w:tc>
                <w:tcPr>
                  <w:tcW w:w="1012" w:type="pct"/>
                  <w:tcBorders>
                    <w:tl2br w:val="nil"/>
                    <w:tr2bl w:val="nil"/>
                  </w:tcBorders>
                  <w:vAlign w:val="center"/>
                </w:tcPr>
                <w:p w14:paraId="2A8C30E6">
                  <w:pPr>
                    <w:jc w:val="center"/>
                  </w:pPr>
                  <w:r>
                    <w:rPr>
                      <w:rFonts w:hint="eastAsia"/>
                    </w:rPr>
                    <w:t>2000升</w:t>
                  </w:r>
                </w:p>
              </w:tc>
              <w:tc>
                <w:tcPr>
                  <w:tcW w:w="919" w:type="pct"/>
                  <w:tcBorders>
                    <w:tl2br w:val="nil"/>
                    <w:tr2bl w:val="nil"/>
                  </w:tcBorders>
                  <w:vAlign w:val="center"/>
                </w:tcPr>
                <w:p w14:paraId="5F3CA3A5">
                  <w:pPr>
                    <w:jc w:val="center"/>
                  </w:pPr>
                  <w:r>
                    <w:rPr>
                      <w:rFonts w:hint="eastAsia"/>
                    </w:rPr>
                    <w:t>外购</w:t>
                  </w:r>
                </w:p>
              </w:tc>
              <w:tc>
                <w:tcPr>
                  <w:tcW w:w="614" w:type="pct"/>
                  <w:tcBorders>
                    <w:tl2br w:val="nil"/>
                    <w:tr2bl w:val="nil"/>
                  </w:tcBorders>
                  <w:vAlign w:val="center"/>
                </w:tcPr>
                <w:p w14:paraId="345EE4B5">
                  <w:pPr>
                    <w:jc w:val="center"/>
                  </w:pPr>
                  <w:r>
                    <w:rPr>
                      <w:rFonts w:hint="eastAsia"/>
                    </w:rPr>
                    <w:t>库房</w:t>
                  </w:r>
                </w:p>
              </w:tc>
              <w:tc>
                <w:tcPr>
                  <w:tcW w:w="226" w:type="pct"/>
                  <w:vMerge w:val="continue"/>
                  <w:tcBorders>
                    <w:tl2br w:val="nil"/>
                    <w:tr2bl w:val="nil"/>
                  </w:tcBorders>
                  <w:vAlign w:val="center"/>
                </w:tcPr>
                <w:p w14:paraId="3778BF95">
                  <w:pPr>
                    <w:jc w:val="center"/>
                  </w:pPr>
                </w:p>
              </w:tc>
            </w:tr>
            <w:tr w14:paraId="42BED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626FD7A9">
                  <w:pPr>
                    <w:jc w:val="center"/>
                    <w:rPr>
                      <w:kern w:val="0"/>
                    </w:rPr>
                  </w:pPr>
                </w:p>
              </w:tc>
              <w:tc>
                <w:tcPr>
                  <w:tcW w:w="1482" w:type="pct"/>
                  <w:tcBorders>
                    <w:tl2br w:val="nil"/>
                    <w:tr2bl w:val="nil"/>
                  </w:tcBorders>
                  <w:vAlign w:val="center"/>
                </w:tcPr>
                <w:p w14:paraId="77B169A6">
                  <w:pPr>
                    <w:jc w:val="center"/>
                    <w:rPr>
                      <w:kern w:val="0"/>
                    </w:rPr>
                  </w:pPr>
                  <w:r>
                    <w:rPr>
                      <w:rFonts w:hint="eastAsia"/>
                      <w:kern w:val="0"/>
                    </w:rPr>
                    <w:t>凡士林纱布</w:t>
                  </w:r>
                </w:p>
              </w:tc>
              <w:tc>
                <w:tcPr>
                  <w:tcW w:w="1012" w:type="pct"/>
                  <w:tcBorders>
                    <w:tl2br w:val="nil"/>
                    <w:tr2bl w:val="nil"/>
                  </w:tcBorders>
                  <w:vAlign w:val="center"/>
                </w:tcPr>
                <w:p w14:paraId="6C2EFDC9">
                  <w:pPr>
                    <w:jc w:val="center"/>
                  </w:pPr>
                  <w:r>
                    <w:rPr>
                      <w:rFonts w:hint="eastAsia"/>
                    </w:rPr>
                    <w:t>500卷</w:t>
                  </w:r>
                </w:p>
              </w:tc>
              <w:tc>
                <w:tcPr>
                  <w:tcW w:w="919" w:type="pct"/>
                  <w:tcBorders>
                    <w:tl2br w:val="nil"/>
                    <w:tr2bl w:val="nil"/>
                  </w:tcBorders>
                  <w:vAlign w:val="center"/>
                </w:tcPr>
                <w:p w14:paraId="61CB0B38">
                  <w:pPr>
                    <w:jc w:val="center"/>
                  </w:pPr>
                  <w:r>
                    <w:rPr>
                      <w:rFonts w:hint="eastAsia"/>
                    </w:rPr>
                    <w:t>外购</w:t>
                  </w:r>
                </w:p>
              </w:tc>
              <w:tc>
                <w:tcPr>
                  <w:tcW w:w="614" w:type="pct"/>
                  <w:tcBorders>
                    <w:tl2br w:val="nil"/>
                    <w:tr2bl w:val="nil"/>
                  </w:tcBorders>
                  <w:vAlign w:val="center"/>
                </w:tcPr>
                <w:p w14:paraId="457A3F48">
                  <w:pPr>
                    <w:jc w:val="center"/>
                  </w:pPr>
                  <w:r>
                    <w:rPr>
                      <w:rFonts w:hint="eastAsia"/>
                    </w:rPr>
                    <w:t>库房</w:t>
                  </w:r>
                </w:p>
              </w:tc>
              <w:tc>
                <w:tcPr>
                  <w:tcW w:w="226" w:type="pct"/>
                  <w:vMerge w:val="continue"/>
                  <w:tcBorders>
                    <w:tl2br w:val="nil"/>
                    <w:tr2bl w:val="nil"/>
                  </w:tcBorders>
                  <w:vAlign w:val="center"/>
                </w:tcPr>
                <w:p w14:paraId="7DDA821F">
                  <w:pPr>
                    <w:jc w:val="center"/>
                  </w:pPr>
                </w:p>
              </w:tc>
            </w:tr>
            <w:tr w14:paraId="11891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2F72EB46">
                  <w:pPr>
                    <w:jc w:val="center"/>
                    <w:rPr>
                      <w:kern w:val="0"/>
                    </w:rPr>
                  </w:pPr>
                </w:p>
              </w:tc>
              <w:tc>
                <w:tcPr>
                  <w:tcW w:w="1482" w:type="pct"/>
                  <w:tcBorders>
                    <w:tl2br w:val="nil"/>
                    <w:tr2bl w:val="nil"/>
                  </w:tcBorders>
                  <w:shd w:val="clear" w:color="auto" w:fill="auto"/>
                  <w:vAlign w:val="center"/>
                </w:tcPr>
                <w:p w14:paraId="66B89945">
                  <w:pPr>
                    <w:jc w:val="center"/>
                    <w:rPr>
                      <w:kern w:val="0"/>
                    </w:rPr>
                  </w:pPr>
                  <w:r>
                    <w:rPr>
                      <w:rFonts w:hint="eastAsia"/>
                      <w:kern w:val="0"/>
                    </w:rPr>
                    <w:t>棉签</w:t>
                  </w:r>
                </w:p>
              </w:tc>
              <w:tc>
                <w:tcPr>
                  <w:tcW w:w="1012" w:type="pct"/>
                  <w:tcBorders>
                    <w:tl2br w:val="nil"/>
                    <w:tr2bl w:val="nil"/>
                  </w:tcBorders>
                  <w:shd w:val="clear" w:color="auto" w:fill="auto"/>
                  <w:vAlign w:val="center"/>
                </w:tcPr>
                <w:p w14:paraId="52DCD8C9">
                  <w:pPr>
                    <w:jc w:val="center"/>
                  </w:pPr>
                  <w:r>
                    <w:rPr>
                      <w:rFonts w:hint="eastAsia"/>
                    </w:rPr>
                    <w:t>3000包</w:t>
                  </w:r>
                </w:p>
              </w:tc>
              <w:tc>
                <w:tcPr>
                  <w:tcW w:w="919" w:type="pct"/>
                  <w:tcBorders>
                    <w:tl2br w:val="nil"/>
                    <w:tr2bl w:val="nil"/>
                  </w:tcBorders>
                  <w:shd w:val="clear" w:color="auto" w:fill="auto"/>
                  <w:vAlign w:val="center"/>
                </w:tcPr>
                <w:p w14:paraId="7D75865C">
                  <w:pPr>
                    <w:jc w:val="center"/>
                  </w:pPr>
                  <w:r>
                    <w:rPr>
                      <w:rFonts w:hint="eastAsia"/>
                    </w:rPr>
                    <w:t>外购</w:t>
                  </w:r>
                </w:p>
              </w:tc>
              <w:tc>
                <w:tcPr>
                  <w:tcW w:w="614" w:type="pct"/>
                  <w:tcBorders>
                    <w:tl2br w:val="nil"/>
                    <w:tr2bl w:val="nil"/>
                  </w:tcBorders>
                  <w:shd w:val="clear" w:color="auto" w:fill="auto"/>
                  <w:vAlign w:val="center"/>
                </w:tcPr>
                <w:p w14:paraId="20B0747B">
                  <w:pPr>
                    <w:jc w:val="center"/>
                  </w:pPr>
                  <w:r>
                    <w:rPr>
                      <w:rFonts w:hint="eastAsia"/>
                    </w:rPr>
                    <w:t>库房</w:t>
                  </w:r>
                </w:p>
              </w:tc>
              <w:tc>
                <w:tcPr>
                  <w:tcW w:w="226" w:type="pct"/>
                  <w:vMerge w:val="continue"/>
                  <w:tcBorders>
                    <w:tl2br w:val="nil"/>
                    <w:tr2bl w:val="nil"/>
                  </w:tcBorders>
                  <w:vAlign w:val="center"/>
                </w:tcPr>
                <w:p w14:paraId="2C714C4E">
                  <w:pPr>
                    <w:jc w:val="center"/>
                  </w:pPr>
                </w:p>
              </w:tc>
            </w:tr>
            <w:tr w14:paraId="05926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53B5D319">
                  <w:pPr>
                    <w:jc w:val="center"/>
                    <w:rPr>
                      <w:kern w:val="0"/>
                    </w:rPr>
                  </w:pPr>
                </w:p>
              </w:tc>
              <w:tc>
                <w:tcPr>
                  <w:tcW w:w="1482" w:type="pct"/>
                  <w:tcBorders>
                    <w:tl2br w:val="nil"/>
                    <w:tr2bl w:val="nil"/>
                  </w:tcBorders>
                  <w:shd w:val="clear" w:color="auto" w:fill="auto"/>
                  <w:vAlign w:val="center"/>
                </w:tcPr>
                <w:p w14:paraId="01705308">
                  <w:pPr>
                    <w:jc w:val="center"/>
                    <w:rPr>
                      <w:kern w:val="0"/>
                    </w:rPr>
                  </w:pPr>
                  <w:r>
                    <w:rPr>
                      <w:rFonts w:hint="eastAsia"/>
                      <w:kern w:val="0"/>
                    </w:rPr>
                    <w:t>一次性口罩</w:t>
                  </w:r>
                </w:p>
              </w:tc>
              <w:tc>
                <w:tcPr>
                  <w:tcW w:w="1012" w:type="pct"/>
                  <w:tcBorders>
                    <w:tl2br w:val="nil"/>
                    <w:tr2bl w:val="nil"/>
                  </w:tcBorders>
                  <w:shd w:val="clear" w:color="auto" w:fill="auto"/>
                  <w:vAlign w:val="center"/>
                </w:tcPr>
                <w:p w14:paraId="4D2E116D">
                  <w:pPr>
                    <w:jc w:val="center"/>
                  </w:pPr>
                  <w:r>
                    <w:rPr>
                      <w:rFonts w:hint="eastAsia"/>
                    </w:rPr>
                    <w:t>8000个</w:t>
                  </w:r>
                </w:p>
              </w:tc>
              <w:tc>
                <w:tcPr>
                  <w:tcW w:w="919" w:type="pct"/>
                  <w:tcBorders>
                    <w:tl2br w:val="nil"/>
                    <w:tr2bl w:val="nil"/>
                  </w:tcBorders>
                  <w:shd w:val="clear" w:color="auto" w:fill="auto"/>
                  <w:vAlign w:val="center"/>
                </w:tcPr>
                <w:p w14:paraId="7B5F734A">
                  <w:pPr>
                    <w:jc w:val="center"/>
                  </w:pPr>
                  <w:r>
                    <w:rPr>
                      <w:rFonts w:hint="eastAsia"/>
                    </w:rPr>
                    <w:t>外购</w:t>
                  </w:r>
                </w:p>
              </w:tc>
              <w:tc>
                <w:tcPr>
                  <w:tcW w:w="614" w:type="pct"/>
                  <w:tcBorders>
                    <w:tl2br w:val="nil"/>
                    <w:tr2bl w:val="nil"/>
                  </w:tcBorders>
                  <w:shd w:val="clear" w:color="auto" w:fill="auto"/>
                  <w:vAlign w:val="center"/>
                </w:tcPr>
                <w:p w14:paraId="17D6CA62">
                  <w:pPr>
                    <w:jc w:val="center"/>
                  </w:pPr>
                  <w:r>
                    <w:rPr>
                      <w:rFonts w:hint="eastAsia"/>
                    </w:rPr>
                    <w:t>库房</w:t>
                  </w:r>
                </w:p>
              </w:tc>
              <w:tc>
                <w:tcPr>
                  <w:tcW w:w="226" w:type="pct"/>
                  <w:vMerge w:val="continue"/>
                  <w:tcBorders>
                    <w:tl2br w:val="nil"/>
                    <w:tr2bl w:val="nil"/>
                  </w:tcBorders>
                  <w:vAlign w:val="center"/>
                </w:tcPr>
                <w:p w14:paraId="261EC5AE">
                  <w:pPr>
                    <w:jc w:val="center"/>
                  </w:pPr>
                </w:p>
              </w:tc>
            </w:tr>
            <w:tr w14:paraId="1088C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5B9C5CB3">
                  <w:pPr>
                    <w:jc w:val="center"/>
                    <w:rPr>
                      <w:kern w:val="0"/>
                    </w:rPr>
                  </w:pPr>
                </w:p>
              </w:tc>
              <w:tc>
                <w:tcPr>
                  <w:tcW w:w="1482" w:type="pct"/>
                  <w:tcBorders>
                    <w:tl2br w:val="nil"/>
                    <w:tr2bl w:val="nil"/>
                  </w:tcBorders>
                  <w:shd w:val="clear" w:color="auto" w:fill="auto"/>
                  <w:vAlign w:val="center"/>
                </w:tcPr>
                <w:p w14:paraId="189D369E">
                  <w:pPr>
                    <w:jc w:val="center"/>
                    <w:rPr>
                      <w:kern w:val="0"/>
                    </w:rPr>
                  </w:pPr>
                  <w:r>
                    <w:rPr>
                      <w:rFonts w:hint="eastAsia"/>
                      <w:kern w:val="0"/>
                    </w:rPr>
                    <w:t>消洗灵</w:t>
                  </w:r>
                </w:p>
              </w:tc>
              <w:tc>
                <w:tcPr>
                  <w:tcW w:w="1012" w:type="pct"/>
                  <w:tcBorders>
                    <w:tl2br w:val="nil"/>
                    <w:tr2bl w:val="nil"/>
                  </w:tcBorders>
                  <w:shd w:val="clear" w:color="auto" w:fill="auto"/>
                  <w:vAlign w:val="center"/>
                </w:tcPr>
                <w:p w14:paraId="6244FAFA">
                  <w:pPr>
                    <w:jc w:val="center"/>
                  </w:pPr>
                  <w:r>
                    <w:rPr>
                      <w:rFonts w:hint="eastAsia"/>
                    </w:rPr>
                    <w:t>2000升</w:t>
                  </w:r>
                </w:p>
              </w:tc>
              <w:tc>
                <w:tcPr>
                  <w:tcW w:w="919" w:type="pct"/>
                  <w:tcBorders>
                    <w:tl2br w:val="nil"/>
                    <w:tr2bl w:val="nil"/>
                  </w:tcBorders>
                  <w:shd w:val="clear" w:color="auto" w:fill="auto"/>
                  <w:vAlign w:val="center"/>
                </w:tcPr>
                <w:p w14:paraId="0B5D2FC6">
                  <w:pPr>
                    <w:jc w:val="center"/>
                  </w:pPr>
                  <w:r>
                    <w:rPr>
                      <w:rFonts w:hint="eastAsia"/>
                    </w:rPr>
                    <w:t>外购</w:t>
                  </w:r>
                </w:p>
              </w:tc>
              <w:tc>
                <w:tcPr>
                  <w:tcW w:w="614" w:type="pct"/>
                  <w:tcBorders>
                    <w:tl2br w:val="nil"/>
                    <w:tr2bl w:val="nil"/>
                  </w:tcBorders>
                  <w:shd w:val="clear" w:color="auto" w:fill="auto"/>
                  <w:vAlign w:val="center"/>
                </w:tcPr>
                <w:p w14:paraId="10FE8870">
                  <w:pPr>
                    <w:jc w:val="center"/>
                  </w:pPr>
                  <w:r>
                    <w:rPr>
                      <w:rFonts w:hint="eastAsia"/>
                    </w:rPr>
                    <w:t>库房</w:t>
                  </w:r>
                </w:p>
              </w:tc>
              <w:tc>
                <w:tcPr>
                  <w:tcW w:w="226" w:type="pct"/>
                  <w:vMerge w:val="continue"/>
                  <w:tcBorders>
                    <w:tl2br w:val="nil"/>
                    <w:tr2bl w:val="nil"/>
                  </w:tcBorders>
                  <w:vAlign w:val="center"/>
                </w:tcPr>
                <w:p w14:paraId="0FC4EB6F">
                  <w:pPr>
                    <w:jc w:val="center"/>
                  </w:pPr>
                </w:p>
              </w:tc>
            </w:tr>
            <w:tr w14:paraId="27706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69E2D33E">
                  <w:pPr>
                    <w:jc w:val="center"/>
                    <w:rPr>
                      <w:kern w:val="0"/>
                    </w:rPr>
                  </w:pPr>
                </w:p>
              </w:tc>
              <w:tc>
                <w:tcPr>
                  <w:tcW w:w="1482" w:type="pct"/>
                  <w:tcBorders>
                    <w:tl2br w:val="nil"/>
                    <w:tr2bl w:val="nil"/>
                  </w:tcBorders>
                  <w:vAlign w:val="center"/>
                </w:tcPr>
                <w:p w14:paraId="3DCEE417">
                  <w:pPr>
                    <w:jc w:val="center"/>
                    <w:rPr>
                      <w:kern w:val="0"/>
                    </w:rPr>
                  </w:pPr>
                  <w:r>
                    <w:rPr>
                      <w:kern w:val="0"/>
                    </w:rPr>
                    <w:t>次氯酸钠</w:t>
                  </w:r>
                  <w:r>
                    <w:rPr>
                      <w:rFonts w:hint="eastAsia"/>
                      <w:kern w:val="0"/>
                    </w:rPr>
                    <w:t>粉末（医疗废水消毒）</w:t>
                  </w:r>
                </w:p>
              </w:tc>
              <w:tc>
                <w:tcPr>
                  <w:tcW w:w="1012" w:type="pct"/>
                  <w:tcBorders>
                    <w:tl2br w:val="nil"/>
                    <w:tr2bl w:val="nil"/>
                  </w:tcBorders>
                  <w:vAlign w:val="center"/>
                </w:tcPr>
                <w:p w14:paraId="451115C8">
                  <w:pPr>
                    <w:jc w:val="center"/>
                  </w:pPr>
                  <w:r>
                    <w:rPr>
                      <w:rFonts w:hint="eastAsia"/>
                    </w:rPr>
                    <w:t>0.5t</w:t>
                  </w:r>
                </w:p>
              </w:tc>
              <w:tc>
                <w:tcPr>
                  <w:tcW w:w="919" w:type="pct"/>
                  <w:tcBorders>
                    <w:tl2br w:val="nil"/>
                    <w:tr2bl w:val="nil"/>
                  </w:tcBorders>
                  <w:vAlign w:val="center"/>
                </w:tcPr>
                <w:p w14:paraId="3B7D61D0">
                  <w:pPr>
                    <w:jc w:val="center"/>
                  </w:pPr>
                  <w:r>
                    <w:t>外购</w:t>
                  </w:r>
                </w:p>
              </w:tc>
              <w:tc>
                <w:tcPr>
                  <w:tcW w:w="840" w:type="pct"/>
                  <w:gridSpan w:val="2"/>
                  <w:tcBorders>
                    <w:tl2br w:val="nil"/>
                    <w:tr2bl w:val="nil"/>
                  </w:tcBorders>
                  <w:vAlign w:val="center"/>
                </w:tcPr>
                <w:p w14:paraId="541E3F54">
                  <w:pPr>
                    <w:jc w:val="center"/>
                  </w:pPr>
                  <w:r>
                    <w:t>污水处理站</w:t>
                  </w:r>
                </w:p>
              </w:tc>
            </w:tr>
            <w:tr w14:paraId="43E6B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1D2EC53B">
                  <w:pPr>
                    <w:jc w:val="center"/>
                    <w:rPr>
                      <w:kern w:val="0"/>
                    </w:rPr>
                  </w:pPr>
                </w:p>
              </w:tc>
              <w:tc>
                <w:tcPr>
                  <w:tcW w:w="1482" w:type="pct"/>
                  <w:tcBorders>
                    <w:tl2br w:val="nil"/>
                    <w:tr2bl w:val="nil"/>
                  </w:tcBorders>
                  <w:vAlign w:val="center"/>
                </w:tcPr>
                <w:p w14:paraId="2651274D">
                  <w:pPr>
                    <w:jc w:val="center"/>
                    <w:rPr>
                      <w:kern w:val="0"/>
                    </w:rPr>
                  </w:pPr>
                  <w:r>
                    <w:rPr>
                      <w:rFonts w:hint="eastAsia"/>
                      <w:kern w:val="0"/>
                    </w:rPr>
                    <w:t>氧气瓶</w:t>
                  </w:r>
                </w:p>
              </w:tc>
              <w:tc>
                <w:tcPr>
                  <w:tcW w:w="1012" w:type="pct"/>
                  <w:tcBorders>
                    <w:tl2br w:val="nil"/>
                    <w:tr2bl w:val="nil"/>
                  </w:tcBorders>
                  <w:vAlign w:val="center"/>
                </w:tcPr>
                <w:p w14:paraId="125D77A9">
                  <w:pPr>
                    <w:jc w:val="center"/>
                  </w:pPr>
                  <w:r>
                    <w:t>根据用量定期配送</w:t>
                  </w:r>
                </w:p>
              </w:tc>
              <w:tc>
                <w:tcPr>
                  <w:tcW w:w="919" w:type="pct"/>
                  <w:tcBorders>
                    <w:tl2br w:val="nil"/>
                    <w:tr2bl w:val="nil"/>
                  </w:tcBorders>
                  <w:vAlign w:val="center"/>
                </w:tcPr>
                <w:p w14:paraId="26C45B33">
                  <w:pPr>
                    <w:jc w:val="center"/>
                  </w:pPr>
                  <w:r>
                    <w:t>外购</w:t>
                  </w:r>
                </w:p>
              </w:tc>
              <w:tc>
                <w:tcPr>
                  <w:tcW w:w="840" w:type="pct"/>
                  <w:gridSpan w:val="2"/>
                  <w:tcBorders>
                    <w:tl2br w:val="nil"/>
                    <w:tr2bl w:val="nil"/>
                  </w:tcBorders>
                  <w:vAlign w:val="center"/>
                </w:tcPr>
                <w:p w14:paraId="55EB6DF8">
                  <w:pPr>
                    <w:jc w:val="center"/>
                  </w:pPr>
                  <w:r>
                    <w:rPr>
                      <w:rFonts w:hint="eastAsia"/>
                    </w:rPr>
                    <w:t>氧气供应室</w:t>
                  </w:r>
                </w:p>
              </w:tc>
            </w:tr>
            <w:tr w14:paraId="793AC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restart"/>
                  <w:tcBorders>
                    <w:tl2br w:val="nil"/>
                    <w:tr2bl w:val="nil"/>
                  </w:tcBorders>
                  <w:vAlign w:val="center"/>
                </w:tcPr>
                <w:p w14:paraId="0507A17F">
                  <w:pPr>
                    <w:jc w:val="center"/>
                    <w:rPr>
                      <w:kern w:val="0"/>
                    </w:rPr>
                  </w:pPr>
                  <w:r>
                    <w:t>能源</w:t>
                  </w:r>
                </w:p>
              </w:tc>
              <w:tc>
                <w:tcPr>
                  <w:tcW w:w="1482" w:type="pct"/>
                  <w:tcBorders>
                    <w:tl2br w:val="nil"/>
                    <w:tr2bl w:val="nil"/>
                  </w:tcBorders>
                  <w:vAlign w:val="center"/>
                </w:tcPr>
                <w:p w14:paraId="10CB297B">
                  <w:pPr>
                    <w:jc w:val="center"/>
                    <w:rPr>
                      <w:kern w:val="0"/>
                    </w:rPr>
                  </w:pPr>
                  <w:r>
                    <w:rPr>
                      <w:kern w:val="0"/>
                    </w:rPr>
                    <w:t>电</w:t>
                  </w:r>
                </w:p>
              </w:tc>
              <w:tc>
                <w:tcPr>
                  <w:tcW w:w="1012" w:type="pct"/>
                  <w:tcBorders>
                    <w:tl2br w:val="nil"/>
                    <w:tr2bl w:val="nil"/>
                  </w:tcBorders>
                  <w:vAlign w:val="center"/>
                </w:tcPr>
                <w:p w14:paraId="5D030AD4">
                  <w:pPr>
                    <w:jc w:val="center"/>
                    <w:rPr>
                      <w:highlight w:val="yellow"/>
                    </w:rPr>
                  </w:pPr>
                  <w:r>
                    <w:rPr>
                      <w:rFonts w:hint="eastAsia"/>
                    </w:rPr>
                    <w:t>50</w:t>
                  </w:r>
                  <w:r>
                    <w:t>万度</w:t>
                  </w:r>
                </w:p>
              </w:tc>
              <w:tc>
                <w:tcPr>
                  <w:tcW w:w="919" w:type="pct"/>
                  <w:tcBorders>
                    <w:tl2br w:val="nil"/>
                    <w:tr2bl w:val="nil"/>
                  </w:tcBorders>
                  <w:vAlign w:val="center"/>
                </w:tcPr>
                <w:p w14:paraId="58C35B3A">
                  <w:pPr>
                    <w:jc w:val="center"/>
                  </w:pPr>
                  <w:r>
                    <w:rPr>
                      <w:rFonts w:hint="eastAsia"/>
                    </w:rPr>
                    <w:t>市政</w:t>
                  </w:r>
                  <w:r>
                    <w:t>电网</w:t>
                  </w:r>
                </w:p>
              </w:tc>
              <w:tc>
                <w:tcPr>
                  <w:tcW w:w="840" w:type="pct"/>
                  <w:gridSpan w:val="2"/>
                  <w:tcBorders>
                    <w:tl2br w:val="nil"/>
                    <w:tr2bl w:val="nil"/>
                  </w:tcBorders>
                  <w:vAlign w:val="center"/>
                </w:tcPr>
                <w:p w14:paraId="598FB5B5">
                  <w:pPr>
                    <w:jc w:val="center"/>
                  </w:pPr>
                  <w:r>
                    <w:t>/</w:t>
                  </w:r>
                </w:p>
              </w:tc>
            </w:tr>
            <w:tr w14:paraId="106E4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5E17DF40">
                  <w:pPr>
                    <w:jc w:val="center"/>
                  </w:pPr>
                </w:p>
              </w:tc>
              <w:tc>
                <w:tcPr>
                  <w:tcW w:w="1482" w:type="pct"/>
                  <w:tcBorders>
                    <w:tl2br w:val="nil"/>
                    <w:tr2bl w:val="nil"/>
                  </w:tcBorders>
                  <w:vAlign w:val="center"/>
                </w:tcPr>
                <w:p w14:paraId="54DC8060">
                  <w:pPr>
                    <w:jc w:val="center"/>
                    <w:rPr>
                      <w:kern w:val="0"/>
                    </w:rPr>
                  </w:pPr>
                  <w:r>
                    <w:rPr>
                      <w:kern w:val="0"/>
                    </w:rPr>
                    <w:t>水</w:t>
                  </w:r>
                </w:p>
              </w:tc>
              <w:tc>
                <w:tcPr>
                  <w:tcW w:w="1012" w:type="pct"/>
                  <w:tcBorders>
                    <w:tl2br w:val="nil"/>
                    <w:tr2bl w:val="nil"/>
                  </w:tcBorders>
                  <w:vAlign w:val="center"/>
                </w:tcPr>
                <w:p w14:paraId="2A35D2D2">
                  <w:pPr>
                    <w:jc w:val="center"/>
                    <w:rPr>
                      <w:highlight w:val="yellow"/>
                    </w:rPr>
                  </w:pPr>
                  <w:r>
                    <w:rPr>
                      <w:rFonts w:hint="eastAsia"/>
                      <w:lang w:eastAsia="zh-CN"/>
                    </w:rPr>
                    <w:t>18229.925</w:t>
                  </w:r>
                  <w:r>
                    <w:t>m</w:t>
                  </w:r>
                  <w:r>
                    <w:rPr>
                      <w:vertAlign w:val="superscript"/>
                    </w:rPr>
                    <w:t>3</w:t>
                  </w:r>
                </w:p>
              </w:tc>
              <w:tc>
                <w:tcPr>
                  <w:tcW w:w="919" w:type="pct"/>
                  <w:tcBorders>
                    <w:tl2br w:val="nil"/>
                    <w:tr2bl w:val="nil"/>
                  </w:tcBorders>
                  <w:vAlign w:val="center"/>
                </w:tcPr>
                <w:p w14:paraId="6DE58400">
                  <w:pPr>
                    <w:jc w:val="center"/>
                  </w:pPr>
                  <w:r>
                    <w:t>市政自来水管网</w:t>
                  </w:r>
                </w:p>
              </w:tc>
              <w:tc>
                <w:tcPr>
                  <w:tcW w:w="840" w:type="pct"/>
                  <w:gridSpan w:val="2"/>
                  <w:tcBorders>
                    <w:tl2br w:val="nil"/>
                    <w:tr2bl w:val="nil"/>
                  </w:tcBorders>
                  <w:vAlign w:val="center"/>
                </w:tcPr>
                <w:p w14:paraId="1905D94E">
                  <w:pPr>
                    <w:jc w:val="center"/>
                  </w:pPr>
                  <w:r>
                    <w:t>/</w:t>
                  </w:r>
                </w:p>
              </w:tc>
            </w:tr>
            <w:tr w14:paraId="6C1A1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45" w:type="pct"/>
                  <w:gridSpan w:val="2"/>
                  <w:vMerge w:val="continue"/>
                  <w:tcBorders>
                    <w:tl2br w:val="nil"/>
                    <w:tr2bl w:val="nil"/>
                  </w:tcBorders>
                  <w:vAlign w:val="center"/>
                </w:tcPr>
                <w:p w14:paraId="72D92EF3">
                  <w:pPr>
                    <w:jc w:val="center"/>
                    <w:rPr>
                      <w:kern w:val="0"/>
                    </w:rPr>
                  </w:pPr>
                </w:p>
              </w:tc>
              <w:tc>
                <w:tcPr>
                  <w:tcW w:w="1482" w:type="pct"/>
                  <w:tcBorders>
                    <w:tl2br w:val="nil"/>
                    <w:tr2bl w:val="nil"/>
                  </w:tcBorders>
                  <w:vAlign w:val="center"/>
                </w:tcPr>
                <w:p w14:paraId="10EB27D3">
                  <w:pPr>
                    <w:jc w:val="center"/>
                    <w:rPr>
                      <w:kern w:val="0"/>
                    </w:rPr>
                  </w:pPr>
                  <w:r>
                    <w:rPr>
                      <w:rFonts w:hint="eastAsia"/>
                      <w:kern w:val="0"/>
                    </w:rPr>
                    <w:t>柴油</w:t>
                  </w:r>
                </w:p>
              </w:tc>
              <w:tc>
                <w:tcPr>
                  <w:tcW w:w="1012" w:type="pct"/>
                  <w:tcBorders>
                    <w:tl2br w:val="nil"/>
                    <w:tr2bl w:val="nil"/>
                  </w:tcBorders>
                  <w:vAlign w:val="center"/>
                </w:tcPr>
                <w:p w14:paraId="286393C2">
                  <w:pPr>
                    <w:jc w:val="center"/>
                  </w:pPr>
                  <w:r>
                    <w:rPr>
                      <w:rFonts w:hint="eastAsia"/>
                    </w:rPr>
                    <w:t>/</w:t>
                  </w:r>
                </w:p>
              </w:tc>
              <w:tc>
                <w:tcPr>
                  <w:tcW w:w="919" w:type="pct"/>
                  <w:tcBorders>
                    <w:tl2br w:val="nil"/>
                    <w:tr2bl w:val="nil"/>
                  </w:tcBorders>
                  <w:vAlign w:val="center"/>
                </w:tcPr>
                <w:p w14:paraId="0F28459B">
                  <w:pPr>
                    <w:jc w:val="center"/>
                  </w:pPr>
                  <w:r>
                    <w:rPr>
                      <w:rFonts w:hint="eastAsia"/>
                    </w:rPr>
                    <w:t>外购现用现买</w:t>
                  </w:r>
                </w:p>
              </w:tc>
              <w:tc>
                <w:tcPr>
                  <w:tcW w:w="840" w:type="pct"/>
                  <w:gridSpan w:val="2"/>
                  <w:tcBorders>
                    <w:tl2br w:val="nil"/>
                    <w:tr2bl w:val="nil"/>
                  </w:tcBorders>
                  <w:vAlign w:val="center"/>
                </w:tcPr>
                <w:p w14:paraId="170313C4">
                  <w:pPr>
                    <w:jc w:val="center"/>
                  </w:pPr>
                  <w:r>
                    <w:rPr>
                      <w:rFonts w:hint="eastAsia"/>
                    </w:rPr>
                    <w:t>柴油发电机，停电时使用</w:t>
                  </w:r>
                </w:p>
              </w:tc>
            </w:tr>
          </w:tbl>
          <w:p w14:paraId="3F43CF14">
            <w:pPr>
              <w:spacing w:line="360" w:lineRule="auto"/>
              <w:jc w:val="center"/>
              <w:rPr>
                <w:b/>
                <w:bCs/>
                <w:sz w:val="24"/>
                <w:szCs w:val="24"/>
              </w:rPr>
            </w:pPr>
            <w:r>
              <w:rPr>
                <w:rFonts w:hint="eastAsia"/>
                <w:b/>
                <w:bCs/>
                <w:sz w:val="24"/>
                <w:szCs w:val="24"/>
              </w:rPr>
              <w:t>表2-3 项目主要消毒剂理化特性与用途一览表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816"/>
              <w:gridCol w:w="3603"/>
              <w:gridCol w:w="856"/>
            </w:tblGrid>
            <w:tr w14:paraId="5F17F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tcBorders>
                    <w:tl2br w:val="nil"/>
                    <w:tr2bl w:val="nil"/>
                  </w:tcBorders>
                  <w:vAlign w:val="center"/>
                </w:tcPr>
                <w:p w14:paraId="276BF661">
                  <w:pPr>
                    <w:widowControl/>
                    <w:snapToGrid w:val="0"/>
                    <w:jc w:val="center"/>
                    <w:rPr>
                      <w:b/>
                      <w:kern w:val="0"/>
                    </w:rPr>
                  </w:pPr>
                  <w:r>
                    <w:rPr>
                      <w:b/>
                      <w:kern w:val="0"/>
                    </w:rPr>
                    <w:t>名称</w:t>
                  </w:r>
                </w:p>
              </w:tc>
              <w:tc>
                <w:tcPr>
                  <w:tcW w:w="2130" w:type="pct"/>
                  <w:tcBorders>
                    <w:tl2br w:val="nil"/>
                    <w:tr2bl w:val="nil"/>
                  </w:tcBorders>
                  <w:vAlign w:val="center"/>
                </w:tcPr>
                <w:p w14:paraId="73D79EFB">
                  <w:pPr>
                    <w:widowControl/>
                    <w:snapToGrid w:val="0"/>
                    <w:jc w:val="center"/>
                    <w:rPr>
                      <w:b/>
                      <w:kern w:val="0"/>
                    </w:rPr>
                  </w:pPr>
                  <w:r>
                    <w:rPr>
                      <w:b/>
                      <w:kern w:val="0"/>
                    </w:rPr>
                    <w:t>理化特性</w:t>
                  </w:r>
                </w:p>
              </w:tc>
              <w:tc>
                <w:tcPr>
                  <w:tcW w:w="2011" w:type="pct"/>
                  <w:tcBorders>
                    <w:tl2br w:val="nil"/>
                    <w:tr2bl w:val="nil"/>
                  </w:tcBorders>
                  <w:vAlign w:val="center"/>
                </w:tcPr>
                <w:p w14:paraId="31FB08C8">
                  <w:pPr>
                    <w:widowControl/>
                    <w:snapToGrid w:val="0"/>
                    <w:jc w:val="center"/>
                    <w:rPr>
                      <w:b/>
                      <w:kern w:val="0"/>
                    </w:rPr>
                  </w:pPr>
                  <w:r>
                    <w:rPr>
                      <w:b/>
                      <w:kern w:val="0"/>
                    </w:rPr>
                    <w:t>用途</w:t>
                  </w:r>
                </w:p>
              </w:tc>
              <w:tc>
                <w:tcPr>
                  <w:tcW w:w="478" w:type="pct"/>
                  <w:tcBorders>
                    <w:tl2br w:val="nil"/>
                    <w:tr2bl w:val="nil"/>
                  </w:tcBorders>
                  <w:vAlign w:val="center"/>
                </w:tcPr>
                <w:p w14:paraId="068CB567">
                  <w:pPr>
                    <w:widowControl/>
                    <w:snapToGrid w:val="0"/>
                    <w:jc w:val="center"/>
                    <w:rPr>
                      <w:b/>
                      <w:kern w:val="0"/>
                    </w:rPr>
                  </w:pPr>
                  <w:r>
                    <w:rPr>
                      <w:b/>
                      <w:kern w:val="0"/>
                    </w:rPr>
                    <w:t>备注</w:t>
                  </w:r>
                </w:p>
              </w:tc>
            </w:tr>
            <w:tr w14:paraId="0D906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vAlign w:val="center"/>
                </w:tcPr>
                <w:p w14:paraId="350F9D06">
                  <w:pPr>
                    <w:widowControl/>
                    <w:snapToGrid w:val="0"/>
                    <w:jc w:val="center"/>
                    <w:rPr>
                      <w:kern w:val="0"/>
                    </w:rPr>
                  </w:pPr>
                  <w:r>
                    <w:rPr>
                      <w:kern w:val="0"/>
                    </w:rPr>
                    <w:t>碘伏</w:t>
                  </w:r>
                </w:p>
              </w:tc>
              <w:tc>
                <w:tcPr>
                  <w:tcW w:w="2130" w:type="pct"/>
                  <w:tcBorders>
                    <w:tl2br w:val="nil"/>
                    <w:tr2bl w:val="nil"/>
                  </w:tcBorders>
                  <w:vAlign w:val="center"/>
                </w:tcPr>
                <w:p w14:paraId="3307CA4B">
                  <w:pPr>
                    <w:widowControl/>
                    <w:snapToGrid w:val="0"/>
                    <w:rPr>
                      <w:kern w:val="0"/>
                    </w:rPr>
                  </w:pPr>
                  <w:r>
                    <w:rPr>
                      <w:kern w:val="0"/>
                    </w:rPr>
                    <w:t>紫黑色液体。是碘和表面活性剂的不定性结合物。使用方法和范围：0.3%-0.5%的碘伏用于手和外科皮肤消毒。</w:t>
                  </w:r>
                </w:p>
              </w:tc>
              <w:tc>
                <w:tcPr>
                  <w:tcW w:w="2011" w:type="pct"/>
                  <w:tcBorders>
                    <w:tl2br w:val="nil"/>
                    <w:tr2bl w:val="nil"/>
                  </w:tcBorders>
                  <w:vAlign w:val="center"/>
                </w:tcPr>
                <w:p w14:paraId="4CE8744A">
                  <w:pPr>
                    <w:widowControl/>
                    <w:snapToGrid w:val="0"/>
                    <w:rPr>
                      <w:kern w:val="0"/>
                    </w:rPr>
                  </w:pPr>
                  <w:r>
                    <w:rPr>
                      <w:kern w:val="0"/>
                    </w:rPr>
                    <w:t>广谱杀菌作用，可杀灭细菌繁殖体、芽孢、真菌和部分病毒。</w:t>
                  </w:r>
                </w:p>
              </w:tc>
              <w:tc>
                <w:tcPr>
                  <w:tcW w:w="478" w:type="pct"/>
                  <w:tcBorders>
                    <w:tl2br w:val="nil"/>
                    <w:tr2bl w:val="nil"/>
                  </w:tcBorders>
                  <w:vAlign w:val="center"/>
                </w:tcPr>
                <w:p w14:paraId="0CC21AF2">
                  <w:pPr>
                    <w:widowControl/>
                    <w:snapToGrid w:val="0"/>
                    <w:jc w:val="center"/>
                    <w:rPr>
                      <w:kern w:val="0"/>
                    </w:rPr>
                  </w:pPr>
                  <w:r>
                    <w:rPr>
                      <w:kern w:val="0"/>
                    </w:rPr>
                    <w:t>创口消毒</w:t>
                  </w:r>
                </w:p>
              </w:tc>
            </w:tr>
            <w:tr w14:paraId="21225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vAlign w:val="center"/>
                </w:tcPr>
                <w:p w14:paraId="775EBC0D">
                  <w:pPr>
                    <w:widowControl/>
                    <w:snapToGrid w:val="0"/>
                    <w:jc w:val="center"/>
                    <w:rPr>
                      <w:kern w:val="0"/>
                    </w:rPr>
                  </w:pPr>
                  <w:r>
                    <w:rPr>
                      <w:kern w:val="0"/>
                    </w:rPr>
                    <w:t>医用酒精</w:t>
                  </w:r>
                </w:p>
              </w:tc>
              <w:tc>
                <w:tcPr>
                  <w:tcW w:w="2130" w:type="pct"/>
                  <w:tcBorders>
                    <w:tl2br w:val="nil"/>
                    <w:tr2bl w:val="nil"/>
                  </w:tcBorders>
                  <w:vAlign w:val="center"/>
                </w:tcPr>
                <w:p w14:paraId="08612C0C">
                  <w:pPr>
                    <w:widowControl/>
                    <w:snapToGrid w:val="0"/>
                    <w:rPr>
                      <w:kern w:val="0"/>
                    </w:rPr>
                  </w:pPr>
                  <w:r>
                    <w:rPr>
                      <w:kern w:val="0"/>
                    </w:rPr>
                    <w:t xml:space="preserve">CAS号：64-17-5 </w:t>
                  </w:r>
                </w:p>
                <w:p w14:paraId="12E37C70">
                  <w:pPr>
                    <w:widowControl/>
                    <w:snapToGrid w:val="0"/>
                    <w:rPr>
                      <w:kern w:val="0"/>
                    </w:rPr>
                  </w:pPr>
                  <w:r>
                    <w:rPr>
                      <w:kern w:val="0"/>
                    </w:rPr>
                    <w:t>无色液体，有酒香；与水混溶，可混</w:t>
                  </w:r>
                  <w:r>
                    <w:rPr>
                      <w:rFonts w:hint="eastAsia"/>
                      <w:kern w:val="0"/>
                    </w:rPr>
                    <w:t>溶于</w:t>
                  </w:r>
                  <w:r>
                    <w:rPr>
                      <w:kern w:val="0"/>
                    </w:rPr>
                    <w:t>醚、氯仿、甘油等多数有机溶剂；用于制酒工业、有机合成、消毒以用作溶剂、易燃，其蒸气与空气可形成爆炸性混合物。遇明火、高热能引起爆炸燃烧。与氧化剂接触发生化学反应或引起燃烧。</w:t>
                  </w:r>
                </w:p>
              </w:tc>
              <w:tc>
                <w:tcPr>
                  <w:tcW w:w="2011" w:type="pct"/>
                  <w:tcBorders>
                    <w:tl2br w:val="nil"/>
                    <w:tr2bl w:val="nil"/>
                  </w:tcBorders>
                  <w:vAlign w:val="center"/>
                </w:tcPr>
                <w:p w14:paraId="3C299161">
                  <w:pPr>
                    <w:widowControl/>
                    <w:snapToGrid w:val="0"/>
                    <w:rPr>
                      <w:kern w:val="0"/>
                    </w:rPr>
                  </w:pPr>
                  <w:r>
                    <w:rPr>
                      <w:kern w:val="0"/>
                    </w:rPr>
                    <w:t>本品可渗入细菌体内，在一定浓度下能使蛋白质凝固而变性从而杀灭细菌。最适宜的杀菌浓度为75%。50%</w:t>
                  </w:r>
                  <w:r>
                    <w:rPr>
                      <w:rFonts w:hint="eastAsia"/>
                      <w:kern w:val="0"/>
                    </w:rPr>
                    <w:t>烯醇</w:t>
                  </w:r>
                  <w:r>
                    <w:rPr>
                      <w:kern w:val="0"/>
                    </w:rPr>
                    <w:t>可用于预防褥瘊，25%-30%</w:t>
                  </w:r>
                  <w:r>
                    <w:rPr>
                      <w:rFonts w:hint="eastAsia"/>
                      <w:kern w:val="0"/>
                    </w:rPr>
                    <w:t>烯醇</w:t>
                  </w:r>
                  <w:r>
                    <w:rPr>
                      <w:kern w:val="0"/>
                    </w:rPr>
                    <w:t>可擦浴，用于高热病人使体温下降。</w:t>
                  </w:r>
                </w:p>
              </w:tc>
              <w:tc>
                <w:tcPr>
                  <w:tcW w:w="478" w:type="pct"/>
                  <w:tcBorders>
                    <w:tl2br w:val="nil"/>
                    <w:tr2bl w:val="nil"/>
                  </w:tcBorders>
                  <w:vAlign w:val="center"/>
                </w:tcPr>
                <w:p w14:paraId="21BB1506">
                  <w:pPr>
                    <w:widowControl/>
                    <w:snapToGrid w:val="0"/>
                    <w:jc w:val="center"/>
                    <w:rPr>
                      <w:kern w:val="0"/>
                    </w:rPr>
                  </w:pPr>
                  <w:r>
                    <w:rPr>
                      <w:kern w:val="0"/>
                    </w:rPr>
                    <w:t>常规消毒</w:t>
                  </w:r>
                </w:p>
              </w:tc>
            </w:tr>
            <w:tr w14:paraId="70493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vAlign w:val="center"/>
                </w:tcPr>
                <w:p w14:paraId="3DA63D5C">
                  <w:pPr>
                    <w:widowControl/>
                    <w:snapToGrid w:val="0"/>
                    <w:jc w:val="center"/>
                    <w:rPr>
                      <w:kern w:val="0"/>
                    </w:rPr>
                  </w:pPr>
                  <w:r>
                    <w:rPr>
                      <w:kern w:val="0"/>
                    </w:rPr>
                    <w:t>双氧水</w:t>
                  </w:r>
                </w:p>
              </w:tc>
              <w:tc>
                <w:tcPr>
                  <w:tcW w:w="2130" w:type="pct"/>
                  <w:tcBorders>
                    <w:tl2br w:val="nil"/>
                    <w:tr2bl w:val="nil"/>
                  </w:tcBorders>
                  <w:vAlign w:val="center"/>
                </w:tcPr>
                <w:p w14:paraId="2D8CD960">
                  <w:pPr>
                    <w:widowControl/>
                    <w:snapToGrid w:val="0"/>
                    <w:rPr>
                      <w:kern w:val="0"/>
                    </w:rPr>
                  </w:pPr>
                  <w:r>
                    <w:rPr>
                      <w:kern w:val="0"/>
                    </w:rPr>
                    <w:t xml:space="preserve">CAS号：7722-84-1 </w:t>
                  </w:r>
                </w:p>
                <w:p w14:paraId="0F7C0162">
                  <w:pPr>
                    <w:widowControl/>
                    <w:snapToGrid w:val="0"/>
                    <w:rPr>
                      <w:kern w:val="0"/>
                    </w:rPr>
                  </w:pPr>
                  <w:r>
                    <w:rPr>
                      <w:kern w:val="0"/>
                    </w:rPr>
                    <w:t>亦过氧化氢溶液，水溶液为无色透明液体，有微弱的特殊气味。纯过氧化氢是淡蓝色的油状液体、熔点-0.89℃（无水），沸点 152.1℃（无水）</w:t>
                  </w:r>
                </w:p>
              </w:tc>
              <w:tc>
                <w:tcPr>
                  <w:tcW w:w="2011" w:type="pct"/>
                  <w:tcBorders>
                    <w:tl2br w:val="nil"/>
                    <w:tr2bl w:val="nil"/>
                  </w:tcBorders>
                  <w:vAlign w:val="center"/>
                </w:tcPr>
                <w:p w14:paraId="234DC759">
                  <w:pPr>
                    <w:widowControl/>
                    <w:snapToGrid w:val="0"/>
                    <w:jc w:val="center"/>
                    <w:rPr>
                      <w:kern w:val="0"/>
                    </w:rPr>
                  </w:pPr>
                  <w:r>
                    <w:rPr>
                      <w:kern w:val="0"/>
                    </w:rPr>
                    <w:t>含3%过氧化氢的水溶液，具有消毒、防腐、除臭及清洁作用。过氧化氢遇到组织中的过氧化氢酶时，迅即分解而释放出新生氧，有杀菌、除臭、除污等功效。可用于清洗创面、溃疡、脓窦、耳内脓液，稀释至1%浓度，可用于口腔炎、扁桃体炎及白喉等的口腔含漱。</w:t>
                  </w:r>
                </w:p>
              </w:tc>
              <w:tc>
                <w:tcPr>
                  <w:tcW w:w="478" w:type="pct"/>
                  <w:tcBorders>
                    <w:tl2br w:val="nil"/>
                    <w:tr2bl w:val="nil"/>
                  </w:tcBorders>
                  <w:vAlign w:val="center"/>
                </w:tcPr>
                <w:p w14:paraId="79E56464">
                  <w:pPr>
                    <w:widowControl/>
                    <w:snapToGrid w:val="0"/>
                    <w:jc w:val="center"/>
                    <w:rPr>
                      <w:kern w:val="0"/>
                    </w:rPr>
                  </w:pPr>
                  <w:r>
                    <w:rPr>
                      <w:kern w:val="0"/>
                    </w:rPr>
                    <w:t>创口消毒</w:t>
                  </w:r>
                </w:p>
              </w:tc>
            </w:tr>
            <w:tr w14:paraId="2DD53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vAlign w:val="center"/>
                </w:tcPr>
                <w:p w14:paraId="4527FFCF">
                  <w:pPr>
                    <w:widowControl/>
                    <w:jc w:val="center"/>
                    <w:textAlignment w:val="center"/>
                  </w:pPr>
                  <w:r>
                    <w:rPr>
                      <w:kern w:val="0"/>
                    </w:rPr>
                    <w:t>次氯酸钠</w:t>
                  </w:r>
                </w:p>
              </w:tc>
              <w:tc>
                <w:tcPr>
                  <w:tcW w:w="2130" w:type="pct"/>
                  <w:tcBorders>
                    <w:tl2br w:val="nil"/>
                    <w:tr2bl w:val="nil"/>
                  </w:tcBorders>
                  <w:vAlign w:val="center"/>
                </w:tcPr>
                <w:p w14:paraId="2A8D85A3">
                  <w:r>
                    <w:t xml:space="preserve">CAS号：7681-52-9 </w:t>
                  </w:r>
                </w:p>
                <w:p w14:paraId="124C851A">
                  <w:r>
                    <w:t>微黄色溶液，有似氯气的气味</w:t>
                  </w:r>
                </w:p>
                <w:p w14:paraId="1C9AE37B">
                  <w:r>
                    <w:t xml:space="preserve">分子式：NaClO、NaOCl；分子量：74.44；熔点：-6℃；密度：相对密度（水=1）1.10；蒸汽压：102.2℃ </w:t>
                  </w:r>
                </w:p>
              </w:tc>
              <w:tc>
                <w:tcPr>
                  <w:tcW w:w="2011" w:type="pct"/>
                  <w:tcBorders>
                    <w:tl2br w:val="nil"/>
                    <w:tr2bl w:val="nil"/>
                  </w:tcBorders>
                  <w:vAlign w:val="center"/>
                </w:tcPr>
                <w:p w14:paraId="7D159F86">
                  <w:pPr>
                    <w:widowControl/>
                    <w:jc w:val="center"/>
                    <w:textAlignment w:val="center"/>
                  </w:pPr>
                  <w:r>
                    <w:t>用于水的净化，以及作消毒剂、纸浆漂白等，医药工业中用制氯胺等。</w:t>
                  </w:r>
                </w:p>
              </w:tc>
              <w:tc>
                <w:tcPr>
                  <w:tcW w:w="478" w:type="pct"/>
                  <w:tcBorders>
                    <w:tl2br w:val="nil"/>
                    <w:tr2bl w:val="nil"/>
                  </w:tcBorders>
                  <w:vAlign w:val="center"/>
                </w:tcPr>
                <w:p w14:paraId="4195E093">
                  <w:pPr>
                    <w:widowControl/>
                    <w:jc w:val="center"/>
                    <w:textAlignment w:val="center"/>
                  </w:pPr>
                  <w:r>
                    <w:t>污水处理站尾水消毒</w:t>
                  </w:r>
                </w:p>
              </w:tc>
            </w:tr>
          </w:tbl>
          <w:p w14:paraId="6865C281">
            <w:pPr>
              <w:pStyle w:val="8"/>
              <w:spacing w:after="0" w:line="360" w:lineRule="auto"/>
              <w:ind w:firstLine="482" w:firstLineChars="200"/>
              <w:rPr>
                <w:b/>
                <w:bCs/>
                <w:sz w:val="24"/>
                <w:szCs w:val="36"/>
              </w:rPr>
            </w:pPr>
            <w:r>
              <w:rPr>
                <w:rFonts w:hint="eastAsia"/>
                <w:b/>
                <w:bCs/>
                <w:sz w:val="24"/>
                <w:szCs w:val="36"/>
              </w:rPr>
              <w:t>（2）主要医疗设备清单</w:t>
            </w:r>
          </w:p>
          <w:p w14:paraId="22E3C46E">
            <w:pPr>
              <w:spacing w:line="360" w:lineRule="auto"/>
              <w:jc w:val="center"/>
              <w:rPr>
                <w:b/>
                <w:bCs/>
                <w:sz w:val="24"/>
                <w:szCs w:val="24"/>
              </w:rPr>
            </w:pPr>
            <w:r>
              <w:rPr>
                <w:rFonts w:hint="eastAsia"/>
                <w:b/>
                <w:bCs/>
                <w:sz w:val="24"/>
                <w:szCs w:val="24"/>
              </w:rPr>
              <w:t>表2-4  卫生院主要医疗设备清单</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26"/>
              <w:gridCol w:w="4123"/>
              <w:gridCol w:w="2242"/>
            </w:tblGrid>
            <w:tr w14:paraId="5C280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9" w:type="pct"/>
                  <w:tcBorders>
                    <w:tl2br w:val="nil"/>
                    <w:tr2bl w:val="nil"/>
                  </w:tcBorders>
                  <w:vAlign w:val="center"/>
                </w:tcPr>
                <w:p w14:paraId="16F36337">
                  <w:pPr>
                    <w:widowControl/>
                    <w:snapToGrid w:val="0"/>
                    <w:jc w:val="center"/>
                    <w:rPr>
                      <w:b/>
                      <w:kern w:val="0"/>
                    </w:rPr>
                  </w:pPr>
                  <w:r>
                    <w:rPr>
                      <w:rFonts w:hint="eastAsia"/>
                      <w:b/>
                      <w:kern w:val="0"/>
                    </w:rPr>
                    <w:t>序号</w:t>
                  </w:r>
                </w:p>
              </w:tc>
              <w:tc>
                <w:tcPr>
                  <w:tcW w:w="1019" w:type="pct"/>
                  <w:tcBorders>
                    <w:tl2br w:val="nil"/>
                    <w:tr2bl w:val="nil"/>
                  </w:tcBorders>
                  <w:vAlign w:val="center"/>
                </w:tcPr>
                <w:p w14:paraId="1231F1C0">
                  <w:pPr>
                    <w:widowControl/>
                    <w:snapToGrid w:val="0"/>
                    <w:jc w:val="center"/>
                    <w:rPr>
                      <w:b/>
                      <w:kern w:val="0"/>
                    </w:rPr>
                  </w:pPr>
                  <w:r>
                    <w:rPr>
                      <w:rFonts w:hint="eastAsia"/>
                      <w:b/>
                      <w:kern w:val="0"/>
                    </w:rPr>
                    <w:t>主要产生单元</w:t>
                  </w:r>
                </w:p>
              </w:tc>
              <w:tc>
                <w:tcPr>
                  <w:tcW w:w="2300" w:type="pct"/>
                  <w:tcBorders>
                    <w:tl2br w:val="nil"/>
                    <w:tr2bl w:val="nil"/>
                  </w:tcBorders>
                  <w:vAlign w:val="center"/>
                </w:tcPr>
                <w:p w14:paraId="21141224">
                  <w:pPr>
                    <w:widowControl/>
                    <w:snapToGrid w:val="0"/>
                    <w:jc w:val="center"/>
                    <w:rPr>
                      <w:b/>
                      <w:kern w:val="0"/>
                    </w:rPr>
                  </w:pPr>
                  <w:r>
                    <w:rPr>
                      <w:b/>
                      <w:kern w:val="0"/>
                    </w:rPr>
                    <w:t>设</w:t>
                  </w:r>
                  <w:r>
                    <w:rPr>
                      <w:rFonts w:hint="eastAsia"/>
                      <w:b/>
                      <w:kern w:val="0"/>
                    </w:rPr>
                    <w:t>备</w:t>
                  </w:r>
                  <w:r>
                    <w:rPr>
                      <w:b/>
                      <w:kern w:val="0"/>
                    </w:rPr>
                    <w:t>名称</w:t>
                  </w:r>
                </w:p>
              </w:tc>
              <w:tc>
                <w:tcPr>
                  <w:tcW w:w="1250" w:type="pct"/>
                  <w:tcBorders>
                    <w:tl2br w:val="nil"/>
                    <w:tr2bl w:val="nil"/>
                  </w:tcBorders>
                  <w:vAlign w:val="center"/>
                </w:tcPr>
                <w:p w14:paraId="1A08BC2F">
                  <w:pPr>
                    <w:widowControl/>
                    <w:snapToGrid w:val="0"/>
                    <w:jc w:val="center"/>
                    <w:rPr>
                      <w:b/>
                      <w:kern w:val="0"/>
                    </w:rPr>
                  </w:pPr>
                  <w:r>
                    <w:rPr>
                      <w:b/>
                      <w:kern w:val="0"/>
                    </w:rPr>
                    <w:t>数量</w:t>
                  </w:r>
                  <w:r>
                    <w:rPr>
                      <w:rFonts w:hint="eastAsia"/>
                      <w:b/>
                      <w:kern w:val="0"/>
                    </w:rPr>
                    <w:t>（台/套）</w:t>
                  </w:r>
                </w:p>
              </w:tc>
            </w:tr>
            <w:tr w14:paraId="443CF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06A27AFA">
                  <w:pPr>
                    <w:numPr>
                      <w:ilvl w:val="0"/>
                      <w:numId w:val="2"/>
                    </w:numPr>
                    <w:jc w:val="center"/>
                  </w:pPr>
                </w:p>
              </w:tc>
              <w:tc>
                <w:tcPr>
                  <w:tcW w:w="1019" w:type="pct"/>
                  <w:vMerge w:val="restart"/>
                  <w:tcBorders>
                    <w:tl2br w:val="nil"/>
                    <w:tr2bl w:val="nil"/>
                  </w:tcBorders>
                  <w:vAlign w:val="center"/>
                </w:tcPr>
                <w:p w14:paraId="22547DB9">
                  <w:pPr>
                    <w:jc w:val="center"/>
                  </w:pPr>
                  <w:r>
                    <w:rPr>
                      <w:rFonts w:hint="eastAsia"/>
                    </w:rPr>
                    <w:t>医疗服务</w:t>
                  </w:r>
                </w:p>
              </w:tc>
              <w:tc>
                <w:tcPr>
                  <w:tcW w:w="2300" w:type="pct"/>
                  <w:tcBorders>
                    <w:tl2br w:val="nil"/>
                    <w:tr2bl w:val="nil"/>
                  </w:tcBorders>
                  <w:vAlign w:val="center"/>
                </w:tcPr>
                <w:p w14:paraId="1E67DED4">
                  <w:pPr>
                    <w:jc w:val="center"/>
                  </w:pPr>
                  <w:r>
                    <w:t>彩超机</w:t>
                  </w:r>
                </w:p>
              </w:tc>
              <w:tc>
                <w:tcPr>
                  <w:tcW w:w="1250" w:type="pct"/>
                  <w:tcBorders>
                    <w:tl2br w:val="nil"/>
                    <w:tr2bl w:val="nil"/>
                  </w:tcBorders>
                  <w:vAlign w:val="center"/>
                </w:tcPr>
                <w:p w14:paraId="11DC1C79">
                  <w:pPr>
                    <w:widowControl/>
                    <w:snapToGrid w:val="0"/>
                    <w:jc w:val="center"/>
                    <w:rPr>
                      <w:kern w:val="0"/>
                    </w:rPr>
                  </w:pPr>
                  <w:r>
                    <w:rPr>
                      <w:rFonts w:hint="eastAsia"/>
                      <w:kern w:val="0"/>
                    </w:rPr>
                    <w:t>1</w:t>
                  </w:r>
                </w:p>
              </w:tc>
            </w:tr>
            <w:tr w14:paraId="75A48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72C058C1">
                  <w:pPr>
                    <w:numPr>
                      <w:ilvl w:val="0"/>
                      <w:numId w:val="2"/>
                    </w:numPr>
                    <w:jc w:val="center"/>
                  </w:pPr>
                </w:p>
              </w:tc>
              <w:tc>
                <w:tcPr>
                  <w:tcW w:w="1019" w:type="pct"/>
                  <w:vMerge w:val="continue"/>
                  <w:tcBorders>
                    <w:tl2br w:val="nil"/>
                    <w:tr2bl w:val="nil"/>
                  </w:tcBorders>
                  <w:vAlign w:val="center"/>
                </w:tcPr>
                <w:p w14:paraId="5819CE96">
                  <w:pPr>
                    <w:jc w:val="center"/>
                  </w:pPr>
                </w:p>
              </w:tc>
              <w:tc>
                <w:tcPr>
                  <w:tcW w:w="2300" w:type="pct"/>
                  <w:tcBorders>
                    <w:tl2br w:val="nil"/>
                    <w:tr2bl w:val="nil"/>
                  </w:tcBorders>
                  <w:vAlign w:val="center"/>
                </w:tcPr>
                <w:p w14:paraId="71172EAD">
                  <w:pPr>
                    <w:jc w:val="center"/>
                  </w:pPr>
                  <w:r>
                    <w:t>血液分析仪</w:t>
                  </w:r>
                </w:p>
              </w:tc>
              <w:tc>
                <w:tcPr>
                  <w:tcW w:w="1250" w:type="pct"/>
                  <w:tcBorders>
                    <w:tl2br w:val="nil"/>
                    <w:tr2bl w:val="nil"/>
                  </w:tcBorders>
                  <w:vAlign w:val="center"/>
                </w:tcPr>
                <w:p w14:paraId="2166890D">
                  <w:pPr>
                    <w:widowControl/>
                    <w:snapToGrid w:val="0"/>
                    <w:jc w:val="center"/>
                    <w:rPr>
                      <w:kern w:val="0"/>
                    </w:rPr>
                  </w:pPr>
                  <w:r>
                    <w:rPr>
                      <w:rFonts w:hint="eastAsia"/>
                      <w:kern w:val="0"/>
                    </w:rPr>
                    <w:t>1</w:t>
                  </w:r>
                </w:p>
              </w:tc>
            </w:tr>
            <w:tr w14:paraId="168CA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40CA305">
                  <w:pPr>
                    <w:numPr>
                      <w:ilvl w:val="0"/>
                      <w:numId w:val="2"/>
                    </w:numPr>
                    <w:jc w:val="center"/>
                  </w:pPr>
                </w:p>
              </w:tc>
              <w:tc>
                <w:tcPr>
                  <w:tcW w:w="1019" w:type="pct"/>
                  <w:vMerge w:val="continue"/>
                  <w:tcBorders>
                    <w:tl2br w:val="nil"/>
                    <w:tr2bl w:val="nil"/>
                  </w:tcBorders>
                  <w:vAlign w:val="center"/>
                </w:tcPr>
                <w:p w14:paraId="33D6DCA5">
                  <w:pPr>
                    <w:jc w:val="center"/>
                  </w:pPr>
                </w:p>
              </w:tc>
              <w:tc>
                <w:tcPr>
                  <w:tcW w:w="2300" w:type="pct"/>
                  <w:tcBorders>
                    <w:tl2br w:val="nil"/>
                    <w:tr2bl w:val="nil"/>
                  </w:tcBorders>
                  <w:vAlign w:val="center"/>
                </w:tcPr>
                <w:p w14:paraId="54DB7A03">
                  <w:pPr>
                    <w:jc w:val="center"/>
                  </w:pPr>
                  <w:r>
                    <w:t>经颅多普勒</w:t>
                  </w:r>
                </w:p>
              </w:tc>
              <w:tc>
                <w:tcPr>
                  <w:tcW w:w="1250" w:type="pct"/>
                  <w:tcBorders>
                    <w:tl2br w:val="nil"/>
                    <w:tr2bl w:val="nil"/>
                  </w:tcBorders>
                  <w:vAlign w:val="center"/>
                </w:tcPr>
                <w:p w14:paraId="02E4974A">
                  <w:pPr>
                    <w:widowControl/>
                    <w:snapToGrid w:val="0"/>
                    <w:jc w:val="center"/>
                    <w:rPr>
                      <w:kern w:val="0"/>
                    </w:rPr>
                  </w:pPr>
                  <w:r>
                    <w:rPr>
                      <w:rFonts w:hint="eastAsia"/>
                      <w:kern w:val="0"/>
                    </w:rPr>
                    <w:t>1</w:t>
                  </w:r>
                </w:p>
              </w:tc>
            </w:tr>
            <w:tr w14:paraId="592D8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2E2EDAE6">
                  <w:pPr>
                    <w:numPr>
                      <w:ilvl w:val="0"/>
                      <w:numId w:val="2"/>
                    </w:numPr>
                    <w:jc w:val="center"/>
                  </w:pPr>
                </w:p>
              </w:tc>
              <w:tc>
                <w:tcPr>
                  <w:tcW w:w="1019" w:type="pct"/>
                  <w:vMerge w:val="continue"/>
                  <w:tcBorders>
                    <w:tl2br w:val="nil"/>
                    <w:tr2bl w:val="nil"/>
                  </w:tcBorders>
                  <w:vAlign w:val="center"/>
                </w:tcPr>
                <w:p w14:paraId="56906891">
                  <w:pPr>
                    <w:jc w:val="center"/>
                  </w:pPr>
                </w:p>
              </w:tc>
              <w:tc>
                <w:tcPr>
                  <w:tcW w:w="2300" w:type="pct"/>
                  <w:tcBorders>
                    <w:tl2br w:val="nil"/>
                    <w:tr2bl w:val="nil"/>
                  </w:tcBorders>
                  <w:vAlign w:val="center"/>
                </w:tcPr>
                <w:p w14:paraId="7D0879A9">
                  <w:pPr>
                    <w:jc w:val="center"/>
                  </w:pPr>
                  <w:r>
                    <w:t>三导心电图机</w:t>
                  </w:r>
                </w:p>
              </w:tc>
              <w:tc>
                <w:tcPr>
                  <w:tcW w:w="1250" w:type="pct"/>
                  <w:tcBorders>
                    <w:tl2br w:val="nil"/>
                    <w:tr2bl w:val="nil"/>
                  </w:tcBorders>
                  <w:vAlign w:val="center"/>
                </w:tcPr>
                <w:p w14:paraId="49303351">
                  <w:pPr>
                    <w:widowControl/>
                    <w:snapToGrid w:val="0"/>
                    <w:jc w:val="center"/>
                    <w:rPr>
                      <w:kern w:val="0"/>
                    </w:rPr>
                  </w:pPr>
                  <w:r>
                    <w:rPr>
                      <w:rFonts w:hint="eastAsia"/>
                      <w:kern w:val="0"/>
                    </w:rPr>
                    <w:t>1</w:t>
                  </w:r>
                </w:p>
              </w:tc>
            </w:tr>
            <w:tr w14:paraId="6D648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362E8ED">
                  <w:pPr>
                    <w:numPr>
                      <w:ilvl w:val="0"/>
                      <w:numId w:val="2"/>
                    </w:numPr>
                    <w:jc w:val="center"/>
                  </w:pPr>
                </w:p>
              </w:tc>
              <w:tc>
                <w:tcPr>
                  <w:tcW w:w="1019" w:type="pct"/>
                  <w:vMerge w:val="continue"/>
                  <w:tcBorders>
                    <w:tl2br w:val="nil"/>
                    <w:tr2bl w:val="nil"/>
                  </w:tcBorders>
                  <w:vAlign w:val="center"/>
                </w:tcPr>
                <w:p w14:paraId="448E9EE5">
                  <w:pPr>
                    <w:jc w:val="center"/>
                  </w:pPr>
                </w:p>
              </w:tc>
              <w:tc>
                <w:tcPr>
                  <w:tcW w:w="2300" w:type="pct"/>
                  <w:tcBorders>
                    <w:tl2br w:val="nil"/>
                    <w:tr2bl w:val="nil"/>
                  </w:tcBorders>
                  <w:vAlign w:val="center"/>
                </w:tcPr>
                <w:p w14:paraId="2E728604">
                  <w:pPr>
                    <w:jc w:val="center"/>
                  </w:pPr>
                  <w:r>
                    <w:rPr>
                      <w:rFonts w:hint="eastAsia"/>
                    </w:rPr>
                    <w:t>尿液分析仪</w:t>
                  </w:r>
                </w:p>
              </w:tc>
              <w:tc>
                <w:tcPr>
                  <w:tcW w:w="1250" w:type="pct"/>
                  <w:tcBorders>
                    <w:tl2br w:val="nil"/>
                    <w:tr2bl w:val="nil"/>
                  </w:tcBorders>
                  <w:vAlign w:val="center"/>
                </w:tcPr>
                <w:p w14:paraId="7A8C2496">
                  <w:pPr>
                    <w:widowControl/>
                    <w:snapToGrid w:val="0"/>
                    <w:jc w:val="center"/>
                    <w:rPr>
                      <w:kern w:val="0"/>
                    </w:rPr>
                  </w:pPr>
                  <w:r>
                    <w:rPr>
                      <w:rFonts w:hint="eastAsia"/>
                      <w:kern w:val="0"/>
                    </w:rPr>
                    <w:t>1</w:t>
                  </w:r>
                </w:p>
              </w:tc>
            </w:tr>
            <w:tr w14:paraId="46A53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47E431A">
                  <w:pPr>
                    <w:numPr>
                      <w:ilvl w:val="0"/>
                      <w:numId w:val="2"/>
                    </w:numPr>
                    <w:jc w:val="center"/>
                  </w:pPr>
                </w:p>
              </w:tc>
              <w:tc>
                <w:tcPr>
                  <w:tcW w:w="1019" w:type="pct"/>
                  <w:vMerge w:val="continue"/>
                  <w:tcBorders>
                    <w:tl2br w:val="nil"/>
                    <w:tr2bl w:val="nil"/>
                  </w:tcBorders>
                  <w:vAlign w:val="center"/>
                </w:tcPr>
                <w:p w14:paraId="3AE102CE">
                  <w:pPr>
                    <w:jc w:val="center"/>
                  </w:pPr>
                </w:p>
              </w:tc>
              <w:tc>
                <w:tcPr>
                  <w:tcW w:w="2300" w:type="pct"/>
                  <w:tcBorders>
                    <w:tl2br w:val="nil"/>
                    <w:tr2bl w:val="nil"/>
                  </w:tcBorders>
                  <w:vAlign w:val="center"/>
                </w:tcPr>
                <w:p w14:paraId="653561D0">
                  <w:pPr>
                    <w:jc w:val="center"/>
                  </w:pPr>
                  <w:r>
                    <w:rPr>
                      <w:rFonts w:hint="eastAsia"/>
                    </w:rPr>
                    <w:t>血凝仪</w:t>
                  </w:r>
                </w:p>
              </w:tc>
              <w:tc>
                <w:tcPr>
                  <w:tcW w:w="1250" w:type="pct"/>
                  <w:tcBorders>
                    <w:tl2br w:val="nil"/>
                    <w:tr2bl w:val="nil"/>
                  </w:tcBorders>
                  <w:vAlign w:val="center"/>
                </w:tcPr>
                <w:p w14:paraId="4BF6659E">
                  <w:pPr>
                    <w:widowControl/>
                    <w:snapToGrid w:val="0"/>
                    <w:jc w:val="center"/>
                    <w:rPr>
                      <w:kern w:val="0"/>
                    </w:rPr>
                  </w:pPr>
                  <w:r>
                    <w:rPr>
                      <w:rFonts w:hint="eastAsia"/>
                      <w:kern w:val="0"/>
                    </w:rPr>
                    <w:t>1</w:t>
                  </w:r>
                </w:p>
              </w:tc>
            </w:tr>
            <w:tr w14:paraId="386EF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C54235B">
                  <w:pPr>
                    <w:numPr>
                      <w:ilvl w:val="0"/>
                      <w:numId w:val="2"/>
                    </w:numPr>
                    <w:jc w:val="center"/>
                  </w:pPr>
                </w:p>
              </w:tc>
              <w:tc>
                <w:tcPr>
                  <w:tcW w:w="1019" w:type="pct"/>
                  <w:vMerge w:val="continue"/>
                  <w:tcBorders>
                    <w:tl2br w:val="nil"/>
                    <w:tr2bl w:val="nil"/>
                  </w:tcBorders>
                  <w:vAlign w:val="center"/>
                </w:tcPr>
                <w:p w14:paraId="52DD3EE9">
                  <w:pPr>
                    <w:jc w:val="center"/>
                  </w:pPr>
                </w:p>
              </w:tc>
              <w:tc>
                <w:tcPr>
                  <w:tcW w:w="2300" w:type="pct"/>
                  <w:tcBorders>
                    <w:tl2br w:val="nil"/>
                    <w:tr2bl w:val="nil"/>
                  </w:tcBorders>
                  <w:vAlign w:val="center"/>
                </w:tcPr>
                <w:p w14:paraId="0CC35D38">
                  <w:pPr>
                    <w:jc w:val="center"/>
                  </w:pPr>
                  <w:r>
                    <w:t>电解质分析仪</w:t>
                  </w:r>
                </w:p>
              </w:tc>
              <w:tc>
                <w:tcPr>
                  <w:tcW w:w="1250" w:type="pct"/>
                  <w:tcBorders>
                    <w:tl2br w:val="nil"/>
                    <w:tr2bl w:val="nil"/>
                  </w:tcBorders>
                  <w:vAlign w:val="center"/>
                </w:tcPr>
                <w:p w14:paraId="3DDBE863">
                  <w:pPr>
                    <w:widowControl/>
                    <w:snapToGrid w:val="0"/>
                    <w:jc w:val="center"/>
                    <w:rPr>
                      <w:kern w:val="0"/>
                    </w:rPr>
                  </w:pPr>
                  <w:r>
                    <w:rPr>
                      <w:rFonts w:hint="eastAsia"/>
                      <w:kern w:val="0"/>
                    </w:rPr>
                    <w:t>1</w:t>
                  </w:r>
                </w:p>
              </w:tc>
            </w:tr>
            <w:tr w14:paraId="11406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14E8E2B7">
                  <w:pPr>
                    <w:numPr>
                      <w:ilvl w:val="0"/>
                      <w:numId w:val="2"/>
                    </w:numPr>
                    <w:jc w:val="center"/>
                  </w:pPr>
                </w:p>
              </w:tc>
              <w:tc>
                <w:tcPr>
                  <w:tcW w:w="1019" w:type="pct"/>
                  <w:vMerge w:val="continue"/>
                  <w:tcBorders>
                    <w:tl2br w:val="nil"/>
                    <w:tr2bl w:val="nil"/>
                  </w:tcBorders>
                  <w:vAlign w:val="center"/>
                </w:tcPr>
                <w:p w14:paraId="454E542E">
                  <w:pPr>
                    <w:jc w:val="center"/>
                  </w:pPr>
                </w:p>
              </w:tc>
              <w:tc>
                <w:tcPr>
                  <w:tcW w:w="2300" w:type="pct"/>
                  <w:tcBorders>
                    <w:tl2br w:val="nil"/>
                    <w:tr2bl w:val="nil"/>
                  </w:tcBorders>
                  <w:vAlign w:val="center"/>
                </w:tcPr>
                <w:p w14:paraId="69005069">
                  <w:pPr>
                    <w:jc w:val="center"/>
                  </w:pPr>
                  <w:r>
                    <w:t>脑电图仪</w:t>
                  </w:r>
                </w:p>
              </w:tc>
              <w:tc>
                <w:tcPr>
                  <w:tcW w:w="1250" w:type="pct"/>
                  <w:tcBorders>
                    <w:tl2br w:val="nil"/>
                    <w:tr2bl w:val="nil"/>
                  </w:tcBorders>
                  <w:vAlign w:val="center"/>
                </w:tcPr>
                <w:p w14:paraId="4C19B4F8">
                  <w:pPr>
                    <w:widowControl/>
                    <w:snapToGrid w:val="0"/>
                    <w:jc w:val="center"/>
                    <w:rPr>
                      <w:kern w:val="0"/>
                    </w:rPr>
                  </w:pPr>
                  <w:r>
                    <w:rPr>
                      <w:rFonts w:hint="eastAsia"/>
                      <w:kern w:val="0"/>
                    </w:rPr>
                    <w:t>1</w:t>
                  </w:r>
                </w:p>
              </w:tc>
            </w:tr>
            <w:tr w14:paraId="25531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6F89A5DD">
                  <w:pPr>
                    <w:numPr>
                      <w:ilvl w:val="0"/>
                      <w:numId w:val="2"/>
                    </w:numPr>
                    <w:jc w:val="center"/>
                  </w:pPr>
                </w:p>
              </w:tc>
              <w:tc>
                <w:tcPr>
                  <w:tcW w:w="1019" w:type="pct"/>
                  <w:vMerge w:val="continue"/>
                  <w:tcBorders>
                    <w:tl2br w:val="nil"/>
                    <w:tr2bl w:val="nil"/>
                  </w:tcBorders>
                  <w:vAlign w:val="center"/>
                </w:tcPr>
                <w:p w14:paraId="0EAD0214">
                  <w:pPr>
                    <w:jc w:val="center"/>
                  </w:pPr>
                </w:p>
              </w:tc>
              <w:tc>
                <w:tcPr>
                  <w:tcW w:w="2300" w:type="pct"/>
                  <w:tcBorders>
                    <w:tl2br w:val="nil"/>
                    <w:tr2bl w:val="nil"/>
                  </w:tcBorders>
                  <w:vAlign w:val="center"/>
                </w:tcPr>
                <w:p w14:paraId="1E35773C">
                  <w:pPr>
                    <w:jc w:val="center"/>
                  </w:pPr>
                  <w:r>
                    <w:t>麻醉呼吸机</w:t>
                  </w:r>
                </w:p>
              </w:tc>
              <w:tc>
                <w:tcPr>
                  <w:tcW w:w="1250" w:type="pct"/>
                  <w:tcBorders>
                    <w:tl2br w:val="nil"/>
                    <w:tr2bl w:val="nil"/>
                  </w:tcBorders>
                  <w:vAlign w:val="center"/>
                </w:tcPr>
                <w:p w14:paraId="042BF498">
                  <w:pPr>
                    <w:widowControl/>
                    <w:snapToGrid w:val="0"/>
                    <w:jc w:val="center"/>
                    <w:rPr>
                      <w:kern w:val="0"/>
                    </w:rPr>
                  </w:pPr>
                  <w:r>
                    <w:rPr>
                      <w:rFonts w:hint="eastAsia"/>
                      <w:kern w:val="0"/>
                    </w:rPr>
                    <w:t>1</w:t>
                  </w:r>
                </w:p>
              </w:tc>
            </w:tr>
            <w:tr w14:paraId="2C2C8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0082A7B4">
                  <w:pPr>
                    <w:numPr>
                      <w:ilvl w:val="0"/>
                      <w:numId w:val="2"/>
                    </w:numPr>
                    <w:jc w:val="center"/>
                  </w:pPr>
                </w:p>
              </w:tc>
              <w:tc>
                <w:tcPr>
                  <w:tcW w:w="1019" w:type="pct"/>
                  <w:vMerge w:val="continue"/>
                  <w:tcBorders>
                    <w:tl2br w:val="nil"/>
                    <w:tr2bl w:val="nil"/>
                  </w:tcBorders>
                  <w:vAlign w:val="center"/>
                </w:tcPr>
                <w:p w14:paraId="2F684F7A">
                  <w:pPr>
                    <w:jc w:val="center"/>
                  </w:pPr>
                </w:p>
              </w:tc>
              <w:tc>
                <w:tcPr>
                  <w:tcW w:w="2300" w:type="pct"/>
                  <w:tcBorders>
                    <w:tl2br w:val="nil"/>
                    <w:tr2bl w:val="nil"/>
                  </w:tcBorders>
                  <w:vAlign w:val="center"/>
                </w:tcPr>
                <w:p w14:paraId="4FBDBFCE">
                  <w:pPr>
                    <w:jc w:val="center"/>
                  </w:pPr>
                  <w:r>
                    <w:t>全自动生化仪</w:t>
                  </w:r>
                </w:p>
              </w:tc>
              <w:tc>
                <w:tcPr>
                  <w:tcW w:w="1250" w:type="pct"/>
                  <w:tcBorders>
                    <w:tl2br w:val="nil"/>
                    <w:tr2bl w:val="nil"/>
                  </w:tcBorders>
                  <w:vAlign w:val="center"/>
                </w:tcPr>
                <w:p w14:paraId="3D7427ED">
                  <w:pPr>
                    <w:widowControl/>
                    <w:snapToGrid w:val="0"/>
                    <w:jc w:val="center"/>
                    <w:rPr>
                      <w:kern w:val="0"/>
                    </w:rPr>
                  </w:pPr>
                  <w:r>
                    <w:rPr>
                      <w:rFonts w:hint="eastAsia"/>
                      <w:kern w:val="0"/>
                    </w:rPr>
                    <w:t>1</w:t>
                  </w:r>
                </w:p>
              </w:tc>
            </w:tr>
            <w:tr w14:paraId="7F7B2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37A11C4">
                  <w:pPr>
                    <w:numPr>
                      <w:ilvl w:val="0"/>
                      <w:numId w:val="2"/>
                    </w:numPr>
                    <w:jc w:val="center"/>
                  </w:pPr>
                </w:p>
              </w:tc>
              <w:tc>
                <w:tcPr>
                  <w:tcW w:w="1019" w:type="pct"/>
                  <w:vMerge w:val="continue"/>
                  <w:tcBorders>
                    <w:tl2br w:val="nil"/>
                    <w:tr2bl w:val="nil"/>
                  </w:tcBorders>
                  <w:vAlign w:val="center"/>
                </w:tcPr>
                <w:p w14:paraId="3D085C14">
                  <w:pPr>
                    <w:jc w:val="center"/>
                  </w:pPr>
                </w:p>
              </w:tc>
              <w:tc>
                <w:tcPr>
                  <w:tcW w:w="2300" w:type="pct"/>
                  <w:tcBorders>
                    <w:tl2br w:val="nil"/>
                    <w:tr2bl w:val="nil"/>
                  </w:tcBorders>
                  <w:vAlign w:val="center"/>
                </w:tcPr>
                <w:p w14:paraId="04C136DF">
                  <w:pPr>
                    <w:jc w:val="center"/>
                  </w:pPr>
                  <w:r>
                    <w:t>压缩空气式雾化器</w:t>
                  </w:r>
                </w:p>
              </w:tc>
              <w:tc>
                <w:tcPr>
                  <w:tcW w:w="1250" w:type="pct"/>
                  <w:tcBorders>
                    <w:tl2br w:val="nil"/>
                    <w:tr2bl w:val="nil"/>
                  </w:tcBorders>
                  <w:vAlign w:val="center"/>
                </w:tcPr>
                <w:p w14:paraId="0362C70E">
                  <w:pPr>
                    <w:widowControl/>
                    <w:snapToGrid w:val="0"/>
                    <w:jc w:val="center"/>
                    <w:rPr>
                      <w:kern w:val="0"/>
                    </w:rPr>
                  </w:pPr>
                  <w:r>
                    <w:rPr>
                      <w:rFonts w:hint="eastAsia"/>
                      <w:kern w:val="0"/>
                    </w:rPr>
                    <w:t>3</w:t>
                  </w:r>
                </w:p>
              </w:tc>
            </w:tr>
            <w:tr w14:paraId="13947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328E269A">
                  <w:pPr>
                    <w:numPr>
                      <w:ilvl w:val="0"/>
                      <w:numId w:val="2"/>
                    </w:numPr>
                    <w:jc w:val="center"/>
                  </w:pPr>
                </w:p>
              </w:tc>
              <w:tc>
                <w:tcPr>
                  <w:tcW w:w="1019" w:type="pct"/>
                  <w:vMerge w:val="continue"/>
                  <w:tcBorders>
                    <w:tl2br w:val="nil"/>
                    <w:tr2bl w:val="nil"/>
                  </w:tcBorders>
                  <w:vAlign w:val="center"/>
                </w:tcPr>
                <w:p w14:paraId="126BBEC9">
                  <w:pPr>
                    <w:jc w:val="center"/>
                  </w:pPr>
                </w:p>
              </w:tc>
              <w:tc>
                <w:tcPr>
                  <w:tcW w:w="2300" w:type="pct"/>
                  <w:tcBorders>
                    <w:tl2br w:val="nil"/>
                    <w:tr2bl w:val="nil"/>
                  </w:tcBorders>
                  <w:vAlign w:val="center"/>
                </w:tcPr>
                <w:p w14:paraId="4A82DA85">
                  <w:pPr>
                    <w:jc w:val="center"/>
                  </w:pPr>
                  <w:r>
                    <w:t>离心机</w:t>
                  </w:r>
                </w:p>
              </w:tc>
              <w:tc>
                <w:tcPr>
                  <w:tcW w:w="1250" w:type="pct"/>
                  <w:tcBorders>
                    <w:tl2br w:val="nil"/>
                    <w:tr2bl w:val="nil"/>
                  </w:tcBorders>
                  <w:vAlign w:val="center"/>
                </w:tcPr>
                <w:p w14:paraId="1905EE52">
                  <w:pPr>
                    <w:widowControl/>
                    <w:snapToGrid w:val="0"/>
                    <w:jc w:val="center"/>
                    <w:rPr>
                      <w:kern w:val="0"/>
                    </w:rPr>
                  </w:pPr>
                  <w:r>
                    <w:rPr>
                      <w:rFonts w:hint="eastAsia"/>
                      <w:kern w:val="0"/>
                    </w:rPr>
                    <w:t>1</w:t>
                  </w:r>
                </w:p>
              </w:tc>
            </w:tr>
            <w:tr w14:paraId="58A25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198238E">
                  <w:pPr>
                    <w:numPr>
                      <w:ilvl w:val="0"/>
                      <w:numId w:val="2"/>
                    </w:numPr>
                    <w:jc w:val="center"/>
                  </w:pPr>
                </w:p>
              </w:tc>
              <w:tc>
                <w:tcPr>
                  <w:tcW w:w="1019" w:type="pct"/>
                  <w:vMerge w:val="continue"/>
                  <w:tcBorders>
                    <w:tl2br w:val="nil"/>
                    <w:tr2bl w:val="nil"/>
                  </w:tcBorders>
                  <w:vAlign w:val="center"/>
                </w:tcPr>
                <w:p w14:paraId="0498DE59">
                  <w:pPr>
                    <w:jc w:val="center"/>
                  </w:pPr>
                </w:p>
              </w:tc>
              <w:tc>
                <w:tcPr>
                  <w:tcW w:w="2300" w:type="pct"/>
                  <w:tcBorders>
                    <w:tl2br w:val="nil"/>
                    <w:tr2bl w:val="nil"/>
                  </w:tcBorders>
                  <w:vAlign w:val="center"/>
                </w:tcPr>
                <w:p w14:paraId="7796B50D">
                  <w:pPr>
                    <w:jc w:val="center"/>
                  </w:pPr>
                  <w:r>
                    <w:rPr>
                      <w:rFonts w:hint="eastAsia"/>
                    </w:rPr>
                    <w:t>呼吸麻醉机</w:t>
                  </w:r>
                </w:p>
              </w:tc>
              <w:tc>
                <w:tcPr>
                  <w:tcW w:w="1250" w:type="pct"/>
                  <w:tcBorders>
                    <w:tl2br w:val="nil"/>
                    <w:tr2bl w:val="nil"/>
                  </w:tcBorders>
                  <w:vAlign w:val="center"/>
                </w:tcPr>
                <w:p w14:paraId="6BACA0D1">
                  <w:pPr>
                    <w:widowControl/>
                    <w:snapToGrid w:val="0"/>
                    <w:jc w:val="center"/>
                    <w:rPr>
                      <w:kern w:val="0"/>
                    </w:rPr>
                  </w:pPr>
                  <w:r>
                    <w:rPr>
                      <w:rFonts w:hint="eastAsia"/>
                      <w:kern w:val="0"/>
                    </w:rPr>
                    <w:t>1</w:t>
                  </w:r>
                </w:p>
              </w:tc>
            </w:tr>
            <w:tr w14:paraId="44FA7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67F350E9">
                  <w:pPr>
                    <w:numPr>
                      <w:ilvl w:val="0"/>
                      <w:numId w:val="2"/>
                    </w:numPr>
                    <w:jc w:val="center"/>
                  </w:pPr>
                </w:p>
              </w:tc>
              <w:tc>
                <w:tcPr>
                  <w:tcW w:w="1019" w:type="pct"/>
                  <w:vMerge w:val="continue"/>
                  <w:tcBorders>
                    <w:tl2br w:val="nil"/>
                    <w:tr2bl w:val="nil"/>
                  </w:tcBorders>
                  <w:vAlign w:val="center"/>
                </w:tcPr>
                <w:p w14:paraId="7C73E364">
                  <w:pPr>
                    <w:jc w:val="center"/>
                  </w:pPr>
                </w:p>
              </w:tc>
              <w:tc>
                <w:tcPr>
                  <w:tcW w:w="2300" w:type="pct"/>
                  <w:tcBorders>
                    <w:tl2br w:val="nil"/>
                    <w:tr2bl w:val="nil"/>
                  </w:tcBorders>
                  <w:vAlign w:val="center"/>
                </w:tcPr>
                <w:p w14:paraId="04E770FD">
                  <w:pPr>
                    <w:jc w:val="center"/>
                  </w:pPr>
                  <w:r>
                    <w:rPr>
                      <w:rFonts w:hint="eastAsia"/>
                    </w:rPr>
                    <w:t>显微镜</w:t>
                  </w:r>
                </w:p>
              </w:tc>
              <w:tc>
                <w:tcPr>
                  <w:tcW w:w="1250" w:type="pct"/>
                  <w:tcBorders>
                    <w:tl2br w:val="nil"/>
                    <w:tr2bl w:val="nil"/>
                  </w:tcBorders>
                  <w:vAlign w:val="center"/>
                </w:tcPr>
                <w:p w14:paraId="3DE63E8D">
                  <w:pPr>
                    <w:widowControl/>
                    <w:snapToGrid w:val="0"/>
                    <w:jc w:val="center"/>
                    <w:rPr>
                      <w:kern w:val="0"/>
                    </w:rPr>
                  </w:pPr>
                  <w:r>
                    <w:rPr>
                      <w:rFonts w:hint="eastAsia"/>
                      <w:kern w:val="0"/>
                    </w:rPr>
                    <w:t>1</w:t>
                  </w:r>
                </w:p>
              </w:tc>
            </w:tr>
            <w:tr w14:paraId="3C936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58308040">
                  <w:pPr>
                    <w:numPr>
                      <w:ilvl w:val="0"/>
                      <w:numId w:val="2"/>
                    </w:numPr>
                    <w:jc w:val="center"/>
                  </w:pPr>
                </w:p>
              </w:tc>
              <w:tc>
                <w:tcPr>
                  <w:tcW w:w="1019" w:type="pct"/>
                  <w:vMerge w:val="continue"/>
                  <w:tcBorders>
                    <w:tl2br w:val="nil"/>
                    <w:tr2bl w:val="nil"/>
                  </w:tcBorders>
                  <w:vAlign w:val="center"/>
                </w:tcPr>
                <w:p w14:paraId="57B50E63">
                  <w:pPr>
                    <w:jc w:val="center"/>
                  </w:pPr>
                </w:p>
              </w:tc>
              <w:tc>
                <w:tcPr>
                  <w:tcW w:w="2300" w:type="pct"/>
                  <w:tcBorders>
                    <w:tl2br w:val="nil"/>
                    <w:tr2bl w:val="nil"/>
                  </w:tcBorders>
                  <w:vAlign w:val="center"/>
                </w:tcPr>
                <w:p w14:paraId="57F5BE76">
                  <w:pPr>
                    <w:jc w:val="center"/>
                  </w:pPr>
                  <w:r>
                    <w:rPr>
                      <w:rFonts w:hint="eastAsia"/>
                    </w:rPr>
                    <w:t>电动洗胃机</w:t>
                  </w:r>
                </w:p>
              </w:tc>
              <w:tc>
                <w:tcPr>
                  <w:tcW w:w="1250" w:type="pct"/>
                  <w:tcBorders>
                    <w:tl2br w:val="nil"/>
                    <w:tr2bl w:val="nil"/>
                  </w:tcBorders>
                  <w:vAlign w:val="center"/>
                </w:tcPr>
                <w:p w14:paraId="09988E2F">
                  <w:pPr>
                    <w:widowControl/>
                    <w:snapToGrid w:val="0"/>
                    <w:jc w:val="center"/>
                    <w:rPr>
                      <w:kern w:val="0"/>
                    </w:rPr>
                  </w:pPr>
                  <w:r>
                    <w:rPr>
                      <w:rFonts w:hint="eastAsia"/>
                      <w:kern w:val="0"/>
                    </w:rPr>
                    <w:t>2</w:t>
                  </w:r>
                </w:p>
              </w:tc>
            </w:tr>
            <w:tr w14:paraId="006A3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7E1654C0">
                  <w:pPr>
                    <w:numPr>
                      <w:ilvl w:val="0"/>
                      <w:numId w:val="2"/>
                    </w:numPr>
                    <w:jc w:val="center"/>
                  </w:pPr>
                </w:p>
              </w:tc>
              <w:tc>
                <w:tcPr>
                  <w:tcW w:w="1019" w:type="pct"/>
                  <w:vMerge w:val="continue"/>
                  <w:tcBorders>
                    <w:tl2br w:val="nil"/>
                    <w:tr2bl w:val="nil"/>
                  </w:tcBorders>
                  <w:vAlign w:val="center"/>
                </w:tcPr>
                <w:p w14:paraId="39BE3BB7">
                  <w:pPr>
                    <w:jc w:val="center"/>
                  </w:pPr>
                </w:p>
              </w:tc>
              <w:tc>
                <w:tcPr>
                  <w:tcW w:w="2300" w:type="pct"/>
                  <w:tcBorders>
                    <w:tl2br w:val="nil"/>
                    <w:tr2bl w:val="nil"/>
                  </w:tcBorders>
                  <w:vAlign w:val="center"/>
                </w:tcPr>
                <w:p w14:paraId="5205BFF5">
                  <w:pPr>
                    <w:jc w:val="center"/>
                  </w:pPr>
                  <w:r>
                    <w:rPr>
                      <w:rFonts w:hint="eastAsia"/>
                    </w:rPr>
                    <w:t>便携式吸痰器</w:t>
                  </w:r>
                </w:p>
              </w:tc>
              <w:tc>
                <w:tcPr>
                  <w:tcW w:w="1250" w:type="pct"/>
                  <w:tcBorders>
                    <w:tl2br w:val="nil"/>
                    <w:tr2bl w:val="nil"/>
                  </w:tcBorders>
                  <w:vAlign w:val="center"/>
                </w:tcPr>
                <w:p w14:paraId="41A20A19">
                  <w:pPr>
                    <w:widowControl/>
                    <w:snapToGrid w:val="0"/>
                    <w:jc w:val="center"/>
                    <w:rPr>
                      <w:kern w:val="0"/>
                    </w:rPr>
                  </w:pPr>
                  <w:r>
                    <w:rPr>
                      <w:rFonts w:hint="eastAsia"/>
                      <w:kern w:val="0"/>
                    </w:rPr>
                    <w:t>4</w:t>
                  </w:r>
                </w:p>
              </w:tc>
            </w:tr>
            <w:tr w14:paraId="5D628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04DC5300">
                  <w:pPr>
                    <w:numPr>
                      <w:ilvl w:val="0"/>
                      <w:numId w:val="2"/>
                    </w:numPr>
                    <w:jc w:val="center"/>
                  </w:pPr>
                </w:p>
              </w:tc>
              <w:tc>
                <w:tcPr>
                  <w:tcW w:w="1019" w:type="pct"/>
                  <w:vMerge w:val="continue"/>
                  <w:tcBorders>
                    <w:tl2br w:val="nil"/>
                    <w:tr2bl w:val="nil"/>
                  </w:tcBorders>
                  <w:vAlign w:val="center"/>
                </w:tcPr>
                <w:p w14:paraId="1368CB0B">
                  <w:pPr>
                    <w:jc w:val="center"/>
                  </w:pPr>
                </w:p>
              </w:tc>
              <w:tc>
                <w:tcPr>
                  <w:tcW w:w="2300" w:type="pct"/>
                  <w:tcBorders>
                    <w:tl2br w:val="nil"/>
                    <w:tr2bl w:val="nil"/>
                  </w:tcBorders>
                  <w:vAlign w:val="center"/>
                </w:tcPr>
                <w:p w14:paraId="36423222">
                  <w:pPr>
                    <w:jc w:val="center"/>
                  </w:pPr>
                  <w:r>
                    <w:rPr>
                      <w:rFonts w:hint="eastAsia"/>
                    </w:rPr>
                    <w:t>生物安全柜</w:t>
                  </w:r>
                </w:p>
              </w:tc>
              <w:tc>
                <w:tcPr>
                  <w:tcW w:w="1250" w:type="pct"/>
                  <w:tcBorders>
                    <w:tl2br w:val="nil"/>
                    <w:tr2bl w:val="nil"/>
                  </w:tcBorders>
                  <w:vAlign w:val="center"/>
                </w:tcPr>
                <w:p w14:paraId="248A0159">
                  <w:pPr>
                    <w:widowControl/>
                    <w:snapToGrid w:val="0"/>
                    <w:jc w:val="center"/>
                    <w:rPr>
                      <w:kern w:val="0"/>
                    </w:rPr>
                  </w:pPr>
                  <w:r>
                    <w:rPr>
                      <w:rFonts w:hint="eastAsia"/>
                      <w:kern w:val="0"/>
                    </w:rPr>
                    <w:t>1</w:t>
                  </w:r>
                </w:p>
              </w:tc>
            </w:tr>
            <w:tr w14:paraId="39FC4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289AE4FC">
                  <w:pPr>
                    <w:numPr>
                      <w:ilvl w:val="0"/>
                      <w:numId w:val="2"/>
                    </w:numPr>
                    <w:jc w:val="center"/>
                  </w:pPr>
                </w:p>
              </w:tc>
              <w:tc>
                <w:tcPr>
                  <w:tcW w:w="1019" w:type="pct"/>
                  <w:vMerge w:val="continue"/>
                  <w:tcBorders>
                    <w:tl2br w:val="nil"/>
                    <w:tr2bl w:val="nil"/>
                  </w:tcBorders>
                  <w:vAlign w:val="center"/>
                </w:tcPr>
                <w:p w14:paraId="594F6E63">
                  <w:pPr>
                    <w:jc w:val="center"/>
                  </w:pPr>
                </w:p>
              </w:tc>
              <w:tc>
                <w:tcPr>
                  <w:tcW w:w="2300" w:type="pct"/>
                  <w:tcBorders>
                    <w:tl2br w:val="nil"/>
                    <w:tr2bl w:val="nil"/>
                  </w:tcBorders>
                  <w:vAlign w:val="center"/>
                </w:tcPr>
                <w:p w14:paraId="574AB9CF">
                  <w:pPr>
                    <w:jc w:val="center"/>
                  </w:pPr>
                  <w:r>
                    <w:rPr>
                      <w:rFonts w:hint="eastAsia"/>
                    </w:rPr>
                    <w:t>DR</w:t>
                  </w:r>
                </w:p>
              </w:tc>
              <w:tc>
                <w:tcPr>
                  <w:tcW w:w="1250" w:type="pct"/>
                  <w:tcBorders>
                    <w:tl2br w:val="nil"/>
                    <w:tr2bl w:val="nil"/>
                  </w:tcBorders>
                  <w:vAlign w:val="center"/>
                </w:tcPr>
                <w:p w14:paraId="68C71EFA">
                  <w:pPr>
                    <w:widowControl/>
                    <w:snapToGrid w:val="0"/>
                    <w:jc w:val="center"/>
                    <w:rPr>
                      <w:kern w:val="0"/>
                    </w:rPr>
                  </w:pPr>
                  <w:r>
                    <w:rPr>
                      <w:rFonts w:hint="eastAsia"/>
                      <w:kern w:val="0"/>
                    </w:rPr>
                    <w:t>1</w:t>
                  </w:r>
                </w:p>
              </w:tc>
            </w:tr>
            <w:tr w14:paraId="3A93B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1D8D0EC4">
                  <w:pPr>
                    <w:numPr>
                      <w:ilvl w:val="0"/>
                      <w:numId w:val="2"/>
                    </w:numPr>
                    <w:jc w:val="center"/>
                  </w:pPr>
                </w:p>
              </w:tc>
              <w:tc>
                <w:tcPr>
                  <w:tcW w:w="1019" w:type="pct"/>
                  <w:vMerge w:val="continue"/>
                  <w:tcBorders>
                    <w:tl2br w:val="nil"/>
                    <w:tr2bl w:val="nil"/>
                  </w:tcBorders>
                  <w:vAlign w:val="center"/>
                </w:tcPr>
                <w:p w14:paraId="477C2D66">
                  <w:pPr>
                    <w:jc w:val="center"/>
                  </w:pPr>
                </w:p>
              </w:tc>
              <w:tc>
                <w:tcPr>
                  <w:tcW w:w="2300" w:type="pct"/>
                  <w:tcBorders>
                    <w:tl2br w:val="nil"/>
                    <w:tr2bl w:val="nil"/>
                  </w:tcBorders>
                  <w:vAlign w:val="center"/>
                </w:tcPr>
                <w:p w14:paraId="01E684BD">
                  <w:pPr>
                    <w:jc w:val="center"/>
                  </w:pPr>
                  <w:r>
                    <w:rPr>
                      <w:rFonts w:hint="eastAsia"/>
                    </w:rPr>
                    <w:t>全自动离心机</w:t>
                  </w:r>
                </w:p>
              </w:tc>
              <w:tc>
                <w:tcPr>
                  <w:tcW w:w="1250" w:type="pct"/>
                  <w:tcBorders>
                    <w:tl2br w:val="nil"/>
                    <w:tr2bl w:val="nil"/>
                  </w:tcBorders>
                  <w:vAlign w:val="center"/>
                </w:tcPr>
                <w:p w14:paraId="037F029B">
                  <w:pPr>
                    <w:widowControl/>
                    <w:snapToGrid w:val="0"/>
                    <w:jc w:val="center"/>
                    <w:rPr>
                      <w:kern w:val="0"/>
                    </w:rPr>
                  </w:pPr>
                  <w:r>
                    <w:rPr>
                      <w:rFonts w:hint="eastAsia"/>
                      <w:kern w:val="0"/>
                    </w:rPr>
                    <w:t>1</w:t>
                  </w:r>
                </w:p>
              </w:tc>
            </w:tr>
            <w:tr w14:paraId="7B9F4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F649DFE">
                  <w:pPr>
                    <w:numPr>
                      <w:ilvl w:val="0"/>
                      <w:numId w:val="2"/>
                    </w:numPr>
                    <w:jc w:val="center"/>
                  </w:pPr>
                </w:p>
              </w:tc>
              <w:tc>
                <w:tcPr>
                  <w:tcW w:w="1019" w:type="pct"/>
                  <w:vMerge w:val="continue"/>
                  <w:tcBorders>
                    <w:tl2br w:val="nil"/>
                    <w:tr2bl w:val="nil"/>
                  </w:tcBorders>
                  <w:vAlign w:val="center"/>
                </w:tcPr>
                <w:p w14:paraId="620DF97B">
                  <w:pPr>
                    <w:jc w:val="center"/>
                  </w:pPr>
                </w:p>
              </w:tc>
              <w:tc>
                <w:tcPr>
                  <w:tcW w:w="2300" w:type="pct"/>
                  <w:tcBorders>
                    <w:tl2br w:val="nil"/>
                    <w:tr2bl w:val="nil"/>
                  </w:tcBorders>
                  <w:vAlign w:val="center"/>
                </w:tcPr>
                <w:p w14:paraId="4D28C637">
                  <w:pPr>
                    <w:jc w:val="center"/>
                  </w:pPr>
                  <w:r>
                    <w:rPr>
                      <w:rFonts w:hint="eastAsia"/>
                    </w:rPr>
                    <w:t>恒温水箱</w:t>
                  </w:r>
                </w:p>
              </w:tc>
              <w:tc>
                <w:tcPr>
                  <w:tcW w:w="1250" w:type="pct"/>
                  <w:tcBorders>
                    <w:tl2br w:val="nil"/>
                    <w:tr2bl w:val="nil"/>
                  </w:tcBorders>
                  <w:vAlign w:val="center"/>
                </w:tcPr>
                <w:p w14:paraId="3049005A">
                  <w:pPr>
                    <w:widowControl/>
                    <w:snapToGrid w:val="0"/>
                    <w:jc w:val="center"/>
                    <w:rPr>
                      <w:kern w:val="0"/>
                    </w:rPr>
                  </w:pPr>
                  <w:r>
                    <w:rPr>
                      <w:rFonts w:hint="eastAsia"/>
                      <w:kern w:val="0"/>
                    </w:rPr>
                    <w:t>1</w:t>
                  </w:r>
                </w:p>
              </w:tc>
            </w:tr>
            <w:tr w14:paraId="7CDE6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280FF6BD">
                  <w:pPr>
                    <w:numPr>
                      <w:ilvl w:val="0"/>
                      <w:numId w:val="2"/>
                    </w:numPr>
                    <w:jc w:val="center"/>
                  </w:pPr>
                </w:p>
              </w:tc>
              <w:tc>
                <w:tcPr>
                  <w:tcW w:w="1019" w:type="pct"/>
                  <w:vMerge w:val="continue"/>
                  <w:tcBorders>
                    <w:tl2br w:val="nil"/>
                    <w:tr2bl w:val="nil"/>
                  </w:tcBorders>
                  <w:vAlign w:val="center"/>
                </w:tcPr>
                <w:p w14:paraId="077989E7">
                  <w:pPr>
                    <w:jc w:val="center"/>
                  </w:pPr>
                </w:p>
              </w:tc>
              <w:tc>
                <w:tcPr>
                  <w:tcW w:w="2300" w:type="pct"/>
                  <w:tcBorders>
                    <w:tl2br w:val="nil"/>
                    <w:tr2bl w:val="nil"/>
                  </w:tcBorders>
                  <w:vAlign w:val="center"/>
                </w:tcPr>
                <w:p w14:paraId="5CAC2334">
                  <w:pPr>
                    <w:jc w:val="center"/>
                  </w:pPr>
                  <w:r>
                    <w:rPr>
                      <w:rFonts w:hint="eastAsia"/>
                    </w:rPr>
                    <w:t>尿沉渣仪</w:t>
                  </w:r>
                </w:p>
              </w:tc>
              <w:tc>
                <w:tcPr>
                  <w:tcW w:w="1250" w:type="pct"/>
                  <w:tcBorders>
                    <w:tl2br w:val="nil"/>
                    <w:tr2bl w:val="nil"/>
                  </w:tcBorders>
                  <w:vAlign w:val="center"/>
                </w:tcPr>
                <w:p w14:paraId="52CF7C3F">
                  <w:pPr>
                    <w:widowControl/>
                    <w:snapToGrid w:val="0"/>
                    <w:jc w:val="center"/>
                    <w:rPr>
                      <w:kern w:val="0"/>
                    </w:rPr>
                  </w:pPr>
                  <w:r>
                    <w:rPr>
                      <w:rFonts w:hint="eastAsia"/>
                      <w:kern w:val="0"/>
                    </w:rPr>
                    <w:t>1</w:t>
                  </w:r>
                </w:p>
              </w:tc>
            </w:tr>
            <w:tr w14:paraId="03826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7C41263E">
                  <w:pPr>
                    <w:numPr>
                      <w:ilvl w:val="0"/>
                      <w:numId w:val="2"/>
                    </w:numPr>
                    <w:jc w:val="center"/>
                  </w:pPr>
                </w:p>
              </w:tc>
              <w:tc>
                <w:tcPr>
                  <w:tcW w:w="1019" w:type="pct"/>
                  <w:vMerge w:val="continue"/>
                  <w:tcBorders>
                    <w:tl2br w:val="nil"/>
                    <w:tr2bl w:val="nil"/>
                  </w:tcBorders>
                  <w:vAlign w:val="center"/>
                </w:tcPr>
                <w:p w14:paraId="6A651653">
                  <w:pPr>
                    <w:jc w:val="center"/>
                  </w:pPr>
                </w:p>
              </w:tc>
              <w:tc>
                <w:tcPr>
                  <w:tcW w:w="2300" w:type="pct"/>
                  <w:tcBorders>
                    <w:tl2br w:val="nil"/>
                    <w:tr2bl w:val="nil"/>
                  </w:tcBorders>
                  <w:vAlign w:val="center"/>
                </w:tcPr>
                <w:p w14:paraId="43166D75">
                  <w:pPr>
                    <w:jc w:val="center"/>
                  </w:pPr>
                  <w:r>
                    <w:rPr>
                      <w:rFonts w:hint="eastAsia"/>
                    </w:rPr>
                    <w:t>显微镜</w:t>
                  </w:r>
                </w:p>
              </w:tc>
              <w:tc>
                <w:tcPr>
                  <w:tcW w:w="1250" w:type="pct"/>
                  <w:tcBorders>
                    <w:tl2br w:val="nil"/>
                    <w:tr2bl w:val="nil"/>
                  </w:tcBorders>
                  <w:vAlign w:val="center"/>
                </w:tcPr>
                <w:p w14:paraId="4E71EC48">
                  <w:pPr>
                    <w:widowControl/>
                    <w:snapToGrid w:val="0"/>
                    <w:jc w:val="center"/>
                    <w:rPr>
                      <w:kern w:val="0"/>
                    </w:rPr>
                  </w:pPr>
                  <w:r>
                    <w:rPr>
                      <w:rFonts w:hint="eastAsia"/>
                      <w:kern w:val="0"/>
                    </w:rPr>
                    <w:t>1</w:t>
                  </w:r>
                </w:p>
              </w:tc>
            </w:tr>
            <w:tr w14:paraId="02993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3D41B8F2">
                  <w:pPr>
                    <w:numPr>
                      <w:ilvl w:val="0"/>
                      <w:numId w:val="2"/>
                    </w:numPr>
                    <w:jc w:val="center"/>
                  </w:pPr>
                </w:p>
              </w:tc>
              <w:tc>
                <w:tcPr>
                  <w:tcW w:w="1019" w:type="pct"/>
                  <w:vMerge w:val="continue"/>
                  <w:tcBorders>
                    <w:tl2br w:val="nil"/>
                    <w:tr2bl w:val="nil"/>
                  </w:tcBorders>
                  <w:vAlign w:val="center"/>
                </w:tcPr>
                <w:p w14:paraId="1D60EB91">
                  <w:pPr>
                    <w:jc w:val="center"/>
                  </w:pPr>
                </w:p>
              </w:tc>
              <w:tc>
                <w:tcPr>
                  <w:tcW w:w="2300" w:type="pct"/>
                  <w:tcBorders>
                    <w:tl2br w:val="nil"/>
                    <w:tr2bl w:val="nil"/>
                  </w:tcBorders>
                  <w:vAlign w:val="center"/>
                </w:tcPr>
                <w:p w14:paraId="2A39D060">
                  <w:pPr>
                    <w:jc w:val="center"/>
                  </w:pPr>
                  <w:r>
                    <w:rPr>
                      <w:rFonts w:hint="eastAsia"/>
                    </w:rPr>
                    <w:t>储血冰箱</w:t>
                  </w:r>
                </w:p>
              </w:tc>
              <w:tc>
                <w:tcPr>
                  <w:tcW w:w="1250" w:type="pct"/>
                  <w:tcBorders>
                    <w:tl2br w:val="nil"/>
                    <w:tr2bl w:val="nil"/>
                  </w:tcBorders>
                  <w:vAlign w:val="center"/>
                </w:tcPr>
                <w:p w14:paraId="06FBBD48">
                  <w:pPr>
                    <w:widowControl/>
                    <w:snapToGrid w:val="0"/>
                    <w:jc w:val="center"/>
                    <w:rPr>
                      <w:kern w:val="0"/>
                    </w:rPr>
                  </w:pPr>
                  <w:r>
                    <w:rPr>
                      <w:rFonts w:hint="eastAsia"/>
                      <w:kern w:val="0"/>
                    </w:rPr>
                    <w:t>1</w:t>
                  </w:r>
                </w:p>
              </w:tc>
            </w:tr>
            <w:tr w14:paraId="53901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A8B2E15">
                  <w:pPr>
                    <w:numPr>
                      <w:ilvl w:val="0"/>
                      <w:numId w:val="2"/>
                    </w:numPr>
                    <w:jc w:val="center"/>
                  </w:pPr>
                </w:p>
              </w:tc>
              <w:tc>
                <w:tcPr>
                  <w:tcW w:w="1019" w:type="pct"/>
                  <w:vMerge w:val="continue"/>
                  <w:tcBorders>
                    <w:tl2br w:val="nil"/>
                    <w:tr2bl w:val="nil"/>
                  </w:tcBorders>
                  <w:vAlign w:val="center"/>
                </w:tcPr>
                <w:p w14:paraId="5873A968">
                  <w:pPr>
                    <w:jc w:val="center"/>
                  </w:pPr>
                </w:p>
              </w:tc>
              <w:tc>
                <w:tcPr>
                  <w:tcW w:w="2300" w:type="pct"/>
                  <w:tcBorders>
                    <w:tl2br w:val="nil"/>
                    <w:tr2bl w:val="nil"/>
                  </w:tcBorders>
                  <w:vAlign w:val="center"/>
                </w:tcPr>
                <w:p w14:paraId="6836DA17">
                  <w:pPr>
                    <w:jc w:val="center"/>
                  </w:pPr>
                  <w:r>
                    <w:rPr>
                      <w:rFonts w:hint="eastAsia"/>
                    </w:rPr>
                    <w:t>卡式合血离心机</w:t>
                  </w:r>
                </w:p>
              </w:tc>
              <w:tc>
                <w:tcPr>
                  <w:tcW w:w="1250" w:type="pct"/>
                  <w:tcBorders>
                    <w:tl2br w:val="nil"/>
                    <w:tr2bl w:val="nil"/>
                  </w:tcBorders>
                  <w:vAlign w:val="center"/>
                </w:tcPr>
                <w:p w14:paraId="1B597FFF">
                  <w:pPr>
                    <w:widowControl/>
                    <w:snapToGrid w:val="0"/>
                    <w:jc w:val="center"/>
                    <w:rPr>
                      <w:kern w:val="0"/>
                    </w:rPr>
                  </w:pPr>
                  <w:r>
                    <w:rPr>
                      <w:rFonts w:hint="eastAsia"/>
                      <w:kern w:val="0"/>
                    </w:rPr>
                    <w:t>1</w:t>
                  </w:r>
                </w:p>
              </w:tc>
            </w:tr>
            <w:tr w14:paraId="0007D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592B7982">
                  <w:pPr>
                    <w:numPr>
                      <w:ilvl w:val="0"/>
                      <w:numId w:val="2"/>
                    </w:numPr>
                    <w:jc w:val="center"/>
                  </w:pPr>
                </w:p>
              </w:tc>
              <w:tc>
                <w:tcPr>
                  <w:tcW w:w="1019" w:type="pct"/>
                  <w:vMerge w:val="continue"/>
                  <w:tcBorders>
                    <w:tl2br w:val="nil"/>
                    <w:tr2bl w:val="nil"/>
                  </w:tcBorders>
                  <w:vAlign w:val="center"/>
                </w:tcPr>
                <w:p w14:paraId="73E14771">
                  <w:pPr>
                    <w:jc w:val="center"/>
                  </w:pPr>
                </w:p>
              </w:tc>
              <w:tc>
                <w:tcPr>
                  <w:tcW w:w="2300" w:type="pct"/>
                  <w:tcBorders>
                    <w:tl2br w:val="nil"/>
                    <w:tr2bl w:val="nil"/>
                  </w:tcBorders>
                  <w:vAlign w:val="center"/>
                </w:tcPr>
                <w:p w14:paraId="247EA460">
                  <w:pPr>
                    <w:jc w:val="center"/>
                  </w:pPr>
                  <w:r>
                    <w:t>全自动化学发光仪</w:t>
                  </w:r>
                </w:p>
              </w:tc>
              <w:tc>
                <w:tcPr>
                  <w:tcW w:w="1250" w:type="pct"/>
                  <w:tcBorders>
                    <w:tl2br w:val="nil"/>
                    <w:tr2bl w:val="nil"/>
                  </w:tcBorders>
                  <w:vAlign w:val="center"/>
                </w:tcPr>
                <w:p w14:paraId="2974C720">
                  <w:pPr>
                    <w:widowControl/>
                    <w:snapToGrid w:val="0"/>
                    <w:jc w:val="center"/>
                    <w:rPr>
                      <w:kern w:val="0"/>
                    </w:rPr>
                  </w:pPr>
                  <w:r>
                    <w:rPr>
                      <w:rFonts w:hint="eastAsia"/>
                      <w:kern w:val="0"/>
                    </w:rPr>
                    <w:t>1</w:t>
                  </w:r>
                </w:p>
              </w:tc>
            </w:tr>
            <w:tr w14:paraId="40924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8F7958D">
                  <w:pPr>
                    <w:numPr>
                      <w:ilvl w:val="0"/>
                      <w:numId w:val="2"/>
                    </w:numPr>
                    <w:jc w:val="center"/>
                  </w:pPr>
                </w:p>
              </w:tc>
              <w:tc>
                <w:tcPr>
                  <w:tcW w:w="1019" w:type="pct"/>
                  <w:vMerge w:val="continue"/>
                  <w:tcBorders>
                    <w:tl2br w:val="nil"/>
                    <w:tr2bl w:val="nil"/>
                  </w:tcBorders>
                  <w:vAlign w:val="center"/>
                </w:tcPr>
                <w:p w14:paraId="5D312D38">
                  <w:pPr>
                    <w:jc w:val="center"/>
                  </w:pPr>
                </w:p>
              </w:tc>
              <w:tc>
                <w:tcPr>
                  <w:tcW w:w="2300" w:type="pct"/>
                  <w:tcBorders>
                    <w:tl2br w:val="nil"/>
                    <w:tr2bl w:val="nil"/>
                  </w:tcBorders>
                  <w:vAlign w:val="center"/>
                </w:tcPr>
                <w:p w14:paraId="42A0B381">
                  <w:pPr>
                    <w:jc w:val="center"/>
                  </w:pPr>
                  <w:r>
                    <w:t>流式细胞分析仪</w:t>
                  </w:r>
                </w:p>
              </w:tc>
              <w:tc>
                <w:tcPr>
                  <w:tcW w:w="1250" w:type="pct"/>
                  <w:tcBorders>
                    <w:tl2br w:val="nil"/>
                    <w:tr2bl w:val="nil"/>
                  </w:tcBorders>
                  <w:vAlign w:val="center"/>
                </w:tcPr>
                <w:p w14:paraId="2A1346DD">
                  <w:pPr>
                    <w:widowControl/>
                    <w:snapToGrid w:val="0"/>
                    <w:jc w:val="center"/>
                    <w:rPr>
                      <w:kern w:val="0"/>
                    </w:rPr>
                  </w:pPr>
                  <w:r>
                    <w:rPr>
                      <w:rFonts w:hint="eastAsia"/>
                      <w:kern w:val="0"/>
                    </w:rPr>
                    <w:t>1</w:t>
                  </w:r>
                </w:p>
              </w:tc>
            </w:tr>
            <w:tr w14:paraId="53696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47D8542A">
                  <w:pPr>
                    <w:numPr>
                      <w:ilvl w:val="0"/>
                      <w:numId w:val="2"/>
                    </w:numPr>
                    <w:jc w:val="center"/>
                  </w:pPr>
                </w:p>
              </w:tc>
              <w:tc>
                <w:tcPr>
                  <w:tcW w:w="1019" w:type="pct"/>
                  <w:vMerge w:val="continue"/>
                  <w:tcBorders>
                    <w:tl2br w:val="nil"/>
                    <w:tr2bl w:val="nil"/>
                  </w:tcBorders>
                  <w:vAlign w:val="center"/>
                </w:tcPr>
                <w:p w14:paraId="5121A68C">
                  <w:pPr>
                    <w:jc w:val="center"/>
                  </w:pPr>
                </w:p>
              </w:tc>
              <w:tc>
                <w:tcPr>
                  <w:tcW w:w="2300" w:type="pct"/>
                  <w:tcBorders>
                    <w:tl2br w:val="nil"/>
                    <w:tr2bl w:val="nil"/>
                  </w:tcBorders>
                  <w:vAlign w:val="center"/>
                </w:tcPr>
                <w:p w14:paraId="12FF3A27">
                  <w:pPr>
                    <w:jc w:val="center"/>
                  </w:pPr>
                  <w:r>
                    <w:t>电解质仪</w:t>
                  </w:r>
                </w:p>
              </w:tc>
              <w:tc>
                <w:tcPr>
                  <w:tcW w:w="1250" w:type="pct"/>
                  <w:tcBorders>
                    <w:tl2br w:val="nil"/>
                    <w:tr2bl w:val="nil"/>
                  </w:tcBorders>
                  <w:vAlign w:val="center"/>
                </w:tcPr>
                <w:p w14:paraId="6466B638">
                  <w:pPr>
                    <w:widowControl/>
                    <w:snapToGrid w:val="0"/>
                    <w:jc w:val="center"/>
                    <w:rPr>
                      <w:kern w:val="0"/>
                    </w:rPr>
                  </w:pPr>
                  <w:r>
                    <w:rPr>
                      <w:rFonts w:hint="eastAsia"/>
                      <w:kern w:val="0"/>
                    </w:rPr>
                    <w:t>1</w:t>
                  </w:r>
                </w:p>
              </w:tc>
            </w:tr>
            <w:tr w14:paraId="6F3DB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0E1BD091">
                  <w:pPr>
                    <w:numPr>
                      <w:ilvl w:val="0"/>
                      <w:numId w:val="2"/>
                    </w:numPr>
                    <w:jc w:val="center"/>
                  </w:pPr>
                </w:p>
              </w:tc>
              <w:tc>
                <w:tcPr>
                  <w:tcW w:w="1019" w:type="pct"/>
                  <w:vMerge w:val="continue"/>
                  <w:vAlign w:val="center"/>
                </w:tcPr>
                <w:p w14:paraId="5C1CFA54">
                  <w:pPr>
                    <w:jc w:val="center"/>
                  </w:pPr>
                </w:p>
              </w:tc>
              <w:tc>
                <w:tcPr>
                  <w:tcW w:w="2300" w:type="pct"/>
                  <w:vAlign w:val="center"/>
                </w:tcPr>
                <w:p w14:paraId="5EBC566F">
                  <w:pPr>
                    <w:jc w:val="center"/>
                  </w:pPr>
                  <w:r>
                    <w:t>恒温孵育箱</w:t>
                  </w:r>
                </w:p>
              </w:tc>
              <w:tc>
                <w:tcPr>
                  <w:tcW w:w="1250" w:type="pct"/>
                  <w:vAlign w:val="center"/>
                </w:tcPr>
                <w:p w14:paraId="7A4CCC11">
                  <w:pPr>
                    <w:widowControl/>
                    <w:snapToGrid w:val="0"/>
                    <w:jc w:val="center"/>
                    <w:rPr>
                      <w:kern w:val="0"/>
                    </w:rPr>
                  </w:pPr>
                  <w:r>
                    <w:rPr>
                      <w:rFonts w:hint="eastAsia"/>
                      <w:kern w:val="0"/>
                    </w:rPr>
                    <w:t>1</w:t>
                  </w:r>
                </w:p>
              </w:tc>
            </w:tr>
            <w:tr w14:paraId="16B1E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2C9695CC">
                  <w:pPr>
                    <w:numPr>
                      <w:ilvl w:val="0"/>
                      <w:numId w:val="2"/>
                    </w:numPr>
                    <w:jc w:val="center"/>
                  </w:pPr>
                </w:p>
              </w:tc>
              <w:tc>
                <w:tcPr>
                  <w:tcW w:w="1019" w:type="pct"/>
                  <w:vMerge w:val="continue"/>
                  <w:vAlign w:val="center"/>
                </w:tcPr>
                <w:p w14:paraId="27FD6ED4">
                  <w:pPr>
                    <w:jc w:val="center"/>
                  </w:pPr>
                </w:p>
              </w:tc>
              <w:tc>
                <w:tcPr>
                  <w:tcW w:w="2300" w:type="pct"/>
                  <w:vAlign w:val="center"/>
                </w:tcPr>
                <w:p w14:paraId="40918BF0">
                  <w:pPr>
                    <w:jc w:val="center"/>
                  </w:pPr>
                  <w:r>
                    <w:t>心电监护仪</w:t>
                  </w:r>
                </w:p>
              </w:tc>
              <w:tc>
                <w:tcPr>
                  <w:tcW w:w="1250" w:type="pct"/>
                  <w:vAlign w:val="center"/>
                </w:tcPr>
                <w:p w14:paraId="2AB2569F">
                  <w:pPr>
                    <w:widowControl/>
                    <w:snapToGrid w:val="0"/>
                    <w:jc w:val="center"/>
                    <w:rPr>
                      <w:kern w:val="0"/>
                    </w:rPr>
                  </w:pPr>
                  <w:r>
                    <w:rPr>
                      <w:rFonts w:hint="eastAsia"/>
                      <w:kern w:val="0"/>
                    </w:rPr>
                    <w:t>1</w:t>
                  </w:r>
                </w:p>
              </w:tc>
            </w:tr>
            <w:tr w14:paraId="2F079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4157F3C0">
                  <w:pPr>
                    <w:numPr>
                      <w:ilvl w:val="0"/>
                      <w:numId w:val="2"/>
                    </w:numPr>
                    <w:jc w:val="center"/>
                  </w:pPr>
                </w:p>
              </w:tc>
              <w:tc>
                <w:tcPr>
                  <w:tcW w:w="1019" w:type="pct"/>
                  <w:vMerge w:val="continue"/>
                  <w:vAlign w:val="center"/>
                </w:tcPr>
                <w:p w14:paraId="662ED594">
                  <w:pPr>
                    <w:jc w:val="center"/>
                  </w:pPr>
                </w:p>
              </w:tc>
              <w:tc>
                <w:tcPr>
                  <w:tcW w:w="2300" w:type="pct"/>
                  <w:vAlign w:val="center"/>
                </w:tcPr>
                <w:p w14:paraId="2DC47DE3">
                  <w:pPr>
                    <w:jc w:val="center"/>
                  </w:pPr>
                  <w:r>
                    <w:rPr>
                      <w:rFonts w:hint="eastAsia"/>
                    </w:rPr>
                    <w:t>纯水机</w:t>
                  </w:r>
                </w:p>
              </w:tc>
              <w:tc>
                <w:tcPr>
                  <w:tcW w:w="1250" w:type="pct"/>
                  <w:vAlign w:val="center"/>
                </w:tcPr>
                <w:p w14:paraId="661E2F40">
                  <w:pPr>
                    <w:widowControl/>
                    <w:snapToGrid w:val="0"/>
                    <w:jc w:val="center"/>
                    <w:rPr>
                      <w:kern w:val="0"/>
                    </w:rPr>
                  </w:pPr>
                  <w:r>
                    <w:rPr>
                      <w:rFonts w:hint="eastAsia"/>
                      <w:kern w:val="0"/>
                    </w:rPr>
                    <w:t>1</w:t>
                  </w:r>
                </w:p>
              </w:tc>
            </w:tr>
            <w:tr w14:paraId="1D386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51265836">
                  <w:pPr>
                    <w:numPr>
                      <w:ilvl w:val="0"/>
                      <w:numId w:val="2"/>
                    </w:numPr>
                    <w:jc w:val="center"/>
                  </w:pPr>
                </w:p>
              </w:tc>
              <w:tc>
                <w:tcPr>
                  <w:tcW w:w="1019" w:type="pct"/>
                  <w:vMerge w:val="continue"/>
                  <w:vAlign w:val="center"/>
                </w:tcPr>
                <w:p w14:paraId="4712FF09">
                  <w:pPr>
                    <w:jc w:val="center"/>
                  </w:pPr>
                </w:p>
              </w:tc>
              <w:tc>
                <w:tcPr>
                  <w:tcW w:w="2300" w:type="pct"/>
                  <w:vAlign w:val="center"/>
                </w:tcPr>
                <w:p w14:paraId="3ECED9EE">
                  <w:pPr>
                    <w:jc w:val="center"/>
                  </w:pPr>
                  <w:r>
                    <w:rPr>
                      <w:rFonts w:hint="eastAsia"/>
                    </w:rPr>
                    <w:t>心电图机</w:t>
                  </w:r>
                </w:p>
              </w:tc>
              <w:tc>
                <w:tcPr>
                  <w:tcW w:w="1250" w:type="pct"/>
                  <w:vAlign w:val="center"/>
                </w:tcPr>
                <w:p w14:paraId="208B5B40">
                  <w:pPr>
                    <w:widowControl/>
                    <w:snapToGrid w:val="0"/>
                    <w:jc w:val="center"/>
                    <w:rPr>
                      <w:kern w:val="0"/>
                    </w:rPr>
                  </w:pPr>
                  <w:r>
                    <w:rPr>
                      <w:rFonts w:hint="eastAsia"/>
                      <w:kern w:val="0"/>
                    </w:rPr>
                    <w:t>1</w:t>
                  </w:r>
                </w:p>
              </w:tc>
            </w:tr>
            <w:tr w14:paraId="5319D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18C5447E">
                  <w:pPr>
                    <w:numPr>
                      <w:ilvl w:val="0"/>
                      <w:numId w:val="2"/>
                    </w:numPr>
                    <w:jc w:val="center"/>
                  </w:pPr>
                </w:p>
              </w:tc>
              <w:tc>
                <w:tcPr>
                  <w:tcW w:w="1019" w:type="pct"/>
                  <w:vMerge w:val="restart"/>
                  <w:vAlign w:val="center"/>
                </w:tcPr>
                <w:p w14:paraId="62E14760">
                  <w:pPr>
                    <w:jc w:val="center"/>
                  </w:pPr>
                  <w:r>
                    <w:rPr>
                      <w:rFonts w:hint="eastAsia"/>
                    </w:rPr>
                    <w:t>辅助单元</w:t>
                  </w:r>
                </w:p>
              </w:tc>
              <w:tc>
                <w:tcPr>
                  <w:tcW w:w="2300" w:type="pct"/>
                  <w:vAlign w:val="center"/>
                </w:tcPr>
                <w:p w14:paraId="777C1127">
                  <w:pPr>
                    <w:jc w:val="center"/>
                  </w:pPr>
                  <w:r>
                    <w:rPr>
                      <w:rFonts w:hint="eastAsia"/>
                    </w:rPr>
                    <w:t>热水器</w:t>
                  </w:r>
                </w:p>
              </w:tc>
              <w:tc>
                <w:tcPr>
                  <w:tcW w:w="1250" w:type="pct"/>
                  <w:vAlign w:val="center"/>
                </w:tcPr>
                <w:p w14:paraId="6DAAF8DB">
                  <w:pPr>
                    <w:widowControl/>
                    <w:snapToGrid w:val="0"/>
                    <w:jc w:val="center"/>
                    <w:rPr>
                      <w:kern w:val="0"/>
                    </w:rPr>
                  </w:pPr>
                  <w:r>
                    <w:rPr>
                      <w:rFonts w:hint="eastAsia"/>
                      <w:kern w:val="0"/>
                    </w:rPr>
                    <w:t>10</w:t>
                  </w:r>
                </w:p>
              </w:tc>
            </w:tr>
            <w:tr w14:paraId="10563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2104D3CD">
                  <w:pPr>
                    <w:numPr>
                      <w:ilvl w:val="0"/>
                      <w:numId w:val="2"/>
                    </w:numPr>
                    <w:jc w:val="center"/>
                  </w:pPr>
                </w:p>
              </w:tc>
              <w:tc>
                <w:tcPr>
                  <w:tcW w:w="1019" w:type="pct"/>
                  <w:vMerge w:val="continue"/>
                  <w:vAlign w:val="center"/>
                </w:tcPr>
                <w:p w14:paraId="513E1C77">
                  <w:pPr>
                    <w:jc w:val="center"/>
                  </w:pPr>
                </w:p>
              </w:tc>
              <w:tc>
                <w:tcPr>
                  <w:tcW w:w="2300" w:type="pct"/>
                  <w:vAlign w:val="center"/>
                </w:tcPr>
                <w:p w14:paraId="56D6D586">
                  <w:pPr>
                    <w:jc w:val="center"/>
                  </w:pPr>
                  <w:r>
                    <w:rPr>
                      <w:rFonts w:hint="eastAsia"/>
                    </w:rPr>
                    <w:t>柴油发动机</w:t>
                  </w:r>
                </w:p>
              </w:tc>
              <w:tc>
                <w:tcPr>
                  <w:tcW w:w="1250" w:type="pct"/>
                  <w:vAlign w:val="center"/>
                </w:tcPr>
                <w:p w14:paraId="0ACA5CC9">
                  <w:pPr>
                    <w:widowControl/>
                    <w:snapToGrid w:val="0"/>
                    <w:jc w:val="center"/>
                    <w:rPr>
                      <w:kern w:val="0"/>
                    </w:rPr>
                  </w:pPr>
                  <w:r>
                    <w:rPr>
                      <w:rFonts w:hint="eastAsia"/>
                      <w:kern w:val="0"/>
                    </w:rPr>
                    <w:t>1</w:t>
                  </w:r>
                </w:p>
              </w:tc>
            </w:tr>
            <w:tr w14:paraId="7FA2B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574C63F2">
                  <w:pPr>
                    <w:numPr>
                      <w:ilvl w:val="0"/>
                      <w:numId w:val="2"/>
                    </w:numPr>
                    <w:jc w:val="center"/>
                  </w:pPr>
                </w:p>
              </w:tc>
              <w:tc>
                <w:tcPr>
                  <w:tcW w:w="1019" w:type="pct"/>
                  <w:vMerge w:val="continue"/>
                  <w:vAlign w:val="center"/>
                </w:tcPr>
                <w:p w14:paraId="28A32517">
                  <w:pPr>
                    <w:jc w:val="center"/>
                  </w:pPr>
                </w:p>
              </w:tc>
              <w:tc>
                <w:tcPr>
                  <w:tcW w:w="2300" w:type="pct"/>
                  <w:vAlign w:val="center"/>
                </w:tcPr>
                <w:p w14:paraId="15D2A598">
                  <w:pPr>
                    <w:jc w:val="center"/>
                  </w:pPr>
                  <w:r>
                    <w:rPr>
                      <w:rFonts w:hint="eastAsia"/>
                    </w:rPr>
                    <w:t>洗衣机</w:t>
                  </w:r>
                </w:p>
              </w:tc>
              <w:tc>
                <w:tcPr>
                  <w:tcW w:w="1250" w:type="pct"/>
                  <w:vAlign w:val="center"/>
                </w:tcPr>
                <w:p w14:paraId="4D278193">
                  <w:pPr>
                    <w:widowControl/>
                    <w:snapToGrid w:val="0"/>
                    <w:jc w:val="center"/>
                    <w:rPr>
                      <w:kern w:val="0"/>
                    </w:rPr>
                  </w:pPr>
                  <w:r>
                    <w:rPr>
                      <w:rFonts w:hint="eastAsia"/>
                      <w:kern w:val="0"/>
                    </w:rPr>
                    <w:t>10</w:t>
                  </w:r>
                </w:p>
              </w:tc>
            </w:tr>
            <w:tr w14:paraId="6E9EC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Align w:val="center"/>
                </w:tcPr>
                <w:p w14:paraId="20694DB5">
                  <w:pPr>
                    <w:numPr>
                      <w:ilvl w:val="0"/>
                      <w:numId w:val="2"/>
                    </w:numPr>
                    <w:jc w:val="center"/>
                  </w:pPr>
                </w:p>
              </w:tc>
              <w:tc>
                <w:tcPr>
                  <w:tcW w:w="1019" w:type="pct"/>
                  <w:vMerge w:val="continue"/>
                  <w:vAlign w:val="center"/>
                </w:tcPr>
                <w:p w14:paraId="02D6E15D">
                  <w:pPr>
                    <w:jc w:val="center"/>
                  </w:pPr>
                </w:p>
              </w:tc>
              <w:tc>
                <w:tcPr>
                  <w:tcW w:w="2300" w:type="pct"/>
                  <w:vAlign w:val="center"/>
                </w:tcPr>
                <w:p w14:paraId="089060A4">
                  <w:pPr>
                    <w:jc w:val="center"/>
                  </w:pPr>
                  <w:r>
                    <w:rPr>
                      <w:rFonts w:hint="eastAsia"/>
                    </w:rPr>
                    <w:t>污水处理站</w:t>
                  </w:r>
                </w:p>
              </w:tc>
              <w:tc>
                <w:tcPr>
                  <w:tcW w:w="1250" w:type="pct"/>
                  <w:vAlign w:val="center"/>
                </w:tcPr>
                <w:p w14:paraId="25D81B5F">
                  <w:pPr>
                    <w:widowControl/>
                    <w:snapToGrid w:val="0"/>
                    <w:jc w:val="center"/>
                    <w:rPr>
                      <w:kern w:val="0"/>
                    </w:rPr>
                  </w:pPr>
                  <w:r>
                    <w:rPr>
                      <w:rFonts w:hint="eastAsia"/>
                      <w:kern w:val="0"/>
                    </w:rPr>
                    <w:t>1</w:t>
                  </w:r>
                </w:p>
              </w:tc>
            </w:tr>
          </w:tbl>
          <w:p w14:paraId="5B5C223E">
            <w:pPr>
              <w:pStyle w:val="8"/>
              <w:spacing w:after="0" w:line="360" w:lineRule="auto"/>
              <w:ind w:firstLine="482" w:firstLineChars="200"/>
              <w:rPr>
                <w:b/>
                <w:bCs/>
                <w:sz w:val="24"/>
                <w:szCs w:val="36"/>
              </w:rPr>
            </w:pPr>
            <w:r>
              <w:rPr>
                <w:rFonts w:hint="eastAsia"/>
                <w:b/>
                <w:bCs/>
                <w:sz w:val="24"/>
                <w:szCs w:val="36"/>
              </w:rPr>
              <w:t>6、公用工程</w:t>
            </w:r>
          </w:p>
          <w:p w14:paraId="789A9A88">
            <w:pPr>
              <w:pStyle w:val="8"/>
              <w:spacing w:after="0" w:line="360" w:lineRule="auto"/>
              <w:ind w:firstLine="482" w:firstLineChars="200"/>
              <w:rPr>
                <w:b/>
                <w:bCs/>
                <w:sz w:val="24"/>
                <w:szCs w:val="36"/>
              </w:rPr>
            </w:pPr>
            <w:r>
              <w:rPr>
                <w:rFonts w:hint="eastAsia"/>
                <w:b/>
                <w:bCs/>
                <w:sz w:val="24"/>
                <w:szCs w:val="36"/>
              </w:rPr>
              <w:t>（1）动力提供</w:t>
            </w:r>
          </w:p>
          <w:p w14:paraId="5E2756D4">
            <w:pPr>
              <w:pStyle w:val="8"/>
              <w:spacing w:after="0" w:line="360" w:lineRule="auto"/>
              <w:ind w:firstLine="480" w:firstLineChars="200"/>
              <w:rPr>
                <w:b/>
                <w:bCs/>
                <w:sz w:val="24"/>
                <w:szCs w:val="36"/>
              </w:rPr>
            </w:pPr>
            <w:r>
              <w:rPr>
                <w:bCs/>
                <w:sz w:val="24"/>
                <w:lang w:val="zh-CN"/>
              </w:rPr>
              <w:t>本项目用电由</w:t>
            </w:r>
            <w:r>
              <w:rPr>
                <w:rFonts w:hint="eastAsia"/>
                <w:bCs/>
                <w:sz w:val="24"/>
              </w:rPr>
              <w:t>市政</w:t>
            </w:r>
            <w:r>
              <w:rPr>
                <w:bCs/>
                <w:sz w:val="24"/>
                <w:lang w:val="zh-CN"/>
              </w:rPr>
              <w:t>电网提供，供电能够满足项目用电负荷。</w:t>
            </w:r>
            <w:r>
              <w:rPr>
                <w:bCs/>
                <w:sz w:val="24"/>
              </w:rPr>
              <w:t>同时设置备用</w:t>
            </w:r>
            <w:r>
              <w:rPr>
                <w:rFonts w:hint="eastAsia"/>
                <w:bCs/>
                <w:sz w:val="24"/>
              </w:rPr>
              <w:t>柴油发电机</w:t>
            </w:r>
            <w:r>
              <w:rPr>
                <w:bCs/>
                <w:sz w:val="24"/>
              </w:rPr>
              <w:t>组，做应急电源。</w:t>
            </w:r>
          </w:p>
          <w:p w14:paraId="263AF3EF">
            <w:pPr>
              <w:pStyle w:val="8"/>
              <w:spacing w:after="0" w:line="360" w:lineRule="auto"/>
              <w:ind w:firstLine="482" w:firstLineChars="200"/>
              <w:rPr>
                <w:b/>
                <w:bCs/>
                <w:sz w:val="24"/>
                <w:szCs w:val="36"/>
              </w:rPr>
            </w:pPr>
            <w:r>
              <w:rPr>
                <w:rFonts w:hint="eastAsia"/>
                <w:b/>
                <w:bCs/>
                <w:sz w:val="24"/>
                <w:szCs w:val="36"/>
              </w:rPr>
              <w:t>（2）给排水</w:t>
            </w:r>
          </w:p>
          <w:p w14:paraId="3EACE766">
            <w:pPr>
              <w:spacing w:line="360" w:lineRule="auto"/>
              <w:ind w:firstLine="480"/>
              <w:rPr>
                <w:b/>
                <w:bCs/>
                <w:sz w:val="24"/>
              </w:rPr>
            </w:pPr>
            <w:r>
              <w:rPr>
                <w:b/>
                <w:bCs/>
                <w:sz w:val="24"/>
              </w:rPr>
              <w:t>①给水</w:t>
            </w:r>
          </w:p>
          <w:p w14:paraId="0A360A27">
            <w:pPr>
              <w:pStyle w:val="8"/>
              <w:spacing w:after="0" w:line="360" w:lineRule="auto"/>
              <w:ind w:firstLine="480" w:firstLineChars="200"/>
              <w:rPr>
                <w:sz w:val="24"/>
                <w:szCs w:val="36"/>
              </w:rPr>
            </w:pPr>
            <w:r>
              <w:rPr>
                <w:rFonts w:hint="eastAsia"/>
                <w:sz w:val="24"/>
                <w:szCs w:val="36"/>
              </w:rPr>
              <w:t>本项目用水来源于市政自来水管网，项目主要用水为医疗用水、生活用水和其他用水。本项目为精神病医院，无陪护人员。本项目用水量参考《综合医院建筑设计规范》（GB513019-2014）、《四川省用水定额》（川府函〔2021〕8号）确定，具体的用水情况见下表所示。</w:t>
            </w:r>
          </w:p>
          <w:p w14:paraId="56302254">
            <w:pPr>
              <w:pStyle w:val="8"/>
              <w:spacing w:after="0" w:line="360" w:lineRule="auto"/>
              <w:jc w:val="center"/>
              <w:rPr>
                <w:b/>
                <w:bCs/>
                <w:sz w:val="24"/>
                <w:szCs w:val="36"/>
              </w:rPr>
            </w:pPr>
            <w:r>
              <w:rPr>
                <w:rFonts w:hint="eastAsia"/>
                <w:b/>
                <w:bCs/>
                <w:sz w:val="24"/>
                <w:szCs w:val="36"/>
              </w:rPr>
              <w:t>表2-5  本项目新鲜水用水量及分配情况</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2195"/>
              <w:gridCol w:w="1518"/>
              <w:gridCol w:w="2154"/>
              <w:gridCol w:w="1948"/>
            </w:tblGrid>
            <w:tr w14:paraId="404FE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863" w:type="pct"/>
                  <w:gridSpan w:val="2"/>
                  <w:tcBorders>
                    <w:tl2br w:val="nil"/>
                    <w:tr2bl w:val="nil"/>
                  </w:tcBorders>
                  <w:vAlign w:val="center"/>
                </w:tcPr>
                <w:p w14:paraId="0FA1D825">
                  <w:pPr>
                    <w:pStyle w:val="36"/>
                    <w:rPr>
                      <w:rFonts w:cs="Times New Roman"/>
                      <w:bCs/>
                      <w:szCs w:val="21"/>
                    </w:rPr>
                  </w:pPr>
                  <w:r>
                    <w:rPr>
                      <w:rFonts w:cs="Times New Roman"/>
                      <w:szCs w:val="21"/>
                    </w:rPr>
                    <w:t>用水对象</w:t>
                  </w:r>
                </w:p>
              </w:tc>
              <w:tc>
                <w:tcPr>
                  <w:tcW w:w="847" w:type="pct"/>
                  <w:tcBorders>
                    <w:tl2br w:val="nil"/>
                    <w:tr2bl w:val="nil"/>
                  </w:tcBorders>
                  <w:vAlign w:val="center"/>
                </w:tcPr>
                <w:p w14:paraId="4EEDBEEF">
                  <w:pPr>
                    <w:pStyle w:val="36"/>
                    <w:rPr>
                      <w:rFonts w:cs="Times New Roman"/>
                      <w:szCs w:val="21"/>
                    </w:rPr>
                  </w:pPr>
                  <w:r>
                    <w:rPr>
                      <w:rFonts w:cs="Times New Roman"/>
                      <w:szCs w:val="21"/>
                    </w:rPr>
                    <w:t>日最大容量</w:t>
                  </w:r>
                </w:p>
              </w:tc>
              <w:tc>
                <w:tcPr>
                  <w:tcW w:w="1202" w:type="pct"/>
                  <w:tcBorders>
                    <w:tl2br w:val="nil"/>
                    <w:tr2bl w:val="nil"/>
                  </w:tcBorders>
                  <w:vAlign w:val="center"/>
                </w:tcPr>
                <w:p w14:paraId="11C2B935">
                  <w:pPr>
                    <w:pStyle w:val="36"/>
                    <w:rPr>
                      <w:rFonts w:cs="Times New Roman"/>
                      <w:szCs w:val="21"/>
                    </w:rPr>
                  </w:pPr>
                  <w:r>
                    <w:rPr>
                      <w:rFonts w:cs="Times New Roman"/>
                      <w:szCs w:val="21"/>
                    </w:rPr>
                    <w:t>用水标准</w:t>
                  </w:r>
                </w:p>
              </w:tc>
              <w:tc>
                <w:tcPr>
                  <w:tcW w:w="1087" w:type="pct"/>
                  <w:tcBorders>
                    <w:tl2br w:val="nil"/>
                    <w:tr2bl w:val="nil"/>
                  </w:tcBorders>
                  <w:vAlign w:val="center"/>
                </w:tcPr>
                <w:p w14:paraId="7647ECAF">
                  <w:pPr>
                    <w:pStyle w:val="36"/>
                    <w:rPr>
                      <w:rFonts w:cs="Times New Roman"/>
                      <w:szCs w:val="21"/>
                    </w:rPr>
                  </w:pPr>
                  <w:r>
                    <w:rPr>
                      <w:rFonts w:cs="Times New Roman"/>
                      <w:szCs w:val="21"/>
                    </w:rPr>
                    <w:t>最大用水量（m</w:t>
                  </w:r>
                  <w:r>
                    <w:rPr>
                      <w:rFonts w:cs="Times New Roman"/>
                      <w:szCs w:val="21"/>
                      <w:vertAlign w:val="superscript"/>
                    </w:rPr>
                    <w:t>3</w:t>
                  </w:r>
                  <w:r>
                    <w:rPr>
                      <w:rFonts w:cs="Times New Roman"/>
                      <w:szCs w:val="21"/>
                    </w:rPr>
                    <w:t>/d）</w:t>
                  </w:r>
                </w:p>
              </w:tc>
            </w:tr>
            <w:tr w14:paraId="56D75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Merge w:val="restart"/>
                  <w:tcBorders>
                    <w:tl2br w:val="nil"/>
                    <w:tr2bl w:val="nil"/>
                  </w:tcBorders>
                  <w:vAlign w:val="center"/>
                </w:tcPr>
                <w:p w14:paraId="5519361C">
                  <w:pPr>
                    <w:adjustRightInd w:val="0"/>
                    <w:snapToGrid w:val="0"/>
                    <w:jc w:val="center"/>
                  </w:pPr>
                  <w:r>
                    <w:t>医疗用水</w:t>
                  </w:r>
                </w:p>
              </w:tc>
              <w:tc>
                <w:tcPr>
                  <w:tcW w:w="1224" w:type="pct"/>
                  <w:tcBorders>
                    <w:tl2br w:val="nil"/>
                    <w:tr2bl w:val="nil"/>
                  </w:tcBorders>
                  <w:vAlign w:val="center"/>
                </w:tcPr>
                <w:p w14:paraId="433DB76C">
                  <w:pPr>
                    <w:adjustRightInd w:val="0"/>
                    <w:snapToGrid w:val="0"/>
                    <w:jc w:val="center"/>
                  </w:pPr>
                  <w:r>
                    <w:t>住院病人</w:t>
                  </w:r>
                </w:p>
                <w:p w14:paraId="31B28F9D">
                  <w:pPr>
                    <w:adjustRightInd w:val="0"/>
                    <w:snapToGrid w:val="0"/>
                    <w:jc w:val="center"/>
                  </w:pPr>
                  <w:r>
                    <w:rPr>
                      <w:rFonts w:hint="eastAsia"/>
                    </w:rPr>
                    <w:t>（含病服、床单清洗）</w:t>
                  </w:r>
                </w:p>
              </w:tc>
              <w:tc>
                <w:tcPr>
                  <w:tcW w:w="847" w:type="pct"/>
                  <w:tcBorders>
                    <w:tl2br w:val="nil"/>
                    <w:tr2bl w:val="nil"/>
                  </w:tcBorders>
                  <w:vAlign w:val="center"/>
                </w:tcPr>
                <w:p w14:paraId="2A3C4AA9">
                  <w:pPr>
                    <w:widowControl/>
                    <w:jc w:val="center"/>
                    <w:textAlignment w:val="center"/>
                  </w:pPr>
                  <w:r>
                    <w:rPr>
                      <w:rFonts w:hint="eastAsia"/>
                      <w:kern w:val="0"/>
                      <w:lang w:bidi="ar"/>
                    </w:rPr>
                    <w:t>7</w:t>
                  </w:r>
                  <w:r>
                    <w:rPr>
                      <w:kern w:val="0"/>
                      <w:lang w:bidi="ar"/>
                    </w:rPr>
                    <w:t>0</w:t>
                  </w:r>
                  <w:r>
                    <w:rPr>
                      <w:rStyle w:val="54"/>
                      <w:rFonts w:hint="default" w:ascii="Times New Roman" w:hAnsi="Times New Roman"/>
                      <w:color w:val="auto"/>
                      <w:lang w:bidi="ar"/>
                    </w:rPr>
                    <w:t>床</w:t>
                  </w:r>
                </w:p>
              </w:tc>
              <w:tc>
                <w:tcPr>
                  <w:tcW w:w="1202" w:type="pct"/>
                  <w:tcBorders>
                    <w:tl2br w:val="nil"/>
                    <w:tr2bl w:val="nil"/>
                  </w:tcBorders>
                  <w:vAlign w:val="center"/>
                </w:tcPr>
                <w:p w14:paraId="6608F9F4">
                  <w:pPr>
                    <w:widowControl/>
                    <w:jc w:val="center"/>
                    <w:textAlignment w:val="center"/>
                  </w:pPr>
                  <w:r>
                    <w:rPr>
                      <w:rFonts w:hint="eastAsia"/>
                      <w:kern w:val="0"/>
                      <w:lang w:bidi="ar"/>
                    </w:rPr>
                    <w:t>40</w:t>
                  </w:r>
                  <w:r>
                    <w:rPr>
                      <w:kern w:val="0"/>
                      <w:lang w:bidi="ar"/>
                    </w:rPr>
                    <w:t>0L/</w:t>
                  </w:r>
                  <w:r>
                    <w:rPr>
                      <w:rStyle w:val="54"/>
                      <w:rFonts w:hint="default" w:ascii="Times New Roman" w:hAnsi="Times New Roman"/>
                      <w:color w:val="auto"/>
                      <w:lang w:bidi="ar"/>
                    </w:rPr>
                    <w:t>（床</w:t>
                  </w:r>
                  <w:r>
                    <w:rPr>
                      <w:rStyle w:val="55"/>
                      <w:color w:val="auto"/>
                      <w:lang w:bidi="ar"/>
                    </w:rPr>
                    <w:t>·d</w:t>
                  </w:r>
                  <w:r>
                    <w:rPr>
                      <w:rStyle w:val="54"/>
                      <w:rFonts w:hint="default" w:ascii="Times New Roman" w:hAnsi="Times New Roman"/>
                      <w:color w:val="auto"/>
                      <w:lang w:bidi="ar"/>
                    </w:rPr>
                    <w:t>）</w:t>
                  </w:r>
                </w:p>
              </w:tc>
              <w:tc>
                <w:tcPr>
                  <w:tcW w:w="1087" w:type="pct"/>
                  <w:tcBorders>
                    <w:tl2br w:val="nil"/>
                    <w:tr2bl w:val="nil"/>
                  </w:tcBorders>
                  <w:vAlign w:val="center"/>
                </w:tcPr>
                <w:p w14:paraId="0169E734">
                  <w:pPr>
                    <w:widowControl/>
                    <w:jc w:val="center"/>
                    <w:textAlignment w:val="center"/>
                  </w:pPr>
                  <w:r>
                    <w:t>28</w:t>
                  </w:r>
                </w:p>
              </w:tc>
            </w:tr>
            <w:tr w14:paraId="3D85C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38" w:type="pct"/>
                  <w:vMerge w:val="continue"/>
                  <w:tcBorders>
                    <w:tl2br w:val="nil"/>
                    <w:tr2bl w:val="nil"/>
                  </w:tcBorders>
                  <w:vAlign w:val="center"/>
                </w:tcPr>
                <w:p w14:paraId="1E0C6E31">
                  <w:pPr>
                    <w:adjustRightInd w:val="0"/>
                    <w:snapToGrid w:val="0"/>
                    <w:jc w:val="center"/>
                  </w:pPr>
                </w:p>
              </w:tc>
              <w:tc>
                <w:tcPr>
                  <w:tcW w:w="1224" w:type="pct"/>
                  <w:tcBorders>
                    <w:tl2br w:val="nil"/>
                    <w:tr2bl w:val="nil"/>
                  </w:tcBorders>
                  <w:vAlign w:val="center"/>
                </w:tcPr>
                <w:p w14:paraId="5DEC015A">
                  <w:pPr>
                    <w:adjustRightInd w:val="0"/>
                    <w:snapToGrid w:val="0"/>
                    <w:jc w:val="center"/>
                  </w:pPr>
                  <w:r>
                    <w:t>门诊病人</w:t>
                  </w:r>
                </w:p>
              </w:tc>
              <w:tc>
                <w:tcPr>
                  <w:tcW w:w="847" w:type="pct"/>
                  <w:tcBorders>
                    <w:tl2br w:val="nil"/>
                    <w:tr2bl w:val="nil"/>
                  </w:tcBorders>
                  <w:vAlign w:val="center"/>
                </w:tcPr>
                <w:p w14:paraId="41FCB256">
                  <w:pPr>
                    <w:widowControl/>
                    <w:jc w:val="center"/>
                    <w:textAlignment w:val="center"/>
                  </w:pPr>
                  <w:r>
                    <w:rPr>
                      <w:rStyle w:val="54"/>
                      <w:rFonts w:ascii="Times New Roman" w:hAnsi="Times New Roman" w:cs="Times New Roman"/>
                      <w:color w:val="auto"/>
                      <w:lang w:bidi="ar"/>
                    </w:rPr>
                    <w:t>50</w:t>
                  </w:r>
                  <w:r>
                    <w:rPr>
                      <w:rStyle w:val="54"/>
                      <w:rFonts w:hint="default" w:ascii="Times New Roman" w:hAnsi="Times New Roman"/>
                      <w:color w:val="auto"/>
                      <w:lang w:bidi="ar"/>
                    </w:rPr>
                    <w:t>人</w:t>
                  </w:r>
                  <w:r>
                    <w:rPr>
                      <w:rStyle w:val="55"/>
                      <w:color w:val="auto"/>
                      <w:lang w:bidi="ar"/>
                    </w:rPr>
                    <w:t>·</w:t>
                  </w:r>
                  <w:r>
                    <w:rPr>
                      <w:rStyle w:val="54"/>
                      <w:rFonts w:hint="default" w:ascii="Times New Roman" w:hAnsi="Times New Roman"/>
                      <w:color w:val="auto"/>
                      <w:lang w:bidi="ar"/>
                    </w:rPr>
                    <w:t>次</w:t>
                  </w:r>
                </w:p>
              </w:tc>
              <w:tc>
                <w:tcPr>
                  <w:tcW w:w="1202" w:type="pct"/>
                  <w:tcBorders>
                    <w:tl2br w:val="nil"/>
                    <w:tr2bl w:val="nil"/>
                  </w:tcBorders>
                  <w:vAlign w:val="center"/>
                </w:tcPr>
                <w:p w14:paraId="16526283">
                  <w:pPr>
                    <w:widowControl/>
                    <w:jc w:val="center"/>
                    <w:textAlignment w:val="center"/>
                  </w:pPr>
                  <w:r>
                    <w:rPr>
                      <w:rStyle w:val="54"/>
                      <w:rFonts w:hint="default" w:ascii="Times New Roman" w:hAnsi="Times New Roman" w:cs="Times New Roman"/>
                      <w:color w:val="auto"/>
                      <w:lang w:bidi="ar"/>
                    </w:rPr>
                    <w:t>10L/</w:t>
                  </w:r>
                  <w:r>
                    <w:rPr>
                      <w:rStyle w:val="54"/>
                      <w:rFonts w:hint="default" w:ascii="Times New Roman" w:hAnsi="Times New Roman"/>
                      <w:color w:val="auto"/>
                      <w:lang w:bidi="ar"/>
                    </w:rPr>
                    <w:t>（人</w:t>
                  </w:r>
                  <w:r>
                    <w:rPr>
                      <w:rStyle w:val="55"/>
                      <w:color w:val="auto"/>
                      <w:lang w:bidi="ar"/>
                    </w:rPr>
                    <w:t>·</w:t>
                  </w:r>
                  <w:r>
                    <w:rPr>
                      <w:rStyle w:val="54"/>
                      <w:rFonts w:hint="default" w:ascii="Times New Roman" w:hAnsi="Times New Roman"/>
                      <w:color w:val="auto"/>
                      <w:lang w:bidi="ar"/>
                    </w:rPr>
                    <w:t>次）</w:t>
                  </w:r>
                </w:p>
              </w:tc>
              <w:tc>
                <w:tcPr>
                  <w:tcW w:w="1087" w:type="pct"/>
                  <w:tcBorders>
                    <w:tl2br w:val="nil"/>
                    <w:tr2bl w:val="nil"/>
                  </w:tcBorders>
                  <w:vAlign w:val="center"/>
                </w:tcPr>
                <w:p w14:paraId="719A0A30">
                  <w:pPr>
                    <w:widowControl/>
                    <w:jc w:val="center"/>
                    <w:textAlignment w:val="center"/>
                  </w:pPr>
                  <w:r>
                    <w:t>0.5</w:t>
                  </w:r>
                </w:p>
              </w:tc>
            </w:tr>
            <w:tr w14:paraId="12018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8" w:type="pct"/>
                  <w:vMerge w:val="continue"/>
                  <w:tcBorders>
                    <w:tl2br w:val="nil"/>
                    <w:tr2bl w:val="nil"/>
                  </w:tcBorders>
                  <w:vAlign w:val="center"/>
                </w:tcPr>
                <w:p w14:paraId="4F718AA4">
                  <w:pPr>
                    <w:adjustRightInd w:val="0"/>
                    <w:snapToGrid w:val="0"/>
                    <w:jc w:val="center"/>
                  </w:pPr>
                </w:p>
              </w:tc>
              <w:tc>
                <w:tcPr>
                  <w:tcW w:w="1224" w:type="pct"/>
                  <w:tcBorders>
                    <w:tl2br w:val="nil"/>
                    <w:tr2bl w:val="nil"/>
                  </w:tcBorders>
                  <w:vAlign w:val="center"/>
                </w:tcPr>
                <w:p w14:paraId="51E09855">
                  <w:pPr>
                    <w:adjustRightInd w:val="0"/>
                    <w:snapToGrid w:val="0"/>
                    <w:jc w:val="center"/>
                  </w:pPr>
                  <w:r>
                    <w:rPr>
                      <w:rFonts w:hint="eastAsia"/>
                    </w:rPr>
                    <w:t>检验用水（纯水）</w:t>
                  </w:r>
                </w:p>
              </w:tc>
              <w:tc>
                <w:tcPr>
                  <w:tcW w:w="847" w:type="pct"/>
                  <w:tcBorders>
                    <w:tl2br w:val="nil"/>
                    <w:tr2bl w:val="nil"/>
                  </w:tcBorders>
                  <w:vAlign w:val="center"/>
                </w:tcPr>
                <w:p w14:paraId="3040DE28">
                  <w:pPr>
                    <w:widowControl/>
                    <w:jc w:val="center"/>
                    <w:textAlignment w:val="center"/>
                  </w:pPr>
                  <w:r>
                    <w:rPr>
                      <w:kern w:val="0"/>
                      <w:lang w:bidi="ar"/>
                    </w:rPr>
                    <w:t>/</w:t>
                  </w:r>
                </w:p>
              </w:tc>
              <w:tc>
                <w:tcPr>
                  <w:tcW w:w="1202" w:type="pct"/>
                  <w:tcBorders>
                    <w:tl2br w:val="nil"/>
                    <w:tr2bl w:val="nil"/>
                  </w:tcBorders>
                  <w:vAlign w:val="center"/>
                </w:tcPr>
                <w:p w14:paraId="43975FE0">
                  <w:pPr>
                    <w:widowControl/>
                    <w:jc w:val="center"/>
                    <w:textAlignment w:val="center"/>
                  </w:pPr>
                  <w:r>
                    <w:rPr>
                      <w:kern w:val="0"/>
                      <w:lang w:bidi="ar"/>
                    </w:rPr>
                    <w:t>/</w:t>
                  </w:r>
                </w:p>
              </w:tc>
              <w:tc>
                <w:tcPr>
                  <w:tcW w:w="1087" w:type="pct"/>
                  <w:tcBorders>
                    <w:tl2br w:val="nil"/>
                    <w:tr2bl w:val="nil"/>
                  </w:tcBorders>
                  <w:vAlign w:val="center"/>
                </w:tcPr>
                <w:p w14:paraId="2145E8D2">
                  <w:pPr>
                    <w:widowControl/>
                    <w:jc w:val="center"/>
                    <w:textAlignment w:val="center"/>
                  </w:pPr>
                  <w:r>
                    <w:rPr>
                      <w:kern w:val="0"/>
                      <w:lang w:bidi="ar"/>
                    </w:rPr>
                    <w:t>0.0</w:t>
                  </w:r>
                  <w:r>
                    <w:rPr>
                      <w:rFonts w:hint="eastAsia"/>
                      <w:kern w:val="0"/>
                      <w:lang w:bidi="ar"/>
                    </w:rPr>
                    <w:t>0</w:t>
                  </w:r>
                  <w:r>
                    <w:rPr>
                      <w:kern w:val="0"/>
                      <w:lang w:bidi="ar"/>
                    </w:rPr>
                    <w:t>2</w:t>
                  </w:r>
                  <w:r>
                    <w:rPr>
                      <w:rFonts w:hint="eastAsia"/>
                      <w:kern w:val="0"/>
                      <w:lang w:bidi="ar"/>
                    </w:rPr>
                    <w:t>（纯水）</w:t>
                  </w:r>
                </w:p>
              </w:tc>
            </w:tr>
            <w:tr w14:paraId="77470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Merge w:val="continue"/>
                  <w:tcBorders>
                    <w:tl2br w:val="nil"/>
                    <w:tr2bl w:val="nil"/>
                  </w:tcBorders>
                  <w:vAlign w:val="center"/>
                </w:tcPr>
                <w:p w14:paraId="60D668EE">
                  <w:pPr>
                    <w:adjustRightInd w:val="0"/>
                    <w:snapToGrid w:val="0"/>
                    <w:jc w:val="center"/>
                  </w:pPr>
                </w:p>
              </w:tc>
              <w:tc>
                <w:tcPr>
                  <w:tcW w:w="1224" w:type="pct"/>
                  <w:tcBorders>
                    <w:tl2br w:val="nil"/>
                    <w:tr2bl w:val="nil"/>
                  </w:tcBorders>
                  <w:shd w:val="clear" w:color="auto" w:fill="auto"/>
                  <w:vAlign w:val="center"/>
                </w:tcPr>
                <w:p w14:paraId="1C844C14">
                  <w:pPr>
                    <w:adjustRightInd w:val="0"/>
                    <w:snapToGrid w:val="0"/>
                    <w:jc w:val="center"/>
                  </w:pPr>
                  <w:r>
                    <w:rPr>
                      <w:rFonts w:hint="eastAsia"/>
                    </w:rPr>
                    <w:t>纯水制备用水（纯水制备率40%）</w:t>
                  </w:r>
                </w:p>
              </w:tc>
              <w:tc>
                <w:tcPr>
                  <w:tcW w:w="847" w:type="pct"/>
                  <w:tcBorders>
                    <w:tl2br w:val="nil"/>
                    <w:tr2bl w:val="nil"/>
                  </w:tcBorders>
                  <w:shd w:val="clear" w:color="auto" w:fill="auto"/>
                  <w:vAlign w:val="center"/>
                </w:tcPr>
                <w:p w14:paraId="1A675809">
                  <w:pPr>
                    <w:widowControl/>
                    <w:jc w:val="center"/>
                    <w:textAlignment w:val="center"/>
                  </w:pPr>
                  <w:r>
                    <w:rPr>
                      <w:kern w:val="0"/>
                      <w:lang w:bidi="ar"/>
                    </w:rPr>
                    <w:t>/</w:t>
                  </w:r>
                </w:p>
              </w:tc>
              <w:tc>
                <w:tcPr>
                  <w:tcW w:w="1202" w:type="pct"/>
                  <w:tcBorders>
                    <w:tl2br w:val="nil"/>
                    <w:tr2bl w:val="nil"/>
                  </w:tcBorders>
                  <w:shd w:val="clear" w:color="auto" w:fill="auto"/>
                  <w:vAlign w:val="center"/>
                </w:tcPr>
                <w:p w14:paraId="09A910AA">
                  <w:pPr>
                    <w:widowControl/>
                    <w:jc w:val="center"/>
                    <w:textAlignment w:val="center"/>
                  </w:pPr>
                  <w:r>
                    <w:rPr>
                      <w:kern w:val="0"/>
                      <w:lang w:bidi="ar"/>
                    </w:rPr>
                    <w:t>/</w:t>
                  </w:r>
                </w:p>
              </w:tc>
              <w:tc>
                <w:tcPr>
                  <w:tcW w:w="1087" w:type="pct"/>
                  <w:tcBorders>
                    <w:tl2br w:val="nil"/>
                    <w:tr2bl w:val="nil"/>
                  </w:tcBorders>
                  <w:shd w:val="clear" w:color="auto" w:fill="auto"/>
                  <w:vAlign w:val="center"/>
                </w:tcPr>
                <w:p w14:paraId="35F0F07F">
                  <w:pPr>
                    <w:widowControl/>
                    <w:jc w:val="center"/>
                    <w:textAlignment w:val="center"/>
                  </w:pPr>
                  <w:r>
                    <w:rPr>
                      <w:rFonts w:hint="eastAsia"/>
                      <w:kern w:val="0"/>
                      <w:lang w:bidi="ar"/>
                    </w:rPr>
                    <w:t>0.005</w:t>
                  </w:r>
                </w:p>
              </w:tc>
            </w:tr>
            <w:tr w14:paraId="3EB3F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Merge w:val="restart"/>
                  <w:tcBorders>
                    <w:tl2br w:val="nil"/>
                    <w:tr2bl w:val="nil"/>
                  </w:tcBorders>
                  <w:vAlign w:val="center"/>
                </w:tcPr>
                <w:p w14:paraId="7C025B91">
                  <w:pPr>
                    <w:adjustRightInd w:val="0"/>
                    <w:snapToGrid w:val="0"/>
                    <w:jc w:val="center"/>
                  </w:pPr>
                  <w:r>
                    <w:t>生活用水</w:t>
                  </w:r>
                </w:p>
              </w:tc>
              <w:tc>
                <w:tcPr>
                  <w:tcW w:w="1224" w:type="pct"/>
                  <w:tcBorders>
                    <w:tl2br w:val="nil"/>
                    <w:tr2bl w:val="nil"/>
                  </w:tcBorders>
                  <w:vAlign w:val="center"/>
                </w:tcPr>
                <w:p w14:paraId="017FCB61">
                  <w:pPr>
                    <w:adjustRightInd w:val="0"/>
                    <w:snapToGrid w:val="0"/>
                    <w:jc w:val="center"/>
                  </w:pPr>
                  <w:r>
                    <w:rPr>
                      <w:rFonts w:hint="eastAsia"/>
                    </w:rPr>
                    <w:t>医护人员</w:t>
                  </w:r>
                  <w:r>
                    <w:t>用水</w:t>
                  </w:r>
                </w:p>
                <w:p w14:paraId="1EAA0BE7">
                  <w:pPr>
                    <w:adjustRightInd w:val="0"/>
                    <w:snapToGrid w:val="0"/>
                    <w:jc w:val="center"/>
                  </w:pPr>
                  <w:r>
                    <w:rPr>
                      <w:rFonts w:hint="eastAsia"/>
                    </w:rPr>
                    <w:t>（含工作服清洗）</w:t>
                  </w:r>
                </w:p>
              </w:tc>
              <w:tc>
                <w:tcPr>
                  <w:tcW w:w="847" w:type="pct"/>
                  <w:tcBorders>
                    <w:tl2br w:val="nil"/>
                    <w:tr2bl w:val="nil"/>
                  </w:tcBorders>
                  <w:vAlign w:val="center"/>
                </w:tcPr>
                <w:p w14:paraId="7C975137">
                  <w:pPr>
                    <w:widowControl/>
                    <w:jc w:val="center"/>
                    <w:textAlignment w:val="center"/>
                  </w:pPr>
                  <w:r>
                    <w:rPr>
                      <w:rStyle w:val="54"/>
                      <w:rFonts w:hint="eastAsia" w:cs="Times New Roman"/>
                      <w:color w:val="auto"/>
                      <w:lang w:val="en-US" w:eastAsia="zh-CN" w:bidi="ar"/>
                    </w:rPr>
                    <w:t>10</w:t>
                  </w:r>
                  <w:r>
                    <w:rPr>
                      <w:rStyle w:val="54"/>
                      <w:rFonts w:hint="default" w:ascii="Times New Roman" w:hAnsi="Times New Roman" w:cs="Times New Roman"/>
                      <w:color w:val="auto"/>
                      <w:lang w:bidi="ar"/>
                    </w:rPr>
                    <w:t>0</w:t>
                  </w:r>
                  <w:r>
                    <w:rPr>
                      <w:rStyle w:val="54"/>
                      <w:rFonts w:hint="default" w:ascii="Times New Roman" w:hAnsi="Times New Roman"/>
                      <w:color w:val="auto"/>
                      <w:lang w:bidi="ar"/>
                    </w:rPr>
                    <w:t>人</w:t>
                  </w:r>
                </w:p>
              </w:tc>
              <w:tc>
                <w:tcPr>
                  <w:tcW w:w="1202" w:type="pct"/>
                  <w:tcBorders>
                    <w:tl2br w:val="nil"/>
                    <w:tr2bl w:val="nil"/>
                  </w:tcBorders>
                  <w:vAlign w:val="center"/>
                </w:tcPr>
                <w:p w14:paraId="5413AE71">
                  <w:pPr>
                    <w:widowControl/>
                    <w:jc w:val="center"/>
                    <w:textAlignment w:val="center"/>
                  </w:pPr>
                  <w:r>
                    <w:rPr>
                      <w:rStyle w:val="54"/>
                      <w:rFonts w:ascii="Times New Roman" w:hAnsi="Times New Roman" w:cs="Times New Roman"/>
                      <w:color w:val="auto"/>
                      <w:lang w:bidi="ar"/>
                    </w:rPr>
                    <w:t>15</w:t>
                  </w:r>
                  <w:r>
                    <w:rPr>
                      <w:rStyle w:val="54"/>
                      <w:rFonts w:hint="default" w:ascii="Times New Roman" w:hAnsi="Times New Roman" w:cs="Times New Roman"/>
                      <w:color w:val="auto"/>
                      <w:lang w:bidi="ar"/>
                    </w:rPr>
                    <w:t>0L</w:t>
                  </w:r>
                  <w:r>
                    <w:rPr>
                      <w:kern w:val="0"/>
                      <w:lang w:bidi="ar"/>
                    </w:rPr>
                    <w:t>/</w:t>
                  </w:r>
                  <w:r>
                    <w:rPr>
                      <w:rStyle w:val="54"/>
                      <w:rFonts w:hint="default" w:ascii="Times New Roman" w:hAnsi="Times New Roman"/>
                      <w:color w:val="auto"/>
                      <w:lang w:bidi="ar"/>
                    </w:rPr>
                    <w:t>人</w:t>
                  </w:r>
                  <w:r>
                    <w:rPr>
                      <w:rStyle w:val="55"/>
                      <w:color w:val="auto"/>
                      <w:lang w:bidi="ar"/>
                    </w:rPr>
                    <w:t>·d</w:t>
                  </w:r>
                </w:p>
              </w:tc>
              <w:tc>
                <w:tcPr>
                  <w:tcW w:w="1087" w:type="pct"/>
                  <w:tcBorders>
                    <w:tl2br w:val="nil"/>
                    <w:tr2bl w:val="nil"/>
                  </w:tcBorders>
                  <w:vAlign w:val="center"/>
                </w:tcPr>
                <w:p w14:paraId="1218063C">
                  <w:pPr>
                    <w:widowControl/>
                    <w:jc w:val="center"/>
                    <w:textAlignment w:val="center"/>
                    <w:rPr>
                      <w:rFonts w:hint="default" w:eastAsia="宋体"/>
                      <w:lang w:val="en-US" w:eastAsia="zh-CN"/>
                    </w:rPr>
                  </w:pPr>
                  <w:r>
                    <w:rPr>
                      <w:rFonts w:hint="eastAsia"/>
                      <w:lang w:val="en-US" w:eastAsia="zh-CN"/>
                    </w:rPr>
                    <w:t>15</w:t>
                  </w:r>
                </w:p>
              </w:tc>
            </w:tr>
            <w:tr w14:paraId="5DD70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38" w:type="pct"/>
                  <w:vMerge w:val="continue"/>
                  <w:tcBorders>
                    <w:tl2br w:val="nil"/>
                    <w:tr2bl w:val="nil"/>
                  </w:tcBorders>
                  <w:vAlign w:val="center"/>
                </w:tcPr>
                <w:p w14:paraId="18EA8B2D">
                  <w:pPr>
                    <w:adjustRightInd w:val="0"/>
                    <w:snapToGrid w:val="0"/>
                    <w:jc w:val="center"/>
                  </w:pPr>
                </w:p>
              </w:tc>
              <w:tc>
                <w:tcPr>
                  <w:tcW w:w="1224" w:type="pct"/>
                  <w:tcBorders>
                    <w:tl2br w:val="nil"/>
                    <w:tr2bl w:val="nil"/>
                  </w:tcBorders>
                  <w:vAlign w:val="center"/>
                </w:tcPr>
                <w:p w14:paraId="78EA09EC">
                  <w:pPr>
                    <w:adjustRightInd w:val="0"/>
                    <w:snapToGrid w:val="0"/>
                    <w:jc w:val="center"/>
                  </w:pPr>
                  <w:r>
                    <w:rPr>
                      <w:rFonts w:hint="eastAsia"/>
                    </w:rPr>
                    <w:t>食堂</w:t>
                  </w:r>
                  <w:r>
                    <w:t>用水</w:t>
                  </w:r>
                </w:p>
              </w:tc>
              <w:tc>
                <w:tcPr>
                  <w:tcW w:w="847" w:type="pct"/>
                  <w:tcBorders>
                    <w:tl2br w:val="nil"/>
                    <w:tr2bl w:val="nil"/>
                  </w:tcBorders>
                  <w:vAlign w:val="center"/>
                </w:tcPr>
                <w:p w14:paraId="458B9500">
                  <w:pPr>
                    <w:widowControl/>
                    <w:jc w:val="center"/>
                    <w:textAlignment w:val="center"/>
                  </w:pPr>
                  <w:r>
                    <w:rPr>
                      <w:rFonts w:hint="eastAsia"/>
                    </w:rPr>
                    <w:t>1</w:t>
                  </w:r>
                  <w:r>
                    <w:rPr>
                      <w:rFonts w:hint="eastAsia"/>
                      <w:lang w:val="en-US" w:eastAsia="zh-CN"/>
                    </w:rPr>
                    <w:t>7</w:t>
                  </w:r>
                  <w:r>
                    <w:rPr>
                      <w:rFonts w:hint="eastAsia"/>
                    </w:rPr>
                    <w:t>0人</w:t>
                  </w:r>
                </w:p>
              </w:tc>
              <w:tc>
                <w:tcPr>
                  <w:tcW w:w="1202" w:type="pct"/>
                  <w:tcBorders>
                    <w:tl2br w:val="nil"/>
                    <w:tr2bl w:val="nil"/>
                  </w:tcBorders>
                  <w:vAlign w:val="center"/>
                </w:tcPr>
                <w:p w14:paraId="16DFFAFE">
                  <w:pPr>
                    <w:widowControl/>
                    <w:jc w:val="center"/>
                    <w:textAlignment w:val="center"/>
                  </w:pPr>
                  <w:r>
                    <w:rPr>
                      <w:rFonts w:hint="eastAsia"/>
                    </w:rPr>
                    <w:t>25</w:t>
                  </w:r>
                  <w:r>
                    <w:rPr>
                      <w:kern w:val="0"/>
                      <w:lang w:bidi="ar"/>
                    </w:rPr>
                    <w:t>L/</w:t>
                  </w:r>
                  <w:r>
                    <w:rPr>
                      <w:rStyle w:val="54"/>
                      <w:rFonts w:hint="default" w:ascii="Times New Roman" w:hAnsi="Times New Roman"/>
                      <w:color w:val="auto"/>
                      <w:lang w:bidi="ar"/>
                    </w:rPr>
                    <w:t>人</w:t>
                  </w:r>
                  <w:r>
                    <w:rPr>
                      <w:rStyle w:val="55"/>
                      <w:color w:val="auto"/>
                      <w:lang w:bidi="ar"/>
                    </w:rPr>
                    <w:t>·d</w:t>
                  </w:r>
                </w:p>
              </w:tc>
              <w:tc>
                <w:tcPr>
                  <w:tcW w:w="1087" w:type="pct"/>
                  <w:tcBorders>
                    <w:tl2br w:val="nil"/>
                    <w:tr2bl w:val="nil"/>
                  </w:tcBorders>
                  <w:vAlign w:val="center"/>
                </w:tcPr>
                <w:p w14:paraId="29AC9B85">
                  <w:pPr>
                    <w:widowControl/>
                    <w:jc w:val="center"/>
                    <w:textAlignment w:val="center"/>
                    <w:rPr>
                      <w:rFonts w:hint="default" w:eastAsia="宋体"/>
                      <w:kern w:val="16"/>
                      <w:lang w:val="en-US" w:eastAsia="zh-CN"/>
                    </w:rPr>
                  </w:pPr>
                  <w:r>
                    <w:rPr>
                      <w:rFonts w:hint="eastAsia"/>
                      <w:kern w:val="16"/>
                      <w:lang w:val="en-US" w:eastAsia="zh-CN"/>
                    </w:rPr>
                    <w:t>4.25</w:t>
                  </w:r>
                </w:p>
              </w:tc>
            </w:tr>
            <w:tr w14:paraId="3B05B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tcBorders>
                    <w:tl2br w:val="nil"/>
                    <w:tr2bl w:val="nil"/>
                  </w:tcBorders>
                  <w:vAlign w:val="center"/>
                </w:tcPr>
                <w:p w14:paraId="1E52BA35">
                  <w:pPr>
                    <w:adjustRightInd w:val="0"/>
                    <w:snapToGrid w:val="0"/>
                    <w:jc w:val="center"/>
                  </w:pPr>
                  <w:r>
                    <w:t>其他用水</w:t>
                  </w:r>
                </w:p>
              </w:tc>
              <w:tc>
                <w:tcPr>
                  <w:tcW w:w="1224" w:type="pct"/>
                  <w:tcBorders>
                    <w:tl2br w:val="nil"/>
                    <w:tr2bl w:val="nil"/>
                  </w:tcBorders>
                  <w:vAlign w:val="center"/>
                </w:tcPr>
                <w:p w14:paraId="66BE47F6">
                  <w:pPr>
                    <w:pStyle w:val="10"/>
                    <w:adjustRightInd w:val="0"/>
                    <w:snapToGrid w:val="0"/>
                    <w:jc w:val="center"/>
                    <w:rPr>
                      <w:rFonts w:ascii="Times New Roman" w:hAnsi="Times New Roman"/>
                    </w:rPr>
                  </w:pPr>
                  <w:r>
                    <w:rPr>
                      <w:rFonts w:hint="eastAsia" w:ascii="Times New Roman" w:hAnsi="Times New Roman"/>
                      <w:vertAlign w:val="baseline"/>
                    </w:rPr>
                    <w:t>地面清洁用水</w:t>
                  </w:r>
                </w:p>
              </w:tc>
              <w:tc>
                <w:tcPr>
                  <w:tcW w:w="847" w:type="pct"/>
                  <w:tcBorders>
                    <w:tl2br w:val="nil"/>
                    <w:tr2bl w:val="nil"/>
                  </w:tcBorders>
                  <w:vAlign w:val="center"/>
                </w:tcPr>
                <w:p w14:paraId="2CDB97DD">
                  <w:pPr>
                    <w:widowControl/>
                    <w:jc w:val="center"/>
                    <w:textAlignment w:val="center"/>
                  </w:pPr>
                  <w:r>
                    <w:rPr>
                      <w:rFonts w:hint="eastAsia"/>
                      <w:kern w:val="0"/>
                      <w:lang w:bidi="ar"/>
                    </w:rPr>
                    <w:t>7300</w:t>
                  </w:r>
                  <w:r>
                    <w:rPr>
                      <w:kern w:val="0"/>
                      <w:lang w:bidi="ar"/>
                    </w:rPr>
                    <w:t>m</w:t>
                  </w:r>
                  <w:r>
                    <w:rPr>
                      <w:rStyle w:val="56"/>
                      <w:color w:val="auto"/>
                      <w:lang w:bidi="ar"/>
                    </w:rPr>
                    <w:t>2</w:t>
                  </w:r>
                </w:p>
              </w:tc>
              <w:tc>
                <w:tcPr>
                  <w:tcW w:w="1202" w:type="pct"/>
                  <w:tcBorders>
                    <w:tl2br w:val="nil"/>
                    <w:tr2bl w:val="nil"/>
                  </w:tcBorders>
                  <w:vAlign w:val="center"/>
                </w:tcPr>
                <w:p w14:paraId="7F5DB78C">
                  <w:pPr>
                    <w:widowControl/>
                    <w:jc w:val="center"/>
                    <w:textAlignment w:val="center"/>
                  </w:pPr>
                  <w:r>
                    <w:rPr>
                      <w:kern w:val="0"/>
                      <w:lang w:bidi="ar"/>
                    </w:rPr>
                    <w:t>0.3L/m</w:t>
                  </w:r>
                  <w:r>
                    <w:rPr>
                      <w:rStyle w:val="56"/>
                      <w:color w:val="auto"/>
                      <w:lang w:bidi="ar"/>
                    </w:rPr>
                    <w:t>2</w:t>
                  </w:r>
                  <w:r>
                    <w:rPr>
                      <w:rStyle w:val="55"/>
                      <w:color w:val="auto"/>
                      <w:lang w:bidi="ar"/>
                    </w:rPr>
                    <w:t>·d</w:t>
                  </w:r>
                </w:p>
              </w:tc>
              <w:tc>
                <w:tcPr>
                  <w:tcW w:w="1087" w:type="pct"/>
                  <w:tcBorders>
                    <w:tl2br w:val="nil"/>
                    <w:tr2bl w:val="nil"/>
                  </w:tcBorders>
                  <w:vAlign w:val="center"/>
                </w:tcPr>
                <w:p w14:paraId="495773E3">
                  <w:pPr>
                    <w:widowControl/>
                    <w:jc w:val="center"/>
                    <w:textAlignment w:val="center"/>
                    <w:rPr>
                      <w:kern w:val="16"/>
                    </w:rPr>
                  </w:pPr>
                  <w:r>
                    <w:rPr>
                      <w:rFonts w:hint="eastAsia"/>
                      <w:kern w:val="16"/>
                    </w:rPr>
                    <w:t>2.19</w:t>
                  </w:r>
                </w:p>
              </w:tc>
            </w:tr>
            <w:tr w14:paraId="419C5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3" w:type="pct"/>
                  <w:gridSpan w:val="2"/>
                  <w:tcBorders>
                    <w:tl2br w:val="nil"/>
                    <w:tr2bl w:val="nil"/>
                  </w:tcBorders>
                  <w:vAlign w:val="center"/>
                </w:tcPr>
                <w:p w14:paraId="65A5D059">
                  <w:pPr>
                    <w:pStyle w:val="29"/>
                    <w:rPr>
                      <w:b/>
                      <w:bCs/>
                    </w:rPr>
                  </w:pPr>
                  <w:r>
                    <w:rPr>
                      <w:rFonts w:eastAsia="宋体"/>
                      <w:b/>
                      <w:bCs/>
                    </w:rPr>
                    <w:t>合计</w:t>
                  </w:r>
                </w:p>
              </w:tc>
              <w:tc>
                <w:tcPr>
                  <w:tcW w:w="3136" w:type="pct"/>
                  <w:gridSpan w:val="3"/>
                  <w:tcBorders>
                    <w:tl2br w:val="nil"/>
                    <w:tr2bl w:val="nil"/>
                  </w:tcBorders>
                  <w:vAlign w:val="center"/>
                </w:tcPr>
                <w:p w14:paraId="2536C7D1">
                  <w:pPr>
                    <w:pStyle w:val="29"/>
                    <w:rPr>
                      <w:b/>
                    </w:rPr>
                  </w:pPr>
                  <w:r>
                    <w:rPr>
                      <w:rFonts w:hint="eastAsia"/>
                      <w:b/>
                    </w:rPr>
                    <w:t>4</w:t>
                  </w:r>
                  <w:r>
                    <w:rPr>
                      <w:rFonts w:hint="eastAsia" w:eastAsia="宋体"/>
                      <w:b/>
                      <w:lang w:val="en-US" w:eastAsia="zh-CN"/>
                    </w:rPr>
                    <w:t>9.94</w:t>
                  </w:r>
                  <w:r>
                    <w:rPr>
                      <w:rFonts w:hint="eastAsia"/>
                      <w:b/>
                    </w:rPr>
                    <w:t>5</w:t>
                  </w:r>
                  <w:r>
                    <w:rPr>
                      <w:b/>
                    </w:rPr>
                    <w:t>m</w:t>
                  </w:r>
                  <w:r>
                    <w:rPr>
                      <w:b/>
                      <w:vertAlign w:val="superscript"/>
                    </w:rPr>
                    <w:t>3</w:t>
                  </w:r>
                  <w:r>
                    <w:rPr>
                      <w:b/>
                    </w:rPr>
                    <w:t>/d</w:t>
                  </w:r>
                </w:p>
              </w:tc>
            </w:tr>
          </w:tbl>
          <w:p w14:paraId="26941C45">
            <w:pPr>
              <w:pStyle w:val="8"/>
              <w:spacing w:after="0" w:line="360" w:lineRule="auto"/>
              <w:ind w:firstLine="482" w:firstLineChars="200"/>
              <w:rPr>
                <w:b/>
                <w:bCs/>
                <w:sz w:val="24"/>
                <w:szCs w:val="32"/>
              </w:rPr>
            </w:pPr>
            <w:r>
              <w:rPr>
                <w:b/>
                <w:bCs/>
                <w:sz w:val="24"/>
                <w:szCs w:val="32"/>
              </w:rPr>
              <w:t>②排水</w:t>
            </w:r>
          </w:p>
          <w:p w14:paraId="1B0D5125">
            <w:pPr>
              <w:pStyle w:val="8"/>
              <w:spacing w:after="0" w:line="360" w:lineRule="auto"/>
              <w:ind w:firstLine="480" w:firstLineChars="200"/>
              <w:rPr>
                <w:sz w:val="24"/>
                <w:szCs w:val="36"/>
              </w:rPr>
            </w:pPr>
            <w:r>
              <w:rPr>
                <w:rFonts w:hint="eastAsia"/>
                <w:sz w:val="24"/>
                <w:szCs w:val="36"/>
              </w:rPr>
              <w:t>本项目外排废水主要包括医疗废水、生活污水、其他废水（地面清洁冲洗废水），各项排水预测量如下所示。</w:t>
            </w:r>
          </w:p>
          <w:p w14:paraId="68EEB641">
            <w:pPr>
              <w:pStyle w:val="8"/>
              <w:spacing w:after="0" w:line="360" w:lineRule="auto"/>
              <w:jc w:val="center"/>
              <w:rPr>
                <w:b/>
                <w:bCs/>
                <w:sz w:val="24"/>
                <w:szCs w:val="36"/>
              </w:rPr>
            </w:pPr>
            <w:r>
              <w:rPr>
                <w:rFonts w:hint="eastAsia"/>
                <w:b/>
                <w:bCs/>
                <w:sz w:val="24"/>
                <w:szCs w:val="36"/>
              </w:rPr>
              <w:t>表2-6  本项目排水量预测</w:t>
            </w:r>
          </w:p>
          <w:tbl>
            <w:tblPr>
              <w:tblStyle w:val="22"/>
              <w:tblW w:w="90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207"/>
              <w:gridCol w:w="2276"/>
              <w:gridCol w:w="1394"/>
              <w:gridCol w:w="1986"/>
            </w:tblGrid>
            <w:tr w14:paraId="546BC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8" w:type="dxa"/>
                  <w:gridSpan w:val="2"/>
                  <w:tcBorders>
                    <w:tl2br w:val="nil"/>
                    <w:tr2bl w:val="nil"/>
                  </w:tcBorders>
                  <w:vAlign w:val="center"/>
                </w:tcPr>
                <w:p w14:paraId="28D2D633">
                  <w:pPr>
                    <w:adjustRightInd w:val="0"/>
                    <w:snapToGrid w:val="0"/>
                    <w:jc w:val="center"/>
                    <w:rPr>
                      <w:b/>
                    </w:rPr>
                  </w:pPr>
                  <w:r>
                    <w:rPr>
                      <w:b/>
                    </w:rPr>
                    <w:t>用水对象</w:t>
                  </w:r>
                </w:p>
              </w:tc>
              <w:tc>
                <w:tcPr>
                  <w:tcW w:w="2276" w:type="dxa"/>
                  <w:tcBorders>
                    <w:tl2br w:val="nil"/>
                    <w:tr2bl w:val="nil"/>
                  </w:tcBorders>
                  <w:vAlign w:val="center"/>
                </w:tcPr>
                <w:p w14:paraId="3B701C4C">
                  <w:pPr>
                    <w:adjustRightInd w:val="0"/>
                    <w:snapToGrid w:val="0"/>
                    <w:jc w:val="center"/>
                    <w:rPr>
                      <w:b/>
                    </w:rPr>
                  </w:pPr>
                  <w:r>
                    <w:rPr>
                      <w:b/>
                    </w:rPr>
                    <w:t>最大用水量（m</w:t>
                  </w:r>
                  <w:r>
                    <w:rPr>
                      <w:b/>
                      <w:vertAlign w:val="superscript"/>
                    </w:rPr>
                    <w:t>3</w:t>
                  </w:r>
                  <w:r>
                    <w:rPr>
                      <w:b/>
                    </w:rPr>
                    <w:t>/d）</w:t>
                  </w:r>
                </w:p>
              </w:tc>
              <w:tc>
                <w:tcPr>
                  <w:tcW w:w="1394" w:type="dxa"/>
                  <w:tcBorders>
                    <w:tl2br w:val="nil"/>
                    <w:tr2bl w:val="nil"/>
                  </w:tcBorders>
                  <w:vAlign w:val="center"/>
                </w:tcPr>
                <w:p w14:paraId="56FA6B2C">
                  <w:pPr>
                    <w:adjustRightInd w:val="0"/>
                    <w:snapToGrid w:val="0"/>
                    <w:jc w:val="center"/>
                    <w:rPr>
                      <w:b/>
                    </w:rPr>
                  </w:pPr>
                  <w:r>
                    <w:rPr>
                      <w:b/>
                    </w:rPr>
                    <w:t>排水系数</w:t>
                  </w:r>
                </w:p>
              </w:tc>
              <w:tc>
                <w:tcPr>
                  <w:tcW w:w="1986" w:type="dxa"/>
                  <w:tcBorders>
                    <w:tl2br w:val="nil"/>
                    <w:tr2bl w:val="nil"/>
                  </w:tcBorders>
                  <w:vAlign w:val="center"/>
                </w:tcPr>
                <w:p w14:paraId="5FEE4F79">
                  <w:pPr>
                    <w:adjustRightInd w:val="0"/>
                    <w:snapToGrid w:val="0"/>
                    <w:jc w:val="center"/>
                    <w:rPr>
                      <w:b/>
                    </w:rPr>
                  </w:pPr>
                  <w:r>
                    <w:rPr>
                      <w:b/>
                    </w:rPr>
                    <w:t>最大排水量（m</w:t>
                  </w:r>
                  <w:r>
                    <w:rPr>
                      <w:b/>
                      <w:vertAlign w:val="superscript"/>
                    </w:rPr>
                    <w:t>3</w:t>
                  </w:r>
                  <w:r>
                    <w:rPr>
                      <w:b/>
                    </w:rPr>
                    <w:t>/d）</w:t>
                  </w:r>
                </w:p>
              </w:tc>
            </w:tr>
            <w:tr w14:paraId="46F07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restart"/>
                  <w:tcBorders>
                    <w:tl2br w:val="nil"/>
                    <w:tr2bl w:val="nil"/>
                  </w:tcBorders>
                  <w:vAlign w:val="center"/>
                </w:tcPr>
                <w:p w14:paraId="45175783">
                  <w:pPr>
                    <w:adjustRightInd w:val="0"/>
                    <w:snapToGrid w:val="0"/>
                    <w:jc w:val="center"/>
                    <w:rPr>
                      <w:bCs/>
                    </w:rPr>
                  </w:pPr>
                  <w:r>
                    <w:rPr>
                      <w:bCs/>
                    </w:rPr>
                    <w:t>医疗</w:t>
                  </w:r>
                  <w:r>
                    <w:rPr>
                      <w:rFonts w:hint="eastAsia"/>
                      <w:bCs/>
                    </w:rPr>
                    <w:t>废水</w:t>
                  </w:r>
                </w:p>
              </w:tc>
              <w:tc>
                <w:tcPr>
                  <w:tcW w:w="2207" w:type="dxa"/>
                  <w:tcBorders>
                    <w:tl2br w:val="nil"/>
                    <w:tr2bl w:val="nil"/>
                  </w:tcBorders>
                  <w:vAlign w:val="center"/>
                </w:tcPr>
                <w:p w14:paraId="2B850413">
                  <w:pPr>
                    <w:adjustRightInd w:val="0"/>
                    <w:snapToGrid w:val="0"/>
                    <w:jc w:val="center"/>
                  </w:pPr>
                  <w:r>
                    <w:t>住院病人</w:t>
                  </w:r>
                </w:p>
                <w:p w14:paraId="28FA0B52">
                  <w:pPr>
                    <w:adjustRightInd w:val="0"/>
                    <w:snapToGrid w:val="0"/>
                    <w:jc w:val="center"/>
                  </w:pPr>
                  <w:r>
                    <w:rPr>
                      <w:rFonts w:hint="eastAsia"/>
                    </w:rPr>
                    <w:t>（含病服、床单清洗）</w:t>
                  </w:r>
                </w:p>
              </w:tc>
              <w:tc>
                <w:tcPr>
                  <w:tcW w:w="2276" w:type="dxa"/>
                  <w:tcBorders>
                    <w:tl2br w:val="nil"/>
                    <w:tr2bl w:val="nil"/>
                  </w:tcBorders>
                  <w:vAlign w:val="center"/>
                </w:tcPr>
                <w:p w14:paraId="1B910808">
                  <w:pPr>
                    <w:widowControl/>
                    <w:jc w:val="center"/>
                    <w:textAlignment w:val="center"/>
                  </w:pPr>
                  <w:r>
                    <w:t>28</w:t>
                  </w:r>
                </w:p>
              </w:tc>
              <w:tc>
                <w:tcPr>
                  <w:tcW w:w="1394" w:type="dxa"/>
                  <w:tcBorders>
                    <w:tl2br w:val="nil"/>
                    <w:tr2bl w:val="nil"/>
                  </w:tcBorders>
                  <w:vAlign w:val="center"/>
                </w:tcPr>
                <w:p w14:paraId="25EDDA13">
                  <w:pPr>
                    <w:widowControl/>
                    <w:jc w:val="center"/>
                    <w:textAlignment w:val="center"/>
                    <w:rPr>
                      <w:bCs/>
                    </w:rPr>
                  </w:pPr>
                  <w:r>
                    <w:rPr>
                      <w:kern w:val="0"/>
                      <w:lang w:bidi="ar"/>
                    </w:rPr>
                    <w:t>0.85</w:t>
                  </w:r>
                </w:p>
              </w:tc>
              <w:tc>
                <w:tcPr>
                  <w:tcW w:w="1986" w:type="dxa"/>
                  <w:tcBorders>
                    <w:tl2br w:val="nil"/>
                    <w:tr2bl w:val="nil"/>
                  </w:tcBorders>
                  <w:vAlign w:val="center"/>
                </w:tcPr>
                <w:p w14:paraId="30D3C31A">
                  <w:pPr>
                    <w:widowControl/>
                    <w:jc w:val="center"/>
                    <w:textAlignment w:val="center"/>
                    <w:rPr>
                      <w:bCs/>
                    </w:rPr>
                  </w:pPr>
                  <w:r>
                    <w:rPr>
                      <w:kern w:val="0"/>
                      <w:lang w:bidi="ar"/>
                    </w:rPr>
                    <w:t>23.8</w:t>
                  </w:r>
                </w:p>
              </w:tc>
            </w:tr>
            <w:tr w14:paraId="41F71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continue"/>
                  <w:tcBorders>
                    <w:tl2br w:val="nil"/>
                    <w:tr2bl w:val="nil"/>
                  </w:tcBorders>
                  <w:vAlign w:val="center"/>
                </w:tcPr>
                <w:p w14:paraId="1255B326">
                  <w:pPr>
                    <w:adjustRightInd w:val="0"/>
                    <w:snapToGrid w:val="0"/>
                    <w:jc w:val="center"/>
                    <w:rPr>
                      <w:bCs/>
                    </w:rPr>
                  </w:pPr>
                </w:p>
              </w:tc>
              <w:tc>
                <w:tcPr>
                  <w:tcW w:w="2207" w:type="dxa"/>
                  <w:tcBorders>
                    <w:tl2br w:val="nil"/>
                    <w:tr2bl w:val="nil"/>
                  </w:tcBorders>
                  <w:vAlign w:val="center"/>
                </w:tcPr>
                <w:p w14:paraId="7CC67844">
                  <w:pPr>
                    <w:adjustRightInd w:val="0"/>
                    <w:snapToGrid w:val="0"/>
                    <w:jc w:val="center"/>
                  </w:pPr>
                  <w:r>
                    <w:t>门诊病人</w:t>
                  </w:r>
                </w:p>
              </w:tc>
              <w:tc>
                <w:tcPr>
                  <w:tcW w:w="2276" w:type="dxa"/>
                  <w:tcBorders>
                    <w:tl2br w:val="nil"/>
                    <w:tr2bl w:val="nil"/>
                  </w:tcBorders>
                  <w:vAlign w:val="center"/>
                </w:tcPr>
                <w:p w14:paraId="6500C322">
                  <w:pPr>
                    <w:widowControl/>
                    <w:jc w:val="center"/>
                    <w:textAlignment w:val="center"/>
                  </w:pPr>
                  <w:r>
                    <w:t>0.5</w:t>
                  </w:r>
                </w:p>
              </w:tc>
              <w:tc>
                <w:tcPr>
                  <w:tcW w:w="1394" w:type="dxa"/>
                  <w:tcBorders>
                    <w:tl2br w:val="nil"/>
                    <w:tr2bl w:val="nil"/>
                  </w:tcBorders>
                  <w:vAlign w:val="center"/>
                </w:tcPr>
                <w:p w14:paraId="694AE80F">
                  <w:pPr>
                    <w:widowControl/>
                    <w:jc w:val="center"/>
                    <w:textAlignment w:val="center"/>
                    <w:rPr>
                      <w:bCs/>
                    </w:rPr>
                  </w:pPr>
                  <w:r>
                    <w:rPr>
                      <w:kern w:val="0"/>
                      <w:lang w:bidi="ar"/>
                    </w:rPr>
                    <w:t>0.85</w:t>
                  </w:r>
                </w:p>
              </w:tc>
              <w:tc>
                <w:tcPr>
                  <w:tcW w:w="1986" w:type="dxa"/>
                  <w:tcBorders>
                    <w:tl2br w:val="nil"/>
                    <w:tr2bl w:val="nil"/>
                  </w:tcBorders>
                  <w:vAlign w:val="center"/>
                </w:tcPr>
                <w:p w14:paraId="79B57930">
                  <w:pPr>
                    <w:widowControl/>
                    <w:jc w:val="center"/>
                    <w:textAlignment w:val="center"/>
                    <w:rPr>
                      <w:bCs/>
                    </w:rPr>
                  </w:pPr>
                  <w:r>
                    <w:rPr>
                      <w:kern w:val="0"/>
                      <w:lang w:bidi="ar"/>
                    </w:rPr>
                    <w:t>0.425</w:t>
                  </w:r>
                </w:p>
              </w:tc>
            </w:tr>
            <w:tr w14:paraId="1EC5B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continue"/>
                  <w:tcBorders>
                    <w:tl2br w:val="nil"/>
                    <w:tr2bl w:val="nil"/>
                  </w:tcBorders>
                  <w:vAlign w:val="center"/>
                </w:tcPr>
                <w:p w14:paraId="4005852C">
                  <w:pPr>
                    <w:adjustRightInd w:val="0"/>
                    <w:snapToGrid w:val="0"/>
                    <w:jc w:val="center"/>
                    <w:rPr>
                      <w:bCs/>
                    </w:rPr>
                  </w:pPr>
                </w:p>
              </w:tc>
              <w:tc>
                <w:tcPr>
                  <w:tcW w:w="2207" w:type="dxa"/>
                  <w:tcBorders>
                    <w:tl2br w:val="nil"/>
                    <w:tr2bl w:val="nil"/>
                  </w:tcBorders>
                  <w:shd w:val="clear" w:color="auto" w:fill="auto"/>
                  <w:vAlign w:val="center"/>
                </w:tcPr>
                <w:p w14:paraId="2ED2C29A">
                  <w:pPr>
                    <w:adjustRightInd w:val="0"/>
                    <w:snapToGrid w:val="0"/>
                    <w:jc w:val="center"/>
                  </w:pPr>
                  <w:r>
                    <w:rPr>
                      <w:rFonts w:hint="eastAsia"/>
                    </w:rPr>
                    <w:t>检验用水</w:t>
                  </w:r>
                </w:p>
              </w:tc>
              <w:tc>
                <w:tcPr>
                  <w:tcW w:w="2276" w:type="dxa"/>
                  <w:tcBorders>
                    <w:tl2br w:val="nil"/>
                    <w:tr2bl w:val="nil"/>
                  </w:tcBorders>
                  <w:shd w:val="clear" w:color="auto" w:fill="auto"/>
                  <w:vAlign w:val="center"/>
                </w:tcPr>
                <w:p w14:paraId="66804AB6">
                  <w:pPr>
                    <w:widowControl/>
                    <w:jc w:val="center"/>
                    <w:textAlignment w:val="center"/>
                  </w:pPr>
                  <w:r>
                    <w:rPr>
                      <w:kern w:val="0"/>
                      <w:lang w:bidi="ar"/>
                    </w:rPr>
                    <w:t>0.0</w:t>
                  </w:r>
                  <w:r>
                    <w:rPr>
                      <w:rFonts w:hint="eastAsia"/>
                      <w:kern w:val="0"/>
                      <w:lang w:bidi="ar"/>
                    </w:rPr>
                    <w:t>0</w:t>
                  </w:r>
                  <w:r>
                    <w:rPr>
                      <w:kern w:val="0"/>
                      <w:lang w:bidi="ar"/>
                    </w:rPr>
                    <w:t>2</w:t>
                  </w:r>
                </w:p>
              </w:tc>
              <w:tc>
                <w:tcPr>
                  <w:tcW w:w="1394" w:type="dxa"/>
                  <w:tcBorders>
                    <w:tl2br w:val="nil"/>
                    <w:tr2bl w:val="nil"/>
                  </w:tcBorders>
                  <w:shd w:val="clear" w:color="auto" w:fill="auto"/>
                  <w:vAlign w:val="center"/>
                </w:tcPr>
                <w:p w14:paraId="62BF0DDE">
                  <w:pPr>
                    <w:widowControl/>
                    <w:jc w:val="center"/>
                    <w:textAlignment w:val="center"/>
                    <w:rPr>
                      <w:bCs/>
                    </w:rPr>
                  </w:pPr>
                  <w:r>
                    <w:rPr>
                      <w:kern w:val="0"/>
                      <w:lang w:bidi="ar"/>
                    </w:rPr>
                    <w:t>/</w:t>
                  </w:r>
                </w:p>
              </w:tc>
              <w:tc>
                <w:tcPr>
                  <w:tcW w:w="1986" w:type="dxa"/>
                  <w:tcBorders>
                    <w:tl2br w:val="nil"/>
                    <w:tr2bl w:val="nil"/>
                  </w:tcBorders>
                  <w:shd w:val="clear" w:color="auto" w:fill="auto"/>
                  <w:vAlign w:val="center"/>
                </w:tcPr>
                <w:p w14:paraId="5683F11D">
                  <w:pPr>
                    <w:widowControl/>
                    <w:jc w:val="center"/>
                    <w:textAlignment w:val="center"/>
                    <w:rPr>
                      <w:bCs/>
                    </w:rPr>
                  </w:pPr>
                  <w:r>
                    <w:rPr>
                      <w:rFonts w:hint="eastAsia"/>
                      <w:bCs/>
                    </w:rPr>
                    <w:t>作为医废处理</w:t>
                  </w:r>
                </w:p>
              </w:tc>
            </w:tr>
            <w:tr w14:paraId="2CB17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continue"/>
                  <w:tcBorders>
                    <w:tl2br w:val="nil"/>
                    <w:tr2bl w:val="nil"/>
                  </w:tcBorders>
                  <w:vAlign w:val="center"/>
                </w:tcPr>
                <w:p w14:paraId="22C47DA1">
                  <w:pPr>
                    <w:adjustRightInd w:val="0"/>
                    <w:snapToGrid w:val="0"/>
                    <w:jc w:val="center"/>
                    <w:rPr>
                      <w:bCs/>
                    </w:rPr>
                  </w:pPr>
                </w:p>
              </w:tc>
              <w:tc>
                <w:tcPr>
                  <w:tcW w:w="2207" w:type="dxa"/>
                  <w:tcBorders>
                    <w:tl2br w:val="nil"/>
                    <w:tr2bl w:val="nil"/>
                  </w:tcBorders>
                  <w:shd w:val="clear" w:color="auto" w:fill="auto"/>
                  <w:vAlign w:val="center"/>
                </w:tcPr>
                <w:p w14:paraId="67143E63">
                  <w:pPr>
                    <w:adjustRightInd w:val="0"/>
                    <w:snapToGrid w:val="0"/>
                    <w:jc w:val="center"/>
                  </w:pPr>
                  <w:r>
                    <w:rPr>
                      <w:rFonts w:hint="eastAsia"/>
                    </w:rPr>
                    <w:t>纯水制备浓水、反冲洗废水</w:t>
                  </w:r>
                </w:p>
              </w:tc>
              <w:tc>
                <w:tcPr>
                  <w:tcW w:w="2276" w:type="dxa"/>
                  <w:tcBorders>
                    <w:tl2br w:val="nil"/>
                    <w:tr2bl w:val="nil"/>
                  </w:tcBorders>
                  <w:shd w:val="clear" w:color="auto" w:fill="auto"/>
                  <w:vAlign w:val="center"/>
                </w:tcPr>
                <w:p w14:paraId="0EAA3EF3">
                  <w:pPr>
                    <w:widowControl/>
                    <w:jc w:val="center"/>
                    <w:textAlignment w:val="center"/>
                    <w:rPr>
                      <w:kern w:val="0"/>
                      <w:lang w:bidi="ar"/>
                    </w:rPr>
                  </w:pPr>
                  <w:r>
                    <w:rPr>
                      <w:rFonts w:hint="eastAsia"/>
                      <w:kern w:val="0"/>
                      <w:lang w:bidi="ar"/>
                    </w:rPr>
                    <w:t>0.003</w:t>
                  </w:r>
                </w:p>
              </w:tc>
              <w:tc>
                <w:tcPr>
                  <w:tcW w:w="1394" w:type="dxa"/>
                  <w:tcBorders>
                    <w:tl2br w:val="nil"/>
                    <w:tr2bl w:val="nil"/>
                  </w:tcBorders>
                  <w:shd w:val="clear" w:color="auto" w:fill="auto"/>
                  <w:vAlign w:val="center"/>
                </w:tcPr>
                <w:p w14:paraId="343DA1BB">
                  <w:pPr>
                    <w:widowControl/>
                    <w:jc w:val="center"/>
                    <w:textAlignment w:val="center"/>
                    <w:rPr>
                      <w:kern w:val="0"/>
                      <w:lang w:bidi="ar"/>
                    </w:rPr>
                  </w:pPr>
                  <w:r>
                    <w:rPr>
                      <w:rFonts w:hint="eastAsia"/>
                      <w:kern w:val="0"/>
                      <w:lang w:bidi="ar"/>
                    </w:rPr>
                    <w:t>1</w:t>
                  </w:r>
                </w:p>
              </w:tc>
              <w:tc>
                <w:tcPr>
                  <w:tcW w:w="1986" w:type="dxa"/>
                  <w:tcBorders>
                    <w:tl2br w:val="nil"/>
                    <w:tr2bl w:val="nil"/>
                  </w:tcBorders>
                  <w:shd w:val="clear" w:color="auto" w:fill="auto"/>
                  <w:vAlign w:val="center"/>
                </w:tcPr>
                <w:p w14:paraId="3B725847">
                  <w:pPr>
                    <w:widowControl/>
                    <w:jc w:val="center"/>
                    <w:textAlignment w:val="center"/>
                    <w:rPr>
                      <w:kern w:val="0"/>
                      <w:lang w:bidi="ar"/>
                    </w:rPr>
                  </w:pPr>
                  <w:r>
                    <w:rPr>
                      <w:rFonts w:hint="eastAsia"/>
                      <w:kern w:val="0"/>
                      <w:lang w:bidi="ar"/>
                    </w:rPr>
                    <w:t>0.003</w:t>
                  </w:r>
                </w:p>
              </w:tc>
            </w:tr>
            <w:tr w14:paraId="544E5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restart"/>
                  <w:tcBorders>
                    <w:tl2br w:val="nil"/>
                    <w:tr2bl w:val="nil"/>
                  </w:tcBorders>
                  <w:vAlign w:val="center"/>
                </w:tcPr>
                <w:p w14:paraId="2E56C0E5">
                  <w:pPr>
                    <w:adjustRightInd w:val="0"/>
                    <w:snapToGrid w:val="0"/>
                    <w:jc w:val="center"/>
                    <w:rPr>
                      <w:bCs/>
                    </w:rPr>
                  </w:pPr>
                  <w:r>
                    <w:rPr>
                      <w:bCs/>
                    </w:rPr>
                    <w:t>生活</w:t>
                  </w:r>
                  <w:r>
                    <w:rPr>
                      <w:rFonts w:hint="eastAsia"/>
                      <w:bCs/>
                    </w:rPr>
                    <w:t>废水</w:t>
                  </w:r>
                </w:p>
              </w:tc>
              <w:tc>
                <w:tcPr>
                  <w:tcW w:w="2207" w:type="dxa"/>
                  <w:tcBorders>
                    <w:tl2br w:val="nil"/>
                    <w:tr2bl w:val="nil"/>
                  </w:tcBorders>
                  <w:vAlign w:val="center"/>
                </w:tcPr>
                <w:p w14:paraId="5132EF4D">
                  <w:pPr>
                    <w:adjustRightInd w:val="0"/>
                    <w:snapToGrid w:val="0"/>
                    <w:jc w:val="center"/>
                  </w:pPr>
                  <w:r>
                    <w:rPr>
                      <w:rFonts w:hint="eastAsia"/>
                    </w:rPr>
                    <w:t>医护人员</w:t>
                  </w:r>
                  <w:r>
                    <w:t>用水</w:t>
                  </w:r>
                </w:p>
                <w:p w14:paraId="2A133C35">
                  <w:pPr>
                    <w:adjustRightInd w:val="0"/>
                    <w:snapToGrid w:val="0"/>
                    <w:jc w:val="center"/>
                  </w:pPr>
                  <w:r>
                    <w:rPr>
                      <w:rFonts w:hint="eastAsia"/>
                    </w:rPr>
                    <w:t>（含工作服清洗）</w:t>
                  </w:r>
                </w:p>
              </w:tc>
              <w:tc>
                <w:tcPr>
                  <w:tcW w:w="2276" w:type="dxa"/>
                  <w:tcBorders>
                    <w:tl2br w:val="nil"/>
                    <w:tr2bl w:val="nil"/>
                  </w:tcBorders>
                  <w:vAlign w:val="center"/>
                </w:tcPr>
                <w:p w14:paraId="3EF991EC">
                  <w:pPr>
                    <w:widowControl/>
                    <w:jc w:val="center"/>
                    <w:textAlignment w:val="center"/>
                  </w:pPr>
                  <w:r>
                    <w:rPr>
                      <w:rFonts w:hint="eastAsia"/>
                      <w:lang w:val="en-US" w:eastAsia="zh-CN"/>
                    </w:rPr>
                    <w:t>15</w:t>
                  </w:r>
                </w:p>
              </w:tc>
              <w:tc>
                <w:tcPr>
                  <w:tcW w:w="1394" w:type="dxa"/>
                  <w:tcBorders>
                    <w:tl2br w:val="nil"/>
                    <w:tr2bl w:val="nil"/>
                  </w:tcBorders>
                  <w:vAlign w:val="center"/>
                </w:tcPr>
                <w:p w14:paraId="075FEE51">
                  <w:pPr>
                    <w:widowControl/>
                    <w:jc w:val="center"/>
                    <w:textAlignment w:val="center"/>
                    <w:rPr>
                      <w:bCs/>
                    </w:rPr>
                  </w:pPr>
                  <w:r>
                    <w:rPr>
                      <w:kern w:val="0"/>
                      <w:lang w:bidi="ar"/>
                    </w:rPr>
                    <w:t>0.85</w:t>
                  </w:r>
                </w:p>
              </w:tc>
              <w:tc>
                <w:tcPr>
                  <w:tcW w:w="1986" w:type="dxa"/>
                  <w:tcBorders>
                    <w:tl2br w:val="nil"/>
                    <w:tr2bl w:val="nil"/>
                  </w:tcBorders>
                  <w:vAlign w:val="center"/>
                </w:tcPr>
                <w:p w14:paraId="06465C44">
                  <w:pPr>
                    <w:widowControl/>
                    <w:jc w:val="center"/>
                    <w:textAlignment w:val="center"/>
                    <w:rPr>
                      <w:rFonts w:hint="default" w:eastAsia="宋体"/>
                      <w:bCs/>
                      <w:lang w:val="en-US" w:eastAsia="zh-CN"/>
                    </w:rPr>
                  </w:pPr>
                  <w:r>
                    <w:rPr>
                      <w:rFonts w:hint="eastAsia"/>
                      <w:bCs/>
                      <w:lang w:val="en-US" w:eastAsia="zh-CN"/>
                    </w:rPr>
                    <w:t>12.75</w:t>
                  </w:r>
                </w:p>
              </w:tc>
            </w:tr>
            <w:tr w14:paraId="1D7D3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vMerge w:val="continue"/>
                  <w:tcBorders>
                    <w:tl2br w:val="nil"/>
                    <w:tr2bl w:val="nil"/>
                  </w:tcBorders>
                  <w:vAlign w:val="center"/>
                </w:tcPr>
                <w:p w14:paraId="5B8944D4">
                  <w:pPr>
                    <w:adjustRightInd w:val="0"/>
                    <w:snapToGrid w:val="0"/>
                    <w:jc w:val="center"/>
                    <w:rPr>
                      <w:bCs/>
                    </w:rPr>
                  </w:pPr>
                </w:p>
              </w:tc>
              <w:tc>
                <w:tcPr>
                  <w:tcW w:w="2207" w:type="dxa"/>
                  <w:tcBorders>
                    <w:tl2br w:val="nil"/>
                    <w:tr2bl w:val="nil"/>
                  </w:tcBorders>
                  <w:vAlign w:val="center"/>
                </w:tcPr>
                <w:p w14:paraId="3C226DAE">
                  <w:pPr>
                    <w:adjustRightInd w:val="0"/>
                    <w:snapToGrid w:val="0"/>
                    <w:jc w:val="center"/>
                  </w:pPr>
                  <w:r>
                    <w:rPr>
                      <w:rFonts w:hint="eastAsia"/>
                    </w:rPr>
                    <w:t>食堂</w:t>
                  </w:r>
                  <w:r>
                    <w:t>用水</w:t>
                  </w:r>
                </w:p>
              </w:tc>
              <w:tc>
                <w:tcPr>
                  <w:tcW w:w="2276" w:type="dxa"/>
                  <w:tcBorders>
                    <w:tl2br w:val="nil"/>
                    <w:tr2bl w:val="nil"/>
                  </w:tcBorders>
                  <w:vAlign w:val="center"/>
                </w:tcPr>
                <w:p w14:paraId="0FD67EEF">
                  <w:pPr>
                    <w:widowControl/>
                    <w:jc w:val="center"/>
                    <w:textAlignment w:val="center"/>
                    <w:rPr>
                      <w:kern w:val="16"/>
                    </w:rPr>
                  </w:pPr>
                  <w:r>
                    <w:rPr>
                      <w:rFonts w:hint="eastAsia"/>
                      <w:kern w:val="16"/>
                      <w:lang w:val="en-US" w:eastAsia="zh-CN"/>
                    </w:rPr>
                    <w:t>4.25</w:t>
                  </w:r>
                </w:p>
              </w:tc>
              <w:tc>
                <w:tcPr>
                  <w:tcW w:w="1394" w:type="dxa"/>
                  <w:tcBorders>
                    <w:tl2br w:val="nil"/>
                    <w:tr2bl w:val="nil"/>
                  </w:tcBorders>
                  <w:vAlign w:val="center"/>
                </w:tcPr>
                <w:p w14:paraId="32D05EAE">
                  <w:pPr>
                    <w:widowControl/>
                    <w:jc w:val="center"/>
                    <w:textAlignment w:val="center"/>
                    <w:rPr>
                      <w:bCs/>
                    </w:rPr>
                  </w:pPr>
                  <w:r>
                    <w:rPr>
                      <w:bCs/>
                    </w:rPr>
                    <w:t>0.85</w:t>
                  </w:r>
                </w:p>
              </w:tc>
              <w:tc>
                <w:tcPr>
                  <w:tcW w:w="1986" w:type="dxa"/>
                  <w:tcBorders>
                    <w:tl2br w:val="nil"/>
                    <w:tr2bl w:val="nil"/>
                  </w:tcBorders>
                  <w:vAlign w:val="center"/>
                </w:tcPr>
                <w:p w14:paraId="7ECD1A77">
                  <w:pPr>
                    <w:widowControl/>
                    <w:jc w:val="center"/>
                    <w:textAlignment w:val="center"/>
                    <w:rPr>
                      <w:rFonts w:hint="default" w:eastAsia="宋体"/>
                      <w:bCs/>
                      <w:lang w:val="en-US" w:eastAsia="zh-CN"/>
                    </w:rPr>
                  </w:pPr>
                  <w:r>
                    <w:rPr>
                      <w:rFonts w:hint="eastAsia"/>
                      <w:bCs/>
                      <w:lang w:val="en-US" w:eastAsia="zh-CN"/>
                    </w:rPr>
                    <w:t>3.61</w:t>
                  </w:r>
                </w:p>
              </w:tc>
            </w:tr>
            <w:tr w14:paraId="7499E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dxa"/>
                  <w:tcBorders>
                    <w:tl2br w:val="nil"/>
                    <w:tr2bl w:val="nil"/>
                  </w:tcBorders>
                  <w:vAlign w:val="center"/>
                </w:tcPr>
                <w:p w14:paraId="68D70E54">
                  <w:pPr>
                    <w:adjustRightInd w:val="0"/>
                    <w:snapToGrid w:val="0"/>
                    <w:jc w:val="center"/>
                    <w:rPr>
                      <w:bCs/>
                    </w:rPr>
                  </w:pPr>
                  <w:r>
                    <w:rPr>
                      <w:bCs/>
                    </w:rPr>
                    <w:t>其他</w:t>
                  </w:r>
                  <w:r>
                    <w:rPr>
                      <w:rFonts w:hint="eastAsia"/>
                      <w:bCs/>
                    </w:rPr>
                    <w:t>废水</w:t>
                  </w:r>
                </w:p>
              </w:tc>
              <w:tc>
                <w:tcPr>
                  <w:tcW w:w="2207" w:type="dxa"/>
                  <w:tcBorders>
                    <w:tl2br w:val="nil"/>
                    <w:tr2bl w:val="nil"/>
                  </w:tcBorders>
                  <w:vAlign w:val="center"/>
                </w:tcPr>
                <w:p w14:paraId="1D4DA6CD">
                  <w:pPr>
                    <w:pStyle w:val="10"/>
                    <w:adjustRightInd w:val="0"/>
                    <w:snapToGrid w:val="0"/>
                    <w:jc w:val="center"/>
                    <w:rPr>
                      <w:rFonts w:ascii="Times New Roman" w:hAnsi="Times New Roman"/>
                    </w:rPr>
                  </w:pPr>
                  <w:r>
                    <w:rPr>
                      <w:rFonts w:hint="eastAsia" w:ascii="Times New Roman" w:hAnsi="Times New Roman"/>
                      <w:vertAlign w:val="baseline"/>
                    </w:rPr>
                    <w:t>地面清洁用水</w:t>
                  </w:r>
                </w:p>
              </w:tc>
              <w:tc>
                <w:tcPr>
                  <w:tcW w:w="2276" w:type="dxa"/>
                  <w:tcBorders>
                    <w:tl2br w:val="nil"/>
                    <w:tr2bl w:val="nil"/>
                  </w:tcBorders>
                  <w:vAlign w:val="center"/>
                </w:tcPr>
                <w:p w14:paraId="4704CABB">
                  <w:pPr>
                    <w:widowControl/>
                    <w:jc w:val="center"/>
                    <w:textAlignment w:val="center"/>
                    <w:rPr>
                      <w:kern w:val="16"/>
                    </w:rPr>
                  </w:pPr>
                  <w:r>
                    <w:rPr>
                      <w:rFonts w:hint="eastAsia"/>
                      <w:kern w:val="16"/>
                    </w:rPr>
                    <w:t>2.19</w:t>
                  </w:r>
                </w:p>
              </w:tc>
              <w:tc>
                <w:tcPr>
                  <w:tcW w:w="1394" w:type="dxa"/>
                  <w:tcBorders>
                    <w:tl2br w:val="nil"/>
                    <w:tr2bl w:val="nil"/>
                  </w:tcBorders>
                  <w:vAlign w:val="center"/>
                </w:tcPr>
                <w:p w14:paraId="1DE253FC">
                  <w:pPr>
                    <w:widowControl/>
                    <w:jc w:val="center"/>
                    <w:textAlignment w:val="center"/>
                    <w:rPr>
                      <w:bCs/>
                    </w:rPr>
                  </w:pPr>
                  <w:r>
                    <w:rPr>
                      <w:kern w:val="0"/>
                      <w:lang w:bidi="ar"/>
                    </w:rPr>
                    <w:t>0.85</w:t>
                  </w:r>
                </w:p>
              </w:tc>
              <w:tc>
                <w:tcPr>
                  <w:tcW w:w="1986" w:type="dxa"/>
                  <w:tcBorders>
                    <w:tl2br w:val="nil"/>
                    <w:tr2bl w:val="nil"/>
                  </w:tcBorders>
                  <w:vAlign w:val="center"/>
                </w:tcPr>
                <w:p w14:paraId="0EBC9B2E">
                  <w:pPr>
                    <w:widowControl/>
                    <w:jc w:val="center"/>
                    <w:textAlignment w:val="center"/>
                    <w:rPr>
                      <w:bCs/>
                    </w:rPr>
                  </w:pPr>
                  <w:r>
                    <w:rPr>
                      <w:rFonts w:hint="eastAsia"/>
                      <w:bCs/>
                    </w:rPr>
                    <w:t>1.862</w:t>
                  </w:r>
                </w:p>
              </w:tc>
            </w:tr>
            <w:tr w14:paraId="7BF92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8" w:type="dxa"/>
                  <w:gridSpan w:val="2"/>
                  <w:tcBorders>
                    <w:tl2br w:val="nil"/>
                    <w:tr2bl w:val="nil"/>
                  </w:tcBorders>
                  <w:vAlign w:val="center"/>
                </w:tcPr>
                <w:p w14:paraId="4E9D55BD">
                  <w:pPr>
                    <w:adjustRightInd w:val="0"/>
                    <w:snapToGrid w:val="0"/>
                    <w:jc w:val="center"/>
                    <w:rPr>
                      <w:bCs/>
                    </w:rPr>
                  </w:pPr>
                  <w:r>
                    <w:rPr>
                      <w:bCs/>
                    </w:rPr>
                    <w:t>合计</w:t>
                  </w:r>
                </w:p>
              </w:tc>
              <w:tc>
                <w:tcPr>
                  <w:tcW w:w="2276" w:type="dxa"/>
                  <w:tcBorders>
                    <w:tl2br w:val="nil"/>
                    <w:tr2bl w:val="nil"/>
                  </w:tcBorders>
                  <w:vAlign w:val="center"/>
                </w:tcPr>
                <w:p w14:paraId="04EF1A17">
                  <w:pPr>
                    <w:adjustRightInd w:val="0"/>
                    <w:snapToGrid w:val="0"/>
                    <w:jc w:val="center"/>
                    <w:rPr>
                      <w:bCs/>
                    </w:rPr>
                  </w:pPr>
                  <w:r>
                    <w:rPr>
                      <w:rFonts w:hint="eastAsia"/>
                      <w:bCs/>
                    </w:rPr>
                    <w:t>4</w:t>
                  </w:r>
                  <w:r>
                    <w:rPr>
                      <w:rFonts w:hint="eastAsia"/>
                      <w:bCs/>
                      <w:lang w:val="en-US" w:eastAsia="zh-CN"/>
                    </w:rPr>
                    <w:t>9</w:t>
                  </w:r>
                  <w:r>
                    <w:rPr>
                      <w:rFonts w:hint="eastAsia"/>
                      <w:bCs/>
                    </w:rPr>
                    <w:t>.</w:t>
                  </w:r>
                  <w:r>
                    <w:rPr>
                      <w:rFonts w:hint="eastAsia"/>
                      <w:bCs/>
                      <w:lang w:val="en-US" w:eastAsia="zh-CN"/>
                    </w:rPr>
                    <w:t>94</w:t>
                  </w:r>
                  <w:r>
                    <w:rPr>
                      <w:rFonts w:hint="eastAsia"/>
                      <w:bCs/>
                    </w:rPr>
                    <w:t>5</w:t>
                  </w:r>
                </w:p>
              </w:tc>
              <w:tc>
                <w:tcPr>
                  <w:tcW w:w="1394" w:type="dxa"/>
                  <w:tcBorders>
                    <w:tl2br w:val="nil"/>
                    <w:tr2bl w:val="nil"/>
                  </w:tcBorders>
                  <w:vAlign w:val="center"/>
                </w:tcPr>
                <w:p w14:paraId="63C8A371">
                  <w:pPr>
                    <w:adjustRightInd w:val="0"/>
                    <w:snapToGrid w:val="0"/>
                    <w:jc w:val="center"/>
                    <w:rPr>
                      <w:bCs/>
                    </w:rPr>
                  </w:pPr>
                  <w:r>
                    <w:rPr>
                      <w:bCs/>
                    </w:rPr>
                    <w:t>/</w:t>
                  </w:r>
                </w:p>
              </w:tc>
              <w:tc>
                <w:tcPr>
                  <w:tcW w:w="1986" w:type="dxa"/>
                  <w:tcBorders>
                    <w:tl2br w:val="nil"/>
                    <w:tr2bl w:val="nil"/>
                  </w:tcBorders>
                  <w:vAlign w:val="center"/>
                </w:tcPr>
                <w:p w14:paraId="23332402">
                  <w:pPr>
                    <w:widowControl/>
                    <w:jc w:val="center"/>
                    <w:textAlignment w:val="center"/>
                    <w:rPr>
                      <w:rFonts w:hint="default" w:eastAsia="宋体"/>
                      <w:bCs/>
                      <w:lang w:val="en-US" w:eastAsia="zh-CN"/>
                    </w:rPr>
                  </w:pPr>
                  <w:r>
                    <w:rPr>
                      <w:rFonts w:hint="eastAsia"/>
                      <w:bCs/>
                      <w:lang w:val="en-US" w:eastAsia="zh-CN"/>
                    </w:rPr>
                    <w:t>42.25</w:t>
                  </w:r>
                </w:p>
              </w:tc>
            </w:tr>
          </w:tbl>
          <w:p w14:paraId="1F7A2A31">
            <w:pPr>
              <w:pStyle w:val="8"/>
              <w:spacing w:after="0" w:line="360" w:lineRule="auto"/>
              <w:ind w:firstLine="480" w:firstLineChars="200"/>
              <w:rPr>
                <w:sz w:val="24"/>
                <w:szCs w:val="36"/>
              </w:rPr>
            </w:pPr>
            <w:r>
              <w:rPr>
                <w:rFonts w:hint="eastAsia"/>
                <w:sz w:val="24"/>
                <w:szCs w:val="36"/>
              </w:rPr>
              <w:t>综上所述，本项目总水量为</w:t>
            </w:r>
            <w:r>
              <w:rPr>
                <w:rFonts w:hint="eastAsia"/>
                <w:sz w:val="24"/>
                <w:szCs w:val="36"/>
                <w:lang w:eastAsia="zh-CN"/>
              </w:rPr>
              <w:t>49.</w:t>
            </w:r>
            <w:r>
              <w:rPr>
                <w:rFonts w:hint="eastAsia"/>
                <w:sz w:val="24"/>
                <w:szCs w:val="36"/>
                <w:lang w:val="en-US" w:eastAsia="zh-CN"/>
              </w:rPr>
              <w:t>94</w:t>
            </w:r>
            <w:r>
              <w:rPr>
                <w:rFonts w:hint="eastAsia"/>
                <w:sz w:val="24"/>
                <w:szCs w:val="36"/>
                <w:lang w:eastAsia="zh-CN"/>
              </w:rPr>
              <w:t>5</w:t>
            </w:r>
            <w:r>
              <w:rPr>
                <w:rFonts w:hint="eastAsia"/>
                <w:sz w:val="24"/>
                <w:szCs w:val="36"/>
              </w:rPr>
              <w:t>m</w:t>
            </w:r>
            <w:r>
              <w:rPr>
                <w:rFonts w:hint="eastAsia"/>
                <w:sz w:val="24"/>
                <w:szCs w:val="36"/>
                <w:vertAlign w:val="superscript"/>
              </w:rPr>
              <w:t>3</w:t>
            </w:r>
            <w:r>
              <w:rPr>
                <w:rFonts w:hint="eastAsia"/>
                <w:sz w:val="24"/>
                <w:szCs w:val="36"/>
              </w:rPr>
              <w:t>/d（</w:t>
            </w:r>
            <w:r>
              <w:rPr>
                <w:rFonts w:hint="eastAsia"/>
                <w:sz w:val="24"/>
                <w:szCs w:val="36"/>
                <w:lang w:eastAsia="zh-CN"/>
              </w:rPr>
              <w:t>18229.925</w:t>
            </w:r>
            <w:r>
              <w:rPr>
                <w:rFonts w:hint="eastAsia"/>
                <w:sz w:val="24"/>
                <w:szCs w:val="36"/>
              </w:rPr>
              <w:t>m</w:t>
            </w:r>
            <w:r>
              <w:rPr>
                <w:rFonts w:hint="eastAsia"/>
                <w:sz w:val="24"/>
                <w:szCs w:val="36"/>
                <w:vertAlign w:val="superscript"/>
              </w:rPr>
              <w:t>3</w:t>
            </w:r>
            <w:r>
              <w:rPr>
                <w:rFonts w:hint="eastAsia"/>
                <w:sz w:val="24"/>
                <w:szCs w:val="36"/>
              </w:rPr>
              <w:t>/a），外排废水总量为</w:t>
            </w:r>
            <w:r>
              <w:rPr>
                <w:rFonts w:hint="eastAsia"/>
                <w:sz w:val="24"/>
                <w:szCs w:val="36"/>
                <w:lang w:eastAsia="zh-CN"/>
              </w:rPr>
              <w:t>42.25</w:t>
            </w:r>
            <w:r>
              <w:rPr>
                <w:rFonts w:hint="eastAsia"/>
                <w:sz w:val="24"/>
                <w:szCs w:val="36"/>
              </w:rPr>
              <w:t>m</w:t>
            </w:r>
            <w:r>
              <w:rPr>
                <w:rFonts w:hint="eastAsia"/>
                <w:sz w:val="24"/>
                <w:szCs w:val="36"/>
                <w:vertAlign w:val="superscript"/>
              </w:rPr>
              <w:t>3</w:t>
            </w:r>
            <w:r>
              <w:rPr>
                <w:rFonts w:hint="eastAsia"/>
                <w:sz w:val="24"/>
                <w:szCs w:val="36"/>
              </w:rPr>
              <w:t>/d（</w:t>
            </w:r>
            <w:r>
              <w:rPr>
                <w:rFonts w:hint="eastAsia"/>
                <w:sz w:val="24"/>
                <w:szCs w:val="36"/>
                <w:lang w:eastAsia="zh-CN"/>
              </w:rPr>
              <w:t>15421.25</w:t>
            </w:r>
            <w:r>
              <w:rPr>
                <w:rFonts w:hint="eastAsia"/>
                <w:sz w:val="24"/>
                <w:szCs w:val="36"/>
              </w:rPr>
              <w:t>m</w:t>
            </w:r>
            <w:r>
              <w:rPr>
                <w:rFonts w:hint="eastAsia"/>
                <w:sz w:val="24"/>
                <w:szCs w:val="36"/>
                <w:vertAlign w:val="superscript"/>
              </w:rPr>
              <w:t>3</w:t>
            </w:r>
            <w:r>
              <w:rPr>
                <w:rFonts w:hint="eastAsia"/>
                <w:sz w:val="24"/>
                <w:szCs w:val="36"/>
              </w:rPr>
              <w:t>/a）。项目食堂废水经油水分离器处理后，同其他外排废水经排污管道收集后进入化粪池+污水处理站处理，处理后达《医疗机构水污染排放标准》（GB18466-2005）表2中的预处理标准后</w:t>
            </w:r>
            <w:r>
              <w:rPr>
                <w:rFonts w:hint="eastAsia"/>
                <w:bCs/>
                <w:sz w:val="24"/>
                <w:lang w:bidi="en-US"/>
              </w:rPr>
              <w:t>通过市政管网进入罗江镇污水处理厂处理</w:t>
            </w:r>
            <w:r>
              <w:rPr>
                <w:rFonts w:hint="eastAsia"/>
                <w:sz w:val="24"/>
                <w:szCs w:val="36"/>
              </w:rPr>
              <w:t>。医院检验、病理分析采用外购成品一次性专用检测试剂，检验室废液作为医疗废物（化学性废物）交由有资质单位处理，产生量为0.002m</w:t>
            </w:r>
            <w:r>
              <w:rPr>
                <w:rFonts w:hint="eastAsia"/>
                <w:sz w:val="24"/>
                <w:szCs w:val="36"/>
                <w:vertAlign w:val="superscript"/>
              </w:rPr>
              <w:t>3</w:t>
            </w:r>
            <w:r>
              <w:rPr>
                <w:rFonts w:hint="eastAsia"/>
                <w:sz w:val="24"/>
                <w:szCs w:val="36"/>
              </w:rPr>
              <w:t>/d（0.73m</w:t>
            </w:r>
            <w:r>
              <w:rPr>
                <w:rFonts w:hint="eastAsia"/>
                <w:sz w:val="24"/>
                <w:szCs w:val="36"/>
                <w:vertAlign w:val="superscript"/>
              </w:rPr>
              <w:t>3</w:t>
            </w:r>
            <w:r>
              <w:rPr>
                <w:rFonts w:hint="eastAsia"/>
                <w:sz w:val="24"/>
                <w:szCs w:val="36"/>
              </w:rPr>
              <w:t>/a）。</w:t>
            </w:r>
          </w:p>
          <w:p w14:paraId="2CB15CDD">
            <w:pPr>
              <w:pStyle w:val="8"/>
              <w:spacing w:after="0" w:line="360" w:lineRule="auto"/>
              <w:ind w:firstLine="482" w:firstLineChars="200"/>
              <w:rPr>
                <w:b/>
                <w:bCs/>
                <w:sz w:val="24"/>
                <w:szCs w:val="36"/>
              </w:rPr>
            </w:pPr>
            <w:r>
              <w:rPr>
                <w:rFonts w:hint="eastAsia"/>
                <w:b/>
                <w:bCs/>
                <w:sz w:val="24"/>
                <w:szCs w:val="36"/>
              </w:rPr>
              <w:t>③水平衡图</w:t>
            </w:r>
          </w:p>
          <w:p w14:paraId="2B445391">
            <w:pPr>
              <w:pStyle w:val="8"/>
              <w:spacing w:after="0" w:line="360" w:lineRule="auto"/>
              <w:ind w:firstLine="480" w:firstLineChars="200"/>
              <w:rPr>
                <w:sz w:val="24"/>
                <w:szCs w:val="36"/>
              </w:rPr>
            </w:pPr>
            <w:r>
              <w:rPr>
                <w:rFonts w:hint="eastAsia"/>
                <w:sz w:val="24"/>
                <w:szCs w:val="36"/>
              </w:rPr>
              <w:t>本项目运营期的水量平衡见图2-1。</w:t>
            </w:r>
          </w:p>
          <w:p w14:paraId="7746ADE0">
            <w:pPr>
              <w:pStyle w:val="8"/>
              <w:spacing w:after="0" w:line="360" w:lineRule="auto"/>
              <w:jc w:val="center"/>
              <w:rPr>
                <w:sz w:val="24"/>
                <w:szCs w:val="36"/>
              </w:rPr>
            </w:pPr>
            <w:r>
              <w:rPr>
                <w:sz w:val="24"/>
                <w:szCs w:val="36"/>
              </w:rPr>
              <w:object>
                <v:shape id="_x0000_i1025" o:spt="75" type="#_x0000_t75" style="height:373.45pt;width:446.8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6D896029">
            <w:pPr>
              <w:pStyle w:val="8"/>
              <w:spacing w:after="0" w:line="360" w:lineRule="auto"/>
              <w:jc w:val="center"/>
              <w:rPr>
                <w:b/>
                <w:bCs/>
                <w:sz w:val="24"/>
                <w:szCs w:val="36"/>
              </w:rPr>
            </w:pPr>
            <w:r>
              <w:rPr>
                <w:rFonts w:hint="eastAsia"/>
                <w:b/>
                <w:bCs/>
                <w:sz w:val="24"/>
                <w:szCs w:val="36"/>
              </w:rPr>
              <w:t>图2-1 本项目水量平衡图（m</w:t>
            </w:r>
            <w:r>
              <w:rPr>
                <w:rFonts w:hint="eastAsia"/>
                <w:b/>
                <w:bCs/>
                <w:sz w:val="24"/>
                <w:szCs w:val="36"/>
                <w:vertAlign w:val="superscript"/>
              </w:rPr>
              <w:t>3</w:t>
            </w:r>
            <w:r>
              <w:rPr>
                <w:rFonts w:hint="eastAsia"/>
                <w:b/>
                <w:bCs/>
                <w:sz w:val="24"/>
                <w:szCs w:val="36"/>
              </w:rPr>
              <w:t>/d）</w:t>
            </w:r>
          </w:p>
          <w:p w14:paraId="4A3AF36A">
            <w:pPr>
              <w:pStyle w:val="8"/>
              <w:spacing w:after="0" w:line="360" w:lineRule="auto"/>
              <w:ind w:firstLine="482" w:firstLineChars="200"/>
              <w:rPr>
                <w:b/>
                <w:bCs/>
                <w:sz w:val="24"/>
                <w:szCs w:val="36"/>
              </w:rPr>
            </w:pPr>
            <w:r>
              <w:rPr>
                <w:rFonts w:hint="eastAsia"/>
                <w:b/>
                <w:bCs/>
                <w:sz w:val="24"/>
                <w:szCs w:val="36"/>
              </w:rPr>
              <w:t>（3）纯水系统</w:t>
            </w:r>
          </w:p>
          <w:p w14:paraId="52990059">
            <w:pPr>
              <w:pStyle w:val="8"/>
              <w:spacing w:after="0" w:line="360" w:lineRule="auto"/>
              <w:ind w:firstLine="480" w:firstLineChars="200"/>
              <w:rPr>
                <w:sz w:val="24"/>
                <w:szCs w:val="36"/>
              </w:rPr>
            </w:pPr>
            <w:r>
              <w:rPr>
                <w:rFonts w:hint="eastAsia"/>
                <w:sz w:val="24"/>
                <w:szCs w:val="36"/>
              </w:rPr>
              <w:t>本项目检验室用水使用纯水，设置有1台纯水机，采用“过滤+反渗透”工艺，设计得水率为40%，浓水、反冲洗等废水产生量为60%。</w:t>
            </w:r>
          </w:p>
          <w:p w14:paraId="52AF442D">
            <w:pPr>
              <w:pStyle w:val="8"/>
              <w:spacing w:after="0" w:line="360" w:lineRule="auto"/>
              <w:ind w:firstLine="482" w:firstLineChars="200"/>
              <w:rPr>
                <w:sz w:val="24"/>
                <w:szCs w:val="36"/>
              </w:rPr>
            </w:pPr>
            <w:r>
              <w:rPr>
                <w:rFonts w:hint="eastAsia"/>
                <w:b/>
                <w:bCs/>
                <w:sz w:val="24"/>
                <w:szCs w:val="36"/>
              </w:rPr>
              <w:t>（4）空调系统</w:t>
            </w:r>
          </w:p>
          <w:p w14:paraId="28D75721">
            <w:pPr>
              <w:pStyle w:val="8"/>
              <w:spacing w:after="0" w:line="360" w:lineRule="auto"/>
              <w:ind w:firstLine="480" w:firstLineChars="200"/>
              <w:rPr>
                <w:sz w:val="24"/>
                <w:szCs w:val="36"/>
              </w:rPr>
            </w:pPr>
            <w:r>
              <w:rPr>
                <w:rFonts w:hint="eastAsia"/>
                <w:sz w:val="24"/>
                <w:szCs w:val="36"/>
              </w:rPr>
              <w:t>本项目采用分体式空调，不设置中央空调。</w:t>
            </w:r>
          </w:p>
          <w:p w14:paraId="68364C3A">
            <w:pPr>
              <w:pStyle w:val="8"/>
              <w:spacing w:after="0" w:line="360" w:lineRule="auto"/>
              <w:ind w:firstLine="482" w:firstLineChars="200"/>
              <w:rPr>
                <w:b/>
                <w:bCs/>
                <w:sz w:val="24"/>
                <w:szCs w:val="36"/>
              </w:rPr>
            </w:pPr>
            <w:r>
              <w:rPr>
                <w:rFonts w:hint="eastAsia"/>
                <w:b/>
                <w:bCs/>
                <w:sz w:val="24"/>
                <w:szCs w:val="36"/>
              </w:rPr>
              <w:t>（5）氧气供应</w:t>
            </w:r>
          </w:p>
          <w:p w14:paraId="0617329A">
            <w:pPr>
              <w:pStyle w:val="8"/>
              <w:spacing w:after="0" w:line="360" w:lineRule="auto"/>
              <w:ind w:firstLine="480" w:firstLineChars="200"/>
              <w:rPr>
                <w:sz w:val="24"/>
                <w:szCs w:val="36"/>
              </w:rPr>
            </w:pPr>
            <w:r>
              <w:rPr>
                <w:rFonts w:hint="eastAsia"/>
                <w:sz w:val="24"/>
                <w:szCs w:val="36"/>
              </w:rPr>
              <w:t>项目采用氧气瓶进行供气供应，每月根据用量定期配送，不设集中供氧系统。</w:t>
            </w:r>
          </w:p>
          <w:p w14:paraId="42FCF624">
            <w:pPr>
              <w:pStyle w:val="8"/>
              <w:spacing w:after="0" w:line="360" w:lineRule="auto"/>
              <w:ind w:firstLine="482" w:firstLineChars="200"/>
              <w:rPr>
                <w:b/>
                <w:bCs/>
                <w:sz w:val="24"/>
                <w:szCs w:val="36"/>
              </w:rPr>
            </w:pPr>
            <w:r>
              <w:rPr>
                <w:rFonts w:hint="eastAsia"/>
                <w:b/>
                <w:bCs/>
                <w:sz w:val="24"/>
                <w:szCs w:val="36"/>
              </w:rPr>
              <w:t>（6）消防系统</w:t>
            </w:r>
          </w:p>
          <w:p w14:paraId="7D7BA5C1">
            <w:pPr>
              <w:pStyle w:val="8"/>
              <w:spacing w:after="0" w:line="360" w:lineRule="auto"/>
              <w:ind w:firstLine="480" w:firstLineChars="200"/>
              <w:rPr>
                <w:sz w:val="24"/>
                <w:szCs w:val="36"/>
              </w:rPr>
            </w:pPr>
            <w:r>
              <w:rPr>
                <w:rFonts w:hint="eastAsia"/>
                <w:sz w:val="24"/>
                <w:szCs w:val="36"/>
              </w:rPr>
              <w:t>项目按照《建筑设计防火规范》（GB50016-2014）进行防火设计，项目设安全疏散指令的措施，设控制消防水泵，固定灭火装置，防排烟设施等，设显示电源运行情况的设施。</w:t>
            </w:r>
          </w:p>
          <w:p w14:paraId="0B92E5C9">
            <w:pPr>
              <w:pStyle w:val="8"/>
              <w:spacing w:after="0" w:line="360" w:lineRule="auto"/>
              <w:ind w:firstLine="482" w:firstLineChars="200"/>
              <w:rPr>
                <w:b/>
                <w:bCs/>
                <w:sz w:val="24"/>
                <w:szCs w:val="36"/>
              </w:rPr>
            </w:pPr>
            <w:r>
              <w:rPr>
                <w:rFonts w:hint="eastAsia"/>
                <w:b/>
                <w:bCs/>
                <w:sz w:val="24"/>
                <w:szCs w:val="36"/>
              </w:rPr>
              <w:t>（7）消毒方式</w:t>
            </w:r>
          </w:p>
          <w:p w14:paraId="1D860F7C">
            <w:pPr>
              <w:pStyle w:val="8"/>
              <w:spacing w:after="0" w:line="360" w:lineRule="auto"/>
              <w:ind w:firstLine="480" w:firstLineChars="200"/>
              <w:rPr>
                <w:sz w:val="24"/>
                <w:szCs w:val="36"/>
              </w:rPr>
            </w:pPr>
            <w:r>
              <w:rPr>
                <w:rFonts w:hint="eastAsia"/>
                <w:sz w:val="24"/>
                <w:szCs w:val="36"/>
              </w:rPr>
              <w:t>项目产生的医护人员工作服、病患衣物、病床用品利用项目洗衣间进行清洗，洗衣间不对外服务，仅清洗来自本院医护人员工作服、病患衣物、床上用品等。</w:t>
            </w:r>
          </w:p>
          <w:p w14:paraId="3B0CDC1E">
            <w:pPr>
              <w:pStyle w:val="8"/>
              <w:spacing w:after="0" w:line="360" w:lineRule="auto"/>
              <w:ind w:firstLine="480" w:firstLineChars="200"/>
              <w:rPr>
                <w:sz w:val="24"/>
                <w:szCs w:val="36"/>
              </w:rPr>
            </w:pPr>
            <w:r>
              <w:rPr>
                <w:rFonts w:hint="eastAsia"/>
                <w:sz w:val="24"/>
                <w:szCs w:val="36"/>
              </w:rPr>
              <w:t>医院、病区：采用紫外方式消毒，医疗器械使用高压灭菌锅、84消毒液等进行消毒。清洗病服床单被套时添加84消毒液进行消毒处理。</w:t>
            </w:r>
          </w:p>
          <w:p w14:paraId="77653D17">
            <w:pPr>
              <w:pStyle w:val="8"/>
              <w:spacing w:after="0" w:line="360" w:lineRule="auto"/>
              <w:ind w:firstLine="480" w:firstLineChars="200"/>
              <w:rPr>
                <w:sz w:val="24"/>
                <w:szCs w:val="36"/>
              </w:rPr>
            </w:pPr>
            <w:r>
              <w:rPr>
                <w:rFonts w:hint="eastAsia"/>
                <w:sz w:val="24"/>
                <w:szCs w:val="36"/>
              </w:rPr>
              <w:t>医疗废水消毒：根据《医院消毒技术规范》，本项目采用经济性和技术先进性都适中的次氯酸钠发生器消毒。通过投加次氯酸钠粉末得到次氯酸钠溶液，次氯酸钠溶液是一种安全高效的强力杀菌剂，对病原微生物以及耐氯性极强的病毒等都有很好的消毒效果，消毒工艺选择可行。</w:t>
            </w:r>
          </w:p>
          <w:p w14:paraId="01E5A587">
            <w:pPr>
              <w:pStyle w:val="8"/>
              <w:spacing w:after="0" w:line="360" w:lineRule="auto"/>
              <w:ind w:firstLine="482" w:firstLineChars="200"/>
              <w:rPr>
                <w:b/>
                <w:bCs/>
                <w:sz w:val="24"/>
                <w:szCs w:val="36"/>
              </w:rPr>
            </w:pPr>
            <w:r>
              <w:rPr>
                <w:rFonts w:hint="eastAsia"/>
                <w:b/>
                <w:bCs/>
                <w:sz w:val="24"/>
                <w:szCs w:val="36"/>
              </w:rPr>
              <w:t>7、劳动定员及工作制度</w:t>
            </w:r>
          </w:p>
          <w:p w14:paraId="620BDD6B">
            <w:pPr>
              <w:pStyle w:val="8"/>
              <w:spacing w:after="0" w:line="360" w:lineRule="auto"/>
              <w:ind w:firstLine="480" w:firstLineChars="200"/>
              <w:rPr>
                <w:sz w:val="24"/>
                <w:szCs w:val="36"/>
              </w:rPr>
            </w:pPr>
            <w:r>
              <w:rPr>
                <w:rFonts w:hint="eastAsia"/>
                <w:sz w:val="24"/>
                <w:szCs w:val="36"/>
              </w:rPr>
              <w:t>项目医院设医护人员</w:t>
            </w:r>
            <w:r>
              <w:rPr>
                <w:rFonts w:hint="eastAsia"/>
                <w:sz w:val="24"/>
                <w:szCs w:val="36"/>
                <w:lang w:val="en-US" w:eastAsia="zh-CN"/>
              </w:rPr>
              <w:t>10</w:t>
            </w:r>
            <w:r>
              <w:rPr>
                <w:rFonts w:hint="eastAsia"/>
                <w:sz w:val="24"/>
                <w:szCs w:val="36"/>
              </w:rPr>
              <w:t>0人，年工作日365天，实行8小时工作制，夜间设值班人员。</w:t>
            </w:r>
          </w:p>
          <w:p w14:paraId="7C3A469C">
            <w:pPr>
              <w:pStyle w:val="8"/>
              <w:spacing w:after="0" w:line="360" w:lineRule="auto"/>
              <w:ind w:firstLine="482" w:firstLineChars="200"/>
              <w:rPr>
                <w:b/>
                <w:bCs/>
                <w:sz w:val="24"/>
                <w:szCs w:val="36"/>
              </w:rPr>
            </w:pPr>
            <w:r>
              <w:rPr>
                <w:rFonts w:hint="eastAsia"/>
                <w:b/>
                <w:bCs/>
                <w:sz w:val="24"/>
                <w:szCs w:val="36"/>
              </w:rPr>
              <w:t>8、平面布置分析</w:t>
            </w:r>
          </w:p>
          <w:p w14:paraId="62B3BF5D">
            <w:pPr>
              <w:pStyle w:val="8"/>
              <w:spacing w:after="0" w:line="360" w:lineRule="auto"/>
              <w:ind w:firstLine="482" w:firstLineChars="200"/>
              <w:rPr>
                <w:b/>
                <w:sz w:val="24"/>
              </w:rPr>
            </w:pPr>
            <w:r>
              <w:rPr>
                <w:rFonts w:hint="eastAsia"/>
                <w:b/>
                <w:sz w:val="24"/>
              </w:rPr>
              <w:t>（1）医院布局</w:t>
            </w:r>
          </w:p>
          <w:p w14:paraId="24C133D2">
            <w:pPr>
              <w:pStyle w:val="8"/>
              <w:spacing w:after="0" w:line="360" w:lineRule="auto"/>
              <w:ind w:firstLine="480" w:firstLineChars="200"/>
              <w:rPr>
                <w:sz w:val="24"/>
              </w:rPr>
            </w:pPr>
            <w:r>
              <w:rPr>
                <w:rFonts w:hint="eastAsia"/>
                <w:bCs/>
                <w:sz w:val="24"/>
              </w:rPr>
              <w:t>本项目位于</w:t>
            </w:r>
            <w:r>
              <w:rPr>
                <w:rFonts w:hint="eastAsia"/>
                <w:sz w:val="24"/>
              </w:rPr>
              <w:t>通川区罗江镇高岩村，院内设置有1栋综合楼</w:t>
            </w:r>
            <w:r>
              <w:rPr>
                <w:rFonts w:hint="eastAsia"/>
                <w:bCs/>
                <w:sz w:val="24"/>
              </w:rPr>
              <w:t>及相关配套辅助设施</w:t>
            </w:r>
            <w:r>
              <w:rPr>
                <w:rFonts w:hint="eastAsia"/>
                <w:sz w:val="24"/>
              </w:rPr>
              <w:t>。本院区设置有1个</w:t>
            </w:r>
            <w:r>
              <w:rPr>
                <w:rFonts w:hint="eastAsia"/>
                <w:bCs/>
                <w:sz w:val="24"/>
              </w:rPr>
              <w:t>出（入）口。</w:t>
            </w:r>
          </w:p>
          <w:p w14:paraId="22EDBB62">
            <w:pPr>
              <w:pStyle w:val="8"/>
              <w:spacing w:after="0" w:line="360" w:lineRule="auto"/>
              <w:ind w:firstLine="482" w:firstLineChars="200"/>
              <w:rPr>
                <w:b/>
                <w:sz w:val="24"/>
              </w:rPr>
            </w:pPr>
            <w:r>
              <w:rPr>
                <w:rFonts w:hint="eastAsia"/>
                <w:b/>
                <w:sz w:val="24"/>
              </w:rPr>
              <w:t>（2）主要环保设施设置</w:t>
            </w:r>
          </w:p>
          <w:p w14:paraId="153A6C01">
            <w:pPr>
              <w:pStyle w:val="8"/>
              <w:spacing w:after="0" w:line="360" w:lineRule="auto"/>
              <w:ind w:firstLine="480" w:firstLineChars="200"/>
              <w:rPr>
                <w:bCs/>
                <w:sz w:val="24"/>
              </w:rPr>
            </w:pPr>
            <w:r>
              <w:rPr>
                <w:rFonts w:hint="eastAsia"/>
                <w:bCs/>
                <w:sz w:val="24"/>
              </w:rPr>
              <w:t>①污水处理站</w:t>
            </w:r>
          </w:p>
          <w:p w14:paraId="1593507F">
            <w:pPr>
              <w:pStyle w:val="8"/>
              <w:spacing w:after="0" w:line="360" w:lineRule="auto"/>
              <w:ind w:firstLine="480" w:firstLineChars="200"/>
              <w:rPr>
                <w:rFonts w:hint="eastAsia" w:ascii="Times New Roman" w:hAnsi="Times New Roman" w:eastAsia="宋体" w:cs="Times New Roman"/>
                <w:bCs/>
                <w:sz w:val="24"/>
              </w:rPr>
            </w:pPr>
            <w:r>
              <w:rPr>
                <w:rFonts w:hint="eastAsia" w:ascii="Times New Roman" w:hAnsi="Times New Roman" w:eastAsia="宋体" w:cs="Times New Roman"/>
                <w:bCs/>
                <w:sz w:val="24"/>
              </w:rPr>
              <w:t>综合楼西南侧设置有1座地埋式污水处理站。医疗废水、生活污水经化粪池+调节池+地埋式一体化污水处理设施（采用“</w:t>
            </w:r>
            <w:r>
              <w:rPr>
                <w:rFonts w:hint="eastAsia" w:ascii="Times New Roman" w:hAnsi="Times New Roman" w:eastAsia="宋体" w:cs="Times New Roman"/>
                <w:bCs/>
                <w:sz w:val="24"/>
                <w:lang w:val="en-US" w:eastAsia="zh-CN"/>
              </w:rPr>
              <w:t>预处理+A2O+沉淀+消毒</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次氯酸钠消毒</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w:t>
            </w:r>
            <w:r>
              <w:rPr>
                <w:rFonts w:hint="eastAsia" w:ascii="Times New Roman" w:hAnsi="Times New Roman" w:eastAsia="宋体" w:cs="Times New Roman"/>
                <w:bCs/>
                <w:sz w:val="24"/>
                <w:lang w:val="en-US" w:eastAsia="zh-CN"/>
              </w:rPr>
              <w:t>处理工艺</w:t>
            </w:r>
            <w:r>
              <w:rPr>
                <w:rFonts w:hint="eastAsia" w:ascii="Times New Roman" w:hAnsi="Times New Roman" w:eastAsia="宋体" w:cs="Times New Roman"/>
                <w:bCs/>
                <w:sz w:val="24"/>
              </w:rPr>
              <w:t>）处理，处理规模拟设计为</w:t>
            </w:r>
            <w:r>
              <w:rPr>
                <w:rFonts w:hint="eastAsia" w:ascii="Times New Roman" w:hAnsi="Times New Roman" w:eastAsia="宋体" w:cs="Times New Roman"/>
                <w:bCs/>
                <w:sz w:val="24"/>
                <w:lang w:val="en-US" w:eastAsia="zh-CN"/>
              </w:rPr>
              <w:t>7</w:t>
            </w:r>
            <w:r>
              <w:rPr>
                <w:rFonts w:hint="eastAsia" w:ascii="Times New Roman" w:hAnsi="Times New Roman" w:eastAsia="宋体" w:cs="Times New Roman"/>
                <w:bCs/>
                <w:sz w:val="24"/>
              </w:rPr>
              <w:t>0m</w:t>
            </w:r>
            <w:r>
              <w:rPr>
                <w:rFonts w:hint="eastAsia" w:ascii="Times New Roman" w:hAnsi="Times New Roman" w:eastAsia="宋体" w:cs="Times New Roman"/>
                <w:bCs/>
                <w:sz w:val="24"/>
                <w:vertAlign w:val="superscript"/>
              </w:rPr>
              <w:t>3</w:t>
            </w:r>
            <w:r>
              <w:rPr>
                <w:rFonts w:hint="eastAsia" w:ascii="Times New Roman" w:hAnsi="Times New Roman" w:eastAsia="宋体" w:cs="Times New Roman"/>
                <w:bCs/>
                <w:sz w:val="24"/>
              </w:rPr>
              <w:t>/d，废水处理后进入市政污水管网，最后进入罗江镇污水处理厂处理。</w:t>
            </w:r>
          </w:p>
          <w:p w14:paraId="7D4E2E30">
            <w:pPr>
              <w:pStyle w:val="8"/>
              <w:spacing w:after="0" w:line="360" w:lineRule="auto"/>
              <w:ind w:firstLine="480" w:firstLineChars="200"/>
              <w:rPr>
                <w:bCs/>
                <w:sz w:val="24"/>
              </w:rPr>
            </w:pPr>
            <w:r>
              <w:rPr>
                <w:rFonts w:hint="eastAsia" w:ascii="Times New Roman" w:hAnsi="Times New Roman" w:eastAsia="宋体" w:cs="Times New Roman"/>
                <w:bCs/>
                <w:sz w:val="24"/>
                <w:lang w:val="en-US" w:eastAsia="zh-CN"/>
              </w:rPr>
              <w:t>废气</w:t>
            </w:r>
            <w:r>
              <w:rPr>
                <w:rFonts w:hint="eastAsia"/>
                <w:bCs/>
                <w:sz w:val="24"/>
              </w:rPr>
              <w:t>通过紫外线消毒、活性炭吸、恶臭引致污水处理站设备间屋顶排放（高度约5m），同时污水处理站周边投加除臭剂、加强院区周边绿化等措施降低恶臭对周边环境影响。</w:t>
            </w:r>
          </w:p>
          <w:p w14:paraId="3B4EE0BF">
            <w:pPr>
              <w:pStyle w:val="8"/>
              <w:spacing w:after="0" w:line="360" w:lineRule="auto"/>
              <w:ind w:firstLine="480" w:firstLineChars="200"/>
              <w:rPr>
                <w:bCs/>
                <w:sz w:val="24"/>
              </w:rPr>
            </w:pPr>
            <w:r>
              <w:rPr>
                <w:rFonts w:hint="eastAsia"/>
                <w:bCs/>
                <w:sz w:val="24"/>
              </w:rPr>
              <w:t>②医疗废物暂存间</w:t>
            </w:r>
          </w:p>
          <w:p w14:paraId="5C10DC39">
            <w:pPr>
              <w:pStyle w:val="8"/>
              <w:spacing w:after="0" w:line="360" w:lineRule="auto"/>
              <w:ind w:firstLine="480" w:firstLineChars="200"/>
              <w:rPr>
                <w:bCs/>
                <w:sz w:val="24"/>
              </w:rPr>
            </w:pPr>
            <w:r>
              <w:rPr>
                <w:rFonts w:hint="eastAsia"/>
                <w:bCs/>
                <w:sz w:val="24"/>
              </w:rPr>
              <w:t>医疗废物暂存间位于综合楼1F，同时在综合楼3F处置室设置医疗废物收集专用桶；对医疗废物暂存间产生的恶臭通过密封医疗废物，加强管理，定期消毒，日产日清等措施，降低对周边环境的影响。</w:t>
            </w:r>
          </w:p>
          <w:p w14:paraId="0DDD5293">
            <w:pPr>
              <w:pStyle w:val="8"/>
              <w:spacing w:after="0" w:line="360" w:lineRule="auto"/>
              <w:ind w:firstLine="482" w:firstLineChars="200"/>
              <w:rPr>
                <w:b/>
                <w:sz w:val="24"/>
              </w:rPr>
            </w:pPr>
            <w:r>
              <w:rPr>
                <w:rFonts w:hint="eastAsia"/>
                <w:b/>
                <w:sz w:val="24"/>
              </w:rPr>
              <w:t>（3）噪声源布置</w:t>
            </w:r>
          </w:p>
          <w:p w14:paraId="7EB57909">
            <w:pPr>
              <w:pStyle w:val="8"/>
              <w:spacing w:after="0" w:line="360" w:lineRule="auto"/>
              <w:ind w:firstLine="480" w:firstLineChars="200"/>
              <w:rPr>
                <w:bCs/>
                <w:sz w:val="24"/>
              </w:rPr>
            </w:pPr>
            <w:r>
              <w:rPr>
                <w:rFonts w:hint="eastAsia"/>
                <w:bCs/>
                <w:sz w:val="24"/>
              </w:rPr>
              <w:t>本项目柴油发电机布置于综合楼-1F，置于发电机房内部，以减小噪声对周边环境的影响；地埋式污水处理站位于综合楼外西南侧，</w:t>
            </w:r>
            <w:r>
              <w:rPr>
                <w:sz w:val="24"/>
              </w:rPr>
              <w:t>水泵、风机等均设置于地下，可通过地面隔声</w:t>
            </w:r>
            <w:r>
              <w:rPr>
                <w:rFonts w:hint="eastAsia"/>
                <w:sz w:val="24"/>
              </w:rPr>
              <w:t>减小噪声对</w:t>
            </w:r>
            <w:r>
              <w:rPr>
                <w:rFonts w:hint="eastAsia"/>
                <w:bCs/>
                <w:sz w:val="24"/>
              </w:rPr>
              <w:t>周边环境的影响。</w:t>
            </w:r>
          </w:p>
          <w:p w14:paraId="12F151D9">
            <w:pPr>
              <w:pStyle w:val="8"/>
              <w:spacing w:after="0" w:line="360" w:lineRule="auto"/>
              <w:ind w:firstLine="482" w:firstLineChars="200"/>
              <w:rPr>
                <w:b/>
                <w:sz w:val="24"/>
              </w:rPr>
            </w:pPr>
            <w:r>
              <w:rPr>
                <w:rFonts w:hint="eastAsia"/>
                <w:b/>
                <w:sz w:val="24"/>
              </w:rPr>
              <w:t>合理性分析：</w:t>
            </w:r>
          </w:p>
          <w:p w14:paraId="4EDDA3CF">
            <w:pPr>
              <w:pStyle w:val="8"/>
              <w:spacing w:after="0" w:line="360" w:lineRule="auto"/>
              <w:ind w:firstLine="480" w:firstLineChars="200"/>
              <w:rPr>
                <w:bCs/>
                <w:sz w:val="24"/>
              </w:rPr>
            </w:pPr>
            <w:r>
              <w:rPr>
                <w:rFonts w:hint="eastAsia"/>
                <w:bCs/>
                <w:sz w:val="24"/>
              </w:rPr>
              <w:t>院区位于罗江镇，项目用地为已建闲置库房，周边仅有几户居民及库房。医院内主要设置1栋综合楼及相关配套辅助设施。院区场界为不规则多边形。</w:t>
            </w:r>
          </w:p>
          <w:p w14:paraId="27E21BF6">
            <w:pPr>
              <w:pStyle w:val="8"/>
              <w:spacing w:after="0" w:line="360" w:lineRule="auto"/>
              <w:ind w:firstLine="480" w:firstLineChars="200"/>
              <w:rPr>
                <w:bCs/>
                <w:sz w:val="24"/>
              </w:rPr>
            </w:pPr>
            <w:r>
              <w:rPr>
                <w:rFonts w:hint="eastAsia"/>
                <w:bCs/>
                <w:sz w:val="24"/>
              </w:rPr>
              <w:t>根据现场调查，医院入口设置于南侧靠近道路，方便出入，交通便捷；项目住院区与门诊区分开设置，设置基本合理。同时，项目强调“功能模块化，流程体系化，以人为本”的现代化医院功能体系。建立合理的医疗单元，营造稳定的就诊区域，减少人流的穿越，强化了病人住院就诊安静环境。</w:t>
            </w:r>
          </w:p>
          <w:p w14:paraId="28576517">
            <w:pPr>
              <w:pStyle w:val="8"/>
              <w:spacing w:after="0" w:line="360" w:lineRule="auto"/>
              <w:ind w:firstLine="480" w:firstLineChars="200"/>
              <w:rPr>
                <w:bCs/>
                <w:sz w:val="24"/>
              </w:rPr>
            </w:pPr>
            <w:r>
              <w:rPr>
                <w:rFonts w:hint="eastAsia"/>
                <w:bCs/>
                <w:sz w:val="24"/>
              </w:rPr>
              <w:t>项目污水处理设施采用地埋式，位于综合楼外西南侧，远离周边敏感点，有利于减少臭气对环境及敏感点的影响，污水处理设施选址合理。</w:t>
            </w:r>
          </w:p>
          <w:p w14:paraId="3BCDEA17">
            <w:pPr>
              <w:pStyle w:val="8"/>
              <w:spacing w:after="0" w:line="360" w:lineRule="auto"/>
              <w:ind w:firstLine="480" w:firstLineChars="200"/>
              <w:rPr>
                <w:bCs/>
                <w:sz w:val="24"/>
              </w:rPr>
            </w:pPr>
            <w:r>
              <w:rPr>
                <w:rFonts w:hint="eastAsia"/>
                <w:bCs/>
                <w:sz w:val="24"/>
              </w:rPr>
              <w:t>综上所述，项目满足组织功能分区，布局顺畅，各种设施布置较为合理，环评认为从环保角度来看，该项目总平面布置是合理可行的。</w:t>
            </w:r>
          </w:p>
          <w:p w14:paraId="659A39D0">
            <w:pPr>
              <w:pStyle w:val="8"/>
              <w:spacing w:after="0" w:line="360" w:lineRule="auto"/>
              <w:ind w:firstLine="480" w:firstLineChars="200"/>
              <w:rPr>
                <w:sz w:val="24"/>
                <w:szCs w:val="36"/>
              </w:rPr>
            </w:pPr>
            <w:r>
              <w:rPr>
                <w:rFonts w:hint="eastAsia"/>
                <w:bCs/>
                <w:sz w:val="24"/>
              </w:rPr>
              <w:t>项目平面布置图见附图</w:t>
            </w:r>
            <w:r>
              <w:rPr>
                <w:rFonts w:hint="eastAsia"/>
                <w:bCs/>
                <w:sz w:val="24"/>
                <w:lang w:val="en-US" w:eastAsia="zh-CN"/>
              </w:rPr>
              <w:t>3</w:t>
            </w:r>
            <w:r>
              <w:rPr>
                <w:rFonts w:hint="eastAsia"/>
                <w:bCs/>
                <w:sz w:val="24"/>
              </w:rPr>
              <w:t>。</w:t>
            </w:r>
          </w:p>
        </w:tc>
      </w:tr>
      <w:tr w14:paraId="62D3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2E3459DF">
            <w:pPr>
              <w:pStyle w:val="8"/>
              <w:spacing w:after="0" w:line="360" w:lineRule="auto"/>
              <w:jc w:val="center"/>
              <w:rPr>
                <w:sz w:val="24"/>
                <w:szCs w:val="36"/>
              </w:rPr>
            </w:pPr>
            <w:r>
              <w:rPr>
                <w:sz w:val="24"/>
              </w:rPr>
              <w:t>工艺流程和产排污环节</w:t>
            </w:r>
          </w:p>
        </w:tc>
        <w:tc>
          <w:tcPr>
            <w:tcW w:w="9180" w:type="dxa"/>
          </w:tcPr>
          <w:p w14:paraId="29689B6D">
            <w:pPr>
              <w:pStyle w:val="38"/>
              <w:ind w:firstLine="0" w:firstLineChars="0"/>
              <w:rPr>
                <w:b/>
              </w:rPr>
            </w:pPr>
            <w:r>
              <w:rPr>
                <w:b/>
              </w:rPr>
              <w:t>一、施工期工艺流程及产污环节</w:t>
            </w:r>
          </w:p>
          <w:p w14:paraId="2D1F6F27">
            <w:pPr>
              <w:spacing w:line="360" w:lineRule="auto"/>
              <w:ind w:firstLine="480" w:firstLineChars="200"/>
              <w:rPr>
                <w:sz w:val="24"/>
              </w:rPr>
            </w:pPr>
            <w:r>
              <w:rPr>
                <w:rFonts w:hint="eastAsia"/>
                <w:sz w:val="24"/>
              </w:rPr>
              <w:t>项目施工期主要进行装饰工程、医疗设备和环保设施的安装。污水处理站施工涉及土地开挖、场地平整等工作。</w:t>
            </w:r>
          </w:p>
          <w:p w14:paraId="29F7FABE">
            <w:pPr>
              <w:spacing w:line="360" w:lineRule="auto"/>
              <w:ind w:firstLine="480" w:firstLineChars="200"/>
              <w:rPr>
                <w:sz w:val="24"/>
              </w:rPr>
            </w:pPr>
            <w:r>
              <w:rPr>
                <w:rFonts w:hint="eastAsia"/>
                <w:sz w:val="24"/>
              </w:rPr>
              <w:t>具体施工期</w:t>
            </w:r>
            <w:r>
              <w:rPr>
                <w:sz w:val="24"/>
              </w:rPr>
              <w:t>工序流程如图2</w:t>
            </w:r>
            <w:r>
              <w:rPr>
                <w:rFonts w:hint="eastAsia"/>
                <w:sz w:val="24"/>
              </w:rPr>
              <w:t>-1</w:t>
            </w:r>
            <w:r>
              <w:rPr>
                <w:sz w:val="24"/>
              </w:rPr>
              <w:t>所示。</w:t>
            </w:r>
          </w:p>
          <w:p w14:paraId="295B211E">
            <w:pPr>
              <w:spacing w:line="360" w:lineRule="auto"/>
              <w:jc w:val="center"/>
              <w:rPr>
                <w:sz w:val="24"/>
              </w:rPr>
            </w:pPr>
            <w:r>
              <w:rPr>
                <w:sz w:val="24"/>
              </w:rPr>
              <w:object>
                <v:shape id="_x0000_i1026" o:spt="75" type="#_x0000_t75" style="height:121.7pt;width:293.3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14:paraId="28124A6D">
            <w:pPr>
              <w:spacing w:line="360" w:lineRule="auto"/>
              <w:ind w:firstLine="480" w:firstLineChars="200"/>
              <w:jc w:val="center"/>
              <w:rPr>
                <w:sz w:val="24"/>
              </w:rPr>
            </w:pPr>
            <w:r>
              <w:rPr>
                <w:sz w:val="24"/>
              </w:rPr>
              <w:t>图2-1    施工期工序流程及产排污环节图</w:t>
            </w:r>
          </w:p>
          <w:p w14:paraId="60BDF8DC">
            <w:pPr>
              <w:spacing w:line="360" w:lineRule="auto"/>
              <w:ind w:firstLine="480" w:firstLineChars="200"/>
              <w:rPr>
                <w:sz w:val="24"/>
              </w:rPr>
            </w:pPr>
            <w:r>
              <w:rPr>
                <w:sz w:val="24"/>
              </w:rPr>
              <w:t>主要工序简述：</w:t>
            </w:r>
          </w:p>
          <w:p w14:paraId="7300F1C7">
            <w:pPr>
              <w:spacing w:line="360" w:lineRule="auto"/>
              <w:ind w:firstLine="480" w:firstLineChars="200"/>
              <w:rPr>
                <w:sz w:val="24"/>
              </w:rPr>
            </w:pPr>
            <w:r>
              <w:rPr>
                <w:rFonts w:hint="eastAsia"/>
                <w:sz w:val="24"/>
              </w:rPr>
              <w:t>（1）装饰工程施工</w:t>
            </w:r>
          </w:p>
          <w:p w14:paraId="064841AD">
            <w:pPr>
              <w:spacing w:line="360" w:lineRule="auto"/>
              <w:ind w:firstLine="480" w:firstLineChars="200"/>
              <w:rPr>
                <w:sz w:val="24"/>
              </w:rPr>
            </w:pPr>
            <w:r>
              <w:rPr>
                <w:rFonts w:hint="eastAsia"/>
                <w:sz w:val="24"/>
              </w:rPr>
              <w:t>在对构筑物的室内外进行装修时（如表面粉刷、油漆、喷涂、裱糊、镶贴装饰等），钻机、电锤、切割机等产生噪声、扬尘；油漆、喷涂、建筑及装饰材料等产生废气、废弃物料。同时产生施工人员生活废水和生活垃圾。</w:t>
            </w:r>
          </w:p>
          <w:p w14:paraId="1D0C505C">
            <w:pPr>
              <w:spacing w:line="360" w:lineRule="auto"/>
              <w:ind w:firstLine="480" w:firstLineChars="200"/>
              <w:rPr>
                <w:sz w:val="24"/>
              </w:rPr>
            </w:pPr>
            <w:r>
              <w:rPr>
                <w:rFonts w:hint="eastAsia"/>
                <w:sz w:val="24"/>
              </w:rPr>
              <w:t>（2）</w:t>
            </w:r>
            <w:r>
              <w:rPr>
                <w:sz w:val="24"/>
              </w:rPr>
              <w:t>设备安装</w:t>
            </w:r>
          </w:p>
          <w:p w14:paraId="7C7389F9">
            <w:pPr>
              <w:spacing w:line="360" w:lineRule="auto"/>
              <w:ind w:firstLine="480" w:firstLineChars="200"/>
              <w:rPr>
                <w:sz w:val="24"/>
              </w:rPr>
            </w:pPr>
            <w:r>
              <w:rPr>
                <w:sz w:val="24"/>
              </w:rPr>
              <w:t>主要包括</w:t>
            </w:r>
            <w:r>
              <w:rPr>
                <w:rFonts w:hint="eastAsia"/>
                <w:sz w:val="24"/>
              </w:rPr>
              <w:t>医疗设备、环保设备</w:t>
            </w:r>
            <w:r>
              <w:rPr>
                <w:sz w:val="24"/>
              </w:rPr>
              <w:t>等</w:t>
            </w:r>
            <w:r>
              <w:rPr>
                <w:rFonts w:hint="eastAsia"/>
                <w:sz w:val="24"/>
              </w:rPr>
              <w:t>安装</w:t>
            </w:r>
            <w:r>
              <w:rPr>
                <w:sz w:val="24"/>
              </w:rPr>
              <w:t>，其主要废物为废包装材料。</w:t>
            </w:r>
            <w:r>
              <w:rPr>
                <w:rFonts w:hint="eastAsia"/>
                <w:sz w:val="24"/>
              </w:rPr>
              <w:t>同时产生施工人员生活废水和生活垃圾、噪声。</w:t>
            </w:r>
          </w:p>
          <w:p w14:paraId="77810A44">
            <w:pPr>
              <w:spacing w:line="360" w:lineRule="auto"/>
              <w:ind w:firstLine="480" w:firstLineChars="200"/>
              <w:rPr>
                <w:sz w:val="24"/>
              </w:rPr>
            </w:pPr>
            <w:r>
              <w:rPr>
                <w:rFonts w:hint="eastAsia"/>
                <w:sz w:val="24"/>
              </w:rPr>
              <w:t>（3）污水处理站施工</w:t>
            </w:r>
          </w:p>
          <w:p w14:paraId="2C73D9CD">
            <w:pPr>
              <w:spacing w:line="360" w:lineRule="auto"/>
              <w:ind w:firstLine="480" w:firstLineChars="200"/>
              <w:rPr>
                <w:sz w:val="24"/>
              </w:rPr>
            </w:pPr>
            <w:r>
              <w:rPr>
                <w:rFonts w:hint="eastAsia"/>
                <w:sz w:val="24"/>
              </w:rPr>
              <w:t>污水处理站建设涉及土地开挖和土地平整等基础工程施工，由于挖土机、运土卡车等施工机械的运行，将产生一定的设备噪音，同时产生扬尘，不同的条件下，扬尘对环境的影响不同。</w:t>
            </w:r>
          </w:p>
          <w:p w14:paraId="73775421">
            <w:pPr>
              <w:adjustRightInd w:val="0"/>
              <w:snapToGrid w:val="0"/>
              <w:spacing w:line="360" w:lineRule="auto"/>
              <w:rPr>
                <w:b/>
                <w:sz w:val="24"/>
              </w:rPr>
            </w:pPr>
            <w:r>
              <w:rPr>
                <w:b/>
                <w:sz w:val="24"/>
              </w:rPr>
              <w:t>二、营运期工艺流程及产污环节</w:t>
            </w:r>
          </w:p>
          <w:p w14:paraId="43E35AD8">
            <w:pPr>
              <w:adjustRightInd w:val="0"/>
              <w:snapToGrid w:val="0"/>
              <w:spacing w:line="360" w:lineRule="auto"/>
              <w:ind w:firstLine="480" w:firstLineChars="200"/>
              <w:rPr>
                <w:sz w:val="24"/>
              </w:rPr>
            </w:pPr>
            <w:r>
              <w:rPr>
                <w:rFonts w:hint="eastAsia"/>
                <w:sz w:val="24"/>
              </w:rPr>
              <w:t>本项目属于民营专科医院，主要科室有精神科、预防保健科、医学检验科、医学影像科等。本项目放射科采用数码成像，无废显影液产生，同时无放射性废水产生；项目不设中药煎药室、不设传染病科、不设手术室。</w:t>
            </w:r>
          </w:p>
          <w:p w14:paraId="0420D6D5">
            <w:pPr>
              <w:adjustRightInd w:val="0"/>
              <w:snapToGrid w:val="0"/>
              <w:spacing w:line="360" w:lineRule="auto"/>
              <w:ind w:firstLine="480" w:firstLineChars="200"/>
              <w:rPr>
                <w:sz w:val="24"/>
              </w:rPr>
            </w:pPr>
            <w:r>
              <w:rPr>
                <w:rFonts w:hint="eastAsia"/>
                <w:sz w:val="24"/>
              </w:rPr>
              <w:t>项目主要收治有轻度心理障碍、心理疾病，以心理治疗及音乐松弛治疗为主，少量抗精神病药物治疗为辅。同时接诊少量门诊病人，项目内不设手术室，不接收传染病人。项目建成后医院主要是为病人提供询医治病服务，无生产过程存在。</w:t>
            </w:r>
          </w:p>
          <w:p w14:paraId="7ADE4BFE">
            <w:pPr>
              <w:spacing w:line="360" w:lineRule="auto"/>
              <w:jc w:val="center"/>
              <w:rPr>
                <w:b/>
                <w:bCs/>
                <w:sz w:val="24"/>
              </w:rPr>
            </w:pPr>
            <w:r>
              <w:rPr>
                <w:b/>
                <w:bCs/>
              </w:rPr>
              <w:object>
                <v:shape id="_x0000_i1027" o:spt="75" type="#_x0000_t75" style="height:195.65pt;width:448pt;" o:ole="t" filled="f" o:preferrelative="t" stroked="f" coordsize="21600,21600">
                  <v:path/>
                  <v:fill on="f" focussize="0,0"/>
                  <v:stroke on="f" joinstyle="miter"/>
                  <v:imagedata r:id="rId15" o:title=""/>
                  <o:lock v:ext="edit" aspectratio="f"/>
                  <w10:wrap type="none"/>
                  <w10:anchorlock/>
                </v:shape>
                <o:OLEObject Type="Embed" ProgID="Visio.Drawing.11" ShapeID="_x0000_i1027" DrawAspect="Content" ObjectID="_1468075727" r:id="rId14">
                  <o:LockedField>false</o:LockedField>
                </o:OLEObject>
              </w:object>
            </w:r>
          </w:p>
          <w:p w14:paraId="3D164C54">
            <w:pPr>
              <w:pStyle w:val="8"/>
              <w:spacing w:after="0" w:line="360" w:lineRule="auto"/>
              <w:jc w:val="center"/>
              <w:rPr>
                <w:b/>
                <w:bCs/>
                <w:sz w:val="24"/>
                <w:szCs w:val="36"/>
              </w:rPr>
            </w:pPr>
            <w:r>
              <w:rPr>
                <w:b/>
                <w:bCs/>
                <w:sz w:val="24"/>
                <w:szCs w:val="36"/>
              </w:rPr>
              <w:t>图2-</w:t>
            </w:r>
            <w:r>
              <w:rPr>
                <w:rFonts w:hint="eastAsia"/>
                <w:b/>
                <w:bCs/>
                <w:sz w:val="24"/>
                <w:szCs w:val="36"/>
              </w:rPr>
              <w:t>2</w:t>
            </w:r>
            <w:r>
              <w:rPr>
                <w:b/>
                <w:bCs/>
                <w:sz w:val="24"/>
                <w:szCs w:val="36"/>
              </w:rPr>
              <w:t xml:space="preserve">  营运期工艺流程及产污位置图</w:t>
            </w:r>
          </w:p>
          <w:p w14:paraId="1B7B1280">
            <w:pPr>
              <w:pStyle w:val="8"/>
              <w:spacing w:after="0" w:line="360" w:lineRule="auto"/>
              <w:ind w:firstLine="480" w:firstLineChars="200"/>
              <w:rPr>
                <w:sz w:val="24"/>
              </w:rPr>
            </w:pPr>
            <w:r>
              <w:rPr>
                <w:rFonts w:hint="eastAsia"/>
                <w:sz w:val="24"/>
              </w:rPr>
              <w:t>通过上述工艺流程分析，项目运营期产污环节如下：</w:t>
            </w:r>
          </w:p>
          <w:p w14:paraId="5B818620">
            <w:pPr>
              <w:pStyle w:val="8"/>
              <w:numPr>
                <w:ilvl w:val="0"/>
                <w:numId w:val="3"/>
              </w:numPr>
              <w:spacing w:after="0" w:line="360" w:lineRule="auto"/>
              <w:ind w:firstLine="480" w:firstLineChars="200"/>
              <w:rPr>
                <w:sz w:val="24"/>
              </w:rPr>
            </w:pPr>
            <w:r>
              <w:rPr>
                <w:rFonts w:hint="eastAsia"/>
                <w:sz w:val="24"/>
              </w:rPr>
              <w:t>废水：主要包括医疗废水、生活废水和其他废水。</w:t>
            </w:r>
          </w:p>
          <w:p w14:paraId="02AE4202">
            <w:pPr>
              <w:pStyle w:val="8"/>
              <w:spacing w:after="0" w:line="360" w:lineRule="auto"/>
              <w:ind w:firstLine="480" w:firstLineChars="200"/>
              <w:rPr>
                <w:sz w:val="24"/>
              </w:rPr>
            </w:pPr>
            <w:r>
              <w:rPr>
                <w:rFonts w:hint="eastAsia"/>
                <w:sz w:val="24"/>
              </w:rPr>
              <w:t>（2）废气：主要包括病区含菌空气、污水处理站恶臭、医疗废物间恶臭、柴油发电机废气、汽车尾气。</w:t>
            </w:r>
          </w:p>
          <w:p w14:paraId="7226FE3F">
            <w:pPr>
              <w:pStyle w:val="8"/>
              <w:spacing w:after="0" w:line="360" w:lineRule="auto"/>
              <w:ind w:firstLine="480" w:firstLineChars="200"/>
              <w:rPr>
                <w:sz w:val="24"/>
              </w:rPr>
            </w:pPr>
            <w:r>
              <w:rPr>
                <w:rFonts w:hint="eastAsia"/>
                <w:sz w:val="24"/>
              </w:rPr>
              <w:t>（3）噪声：主要为设备噪声、人员活动噪声和车辆交通噪声。</w:t>
            </w:r>
          </w:p>
          <w:p w14:paraId="5CF4A794">
            <w:pPr>
              <w:pStyle w:val="8"/>
              <w:spacing w:after="0" w:line="360" w:lineRule="auto"/>
              <w:ind w:firstLine="480" w:firstLineChars="200"/>
              <w:rPr>
                <w:sz w:val="24"/>
              </w:rPr>
            </w:pPr>
            <w:r>
              <w:rPr>
                <w:rFonts w:hint="eastAsia"/>
                <w:sz w:val="24"/>
              </w:rPr>
              <w:t>（4）固体废弃物：生活垃圾、餐厨垃圾、未感染的输液瓶（袋）、废包装材料、医疗废物、化粪池和污水处理站污泥、废紫外灯管、废活性炭。</w:t>
            </w:r>
          </w:p>
          <w:p w14:paraId="30CDD0E0">
            <w:pPr>
              <w:pStyle w:val="8"/>
              <w:spacing w:after="0" w:line="360" w:lineRule="auto"/>
              <w:ind w:firstLine="480" w:firstLineChars="200"/>
              <w:rPr>
                <w:sz w:val="24"/>
                <w:szCs w:val="36"/>
              </w:rPr>
            </w:pPr>
          </w:p>
        </w:tc>
      </w:tr>
      <w:tr w14:paraId="1C73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dxa"/>
            <w:vAlign w:val="center"/>
          </w:tcPr>
          <w:p w14:paraId="53F65366">
            <w:pPr>
              <w:pStyle w:val="19"/>
              <w:adjustRightInd w:val="0"/>
              <w:snapToGrid w:val="0"/>
              <w:spacing w:before="0" w:beforeAutospacing="0" w:after="0" w:afterAutospacing="0" w:line="360" w:lineRule="auto"/>
              <w:jc w:val="center"/>
              <w:rPr>
                <w:rFonts w:ascii="Times New Roman" w:hAnsi="Times New Roman" w:cs="黑体"/>
                <w:szCs w:val="24"/>
              </w:rPr>
            </w:pPr>
            <w:r>
              <w:rPr>
                <w:rFonts w:ascii="Times New Roman" w:hAnsi="Times New Roman"/>
                <w:bCs/>
                <w:kern w:val="2"/>
                <w:szCs w:val="24"/>
              </w:rPr>
              <w:t>与项目有关的原有环境污染问题</w:t>
            </w:r>
          </w:p>
        </w:tc>
        <w:tc>
          <w:tcPr>
            <w:tcW w:w="9180" w:type="dxa"/>
          </w:tcPr>
          <w:p w14:paraId="2BEA628C">
            <w:pPr>
              <w:spacing w:line="360" w:lineRule="auto"/>
              <w:ind w:firstLine="470" w:firstLineChars="196"/>
              <w:rPr>
                <w:sz w:val="24"/>
                <w:szCs w:val="24"/>
              </w:rPr>
            </w:pPr>
            <w:r>
              <w:rPr>
                <w:rFonts w:hint="eastAsia"/>
                <w:sz w:val="24"/>
                <w:szCs w:val="24"/>
              </w:rPr>
              <w:t>本项目所在地原为物流配送库房，经现场勘查，建筑物内空置，无遗留设备，无与本项目相关的原有污染问题，无遗留环境问题。</w:t>
            </w:r>
          </w:p>
          <w:p w14:paraId="59D35D50">
            <w:pPr>
              <w:spacing w:line="360" w:lineRule="auto"/>
              <w:ind w:firstLine="470" w:firstLineChars="196"/>
              <w:rPr>
                <w:sz w:val="24"/>
                <w:szCs w:val="24"/>
              </w:rPr>
            </w:pPr>
          </w:p>
          <w:p w14:paraId="1CAFB8B5">
            <w:pPr>
              <w:spacing w:line="360" w:lineRule="auto"/>
              <w:ind w:firstLine="470" w:firstLineChars="196"/>
              <w:rPr>
                <w:sz w:val="24"/>
                <w:szCs w:val="24"/>
              </w:rPr>
            </w:pPr>
          </w:p>
          <w:p w14:paraId="1C4DA7C9">
            <w:pPr>
              <w:spacing w:line="360" w:lineRule="auto"/>
              <w:ind w:firstLine="470" w:firstLineChars="196"/>
              <w:rPr>
                <w:sz w:val="24"/>
                <w:szCs w:val="24"/>
              </w:rPr>
            </w:pPr>
          </w:p>
          <w:p w14:paraId="6A2A8E0D">
            <w:pPr>
              <w:spacing w:line="360" w:lineRule="auto"/>
              <w:ind w:firstLine="470" w:firstLineChars="196"/>
              <w:rPr>
                <w:sz w:val="24"/>
                <w:szCs w:val="24"/>
              </w:rPr>
            </w:pPr>
          </w:p>
          <w:p w14:paraId="7D988639">
            <w:pPr>
              <w:spacing w:line="360" w:lineRule="auto"/>
              <w:ind w:firstLine="470" w:firstLineChars="196"/>
              <w:rPr>
                <w:sz w:val="24"/>
                <w:szCs w:val="24"/>
              </w:rPr>
            </w:pPr>
          </w:p>
          <w:p w14:paraId="5F62426C">
            <w:pPr>
              <w:spacing w:line="360" w:lineRule="auto"/>
              <w:ind w:firstLine="470" w:firstLineChars="196"/>
              <w:rPr>
                <w:sz w:val="24"/>
                <w:szCs w:val="24"/>
              </w:rPr>
            </w:pPr>
          </w:p>
          <w:p w14:paraId="579B240A">
            <w:pPr>
              <w:spacing w:line="360" w:lineRule="auto"/>
              <w:ind w:firstLine="470" w:firstLineChars="196"/>
              <w:rPr>
                <w:sz w:val="24"/>
                <w:szCs w:val="24"/>
              </w:rPr>
            </w:pPr>
          </w:p>
          <w:p w14:paraId="75C288AB">
            <w:pPr>
              <w:spacing w:line="360" w:lineRule="auto"/>
              <w:ind w:firstLine="470" w:firstLineChars="196"/>
              <w:rPr>
                <w:sz w:val="24"/>
                <w:szCs w:val="24"/>
              </w:rPr>
            </w:pPr>
          </w:p>
          <w:p w14:paraId="4301FDAF">
            <w:pPr>
              <w:spacing w:line="360" w:lineRule="auto"/>
              <w:ind w:firstLine="470" w:firstLineChars="196"/>
              <w:rPr>
                <w:sz w:val="24"/>
                <w:szCs w:val="24"/>
              </w:rPr>
            </w:pPr>
          </w:p>
          <w:p w14:paraId="3E6DFC44">
            <w:pPr>
              <w:pStyle w:val="8"/>
              <w:spacing w:after="0" w:line="360" w:lineRule="auto"/>
              <w:rPr>
                <w:sz w:val="24"/>
                <w:szCs w:val="36"/>
              </w:rPr>
            </w:pPr>
          </w:p>
        </w:tc>
      </w:tr>
    </w:tbl>
    <w:p w14:paraId="7F26DEDE">
      <w:pPr>
        <w:pStyle w:val="8"/>
        <w:spacing w:after="0" w:line="360" w:lineRule="auto"/>
        <w:rPr>
          <w:sz w:val="24"/>
          <w:szCs w:val="36"/>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784B5943">
      <w:pPr>
        <w:pStyle w:val="34"/>
        <w:jc w:val="center"/>
        <w:rPr>
          <w:rFonts w:eastAsia="黑体"/>
          <w:b w:val="0"/>
          <w:sz w:val="30"/>
          <w:szCs w:val="30"/>
        </w:rPr>
      </w:pPr>
      <w:r>
        <w:rPr>
          <w:rFonts w:eastAsia="黑体"/>
          <w:b w:val="0"/>
          <w:sz w:val="30"/>
          <w:szCs w:val="30"/>
        </w:rPr>
        <w:t>三、区域环境质量现状、环境保护目标及评价标准</w:t>
      </w:r>
    </w:p>
    <w:tbl>
      <w:tblPr>
        <w:tblStyle w:val="22"/>
        <w:tblW w:w="10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9272"/>
      </w:tblGrid>
      <w:tr w14:paraId="2F9F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14:paraId="7DAC587F">
            <w:pPr>
              <w:spacing w:line="360" w:lineRule="auto"/>
              <w:jc w:val="center"/>
              <w:rPr>
                <w:sz w:val="24"/>
                <w:szCs w:val="24"/>
              </w:rPr>
            </w:pPr>
            <w:r>
              <w:rPr>
                <w:sz w:val="24"/>
                <w:szCs w:val="24"/>
              </w:rPr>
              <w:t>区域</w:t>
            </w:r>
          </w:p>
          <w:p w14:paraId="57CBF566">
            <w:pPr>
              <w:spacing w:line="360" w:lineRule="auto"/>
              <w:jc w:val="center"/>
              <w:rPr>
                <w:sz w:val="24"/>
                <w:szCs w:val="24"/>
              </w:rPr>
            </w:pPr>
            <w:r>
              <w:rPr>
                <w:sz w:val="24"/>
                <w:szCs w:val="24"/>
              </w:rPr>
              <w:t>环境</w:t>
            </w:r>
          </w:p>
          <w:p w14:paraId="46922E3C">
            <w:pPr>
              <w:spacing w:line="360" w:lineRule="auto"/>
              <w:jc w:val="center"/>
              <w:rPr>
                <w:sz w:val="24"/>
                <w:szCs w:val="24"/>
              </w:rPr>
            </w:pPr>
            <w:r>
              <w:rPr>
                <w:sz w:val="24"/>
                <w:szCs w:val="24"/>
              </w:rPr>
              <w:t>质量</w:t>
            </w:r>
          </w:p>
          <w:p w14:paraId="71048803">
            <w:pPr>
              <w:spacing w:line="360" w:lineRule="auto"/>
              <w:jc w:val="center"/>
              <w:rPr>
                <w:sz w:val="24"/>
                <w:szCs w:val="24"/>
              </w:rPr>
            </w:pPr>
            <w:r>
              <w:rPr>
                <w:sz w:val="24"/>
                <w:szCs w:val="24"/>
              </w:rPr>
              <w:t>现状</w:t>
            </w:r>
          </w:p>
        </w:tc>
        <w:tc>
          <w:tcPr>
            <w:tcW w:w="9272" w:type="dxa"/>
            <w:vAlign w:val="center"/>
          </w:tcPr>
          <w:p w14:paraId="55E2E196">
            <w:pPr>
              <w:spacing w:line="360" w:lineRule="auto"/>
              <w:ind w:firstLine="482" w:firstLineChars="200"/>
              <w:rPr>
                <w:b/>
                <w:sz w:val="24"/>
                <w:szCs w:val="24"/>
              </w:rPr>
            </w:pPr>
            <w:r>
              <w:rPr>
                <w:b/>
                <w:sz w:val="24"/>
                <w:szCs w:val="24"/>
              </w:rPr>
              <w:t>1、大气环境质量现状</w:t>
            </w:r>
          </w:p>
          <w:p w14:paraId="7BF51320">
            <w:pPr>
              <w:spacing w:line="360" w:lineRule="auto"/>
              <w:ind w:firstLine="470" w:firstLineChars="196"/>
              <w:rPr>
                <w:sz w:val="24"/>
                <w:szCs w:val="24"/>
              </w:rPr>
            </w:pPr>
            <w:r>
              <w:rPr>
                <w:sz w:val="24"/>
                <w:szCs w:val="24"/>
              </w:rPr>
              <w:t>本项目位于</w:t>
            </w:r>
            <w:r>
              <w:rPr>
                <w:rFonts w:hint="eastAsia"/>
                <w:sz w:val="24"/>
                <w:szCs w:val="24"/>
              </w:rPr>
              <w:t>通川区罗江镇高岩村</w:t>
            </w:r>
            <w:r>
              <w:rPr>
                <w:sz w:val="24"/>
                <w:szCs w:val="24"/>
              </w:rPr>
              <w:t>，为了解区域环境空气质量现状，本次环评引用</w:t>
            </w:r>
            <w:r>
              <w:rPr>
                <w:kern w:val="0"/>
                <w:sz w:val="24"/>
              </w:rPr>
              <w:t>《</w:t>
            </w:r>
            <w:r>
              <w:rPr>
                <w:sz w:val="24"/>
                <w:szCs w:val="24"/>
              </w:rPr>
              <w:t>达州市2023年环境空气质量状况</w:t>
            </w:r>
            <w:r>
              <w:rPr>
                <w:kern w:val="0"/>
                <w:sz w:val="24"/>
              </w:rPr>
              <w:t>》</w:t>
            </w:r>
            <w:r>
              <w:rPr>
                <w:sz w:val="24"/>
                <w:szCs w:val="24"/>
              </w:rPr>
              <w:t>中相关数据和结论，同时委托达州恒福环境监测服务有限公司于202</w:t>
            </w:r>
            <w:r>
              <w:rPr>
                <w:rFonts w:hint="eastAsia"/>
                <w:sz w:val="24"/>
                <w:szCs w:val="24"/>
              </w:rPr>
              <w:t>4</w:t>
            </w:r>
            <w:r>
              <w:rPr>
                <w:sz w:val="24"/>
                <w:szCs w:val="24"/>
              </w:rPr>
              <w:t>年</w:t>
            </w:r>
            <w:r>
              <w:rPr>
                <w:rFonts w:hint="eastAsia"/>
                <w:sz w:val="24"/>
                <w:szCs w:val="24"/>
              </w:rPr>
              <w:t>8</w:t>
            </w:r>
            <w:r>
              <w:rPr>
                <w:sz w:val="24"/>
                <w:szCs w:val="24"/>
              </w:rPr>
              <w:t>月</w:t>
            </w:r>
            <w:r>
              <w:rPr>
                <w:rFonts w:hint="eastAsia"/>
                <w:sz w:val="24"/>
                <w:szCs w:val="24"/>
              </w:rPr>
              <w:t>5</w:t>
            </w:r>
            <w:r>
              <w:rPr>
                <w:sz w:val="24"/>
                <w:szCs w:val="24"/>
              </w:rPr>
              <w:t>日~</w:t>
            </w:r>
            <w:r>
              <w:rPr>
                <w:rFonts w:hint="eastAsia"/>
                <w:sz w:val="24"/>
                <w:szCs w:val="24"/>
              </w:rPr>
              <w:t>8月7</w:t>
            </w:r>
            <w:r>
              <w:rPr>
                <w:sz w:val="24"/>
                <w:szCs w:val="24"/>
              </w:rPr>
              <w:t>日对区域其他污染物进行补充监测（恒福（环）检字（202</w:t>
            </w:r>
            <w:r>
              <w:rPr>
                <w:rFonts w:hint="eastAsia"/>
                <w:sz w:val="24"/>
                <w:szCs w:val="24"/>
              </w:rPr>
              <w:t>4</w:t>
            </w:r>
            <w:r>
              <w:rPr>
                <w:sz w:val="24"/>
                <w:szCs w:val="24"/>
              </w:rPr>
              <w:t>）第</w:t>
            </w:r>
            <w:r>
              <w:rPr>
                <w:rFonts w:hint="eastAsia"/>
                <w:sz w:val="24"/>
                <w:szCs w:val="24"/>
              </w:rPr>
              <w:t>1021</w:t>
            </w:r>
            <w:r>
              <w:rPr>
                <w:sz w:val="24"/>
                <w:szCs w:val="24"/>
              </w:rPr>
              <w:t>号）。</w:t>
            </w:r>
          </w:p>
          <w:p w14:paraId="03EBB873">
            <w:pPr>
              <w:spacing w:line="360" w:lineRule="auto"/>
              <w:ind w:firstLine="472" w:firstLineChars="196"/>
              <w:rPr>
                <w:b/>
                <w:bCs/>
                <w:sz w:val="24"/>
                <w:szCs w:val="24"/>
              </w:rPr>
            </w:pPr>
            <w:r>
              <w:rPr>
                <w:rFonts w:hint="eastAsia"/>
                <w:b/>
                <w:bCs/>
                <w:sz w:val="24"/>
                <w:szCs w:val="24"/>
              </w:rPr>
              <w:t>（1）基本污染物现状</w:t>
            </w:r>
          </w:p>
          <w:p w14:paraId="050FD724">
            <w:pPr>
              <w:spacing w:line="360" w:lineRule="auto"/>
              <w:ind w:firstLine="470" w:firstLineChars="196"/>
              <w:rPr>
                <w:sz w:val="24"/>
                <w:szCs w:val="24"/>
              </w:rPr>
            </w:pPr>
            <w:r>
              <w:rPr>
                <w:sz w:val="24"/>
                <w:szCs w:val="24"/>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生态环境局2024年1月18日公布的《达州市2023年环境空气质量状况》中相关数据和结论。</w:t>
            </w:r>
          </w:p>
          <w:p w14:paraId="4BBD3EDE">
            <w:pPr>
              <w:spacing w:line="360" w:lineRule="auto"/>
              <w:ind w:firstLine="470" w:firstLineChars="196"/>
              <w:rPr>
                <w:sz w:val="24"/>
                <w:szCs w:val="24"/>
              </w:rPr>
            </w:pPr>
            <w:r>
              <w:rPr>
                <w:rFonts w:hint="eastAsia"/>
                <w:sz w:val="24"/>
                <w:szCs w:val="24"/>
              </w:rPr>
              <w:t>根据</w:t>
            </w:r>
            <w:r>
              <w:rPr>
                <w:sz w:val="24"/>
                <w:szCs w:val="24"/>
              </w:rPr>
              <w:t>《达州市2023年环境空气质量状况》</w:t>
            </w:r>
            <w:r>
              <w:rPr>
                <w:rFonts w:hint="eastAsia"/>
                <w:sz w:val="24"/>
                <w:szCs w:val="24"/>
              </w:rPr>
              <w:t>：全年有效监测天数365天，达标天数341天，达标率为93.4%。其中：优186天，占51.0%，良155天，占42.5%，轻度污染18天，占4.9%，中度污染2天，占0.5%，重度污染4天，占1.1%。</w:t>
            </w:r>
          </w:p>
          <w:p w14:paraId="3621ACBB">
            <w:pPr>
              <w:spacing w:line="360" w:lineRule="auto"/>
              <w:ind w:firstLine="480" w:firstLineChars="200"/>
              <w:rPr>
                <w:sz w:val="24"/>
                <w:szCs w:val="24"/>
              </w:rPr>
            </w:pPr>
            <w:r>
              <w:rPr>
                <w:sz w:val="24"/>
                <w:szCs w:val="24"/>
              </w:rPr>
              <w:t>2023年达州市</w:t>
            </w:r>
            <w:r>
              <w:rPr>
                <w:rFonts w:hint="eastAsia"/>
                <w:sz w:val="24"/>
                <w:szCs w:val="24"/>
              </w:rPr>
              <w:t>通川区</w:t>
            </w:r>
            <w:r>
              <w:rPr>
                <w:sz w:val="24"/>
                <w:szCs w:val="24"/>
              </w:rPr>
              <w:t>PM</w:t>
            </w:r>
            <w:r>
              <w:rPr>
                <w:sz w:val="24"/>
                <w:szCs w:val="24"/>
                <w:vertAlign w:val="subscript"/>
              </w:rPr>
              <w:t>2.5</w:t>
            </w:r>
            <w:r>
              <w:rPr>
                <w:rFonts w:hint="eastAsia"/>
                <w:sz w:val="24"/>
                <w:szCs w:val="24"/>
              </w:rPr>
              <w:t>年</w:t>
            </w:r>
            <w:r>
              <w:rPr>
                <w:sz w:val="24"/>
                <w:szCs w:val="24"/>
              </w:rPr>
              <w:t>均浓度为</w:t>
            </w:r>
            <w:r>
              <w:rPr>
                <w:rFonts w:hint="eastAsia"/>
                <w:sz w:val="24"/>
                <w:szCs w:val="24"/>
              </w:rPr>
              <w:t>31</w:t>
            </w:r>
            <w:r>
              <w:rPr>
                <w:sz w:val="24"/>
                <w:szCs w:val="24"/>
              </w:rPr>
              <w:t>μg/m</w:t>
            </w:r>
            <w:r>
              <w:rPr>
                <w:sz w:val="24"/>
                <w:szCs w:val="24"/>
                <w:vertAlign w:val="superscript"/>
              </w:rPr>
              <w:t>3</w:t>
            </w:r>
            <w:r>
              <w:rPr>
                <w:sz w:val="24"/>
                <w:szCs w:val="24"/>
              </w:rPr>
              <w:t>，PM</w:t>
            </w:r>
            <w:r>
              <w:rPr>
                <w:sz w:val="24"/>
                <w:szCs w:val="24"/>
                <w:vertAlign w:val="subscript"/>
              </w:rPr>
              <w:t>10</w:t>
            </w:r>
            <w:r>
              <w:rPr>
                <w:rFonts w:hint="eastAsia"/>
                <w:sz w:val="24"/>
                <w:szCs w:val="24"/>
              </w:rPr>
              <w:t>年</w:t>
            </w:r>
            <w:r>
              <w:rPr>
                <w:sz w:val="24"/>
                <w:szCs w:val="24"/>
              </w:rPr>
              <w:t>均浓度为5</w:t>
            </w:r>
            <w:r>
              <w:rPr>
                <w:rFonts w:hint="eastAsia"/>
                <w:sz w:val="24"/>
                <w:szCs w:val="24"/>
              </w:rPr>
              <w:t>6</w:t>
            </w:r>
            <w:r>
              <w:rPr>
                <w:sz w:val="24"/>
                <w:szCs w:val="24"/>
              </w:rPr>
              <w:t>μg/m</w:t>
            </w:r>
            <w:r>
              <w:rPr>
                <w:sz w:val="24"/>
                <w:szCs w:val="24"/>
                <w:vertAlign w:val="superscript"/>
              </w:rPr>
              <w:t>3</w:t>
            </w:r>
            <w:r>
              <w:rPr>
                <w:sz w:val="24"/>
                <w:szCs w:val="24"/>
              </w:rPr>
              <w:t>，O</w:t>
            </w:r>
            <w:r>
              <w:rPr>
                <w:sz w:val="24"/>
                <w:szCs w:val="24"/>
                <w:vertAlign w:val="subscript"/>
              </w:rPr>
              <w:t>3</w:t>
            </w:r>
            <w:r>
              <w:rPr>
                <w:rFonts w:hint="eastAsia"/>
                <w:sz w:val="24"/>
                <w:szCs w:val="24"/>
              </w:rPr>
              <w:t>年</w:t>
            </w:r>
            <w:r>
              <w:rPr>
                <w:sz w:val="24"/>
                <w:szCs w:val="24"/>
              </w:rPr>
              <w:t>均浓度为1</w:t>
            </w:r>
            <w:r>
              <w:rPr>
                <w:rFonts w:hint="eastAsia"/>
                <w:sz w:val="24"/>
                <w:szCs w:val="24"/>
              </w:rPr>
              <w:t>24</w:t>
            </w:r>
            <w:r>
              <w:rPr>
                <w:sz w:val="24"/>
                <w:szCs w:val="24"/>
              </w:rPr>
              <w:t>μg/m</w:t>
            </w:r>
            <w:r>
              <w:rPr>
                <w:sz w:val="24"/>
                <w:szCs w:val="24"/>
                <w:vertAlign w:val="superscript"/>
              </w:rPr>
              <w:t>3</w:t>
            </w:r>
            <w:r>
              <w:rPr>
                <w:sz w:val="24"/>
                <w:szCs w:val="24"/>
              </w:rPr>
              <w:t>，SO</w:t>
            </w:r>
            <w:r>
              <w:rPr>
                <w:sz w:val="24"/>
                <w:szCs w:val="24"/>
                <w:vertAlign w:val="subscript"/>
              </w:rPr>
              <w:t>2</w:t>
            </w:r>
            <w:r>
              <w:rPr>
                <w:rFonts w:hint="eastAsia"/>
                <w:sz w:val="24"/>
                <w:szCs w:val="24"/>
              </w:rPr>
              <w:t>年</w:t>
            </w:r>
            <w:r>
              <w:rPr>
                <w:sz w:val="24"/>
                <w:szCs w:val="24"/>
              </w:rPr>
              <w:t>均浓度为</w:t>
            </w:r>
            <w:r>
              <w:rPr>
                <w:rFonts w:hint="eastAsia"/>
                <w:sz w:val="24"/>
                <w:szCs w:val="24"/>
              </w:rPr>
              <w:t>9</w:t>
            </w:r>
            <w:r>
              <w:rPr>
                <w:sz w:val="24"/>
                <w:szCs w:val="24"/>
              </w:rPr>
              <w:t>μg/m</w:t>
            </w:r>
            <w:r>
              <w:rPr>
                <w:sz w:val="24"/>
                <w:szCs w:val="24"/>
                <w:vertAlign w:val="superscript"/>
              </w:rPr>
              <w:t>3</w:t>
            </w:r>
            <w:r>
              <w:rPr>
                <w:sz w:val="24"/>
                <w:szCs w:val="24"/>
              </w:rPr>
              <w:t>，NO</w:t>
            </w:r>
            <w:r>
              <w:rPr>
                <w:sz w:val="24"/>
                <w:szCs w:val="24"/>
                <w:vertAlign w:val="subscript"/>
              </w:rPr>
              <w:t>2</w:t>
            </w:r>
            <w:r>
              <w:rPr>
                <w:rFonts w:hint="eastAsia"/>
                <w:sz w:val="24"/>
                <w:szCs w:val="24"/>
              </w:rPr>
              <w:t>年</w:t>
            </w:r>
            <w:r>
              <w:rPr>
                <w:sz w:val="24"/>
                <w:szCs w:val="24"/>
              </w:rPr>
              <w:t>均浓度为</w:t>
            </w:r>
            <w:r>
              <w:rPr>
                <w:rFonts w:hint="eastAsia"/>
                <w:sz w:val="24"/>
                <w:szCs w:val="24"/>
              </w:rPr>
              <w:t>33</w:t>
            </w:r>
            <w:r>
              <w:rPr>
                <w:sz w:val="24"/>
                <w:szCs w:val="24"/>
              </w:rPr>
              <w:t>μg/m</w:t>
            </w:r>
            <w:r>
              <w:rPr>
                <w:sz w:val="24"/>
                <w:szCs w:val="24"/>
                <w:vertAlign w:val="superscript"/>
              </w:rPr>
              <w:t>3</w:t>
            </w:r>
            <w:r>
              <w:rPr>
                <w:sz w:val="24"/>
                <w:szCs w:val="24"/>
              </w:rPr>
              <w:t>，CO</w:t>
            </w:r>
            <w:r>
              <w:rPr>
                <w:rFonts w:hint="eastAsia"/>
                <w:sz w:val="24"/>
                <w:szCs w:val="24"/>
              </w:rPr>
              <w:t>年</w:t>
            </w:r>
            <w:r>
              <w:rPr>
                <w:sz w:val="24"/>
                <w:szCs w:val="24"/>
              </w:rPr>
              <w:t>均浓度为</w:t>
            </w:r>
            <w:r>
              <w:rPr>
                <w:rFonts w:hint="eastAsia"/>
                <w:sz w:val="24"/>
                <w:szCs w:val="24"/>
              </w:rPr>
              <w:t>1.4</w:t>
            </w:r>
            <w:r>
              <w:rPr>
                <w:sz w:val="24"/>
                <w:szCs w:val="24"/>
              </w:rPr>
              <w:t>mg/m</w:t>
            </w:r>
            <w:r>
              <w:rPr>
                <w:sz w:val="24"/>
                <w:szCs w:val="24"/>
                <w:vertAlign w:val="superscript"/>
              </w:rPr>
              <w:t>3</w:t>
            </w:r>
            <w:r>
              <w:rPr>
                <w:sz w:val="24"/>
                <w:szCs w:val="24"/>
              </w:rPr>
              <w:t>。</w:t>
            </w:r>
          </w:p>
          <w:p w14:paraId="44EC52DB">
            <w:pPr>
              <w:spacing w:line="360" w:lineRule="auto"/>
              <w:ind w:firstLine="470" w:firstLineChars="196"/>
              <w:rPr>
                <w:sz w:val="24"/>
                <w:szCs w:val="24"/>
              </w:rPr>
            </w:pPr>
            <w:r>
              <w:rPr>
                <w:sz w:val="24"/>
                <w:szCs w:val="24"/>
              </w:rPr>
              <w:t>根据《环境影响评价技术导则大气环境》（HJ2.2-2018），城市环境空气质量达标情况评价指标为SO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、PM</w:t>
            </w:r>
            <w:r>
              <w:rPr>
                <w:sz w:val="24"/>
                <w:szCs w:val="24"/>
                <w:vertAlign w:val="subscript"/>
              </w:rPr>
              <w:t>2.5</w:t>
            </w:r>
            <w:r>
              <w:rPr>
                <w:sz w:val="24"/>
                <w:szCs w:val="24"/>
              </w:rPr>
              <w:t>、CO和O</w:t>
            </w:r>
            <w:r>
              <w:rPr>
                <w:sz w:val="24"/>
                <w:szCs w:val="24"/>
                <w:vertAlign w:val="subscript"/>
              </w:rPr>
              <w:t>3</w:t>
            </w:r>
            <w:r>
              <w:rPr>
                <w:sz w:val="24"/>
                <w:szCs w:val="24"/>
              </w:rPr>
              <w:t>，六项污染物全部达标即为城市环境空气质量达标，根据上述描述，六项污染物全部达标，</w:t>
            </w:r>
            <w:r>
              <w:rPr>
                <w:rFonts w:hint="eastAsia"/>
                <w:sz w:val="24"/>
                <w:szCs w:val="24"/>
              </w:rPr>
              <w:t>项目所在地空气环境质量基本符合《环境空气质量标准》（GB3095-2012）中二级标准，环境空气质量良好</w:t>
            </w:r>
            <w:r>
              <w:rPr>
                <w:sz w:val="24"/>
                <w:szCs w:val="24"/>
              </w:rPr>
              <w:t>。</w:t>
            </w:r>
          </w:p>
          <w:p w14:paraId="39337BFE">
            <w:pPr>
              <w:spacing w:line="360" w:lineRule="auto"/>
              <w:ind w:firstLine="361" w:firstLineChars="150"/>
              <w:rPr>
                <w:b/>
                <w:kern w:val="24"/>
                <w:sz w:val="24"/>
                <w:szCs w:val="24"/>
              </w:rPr>
            </w:pPr>
            <w:r>
              <w:rPr>
                <w:b/>
                <w:kern w:val="24"/>
                <w:sz w:val="24"/>
                <w:szCs w:val="24"/>
              </w:rPr>
              <w:t>（2）其他污染物现状</w:t>
            </w:r>
          </w:p>
          <w:p w14:paraId="0728905A">
            <w:pPr>
              <w:spacing w:line="360" w:lineRule="auto"/>
              <w:ind w:firstLine="482" w:firstLineChars="200"/>
              <w:rPr>
                <w:b/>
                <w:sz w:val="24"/>
                <w:szCs w:val="24"/>
              </w:rPr>
            </w:pPr>
            <w:r>
              <w:rPr>
                <w:b/>
                <w:sz w:val="24"/>
                <w:szCs w:val="24"/>
              </w:rPr>
              <w:t>1）其他污染物现状监测</w:t>
            </w:r>
          </w:p>
          <w:p w14:paraId="3A366E57">
            <w:pPr>
              <w:spacing w:line="360" w:lineRule="auto"/>
              <w:ind w:firstLine="482" w:firstLineChars="200"/>
              <w:rPr>
                <w:b/>
                <w:sz w:val="24"/>
                <w:szCs w:val="24"/>
              </w:rPr>
            </w:pPr>
            <w:r>
              <w:rPr>
                <w:b/>
                <w:sz w:val="24"/>
                <w:szCs w:val="24"/>
              </w:rPr>
              <w:t>①监测点位</w:t>
            </w:r>
          </w:p>
          <w:p w14:paraId="5533C86F">
            <w:pPr>
              <w:spacing w:line="360" w:lineRule="auto"/>
              <w:ind w:firstLine="480" w:firstLineChars="200"/>
              <w:rPr>
                <w:sz w:val="24"/>
                <w:szCs w:val="24"/>
              </w:rPr>
            </w:pPr>
            <w:r>
              <w:rPr>
                <w:sz w:val="24"/>
                <w:szCs w:val="24"/>
              </w:rPr>
              <w:t>本次环评</w:t>
            </w:r>
            <w:r>
              <w:rPr>
                <w:rFonts w:hint="eastAsia"/>
                <w:sz w:val="24"/>
                <w:szCs w:val="24"/>
              </w:rPr>
              <w:t>设置</w:t>
            </w:r>
            <w:r>
              <w:rPr>
                <w:sz w:val="24"/>
                <w:szCs w:val="24"/>
              </w:rPr>
              <w:t>环境空气监测点1个，监测点位基本信息见表3-1。</w:t>
            </w:r>
          </w:p>
          <w:p w14:paraId="3E9D3971">
            <w:pPr>
              <w:spacing w:line="360" w:lineRule="auto"/>
              <w:jc w:val="center"/>
              <w:rPr>
                <w:b/>
                <w:bCs/>
                <w:sz w:val="24"/>
                <w:szCs w:val="24"/>
              </w:rPr>
            </w:pPr>
            <w:r>
              <w:rPr>
                <w:b/>
                <w:bCs/>
                <w:sz w:val="24"/>
                <w:szCs w:val="24"/>
              </w:rPr>
              <w:t>表3-1 其他污染物监测点位基本信息</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6877"/>
            </w:tblGrid>
            <w:tr w14:paraId="42C6B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3" w:type="pct"/>
                  <w:tcBorders>
                    <w:tl2br w:val="nil"/>
                    <w:tr2bl w:val="nil"/>
                  </w:tcBorders>
                  <w:vAlign w:val="center"/>
                </w:tcPr>
                <w:p w14:paraId="30B18C34">
                  <w:pPr>
                    <w:jc w:val="center"/>
                    <w:rPr>
                      <w:b/>
                      <w:bCs/>
                    </w:rPr>
                  </w:pPr>
                  <w:r>
                    <w:rPr>
                      <w:b/>
                      <w:bCs/>
                      <w:kern w:val="0"/>
                    </w:rPr>
                    <w:t>编号</w:t>
                  </w:r>
                </w:p>
              </w:tc>
              <w:tc>
                <w:tcPr>
                  <w:tcW w:w="3796" w:type="pct"/>
                  <w:tcBorders>
                    <w:tl2br w:val="nil"/>
                    <w:tr2bl w:val="nil"/>
                  </w:tcBorders>
                  <w:vAlign w:val="center"/>
                </w:tcPr>
                <w:p w14:paraId="265C6CCD">
                  <w:pPr>
                    <w:jc w:val="center"/>
                    <w:rPr>
                      <w:b/>
                      <w:bCs/>
                    </w:rPr>
                  </w:pPr>
                  <w:r>
                    <w:rPr>
                      <w:b/>
                      <w:bCs/>
                      <w:kern w:val="0"/>
                    </w:rPr>
                    <w:t>监测点位置</w:t>
                  </w:r>
                </w:p>
              </w:tc>
            </w:tr>
            <w:tr w14:paraId="4364D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pct"/>
                  <w:tcBorders>
                    <w:tl2br w:val="nil"/>
                    <w:tr2bl w:val="nil"/>
                  </w:tcBorders>
                  <w:vAlign w:val="center"/>
                </w:tcPr>
                <w:p w14:paraId="5CDAA7C8">
                  <w:pPr>
                    <w:jc w:val="center"/>
                  </w:pPr>
                  <w:r>
                    <w:rPr>
                      <w:rFonts w:hint="eastAsia"/>
                    </w:rPr>
                    <w:t>G1</w:t>
                  </w:r>
                </w:p>
              </w:tc>
              <w:tc>
                <w:tcPr>
                  <w:tcW w:w="3796" w:type="pct"/>
                  <w:tcBorders>
                    <w:tl2br w:val="nil"/>
                    <w:tr2bl w:val="nil"/>
                  </w:tcBorders>
                  <w:vAlign w:val="center"/>
                </w:tcPr>
                <w:p w14:paraId="4B638151">
                  <w:pPr>
                    <w:jc w:val="center"/>
                  </w:pPr>
                  <w:r>
                    <w:t>项目所在地下风向</w:t>
                  </w:r>
                  <w:r>
                    <w:rPr>
                      <w:rFonts w:hint="eastAsia"/>
                    </w:rPr>
                    <w:t>（紧邻居民处）</w:t>
                  </w:r>
                </w:p>
              </w:tc>
            </w:tr>
          </w:tbl>
          <w:p w14:paraId="0F60F104">
            <w:pPr>
              <w:spacing w:line="360" w:lineRule="auto"/>
              <w:ind w:firstLine="482" w:firstLineChars="200"/>
              <w:rPr>
                <w:b/>
                <w:sz w:val="24"/>
                <w:szCs w:val="24"/>
              </w:rPr>
            </w:pPr>
            <w:r>
              <w:rPr>
                <w:b/>
                <w:sz w:val="24"/>
                <w:szCs w:val="24"/>
              </w:rPr>
              <w:t>②监测因子</w:t>
            </w:r>
          </w:p>
          <w:p w14:paraId="150AE16D">
            <w:pPr>
              <w:spacing w:line="360" w:lineRule="auto"/>
              <w:ind w:firstLine="480" w:firstLineChars="200"/>
              <w:rPr>
                <w:sz w:val="24"/>
                <w:szCs w:val="24"/>
              </w:rPr>
            </w:pPr>
            <w:r>
              <w:rPr>
                <w:rFonts w:hint="eastAsia"/>
                <w:sz w:val="24"/>
                <w:szCs w:val="24"/>
              </w:rPr>
              <w:t>NH</w:t>
            </w:r>
            <w:r>
              <w:rPr>
                <w:rFonts w:hint="eastAsia"/>
                <w:sz w:val="24"/>
                <w:szCs w:val="24"/>
                <w:vertAlign w:val="subscript"/>
              </w:rPr>
              <w:t>3</w:t>
            </w:r>
            <w:r>
              <w:rPr>
                <w:rFonts w:hint="eastAsia"/>
                <w:sz w:val="24"/>
                <w:szCs w:val="24"/>
              </w:rPr>
              <w:t>、H</w:t>
            </w:r>
            <w:r>
              <w:rPr>
                <w:rFonts w:hint="eastAsia"/>
                <w:sz w:val="24"/>
                <w:szCs w:val="24"/>
                <w:vertAlign w:val="subscript"/>
              </w:rPr>
              <w:t>2</w:t>
            </w:r>
            <w:r>
              <w:rPr>
                <w:rFonts w:hint="eastAsia"/>
                <w:sz w:val="24"/>
                <w:szCs w:val="24"/>
              </w:rPr>
              <w:t>S、臭气浓度</w:t>
            </w:r>
            <w:r>
              <w:rPr>
                <w:sz w:val="24"/>
                <w:szCs w:val="24"/>
              </w:rPr>
              <w:t>。</w:t>
            </w:r>
          </w:p>
          <w:p w14:paraId="5D76C433">
            <w:pPr>
              <w:spacing w:line="360" w:lineRule="auto"/>
              <w:ind w:firstLine="482" w:firstLineChars="200"/>
              <w:rPr>
                <w:b/>
                <w:sz w:val="24"/>
                <w:szCs w:val="24"/>
              </w:rPr>
            </w:pPr>
            <w:r>
              <w:rPr>
                <w:b/>
                <w:sz w:val="24"/>
                <w:szCs w:val="24"/>
              </w:rPr>
              <w:t>③监测时段</w:t>
            </w:r>
          </w:p>
          <w:p w14:paraId="3051BBCF">
            <w:pPr>
              <w:spacing w:line="360" w:lineRule="auto"/>
              <w:ind w:firstLine="480"/>
              <w:rPr>
                <w:sz w:val="24"/>
                <w:szCs w:val="24"/>
              </w:rPr>
            </w:pPr>
            <w:r>
              <w:rPr>
                <w:sz w:val="24"/>
                <w:szCs w:val="24"/>
              </w:rPr>
              <w:t>202</w:t>
            </w:r>
            <w:r>
              <w:rPr>
                <w:rFonts w:hint="eastAsia"/>
                <w:sz w:val="24"/>
                <w:szCs w:val="24"/>
              </w:rPr>
              <w:t>4</w:t>
            </w:r>
            <w:r>
              <w:rPr>
                <w:sz w:val="24"/>
                <w:szCs w:val="24"/>
              </w:rPr>
              <w:t>年</w:t>
            </w:r>
            <w:r>
              <w:rPr>
                <w:rFonts w:hint="eastAsia"/>
                <w:sz w:val="24"/>
                <w:szCs w:val="24"/>
              </w:rPr>
              <w:t>8</w:t>
            </w:r>
            <w:r>
              <w:rPr>
                <w:sz w:val="24"/>
                <w:szCs w:val="24"/>
              </w:rPr>
              <w:t>月</w:t>
            </w:r>
            <w:r>
              <w:rPr>
                <w:rFonts w:hint="eastAsia"/>
                <w:sz w:val="24"/>
                <w:szCs w:val="24"/>
              </w:rPr>
              <w:t>5</w:t>
            </w:r>
            <w:r>
              <w:rPr>
                <w:sz w:val="24"/>
                <w:szCs w:val="24"/>
              </w:rPr>
              <w:t>日~</w:t>
            </w:r>
            <w:r>
              <w:rPr>
                <w:rFonts w:hint="eastAsia"/>
                <w:sz w:val="24"/>
                <w:szCs w:val="24"/>
              </w:rPr>
              <w:t>8月7</w:t>
            </w:r>
            <w:r>
              <w:rPr>
                <w:sz w:val="24"/>
                <w:szCs w:val="24"/>
              </w:rPr>
              <w:t>日，共3天。</w:t>
            </w:r>
          </w:p>
          <w:p w14:paraId="4A9EC186">
            <w:pPr>
              <w:spacing w:line="360" w:lineRule="auto"/>
              <w:ind w:firstLine="482" w:firstLineChars="200"/>
              <w:rPr>
                <w:b/>
                <w:sz w:val="24"/>
                <w:szCs w:val="24"/>
              </w:rPr>
            </w:pPr>
            <w:r>
              <w:rPr>
                <w:b/>
                <w:sz w:val="24"/>
                <w:szCs w:val="24"/>
              </w:rPr>
              <w:t>④监测结果</w:t>
            </w:r>
          </w:p>
          <w:p w14:paraId="47731CE7">
            <w:pPr>
              <w:spacing w:line="360" w:lineRule="auto"/>
              <w:ind w:firstLine="480" w:firstLineChars="200"/>
              <w:rPr>
                <w:sz w:val="24"/>
                <w:szCs w:val="24"/>
              </w:rPr>
            </w:pPr>
            <w:r>
              <w:rPr>
                <w:sz w:val="24"/>
                <w:szCs w:val="24"/>
              </w:rPr>
              <w:t>区域环境空气质量现状监测结果见表3-2。</w:t>
            </w:r>
          </w:p>
          <w:p w14:paraId="2628A0FD">
            <w:pPr>
              <w:spacing w:line="360" w:lineRule="auto"/>
              <w:jc w:val="center"/>
              <w:rPr>
                <w:b/>
                <w:bCs/>
                <w:sz w:val="24"/>
                <w:szCs w:val="24"/>
              </w:rPr>
            </w:pPr>
            <w:r>
              <w:rPr>
                <w:b/>
                <w:bCs/>
                <w:sz w:val="24"/>
                <w:szCs w:val="24"/>
              </w:rPr>
              <w:t>表3-2 环境空气质量现状监测结果</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276"/>
              <w:gridCol w:w="1701"/>
              <w:gridCol w:w="1070"/>
              <w:gridCol w:w="1071"/>
              <w:gridCol w:w="1071"/>
              <w:gridCol w:w="1071"/>
            </w:tblGrid>
            <w:tr w14:paraId="22525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08" w:type="dxa"/>
                  <w:vMerge w:val="restart"/>
                  <w:tcBorders>
                    <w:top w:val="single" w:color="auto" w:sz="12" w:space="0"/>
                    <w:bottom w:val="single" w:color="auto" w:sz="4" w:space="0"/>
                  </w:tcBorders>
                  <w:vAlign w:val="center"/>
                </w:tcPr>
                <w:p w14:paraId="7FB4BFEE">
                  <w:pPr>
                    <w:jc w:val="center"/>
                    <w:rPr>
                      <w:b/>
                      <w:bCs/>
                    </w:rPr>
                  </w:pPr>
                  <w:r>
                    <w:rPr>
                      <w:b/>
                      <w:bCs/>
                    </w:rPr>
                    <w:t>检测点编号及位置</w:t>
                  </w:r>
                </w:p>
              </w:tc>
              <w:tc>
                <w:tcPr>
                  <w:tcW w:w="1276" w:type="dxa"/>
                  <w:vMerge w:val="restart"/>
                  <w:tcBorders>
                    <w:top w:val="single" w:color="auto" w:sz="12" w:space="0"/>
                    <w:bottom w:val="single" w:color="auto" w:sz="4" w:space="0"/>
                  </w:tcBorders>
                  <w:vAlign w:val="center"/>
                </w:tcPr>
                <w:p w14:paraId="54340C3D">
                  <w:pPr>
                    <w:jc w:val="center"/>
                    <w:rPr>
                      <w:b/>
                      <w:bCs/>
                    </w:rPr>
                  </w:pPr>
                  <w:r>
                    <w:rPr>
                      <w:b/>
                    </w:rPr>
                    <w:t>检测因子</w:t>
                  </w:r>
                </w:p>
              </w:tc>
              <w:tc>
                <w:tcPr>
                  <w:tcW w:w="1701" w:type="dxa"/>
                  <w:vMerge w:val="restart"/>
                  <w:tcBorders>
                    <w:top w:val="single" w:color="auto" w:sz="12" w:space="0"/>
                    <w:bottom w:val="single" w:color="auto" w:sz="4" w:space="0"/>
                  </w:tcBorders>
                  <w:vAlign w:val="center"/>
                </w:tcPr>
                <w:p w14:paraId="6BC666E2">
                  <w:pPr>
                    <w:jc w:val="center"/>
                    <w:rPr>
                      <w:b/>
                      <w:bCs/>
                    </w:rPr>
                  </w:pPr>
                  <w:r>
                    <w:rPr>
                      <w:rFonts w:hint="eastAsia"/>
                      <w:b/>
                      <w:bCs/>
                    </w:rPr>
                    <w:t>采样日期</w:t>
                  </w:r>
                </w:p>
              </w:tc>
              <w:tc>
                <w:tcPr>
                  <w:tcW w:w="4283" w:type="dxa"/>
                  <w:gridSpan w:val="4"/>
                  <w:tcBorders>
                    <w:top w:val="single" w:color="auto" w:sz="12" w:space="0"/>
                    <w:bottom w:val="single" w:color="auto" w:sz="4" w:space="0"/>
                  </w:tcBorders>
                  <w:vAlign w:val="center"/>
                </w:tcPr>
                <w:p w14:paraId="3565ED6E">
                  <w:pPr>
                    <w:jc w:val="center"/>
                    <w:rPr>
                      <w:b/>
                      <w:bCs/>
                    </w:rPr>
                  </w:pPr>
                  <w:r>
                    <w:rPr>
                      <w:rFonts w:hint="eastAsia"/>
                      <w:b/>
                      <w:bCs/>
                    </w:rPr>
                    <w:t>检测</w:t>
                  </w:r>
                  <w:r>
                    <w:rPr>
                      <w:b/>
                      <w:bCs/>
                    </w:rPr>
                    <w:t>结果</w:t>
                  </w:r>
                </w:p>
              </w:tc>
            </w:tr>
            <w:tr w14:paraId="4FA5C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08" w:type="dxa"/>
                  <w:vMerge w:val="continue"/>
                  <w:tcBorders>
                    <w:top w:val="single" w:color="auto" w:sz="4" w:space="0"/>
                    <w:bottom w:val="single" w:color="auto" w:sz="12" w:space="0"/>
                  </w:tcBorders>
                  <w:vAlign w:val="center"/>
                </w:tcPr>
                <w:p w14:paraId="4CA8A038">
                  <w:pPr>
                    <w:jc w:val="center"/>
                    <w:rPr>
                      <w:b/>
                    </w:rPr>
                  </w:pPr>
                </w:p>
              </w:tc>
              <w:tc>
                <w:tcPr>
                  <w:tcW w:w="1276" w:type="dxa"/>
                  <w:vMerge w:val="continue"/>
                  <w:tcBorders>
                    <w:top w:val="single" w:color="auto" w:sz="4" w:space="0"/>
                    <w:bottom w:val="single" w:color="auto" w:sz="12" w:space="0"/>
                  </w:tcBorders>
                  <w:vAlign w:val="center"/>
                </w:tcPr>
                <w:p w14:paraId="7C174FF1">
                  <w:pPr>
                    <w:jc w:val="center"/>
                    <w:rPr>
                      <w:b/>
                    </w:rPr>
                  </w:pPr>
                </w:p>
              </w:tc>
              <w:tc>
                <w:tcPr>
                  <w:tcW w:w="1701" w:type="dxa"/>
                  <w:vMerge w:val="continue"/>
                  <w:tcBorders>
                    <w:top w:val="single" w:color="auto" w:sz="4" w:space="0"/>
                    <w:bottom w:val="single" w:color="auto" w:sz="12" w:space="0"/>
                  </w:tcBorders>
                  <w:vAlign w:val="center"/>
                </w:tcPr>
                <w:p w14:paraId="2562DB52">
                  <w:pPr>
                    <w:jc w:val="center"/>
                    <w:rPr>
                      <w:b/>
                    </w:rPr>
                  </w:pPr>
                </w:p>
              </w:tc>
              <w:tc>
                <w:tcPr>
                  <w:tcW w:w="1070" w:type="dxa"/>
                  <w:tcBorders>
                    <w:top w:val="single" w:color="auto" w:sz="4" w:space="0"/>
                    <w:bottom w:val="single" w:color="auto" w:sz="12" w:space="0"/>
                  </w:tcBorders>
                  <w:vAlign w:val="center"/>
                </w:tcPr>
                <w:p w14:paraId="5C849B8C">
                  <w:pPr>
                    <w:jc w:val="center"/>
                    <w:rPr>
                      <w:b/>
                    </w:rPr>
                  </w:pPr>
                  <w:r>
                    <w:rPr>
                      <w:rFonts w:hint="eastAsia"/>
                      <w:b/>
                    </w:rPr>
                    <w:t>第一次</w:t>
                  </w:r>
                </w:p>
              </w:tc>
              <w:tc>
                <w:tcPr>
                  <w:tcW w:w="1071" w:type="dxa"/>
                  <w:tcBorders>
                    <w:top w:val="single" w:color="auto" w:sz="4" w:space="0"/>
                    <w:bottom w:val="single" w:color="auto" w:sz="12" w:space="0"/>
                  </w:tcBorders>
                  <w:vAlign w:val="center"/>
                </w:tcPr>
                <w:p w14:paraId="665043FE">
                  <w:pPr>
                    <w:jc w:val="center"/>
                    <w:rPr>
                      <w:b/>
                    </w:rPr>
                  </w:pPr>
                  <w:r>
                    <w:rPr>
                      <w:rFonts w:hint="eastAsia"/>
                      <w:b/>
                    </w:rPr>
                    <w:t>第二次</w:t>
                  </w:r>
                </w:p>
              </w:tc>
              <w:tc>
                <w:tcPr>
                  <w:tcW w:w="1071" w:type="dxa"/>
                  <w:tcBorders>
                    <w:top w:val="single" w:color="auto" w:sz="4" w:space="0"/>
                    <w:bottom w:val="single" w:color="auto" w:sz="12" w:space="0"/>
                  </w:tcBorders>
                  <w:vAlign w:val="center"/>
                </w:tcPr>
                <w:p w14:paraId="304D43F6">
                  <w:pPr>
                    <w:jc w:val="center"/>
                    <w:rPr>
                      <w:b/>
                    </w:rPr>
                  </w:pPr>
                  <w:r>
                    <w:rPr>
                      <w:rFonts w:hint="eastAsia"/>
                      <w:b/>
                    </w:rPr>
                    <w:t>第三次</w:t>
                  </w:r>
                </w:p>
              </w:tc>
              <w:tc>
                <w:tcPr>
                  <w:tcW w:w="1071" w:type="dxa"/>
                  <w:tcBorders>
                    <w:top w:val="single" w:color="auto" w:sz="4" w:space="0"/>
                    <w:bottom w:val="single" w:color="auto" w:sz="12" w:space="0"/>
                  </w:tcBorders>
                  <w:vAlign w:val="center"/>
                </w:tcPr>
                <w:p w14:paraId="1F35024C">
                  <w:pPr>
                    <w:jc w:val="center"/>
                    <w:rPr>
                      <w:b/>
                    </w:rPr>
                  </w:pPr>
                  <w:r>
                    <w:rPr>
                      <w:rFonts w:hint="eastAsia"/>
                      <w:b/>
                    </w:rPr>
                    <w:t>第四次</w:t>
                  </w:r>
                </w:p>
              </w:tc>
            </w:tr>
            <w:tr w14:paraId="36FB9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restart"/>
                  <w:tcBorders>
                    <w:top w:val="single" w:color="auto" w:sz="12" w:space="0"/>
                    <w:bottom w:val="single" w:color="auto" w:sz="4" w:space="0"/>
                  </w:tcBorders>
                  <w:vAlign w:val="center"/>
                </w:tcPr>
                <w:p w14:paraId="26C910E0">
                  <w:pPr>
                    <w:jc w:val="center"/>
                  </w:pPr>
                  <w:r>
                    <w:rPr>
                      <w:rFonts w:hint="eastAsia"/>
                    </w:rPr>
                    <w:t>G1，项目所在地下风向（紧邻居民处）</w:t>
                  </w:r>
                </w:p>
              </w:tc>
              <w:tc>
                <w:tcPr>
                  <w:tcW w:w="1276" w:type="dxa"/>
                  <w:vMerge w:val="restart"/>
                  <w:tcBorders>
                    <w:top w:val="single" w:color="auto" w:sz="12" w:space="0"/>
                    <w:bottom w:val="single" w:color="auto" w:sz="4" w:space="0"/>
                  </w:tcBorders>
                  <w:vAlign w:val="center"/>
                </w:tcPr>
                <w:p w14:paraId="0A991A66">
                  <w:pPr>
                    <w:snapToGrid w:val="0"/>
                    <w:jc w:val="center"/>
                  </w:pPr>
                  <w:r>
                    <w:rPr>
                      <w:rFonts w:hint="eastAsia"/>
                    </w:rPr>
                    <w:t>氨</w:t>
                  </w:r>
                </w:p>
              </w:tc>
              <w:tc>
                <w:tcPr>
                  <w:tcW w:w="1701" w:type="dxa"/>
                  <w:tcBorders>
                    <w:top w:val="single" w:color="auto" w:sz="12" w:space="0"/>
                    <w:bottom w:val="single" w:color="auto" w:sz="4" w:space="0"/>
                  </w:tcBorders>
                  <w:vAlign w:val="center"/>
                </w:tcPr>
                <w:p w14:paraId="2E96774C">
                  <w:pPr>
                    <w:snapToGrid w:val="0"/>
                    <w:jc w:val="center"/>
                  </w:pPr>
                  <w:r>
                    <w:t>202</w:t>
                  </w:r>
                  <w:r>
                    <w:rPr>
                      <w:rFonts w:hint="eastAsia"/>
                    </w:rPr>
                    <w:t>4</w:t>
                  </w:r>
                  <w:r>
                    <w:t>.0</w:t>
                  </w:r>
                  <w:r>
                    <w:rPr>
                      <w:rFonts w:hint="eastAsia"/>
                    </w:rPr>
                    <w:t>8</w:t>
                  </w:r>
                  <w:r>
                    <w:t>.</w:t>
                  </w:r>
                  <w:r>
                    <w:rPr>
                      <w:rFonts w:hint="eastAsia"/>
                    </w:rPr>
                    <w:t>05</w:t>
                  </w:r>
                </w:p>
              </w:tc>
              <w:tc>
                <w:tcPr>
                  <w:tcW w:w="1070" w:type="dxa"/>
                  <w:tcBorders>
                    <w:top w:val="single" w:color="auto" w:sz="12" w:space="0"/>
                    <w:bottom w:val="single" w:color="auto" w:sz="4" w:space="0"/>
                  </w:tcBorders>
                  <w:vAlign w:val="center"/>
                </w:tcPr>
                <w:p w14:paraId="5D6B79F2">
                  <w:pPr>
                    <w:jc w:val="center"/>
                  </w:pPr>
                  <w:r>
                    <w:rPr>
                      <w:rFonts w:hint="eastAsia"/>
                    </w:rPr>
                    <w:t>0.09</w:t>
                  </w:r>
                </w:p>
              </w:tc>
              <w:tc>
                <w:tcPr>
                  <w:tcW w:w="1071" w:type="dxa"/>
                  <w:tcBorders>
                    <w:top w:val="single" w:color="auto" w:sz="12" w:space="0"/>
                    <w:bottom w:val="single" w:color="auto" w:sz="4" w:space="0"/>
                  </w:tcBorders>
                  <w:vAlign w:val="center"/>
                </w:tcPr>
                <w:p w14:paraId="7F3222DC">
                  <w:pPr>
                    <w:jc w:val="center"/>
                  </w:pPr>
                  <w:r>
                    <w:rPr>
                      <w:rFonts w:hint="eastAsia"/>
                    </w:rPr>
                    <w:t>0.10</w:t>
                  </w:r>
                </w:p>
              </w:tc>
              <w:tc>
                <w:tcPr>
                  <w:tcW w:w="1071" w:type="dxa"/>
                  <w:tcBorders>
                    <w:top w:val="single" w:color="auto" w:sz="12" w:space="0"/>
                    <w:bottom w:val="single" w:color="auto" w:sz="4" w:space="0"/>
                  </w:tcBorders>
                  <w:vAlign w:val="center"/>
                </w:tcPr>
                <w:p w14:paraId="41704BFB">
                  <w:pPr>
                    <w:jc w:val="center"/>
                  </w:pPr>
                  <w:r>
                    <w:rPr>
                      <w:rFonts w:hint="eastAsia"/>
                    </w:rPr>
                    <w:t>0.08</w:t>
                  </w:r>
                </w:p>
              </w:tc>
              <w:tc>
                <w:tcPr>
                  <w:tcW w:w="1071" w:type="dxa"/>
                  <w:tcBorders>
                    <w:top w:val="single" w:color="auto" w:sz="12" w:space="0"/>
                    <w:bottom w:val="single" w:color="auto" w:sz="4" w:space="0"/>
                  </w:tcBorders>
                  <w:vAlign w:val="center"/>
                </w:tcPr>
                <w:p w14:paraId="0C1FB1FB">
                  <w:pPr>
                    <w:jc w:val="center"/>
                  </w:pPr>
                  <w:r>
                    <w:rPr>
                      <w:rFonts w:hint="eastAsia"/>
                    </w:rPr>
                    <w:t>0.12</w:t>
                  </w:r>
                </w:p>
              </w:tc>
            </w:tr>
            <w:tr w14:paraId="21800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6DBC8F7D">
                  <w:pPr>
                    <w:jc w:val="center"/>
                  </w:pPr>
                </w:p>
              </w:tc>
              <w:tc>
                <w:tcPr>
                  <w:tcW w:w="1276" w:type="dxa"/>
                  <w:vMerge w:val="continue"/>
                  <w:tcBorders>
                    <w:top w:val="single" w:color="auto" w:sz="4" w:space="0"/>
                    <w:bottom w:val="single" w:color="auto" w:sz="4" w:space="0"/>
                  </w:tcBorders>
                  <w:vAlign w:val="center"/>
                </w:tcPr>
                <w:p w14:paraId="75D98EC4">
                  <w:pPr>
                    <w:snapToGrid w:val="0"/>
                    <w:jc w:val="center"/>
                  </w:pPr>
                </w:p>
              </w:tc>
              <w:tc>
                <w:tcPr>
                  <w:tcW w:w="1701" w:type="dxa"/>
                  <w:tcBorders>
                    <w:top w:val="single" w:color="auto" w:sz="4" w:space="0"/>
                    <w:bottom w:val="single" w:color="auto" w:sz="4" w:space="0"/>
                  </w:tcBorders>
                  <w:vAlign w:val="center"/>
                </w:tcPr>
                <w:p w14:paraId="3646E5D2">
                  <w:pPr>
                    <w:snapToGrid w:val="0"/>
                    <w:jc w:val="center"/>
                  </w:pPr>
                  <w:r>
                    <w:t>202</w:t>
                  </w:r>
                  <w:r>
                    <w:rPr>
                      <w:rFonts w:hint="eastAsia"/>
                    </w:rPr>
                    <w:t>4</w:t>
                  </w:r>
                  <w:r>
                    <w:t>.0</w:t>
                  </w:r>
                  <w:r>
                    <w:rPr>
                      <w:rFonts w:hint="eastAsia"/>
                    </w:rPr>
                    <w:t>8</w:t>
                  </w:r>
                  <w:r>
                    <w:t>.</w:t>
                  </w:r>
                  <w:r>
                    <w:rPr>
                      <w:rFonts w:hint="eastAsia"/>
                    </w:rPr>
                    <w:t>06</w:t>
                  </w:r>
                </w:p>
              </w:tc>
              <w:tc>
                <w:tcPr>
                  <w:tcW w:w="1070" w:type="dxa"/>
                  <w:tcBorders>
                    <w:top w:val="single" w:color="auto" w:sz="4" w:space="0"/>
                    <w:bottom w:val="single" w:color="auto" w:sz="4" w:space="0"/>
                  </w:tcBorders>
                  <w:vAlign w:val="center"/>
                </w:tcPr>
                <w:p w14:paraId="58EB836D">
                  <w:pPr>
                    <w:jc w:val="center"/>
                  </w:pPr>
                  <w:r>
                    <w:rPr>
                      <w:rFonts w:hint="eastAsia"/>
                    </w:rPr>
                    <w:t>0.08</w:t>
                  </w:r>
                </w:p>
              </w:tc>
              <w:tc>
                <w:tcPr>
                  <w:tcW w:w="1071" w:type="dxa"/>
                  <w:tcBorders>
                    <w:top w:val="single" w:color="auto" w:sz="4" w:space="0"/>
                    <w:bottom w:val="single" w:color="auto" w:sz="4" w:space="0"/>
                  </w:tcBorders>
                  <w:vAlign w:val="center"/>
                </w:tcPr>
                <w:p w14:paraId="5E1DDA24">
                  <w:pPr>
                    <w:jc w:val="center"/>
                  </w:pPr>
                  <w:r>
                    <w:rPr>
                      <w:rFonts w:hint="eastAsia"/>
                    </w:rPr>
                    <w:t>0.13</w:t>
                  </w:r>
                </w:p>
              </w:tc>
              <w:tc>
                <w:tcPr>
                  <w:tcW w:w="1071" w:type="dxa"/>
                  <w:tcBorders>
                    <w:top w:val="single" w:color="auto" w:sz="4" w:space="0"/>
                    <w:bottom w:val="single" w:color="auto" w:sz="4" w:space="0"/>
                  </w:tcBorders>
                  <w:vAlign w:val="center"/>
                </w:tcPr>
                <w:p w14:paraId="3A468659">
                  <w:pPr>
                    <w:jc w:val="center"/>
                  </w:pPr>
                  <w:r>
                    <w:rPr>
                      <w:rFonts w:hint="eastAsia"/>
                    </w:rPr>
                    <w:t>0.14</w:t>
                  </w:r>
                </w:p>
              </w:tc>
              <w:tc>
                <w:tcPr>
                  <w:tcW w:w="1071" w:type="dxa"/>
                  <w:tcBorders>
                    <w:top w:val="single" w:color="auto" w:sz="4" w:space="0"/>
                    <w:bottom w:val="single" w:color="auto" w:sz="4" w:space="0"/>
                  </w:tcBorders>
                  <w:vAlign w:val="center"/>
                </w:tcPr>
                <w:p w14:paraId="3E9CD40E">
                  <w:pPr>
                    <w:jc w:val="center"/>
                  </w:pPr>
                  <w:r>
                    <w:rPr>
                      <w:rFonts w:hint="eastAsia"/>
                    </w:rPr>
                    <w:t>0.13</w:t>
                  </w:r>
                </w:p>
              </w:tc>
            </w:tr>
            <w:tr w14:paraId="749C1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46B7A22E">
                  <w:pPr>
                    <w:jc w:val="center"/>
                  </w:pPr>
                </w:p>
              </w:tc>
              <w:tc>
                <w:tcPr>
                  <w:tcW w:w="1276" w:type="dxa"/>
                  <w:vMerge w:val="continue"/>
                  <w:tcBorders>
                    <w:top w:val="single" w:color="auto" w:sz="4" w:space="0"/>
                    <w:bottom w:val="single" w:color="auto" w:sz="4" w:space="0"/>
                  </w:tcBorders>
                  <w:vAlign w:val="center"/>
                </w:tcPr>
                <w:p w14:paraId="0DD5A717">
                  <w:pPr>
                    <w:snapToGrid w:val="0"/>
                    <w:jc w:val="center"/>
                  </w:pPr>
                </w:p>
              </w:tc>
              <w:tc>
                <w:tcPr>
                  <w:tcW w:w="1701" w:type="dxa"/>
                  <w:tcBorders>
                    <w:top w:val="single" w:color="auto" w:sz="4" w:space="0"/>
                    <w:bottom w:val="single" w:color="auto" w:sz="4" w:space="0"/>
                  </w:tcBorders>
                  <w:vAlign w:val="center"/>
                </w:tcPr>
                <w:p w14:paraId="5877D1CE">
                  <w:pPr>
                    <w:snapToGrid w:val="0"/>
                    <w:jc w:val="center"/>
                  </w:pPr>
                  <w:r>
                    <w:t>202</w:t>
                  </w:r>
                  <w:r>
                    <w:rPr>
                      <w:rFonts w:hint="eastAsia"/>
                    </w:rPr>
                    <w:t>4</w:t>
                  </w:r>
                  <w:r>
                    <w:t>.0</w:t>
                  </w:r>
                  <w:r>
                    <w:rPr>
                      <w:rFonts w:hint="eastAsia"/>
                    </w:rPr>
                    <w:t>8</w:t>
                  </w:r>
                  <w:r>
                    <w:t>.</w:t>
                  </w:r>
                  <w:r>
                    <w:rPr>
                      <w:rFonts w:hint="eastAsia"/>
                    </w:rPr>
                    <w:t>07</w:t>
                  </w:r>
                </w:p>
              </w:tc>
              <w:tc>
                <w:tcPr>
                  <w:tcW w:w="1070" w:type="dxa"/>
                  <w:tcBorders>
                    <w:top w:val="single" w:color="auto" w:sz="4" w:space="0"/>
                    <w:bottom w:val="single" w:color="auto" w:sz="4" w:space="0"/>
                  </w:tcBorders>
                  <w:vAlign w:val="center"/>
                </w:tcPr>
                <w:p w14:paraId="07B8AB60">
                  <w:pPr>
                    <w:jc w:val="center"/>
                  </w:pPr>
                  <w:r>
                    <w:rPr>
                      <w:rFonts w:hint="eastAsia"/>
                    </w:rPr>
                    <w:t>0.11</w:t>
                  </w:r>
                </w:p>
              </w:tc>
              <w:tc>
                <w:tcPr>
                  <w:tcW w:w="1071" w:type="dxa"/>
                  <w:tcBorders>
                    <w:top w:val="single" w:color="auto" w:sz="4" w:space="0"/>
                    <w:bottom w:val="single" w:color="auto" w:sz="4" w:space="0"/>
                  </w:tcBorders>
                  <w:vAlign w:val="center"/>
                </w:tcPr>
                <w:p w14:paraId="529325B1">
                  <w:pPr>
                    <w:jc w:val="center"/>
                  </w:pPr>
                  <w:r>
                    <w:rPr>
                      <w:rFonts w:hint="eastAsia"/>
                    </w:rPr>
                    <w:t>0.12</w:t>
                  </w:r>
                </w:p>
              </w:tc>
              <w:tc>
                <w:tcPr>
                  <w:tcW w:w="1071" w:type="dxa"/>
                  <w:tcBorders>
                    <w:top w:val="single" w:color="auto" w:sz="4" w:space="0"/>
                    <w:bottom w:val="single" w:color="auto" w:sz="4" w:space="0"/>
                  </w:tcBorders>
                  <w:vAlign w:val="center"/>
                </w:tcPr>
                <w:p w14:paraId="7219CA65">
                  <w:pPr>
                    <w:jc w:val="center"/>
                  </w:pPr>
                  <w:r>
                    <w:rPr>
                      <w:rFonts w:hint="eastAsia"/>
                    </w:rPr>
                    <w:t>0.10</w:t>
                  </w:r>
                </w:p>
              </w:tc>
              <w:tc>
                <w:tcPr>
                  <w:tcW w:w="1071" w:type="dxa"/>
                  <w:tcBorders>
                    <w:top w:val="single" w:color="auto" w:sz="4" w:space="0"/>
                    <w:bottom w:val="single" w:color="auto" w:sz="4" w:space="0"/>
                  </w:tcBorders>
                  <w:vAlign w:val="center"/>
                </w:tcPr>
                <w:p w14:paraId="62766F63">
                  <w:pPr>
                    <w:jc w:val="center"/>
                  </w:pPr>
                  <w:r>
                    <w:rPr>
                      <w:rFonts w:hint="eastAsia"/>
                    </w:rPr>
                    <w:t>0.09</w:t>
                  </w:r>
                </w:p>
              </w:tc>
            </w:tr>
            <w:tr w14:paraId="4F7D2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23EA3F0E">
                  <w:pPr>
                    <w:jc w:val="center"/>
                  </w:pPr>
                </w:p>
              </w:tc>
              <w:tc>
                <w:tcPr>
                  <w:tcW w:w="1276" w:type="dxa"/>
                  <w:vMerge w:val="restart"/>
                  <w:tcBorders>
                    <w:top w:val="single" w:color="auto" w:sz="4" w:space="0"/>
                    <w:bottom w:val="single" w:color="auto" w:sz="4" w:space="0"/>
                  </w:tcBorders>
                  <w:vAlign w:val="center"/>
                </w:tcPr>
                <w:p w14:paraId="6C81D207">
                  <w:pPr>
                    <w:snapToGrid w:val="0"/>
                    <w:jc w:val="center"/>
                  </w:pPr>
                  <w:r>
                    <w:rPr>
                      <w:rFonts w:hint="eastAsia"/>
                    </w:rPr>
                    <w:t>硫化氢</w:t>
                  </w:r>
                </w:p>
              </w:tc>
              <w:tc>
                <w:tcPr>
                  <w:tcW w:w="1701" w:type="dxa"/>
                  <w:tcBorders>
                    <w:top w:val="single" w:color="auto" w:sz="4" w:space="0"/>
                    <w:bottom w:val="single" w:color="auto" w:sz="4" w:space="0"/>
                  </w:tcBorders>
                  <w:vAlign w:val="center"/>
                </w:tcPr>
                <w:p w14:paraId="4B633D7E">
                  <w:pPr>
                    <w:snapToGrid w:val="0"/>
                    <w:jc w:val="center"/>
                  </w:pPr>
                  <w:r>
                    <w:t>202</w:t>
                  </w:r>
                  <w:r>
                    <w:rPr>
                      <w:rFonts w:hint="eastAsia"/>
                    </w:rPr>
                    <w:t>4</w:t>
                  </w:r>
                  <w:r>
                    <w:t>.0</w:t>
                  </w:r>
                  <w:r>
                    <w:rPr>
                      <w:rFonts w:hint="eastAsia"/>
                    </w:rPr>
                    <w:t>8</w:t>
                  </w:r>
                  <w:r>
                    <w:t>.</w:t>
                  </w:r>
                  <w:r>
                    <w:rPr>
                      <w:rFonts w:hint="eastAsia"/>
                    </w:rPr>
                    <w:t>05</w:t>
                  </w:r>
                </w:p>
              </w:tc>
              <w:tc>
                <w:tcPr>
                  <w:tcW w:w="1070" w:type="dxa"/>
                  <w:tcBorders>
                    <w:top w:val="single" w:color="auto" w:sz="4" w:space="0"/>
                    <w:bottom w:val="single" w:color="auto" w:sz="4" w:space="0"/>
                  </w:tcBorders>
                  <w:vAlign w:val="center"/>
                </w:tcPr>
                <w:p w14:paraId="393AFACB">
                  <w:pPr>
                    <w:jc w:val="center"/>
                  </w:pPr>
                  <w:r>
                    <w:rPr>
                      <w:rFonts w:hint="eastAsia"/>
                    </w:rPr>
                    <w:t>未检出</w:t>
                  </w:r>
                </w:p>
              </w:tc>
              <w:tc>
                <w:tcPr>
                  <w:tcW w:w="1071" w:type="dxa"/>
                  <w:tcBorders>
                    <w:top w:val="single" w:color="auto" w:sz="4" w:space="0"/>
                    <w:bottom w:val="single" w:color="auto" w:sz="4" w:space="0"/>
                  </w:tcBorders>
                  <w:vAlign w:val="center"/>
                </w:tcPr>
                <w:p w14:paraId="26B4066E">
                  <w:pPr>
                    <w:jc w:val="center"/>
                  </w:pPr>
                  <w:r>
                    <w:rPr>
                      <w:rFonts w:hint="eastAsia"/>
                    </w:rPr>
                    <w:t>未检出</w:t>
                  </w:r>
                </w:p>
              </w:tc>
              <w:tc>
                <w:tcPr>
                  <w:tcW w:w="1071" w:type="dxa"/>
                  <w:tcBorders>
                    <w:top w:val="single" w:color="auto" w:sz="4" w:space="0"/>
                    <w:bottom w:val="single" w:color="auto" w:sz="4" w:space="0"/>
                  </w:tcBorders>
                  <w:vAlign w:val="center"/>
                </w:tcPr>
                <w:p w14:paraId="636764C7">
                  <w:pPr>
                    <w:jc w:val="center"/>
                  </w:pPr>
                  <w:r>
                    <w:rPr>
                      <w:rFonts w:hint="eastAsia"/>
                    </w:rPr>
                    <w:t>未检出</w:t>
                  </w:r>
                </w:p>
              </w:tc>
              <w:tc>
                <w:tcPr>
                  <w:tcW w:w="1071" w:type="dxa"/>
                  <w:tcBorders>
                    <w:top w:val="single" w:color="auto" w:sz="4" w:space="0"/>
                    <w:bottom w:val="single" w:color="auto" w:sz="4" w:space="0"/>
                  </w:tcBorders>
                  <w:vAlign w:val="center"/>
                </w:tcPr>
                <w:p w14:paraId="109216B0">
                  <w:pPr>
                    <w:jc w:val="center"/>
                  </w:pPr>
                  <w:r>
                    <w:rPr>
                      <w:rFonts w:hint="eastAsia"/>
                    </w:rPr>
                    <w:t>未检出</w:t>
                  </w:r>
                </w:p>
              </w:tc>
            </w:tr>
            <w:tr w14:paraId="4F2E5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0EB842A9">
                  <w:pPr>
                    <w:jc w:val="center"/>
                  </w:pPr>
                </w:p>
              </w:tc>
              <w:tc>
                <w:tcPr>
                  <w:tcW w:w="1276" w:type="dxa"/>
                  <w:vMerge w:val="continue"/>
                  <w:tcBorders>
                    <w:top w:val="single" w:color="auto" w:sz="4" w:space="0"/>
                    <w:bottom w:val="single" w:color="auto" w:sz="4" w:space="0"/>
                  </w:tcBorders>
                  <w:vAlign w:val="center"/>
                </w:tcPr>
                <w:p w14:paraId="4DE2194C">
                  <w:pPr>
                    <w:snapToGrid w:val="0"/>
                    <w:jc w:val="center"/>
                  </w:pPr>
                </w:p>
              </w:tc>
              <w:tc>
                <w:tcPr>
                  <w:tcW w:w="1701" w:type="dxa"/>
                  <w:tcBorders>
                    <w:top w:val="single" w:color="auto" w:sz="4" w:space="0"/>
                    <w:bottom w:val="single" w:color="auto" w:sz="4" w:space="0"/>
                  </w:tcBorders>
                  <w:vAlign w:val="center"/>
                </w:tcPr>
                <w:p w14:paraId="75F15285">
                  <w:pPr>
                    <w:snapToGrid w:val="0"/>
                    <w:jc w:val="center"/>
                  </w:pPr>
                  <w:r>
                    <w:t>202</w:t>
                  </w:r>
                  <w:r>
                    <w:rPr>
                      <w:rFonts w:hint="eastAsia"/>
                    </w:rPr>
                    <w:t>4</w:t>
                  </w:r>
                  <w:r>
                    <w:t>.0</w:t>
                  </w:r>
                  <w:r>
                    <w:rPr>
                      <w:rFonts w:hint="eastAsia"/>
                    </w:rPr>
                    <w:t>8</w:t>
                  </w:r>
                  <w:r>
                    <w:t>.</w:t>
                  </w:r>
                  <w:r>
                    <w:rPr>
                      <w:rFonts w:hint="eastAsia"/>
                    </w:rPr>
                    <w:t>06</w:t>
                  </w:r>
                </w:p>
              </w:tc>
              <w:tc>
                <w:tcPr>
                  <w:tcW w:w="1070" w:type="dxa"/>
                  <w:tcBorders>
                    <w:top w:val="single" w:color="auto" w:sz="4" w:space="0"/>
                    <w:bottom w:val="single" w:color="auto" w:sz="4" w:space="0"/>
                  </w:tcBorders>
                  <w:vAlign w:val="center"/>
                </w:tcPr>
                <w:p w14:paraId="45F7B752">
                  <w:pPr>
                    <w:jc w:val="center"/>
                  </w:pPr>
                  <w:r>
                    <w:rPr>
                      <w:rFonts w:hint="eastAsia"/>
                    </w:rPr>
                    <w:t>未检出</w:t>
                  </w:r>
                </w:p>
              </w:tc>
              <w:tc>
                <w:tcPr>
                  <w:tcW w:w="1071" w:type="dxa"/>
                  <w:tcBorders>
                    <w:top w:val="single" w:color="auto" w:sz="4" w:space="0"/>
                    <w:bottom w:val="single" w:color="auto" w:sz="4" w:space="0"/>
                  </w:tcBorders>
                  <w:vAlign w:val="center"/>
                </w:tcPr>
                <w:p w14:paraId="4B409A22">
                  <w:pPr>
                    <w:jc w:val="center"/>
                  </w:pPr>
                  <w:r>
                    <w:rPr>
                      <w:rFonts w:hint="eastAsia"/>
                    </w:rPr>
                    <w:t>未检出</w:t>
                  </w:r>
                </w:p>
              </w:tc>
              <w:tc>
                <w:tcPr>
                  <w:tcW w:w="1071" w:type="dxa"/>
                  <w:tcBorders>
                    <w:top w:val="single" w:color="auto" w:sz="4" w:space="0"/>
                    <w:bottom w:val="single" w:color="auto" w:sz="4" w:space="0"/>
                  </w:tcBorders>
                  <w:vAlign w:val="center"/>
                </w:tcPr>
                <w:p w14:paraId="0865DFEC">
                  <w:pPr>
                    <w:jc w:val="center"/>
                  </w:pPr>
                  <w:r>
                    <w:rPr>
                      <w:rFonts w:hint="eastAsia"/>
                    </w:rPr>
                    <w:t>未检出</w:t>
                  </w:r>
                </w:p>
              </w:tc>
              <w:tc>
                <w:tcPr>
                  <w:tcW w:w="1071" w:type="dxa"/>
                  <w:tcBorders>
                    <w:top w:val="single" w:color="auto" w:sz="4" w:space="0"/>
                    <w:bottom w:val="single" w:color="auto" w:sz="4" w:space="0"/>
                  </w:tcBorders>
                  <w:vAlign w:val="center"/>
                </w:tcPr>
                <w:p w14:paraId="474C24D8">
                  <w:pPr>
                    <w:jc w:val="center"/>
                  </w:pPr>
                  <w:r>
                    <w:rPr>
                      <w:rFonts w:hint="eastAsia"/>
                    </w:rPr>
                    <w:t>未检出</w:t>
                  </w:r>
                </w:p>
              </w:tc>
            </w:tr>
            <w:tr w14:paraId="3DF7F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3ED61D00">
                  <w:pPr>
                    <w:jc w:val="center"/>
                  </w:pPr>
                </w:p>
              </w:tc>
              <w:tc>
                <w:tcPr>
                  <w:tcW w:w="1276" w:type="dxa"/>
                  <w:vMerge w:val="continue"/>
                  <w:tcBorders>
                    <w:top w:val="single" w:color="auto" w:sz="4" w:space="0"/>
                    <w:bottom w:val="single" w:color="auto" w:sz="4" w:space="0"/>
                  </w:tcBorders>
                  <w:vAlign w:val="center"/>
                </w:tcPr>
                <w:p w14:paraId="37235DAB">
                  <w:pPr>
                    <w:snapToGrid w:val="0"/>
                    <w:jc w:val="center"/>
                  </w:pPr>
                </w:p>
              </w:tc>
              <w:tc>
                <w:tcPr>
                  <w:tcW w:w="1701" w:type="dxa"/>
                  <w:tcBorders>
                    <w:top w:val="single" w:color="auto" w:sz="4" w:space="0"/>
                    <w:bottom w:val="single" w:color="auto" w:sz="4" w:space="0"/>
                  </w:tcBorders>
                  <w:vAlign w:val="center"/>
                </w:tcPr>
                <w:p w14:paraId="62CD4CB3">
                  <w:pPr>
                    <w:snapToGrid w:val="0"/>
                    <w:jc w:val="center"/>
                  </w:pPr>
                  <w:r>
                    <w:t>202</w:t>
                  </w:r>
                  <w:r>
                    <w:rPr>
                      <w:rFonts w:hint="eastAsia"/>
                    </w:rPr>
                    <w:t>4</w:t>
                  </w:r>
                  <w:r>
                    <w:t>.0</w:t>
                  </w:r>
                  <w:r>
                    <w:rPr>
                      <w:rFonts w:hint="eastAsia"/>
                    </w:rPr>
                    <w:t>8</w:t>
                  </w:r>
                  <w:r>
                    <w:t>.</w:t>
                  </w:r>
                  <w:r>
                    <w:rPr>
                      <w:rFonts w:hint="eastAsia"/>
                    </w:rPr>
                    <w:t>07</w:t>
                  </w:r>
                </w:p>
              </w:tc>
              <w:tc>
                <w:tcPr>
                  <w:tcW w:w="1070" w:type="dxa"/>
                  <w:tcBorders>
                    <w:top w:val="single" w:color="auto" w:sz="4" w:space="0"/>
                    <w:bottom w:val="single" w:color="auto" w:sz="4" w:space="0"/>
                  </w:tcBorders>
                  <w:vAlign w:val="center"/>
                </w:tcPr>
                <w:p w14:paraId="79045839">
                  <w:pPr>
                    <w:jc w:val="center"/>
                  </w:pPr>
                  <w:r>
                    <w:rPr>
                      <w:rFonts w:hint="eastAsia"/>
                    </w:rPr>
                    <w:t>未检出</w:t>
                  </w:r>
                </w:p>
              </w:tc>
              <w:tc>
                <w:tcPr>
                  <w:tcW w:w="1071" w:type="dxa"/>
                  <w:tcBorders>
                    <w:top w:val="single" w:color="auto" w:sz="4" w:space="0"/>
                    <w:bottom w:val="single" w:color="auto" w:sz="4" w:space="0"/>
                  </w:tcBorders>
                  <w:vAlign w:val="center"/>
                </w:tcPr>
                <w:p w14:paraId="36B983CF">
                  <w:pPr>
                    <w:jc w:val="center"/>
                  </w:pPr>
                  <w:r>
                    <w:rPr>
                      <w:rFonts w:hint="eastAsia"/>
                    </w:rPr>
                    <w:t>未检出</w:t>
                  </w:r>
                </w:p>
              </w:tc>
              <w:tc>
                <w:tcPr>
                  <w:tcW w:w="1071" w:type="dxa"/>
                  <w:tcBorders>
                    <w:top w:val="single" w:color="auto" w:sz="4" w:space="0"/>
                    <w:bottom w:val="single" w:color="auto" w:sz="4" w:space="0"/>
                  </w:tcBorders>
                  <w:vAlign w:val="center"/>
                </w:tcPr>
                <w:p w14:paraId="060274D8">
                  <w:pPr>
                    <w:jc w:val="center"/>
                  </w:pPr>
                  <w:r>
                    <w:rPr>
                      <w:rFonts w:hint="eastAsia"/>
                    </w:rPr>
                    <w:t>未检出</w:t>
                  </w:r>
                </w:p>
              </w:tc>
              <w:tc>
                <w:tcPr>
                  <w:tcW w:w="1071" w:type="dxa"/>
                  <w:tcBorders>
                    <w:top w:val="single" w:color="auto" w:sz="4" w:space="0"/>
                    <w:bottom w:val="single" w:color="auto" w:sz="4" w:space="0"/>
                  </w:tcBorders>
                  <w:vAlign w:val="center"/>
                </w:tcPr>
                <w:p w14:paraId="27493160">
                  <w:pPr>
                    <w:jc w:val="center"/>
                  </w:pPr>
                  <w:r>
                    <w:rPr>
                      <w:rFonts w:hint="eastAsia"/>
                    </w:rPr>
                    <w:t>未检出</w:t>
                  </w:r>
                </w:p>
              </w:tc>
            </w:tr>
            <w:tr w14:paraId="0B362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6DEA568C">
                  <w:pPr>
                    <w:jc w:val="center"/>
                  </w:pPr>
                </w:p>
              </w:tc>
              <w:tc>
                <w:tcPr>
                  <w:tcW w:w="1276" w:type="dxa"/>
                  <w:vMerge w:val="restart"/>
                  <w:tcBorders>
                    <w:top w:val="single" w:color="auto" w:sz="4" w:space="0"/>
                    <w:bottom w:val="single" w:color="auto" w:sz="4" w:space="0"/>
                  </w:tcBorders>
                  <w:vAlign w:val="center"/>
                </w:tcPr>
                <w:p w14:paraId="52073CF5">
                  <w:pPr>
                    <w:snapToGrid w:val="0"/>
                    <w:jc w:val="center"/>
                  </w:pPr>
                  <w:r>
                    <w:rPr>
                      <w:rFonts w:hint="eastAsia"/>
                    </w:rPr>
                    <w:t>臭气浓度</w:t>
                  </w:r>
                </w:p>
                <w:p w14:paraId="7ABA65D5">
                  <w:pPr>
                    <w:snapToGrid w:val="0"/>
                    <w:jc w:val="center"/>
                  </w:pPr>
                  <w:r>
                    <w:rPr>
                      <w:rFonts w:hint="eastAsia"/>
                    </w:rPr>
                    <w:t>（无量纲）</w:t>
                  </w:r>
                </w:p>
              </w:tc>
              <w:tc>
                <w:tcPr>
                  <w:tcW w:w="1701" w:type="dxa"/>
                  <w:tcBorders>
                    <w:top w:val="single" w:color="auto" w:sz="4" w:space="0"/>
                    <w:bottom w:val="single" w:color="auto" w:sz="4" w:space="0"/>
                  </w:tcBorders>
                  <w:vAlign w:val="center"/>
                </w:tcPr>
                <w:p w14:paraId="5BE18C9F">
                  <w:pPr>
                    <w:snapToGrid w:val="0"/>
                    <w:jc w:val="center"/>
                  </w:pPr>
                  <w:r>
                    <w:t>202</w:t>
                  </w:r>
                  <w:r>
                    <w:rPr>
                      <w:rFonts w:hint="eastAsia"/>
                    </w:rPr>
                    <w:t>4</w:t>
                  </w:r>
                  <w:r>
                    <w:t>.0</w:t>
                  </w:r>
                  <w:r>
                    <w:rPr>
                      <w:rFonts w:hint="eastAsia"/>
                    </w:rPr>
                    <w:t>8</w:t>
                  </w:r>
                  <w:r>
                    <w:t>.</w:t>
                  </w:r>
                  <w:r>
                    <w:rPr>
                      <w:rFonts w:hint="eastAsia"/>
                    </w:rPr>
                    <w:t>05</w:t>
                  </w:r>
                </w:p>
              </w:tc>
              <w:tc>
                <w:tcPr>
                  <w:tcW w:w="1070" w:type="dxa"/>
                  <w:tcBorders>
                    <w:top w:val="single" w:color="auto" w:sz="4" w:space="0"/>
                    <w:bottom w:val="single" w:color="auto" w:sz="4" w:space="0"/>
                  </w:tcBorders>
                  <w:vAlign w:val="center"/>
                </w:tcPr>
                <w:p w14:paraId="76DC8D7E">
                  <w:pPr>
                    <w:jc w:val="center"/>
                  </w:pPr>
                  <w:r>
                    <w:rPr>
                      <w:iCs/>
                    </w:rPr>
                    <w:t>&lt;10</w:t>
                  </w:r>
                </w:p>
              </w:tc>
              <w:tc>
                <w:tcPr>
                  <w:tcW w:w="1071" w:type="dxa"/>
                  <w:tcBorders>
                    <w:top w:val="single" w:color="auto" w:sz="4" w:space="0"/>
                    <w:bottom w:val="single" w:color="auto" w:sz="4" w:space="0"/>
                  </w:tcBorders>
                  <w:vAlign w:val="center"/>
                </w:tcPr>
                <w:p w14:paraId="062D23E5">
                  <w:pPr>
                    <w:jc w:val="center"/>
                  </w:pPr>
                  <w:r>
                    <w:rPr>
                      <w:iCs/>
                    </w:rPr>
                    <w:t>&lt;10</w:t>
                  </w:r>
                </w:p>
              </w:tc>
              <w:tc>
                <w:tcPr>
                  <w:tcW w:w="1071" w:type="dxa"/>
                  <w:tcBorders>
                    <w:top w:val="single" w:color="auto" w:sz="4" w:space="0"/>
                    <w:bottom w:val="single" w:color="auto" w:sz="4" w:space="0"/>
                  </w:tcBorders>
                  <w:vAlign w:val="center"/>
                </w:tcPr>
                <w:p w14:paraId="0CC6CB41">
                  <w:pPr>
                    <w:jc w:val="center"/>
                  </w:pPr>
                  <w:r>
                    <w:rPr>
                      <w:iCs/>
                    </w:rPr>
                    <w:t>&lt;10</w:t>
                  </w:r>
                </w:p>
              </w:tc>
              <w:tc>
                <w:tcPr>
                  <w:tcW w:w="1071" w:type="dxa"/>
                  <w:tcBorders>
                    <w:top w:val="single" w:color="auto" w:sz="4" w:space="0"/>
                    <w:bottom w:val="single" w:color="auto" w:sz="4" w:space="0"/>
                  </w:tcBorders>
                  <w:vAlign w:val="center"/>
                </w:tcPr>
                <w:p w14:paraId="417045E5">
                  <w:pPr>
                    <w:jc w:val="center"/>
                  </w:pPr>
                  <w:r>
                    <w:rPr>
                      <w:iCs/>
                    </w:rPr>
                    <w:t>&lt;10</w:t>
                  </w:r>
                </w:p>
              </w:tc>
            </w:tr>
            <w:tr w14:paraId="45D63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4" w:space="0"/>
                  </w:tcBorders>
                  <w:vAlign w:val="center"/>
                </w:tcPr>
                <w:p w14:paraId="389EA81E">
                  <w:pPr>
                    <w:jc w:val="center"/>
                  </w:pPr>
                </w:p>
              </w:tc>
              <w:tc>
                <w:tcPr>
                  <w:tcW w:w="1276" w:type="dxa"/>
                  <w:vMerge w:val="continue"/>
                  <w:tcBorders>
                    <w:top w:val="single" w:color="auto" w:sz="4" w:space="0"/>
                    <w:bottom w:val="single" w:color="auto" w:sz="4" w:space="0"/>
                  </w:tcBorders>
                  <w:vAlign w:val="center"/>
                </w:tcPr>
                <w:p w14:paraId="39A44F0E">
                  <w:pPr>
                    <w:snapToGrid w:val="0"/>
                    <w:jc w:val="center"/>
                  </w:pPr>
                </w:p>
              </w:tc>
              <w:tc>
                <w:tcPr>
                  <w:tcW w:w="1701" w:type="dxa"/>
                  <w:tcBorders>
                    <w:top w:val="single" w:color="auto" w:sz="4" w:space="0"/>
                    <w:bottom w:val="single" w:color="auto" w:sz="4" w:space="0"/>
                  </w:tcBorders>
                  <w:vAlign w:val="center"/>
                </w:tcPr>
                <w:p w14:paraId="6F79A2DA">
                  <w:pPr>
                    <w:snapToGrid w:val="0"/>
                    <w:jc w:val="center"/>
                  </w:pPr>
                  <w:r>
                    <w:t>202</w:t>
                  </w:r>
                  <w:r>
                    <w:rPr>
                      <w:rFonts w:hint="eastAsia"/>
                    </w:rPr>
                    <w:t>4</w:t>
                  </w:r>
                  <w:r>
                    <w:t>.0</w:t>
                  </w:r>
                  <w:r>
                    <w:rPr>
                      <w:rFonts w:hint="eastAsia"/>
                    </w:rPr>
                    <w:t>8</w:t>
                  </w:r>
                  <w:r>
                    <w:t>.</w:t>
                  </w:r>
                  <w:r>
                    <w:rPr>
                      <w:rFonts w:hint="eastAsia"/>
                    </w:rPr>
                    <w:t>06</w:t>
                  </w:r>
                </w:p>
              </w:tc>
              <w:tc>
                <w:tcPr>
                  <w:tcW w:w="1070" w:type="dxa"/>
                  <w:tcBorders>
                    <w:top w:val="single" w:color="auto" w:sz="4" w:space="0"/>
                    <w:bottom w:val="single" w:color="auto" w:sz="4" w:space="0"/>
                  </w:tcBorders>
                  <w:vAlign w:val="center"/>
                </w:tcPr>
                <w:p w14:paraId="28696C13">
                  <w:pPr>
                    <w:jc w:val="center"/>
                  </w:pPr>
                  <w:r>
                    <w:rPr>
                      <w:iCs/>
                    </w:rPr>
                    <w:t>&lt;10</w:t>
                  </w:r>
                </w:p>
              </w:tc>
              <w:tc>
                <w:tcPr>
                  <w:tcW w:w="1071" w:type="dxa"/>
                  <w:tcBorders>
                    <w:top w:val="single" w:color="auto" w:sz="4" w:space="0"/>
                    <w:bottom w:val="single" w:color="auto" w:sz="4" w:space="0"/>
                  </w:tcBorders>
                  <w:vAlign w:val="center"/>
                </w:tcPr>
                <w:p w14:paraId="6F63D783">
                  <w:pPr>
                    <w:jc w:val="center"/>
                  </w:pPr>
                  <w:r>
                    <w:rPr>
                      <w:iCs/>
                    </w:rPr>
                    <w:t>&lt;10</w:t>
                  </w:r>
                </w:p>
              </w:tc>
              <w:tc>
                <w:tcPr>
                  <w:tcW w:w="1071" w:type="dxa"/>
                  <w:tcBorders>
                    <w:top w:val="single" w:color="auto" w:sz="4" w:space="0"/>
                    <w:bottom w:val="single" w:color="auto" w:sz="4" w:space="0"/>
                  </w:tcBorders>
                  <w:vAlign w:val="center"/>
                </w:tcPr>
                <w:p w14:paraId="644FA8C9">
                  <w:pPr>
                    <w:jc w:val="center"/>
                  </w:pPr>
                  <w:r>
                    <w:rPr>
                      <w:iCs/>
                    </w:rPr>
                    <w:t>&lt;10</w:t>
                  </w:r>
                </w:p>
              </w:tc>
              <w:tc>
                <w:tcPr>
                  <w:tcW w:w="1071" w:type="dxa"/>
                  <w:tcBorders>
                    <w:top w:val="single" w:color="auto" w:sz="4" w:space="0"/>
                    <w:bottom w:val="single" w:color="auto" w:sz="4" w:space="0"/>
                  </w:tcBorders>
                  <w:vAlign w:val="center"/>
                </w:tcPr>
                <w:p w14:paraId="5F0B0BF2">
                  <w:pPr>
                    <w:jc w:val="center"/>
                  </w:pPr>
                  <w:r>
                    <w:rPr>
                      <w:iCs/>
                    </w:rPr>
                    <w:t>&lt;10</w:t>
                  </w:r>
                </w:p>
              </w:tc>
            </w:tr>
            <w:tr w14:paraId="04869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8" w:type="dxa"/>
                  <w:vMerge w:val="continue"/>
                  <w:tcBorders>
                    <w:top w:val="single" w:color="auto" w:sz="4" w:space="0"/>
                    <w:bottom w:val="single" w:color="auto" w:sz="12" w:space="0"/>
                  </w:tcBorders>
                  <w:vAlign w:val="center"/>
                </w:tcPr>
                <w:p w14:paraId="45F3DD6D">
                  <w:pPr>
                    <w:jc w:val="center"/>
                  </w:pPr>
                </w:p>
              </w:tc>
              <w:tc>
                <w:tcPr>
                  <w:tcW w:w="1276" w:type="dxa"/>
                  <w:vMerge w:val="continue"/>
                  <w:tcBorders>
                    <w:top w:val="single" w:color="auto" w:sz="4" w:space="0"/>
                    <w:bottom w:val="single" w:color="auto" w:sz="12" w:space="0"/>
                  </w:tcBorders>
                  <w:vAlign w:val="center"/>
                </w:tcPr>
                <w:p w14:paraId="37827DE8">
                  <w:pPr>
                    <w:snapToGrid w:val="0"/>
                    <w:jc w:val="center"/>
                  </w:pPr>
                </w:p>
              </w:tc>
              <w:tc>
                <w:tcPr>
                  <w:tcW w:w="1701" w:type="dxa"/>
                  <w:tcBorders>
                    <w:top w:val="single" w:color="auto" w:sz="4" w:space="0"/>
                    <w:bottom w:val="single" w:color="auto" w:sz="12" w:space="0"/>
                  </w:tcBorders>
                  <w:vAlign w:val="center"/>
                </w:tcPr>
                <w:p w14:paraId="242508EC">
                  <w:pPr>
                    <w:snapToGrid w:val="0"/>
                    <w:jc w:val="center"/>
                  </w:pPr>
                  <w:r>
                    <w:t>202</w:t>
                  </w:r>
                  <w:r>
                    <w:rPr>
                      <w:rFonts w:hint="eastAsia"/>
                    </w:rPr>
                    <w:t>4</w:t>
                  </w:r>
                  <w:r>
                    <w:t>.0</w:t>
                  </w:r>
                  <w:r>
                    <w:rPr>
                      <w:rFonts w:hint="eastAsia"/>
                    </w:rPr>
                    <w:t>8</w:t>
                  </w:r>
                  <w:r>
                    <w:t>.</w:t>
                  </w:r>
                  <w:r>
                    <w:rPr>
                      <w:rFonts w:hint="eastAsia"/>
                    </w:rPr>
                    <w:t>07</w:t>
                  </w:r>
                </w:p>
              </w:tc>
              <w:tc>
                <w:tcPr>
                  <w:tcW w:w="1070" w:type="dxa"/>
                  <w:tcBorders>
                    <w:top w:val="single" w:color="auto" w:sz="4" w:space="0"/>
                    <w:bottom w:val="single" w:color="auto" w:sz="12" w:space="0"/>
                  </w:tcBorders>
                  <w:vAlign w:val="center"/>
                </w:tcPr>
                <w:p w14:paraId="3BD3FED5">
                  <w:pPr>
                    <w:jc w:val="center"/>
                  </w:pPr>
                  <w:r>
                    <w:rPr>
                      <w:iCs/>
                    </w:rPr>
                    <w:t>&lt;10</w:t>
                  </w:r>
                </w:p>
              </w:tc>
              <w:tc>
                <w:tcPr>
                  <w:tcW w:w="1071" w:type="dxa"/>
                  <w:tcBorders>
                    <w:top w:val="single" w:color="auto" w:sz="4" w:space="0"/>
                    <w:bottom w:val="single" w:color="auto" w:sz="12" w:space="0"/>
                  </w:tcBorders>
                  <w:vAlign w:val="center"/>
                </w:tcPr>
                <w:p w14:paraId="4EE3F497">
                  <w:pPr>
                    <w:jc w:val="center"/>
                  </w:pPr>
                  <w:r>
                    <w:rPr>
                      <w:iCs/>
                    </w:rPr>
                    <w:t>&lt;10</w:t>
                  </w:r>
                </w:p>
              </w:tc>
              <w:tc>
                <w:tcPr>
                  <w:tcW w:w="1071" w:type="dxa"/>
                  <w:tcBorders>
                    <w:top w:val="single" w:color="auto" w:sz="4" w:space="0"/>
                    <w:bottom w:val="single" w:color="auto" w:sz="12" w:space="0"/>
                  </w:tcBorders>
                  <w:vAlign w:val="center"/>
                </w:tcPr>
                <w:p w14:paraId="1A2B1C13">
                  <w:pPr>
                    <w:jc w:val="center"/>
                  </w:pPr>
                  <w:r>
                    <w:rPr>
                      <w:iCs/>
                    </w:rPr>
                    <w:t>&lt;10</w:t>
                  </w:r>
                </w:p>
              </w:tc>
              <w:tc>
                <w:tcPr>
                  <w:tcW w:w="1071" w:type="dxa"/>
                  <w:tcBorders>
                    <w:top w:val="single" w:color="auto" w:sz="4" w:space="0"/>
                    <w:bottom w:val="single" w:color="auto" w:sz="12" w:space="0"/>
                  </w:tcBorders>
                  <w:vAlign w:val="center"/>
                </w:tcPr>
                <w:p w14:paraId="02E0C8DE">
                  <w:pPr>
                    <w:jc w:val="center"/>
                  </w:pPr>
                  <w:r>
                    <w:rPr>
                      <w:iCs/>
                    </w:rPr>
                    <w:t>&lt;10</w:t>
                  </w:r>
                </w:p>
              </w:tc>
            </w:tr>
          </w:tbl>
          <w:p w14:paraId="3A46EDFC">
            <w:pPr>
              <w:spacing w:line="360" w:lineRule="auto"/>
              <w:ind w:firstLine="482" w:firstLineChars="200"/>
              <w:rPr>
                <w:b/>
                <w:sz w:val="24"/>
                <w:szCs w:val="24"/>
              </w:rPr>
            </w:pPr>
            <w:r>
              <w:rPr>
                <w:b/>
                <w:sz w:val="24"/>
                <w:szCs w:val="24"/>
              </w:rPr>
              <w:t>2）其他污染物现状评价</w:t>
            </w:r>
          </w:p>
          <w:p w14:paraId="4E24A119">
            <w:pPr>
              <w:spacing w:line="360" w:lineRule="auto"/>
              <w:ind w:firstLine="482" w:firstLineChars="200"/>
              <w:rPr>
                <w:b/>
                <w:sz w:val="24"/>
                <w:szCs w:val="24"/>
              </w:rPr>
            </w:pPr>
            <w:r>
              <w:rPr>
                <w:b/>
                <w:sz w:val="24"/>
                <w:szCs w:val="24"/>
              </w:rPr>
              <w:t>①评价因子</w:t>
            </w:r>
          </w:p>
          <w:p w14:paraId="6E450E5A">
            <w:pPr>
              <w:spacing w:line="360" w:lineRule="auto"/>
              <w:ind w:firstLine="480" w:firstLineChars="200"/>
              <w:rPr>
                <w:sz w:val="24"/>
                <w:szCs w:val="24"/>
              </w:rPr>
            </w:pPr>
            <w:r>
              <w:rPr>
                <w:rFonts w:hint="eastAsia"/>
                <w:sz w:val="24"/>
                <w:szCs w:val="24"/>
              </w:rPr>
              <w:t>NH</w:t>
            </w:r>
            <w:r>
              <w:rPr>
                <w:rFonts w:hint="eastAsia"/>
                <w:sz w:val="24"/>
                <w:szCs w:val="24"/>
                <w:vertAlign w:val="subscript"/>
              </w:rPr>
              <w:t>3</w:t>
            </w:r>
            <w:r>
              <w:rPr>
                <w:rFonts w:hint="eastAsia"/>
                <w:sz w:val="24"/>
                <w:szCs w:val="24"/>
              </w:rPr>
              <w:t>、H</w:t>
            </w:r>
            <w:r>
              <w:rPr>
                <w:rFonts w:hint="eastAsia"/>
                <w:sz w:val="24"/>
                <w:szCs w:val="24"/>
                <w:vertAlign w:val="subscript"/>
              </w:rPr>
              <w:t>2</w:t>
            </w:r>
            <w:r>
              <w:rPr>
                <w:rFonts w:hint="eastAsia"/>
                <w:sz w:val="24"/>
                <w:szCs w:val="24"/>
              </w:rPr>
              <w:t>S、臭气浓度</w:t>
            </w:r>
            <w:r>
              <w:rPr>
                <w:sz w:val="24"/>
                <w:szCs w:val="24"/>
              </w:rPr>
              <w:t>。</w:t>
            </w:r>
          </w:p>
          <w:p w14:paraId="6A447D77">
            <w:pPr>
              <w:spacing w:line="360" w:lineRule="auto"/>
              <w:ind w:firstLine="482" w:firstLineChars="200"/>
              <w:rPr>
                <w:b/>
                <w:sz w:val="24"/>
                <w:szCs w:val="24"/>
              </w:rPr>
            </w:pPr>
            <w:r>
              <w:rPr>
                <w:b/>
                <w:sz w:val="24"/>
                <w:szCs w:val="24"/>
              </w:rPr>
              <w:t>②评价标准</w:t>
            </w:r>
          </w:p>
          <w:p w14:paraId="608E3849">
            <w:pPr>
              <w:spacing w:line="360" w:lineRule="auto"/>
              <w:ind w:firstLine="480" w:firstLineChars="200"/>
              <w:rPr>
                <w:sz w:val="24"/>
                <w:szCs w:val="24"/>
              </w:rPr>
            </w:pPr>
            <w:r>
              <w:rPr>
                <w:rFonts w:hint="eastAsia"/>
                <w:sz w:val="24"/>
                <w:szCs w:val="24"/>
              </w:rPr>
              <w:t>NH</w:t>
            </w:r>
            <w:r>
              <w:rPr>
                <w:rFonts w:hint="eastAsia"/>
                <w:sz w:val="24"/>
                <w:szCs w:val="24"/>
                <w:vertAlign w:val="subscript"/>
              </w:rPr>
              <w:t>3</w:t>
            </w:r>
            <w:r>
              <w:rPr>
                <w:rFonts w:hint="eastAsia"/>
                <w:sz w:val="24"/>
                <w:szCs w:val="24"/>
              </w:rPr>
              <w:t>、H</w:t>
            </w:r>
            <w:r>
              <w:rPr>
                <w:rFonts w:hint="eastAsia"/>
                <w:sz w:val="24"/>
                <w:szCs w:val="24"/>
                <w:vertAlign w:val="subscript"/>
              </w:rPr>
              <w:t>2</w:t>
            </w:r>
            <w:r>
              <w:rPr>
                <w:rFonts w:hint="eastAsia"/>
                <w:sz w:val="24"/>
                <w:szCs w:val="24"/>
              </w:rPr>
              <w:t>S</w:t>
            </w:r>
            <w:r>
              <w:rPr>
                <w:sz w:val="24"/>
                <w:szCs w:val="24"/>
              </w:rPr>
              <w:t>执行《环境影响评价技术导则 大气环境》（HJ2.2-2018）附录D</w:t>
            </w:r>
            <w:r>
              <w:rPr>
                <w:rFonts w:hint="eastAsia"/>
                <w:sz w:val="24"/>
                <w:szCs w:val="24"/>
              </w:rPr>
              <w:t>标准限值，臭气浓度执行《恶臭污染物排放标准》（GB14554-93）表1二级标准限值。</w:t>
            </w:r>
          </w:p>
          <w:p w14:paraId="4B12449A">
            <w:pPr>
              <w:spacing w:line="360" w:lineRule="auto"/>
              <w:ind w:firstLine="482" w:firstLineChars="200"/>
              <w:rPr>
                <w:b/>
                <w:sz w:val="24"/>
                <w:szCs w:val="24"/>
              </w:rPr>
            </w:pPr>
            <w:r>
              <w:rPr>
                <w:b/>
                <w:sz w:val="24"/>
                <w:szCs w:val="24"/>
              </w:rPr>
              <w:t>③评价方法</w:t>
            </w:r>
          </w:p>
          <w:p w14:paraId="16DE99FF">
            <w:pPr>
              <w:spacing w:line="360" w:lineRule="auto"/>
              <w:ind w:firstLine="480" w:firstLineChars="200"/>
              <w:rPr>
                <w:rFonts w:eastAsiaTheme="minorEastAsia"/>
                <w:sz w:val="24"/>
                <w:szCs w:val="24"/>
              </w:rPr>
            </w:pPr>
            <w:r>
              <w:rPr>
                <w:sz w:val="24"/>
                <w:szCs w:val="32"/>
                <w:lang w:bidi="ar"/>
              </w:rPr>
              <w:t>本项目分析监测因子监测值占相应标准的占标率，公式为</w:t>
            </w:r>
            <w:r>
              <w:rPr>
                <w:rFonts w:eastAsiaTheme="minorEastAsia"/>
                <w:sz w:val="24"/>
                <w:szCs w:val="24"/>
              </w:rPr>
              <w:t>：</w:t>
            </w:r>
          </w:p>
          <w:p w14:paraId="74C67B23">
            <w:pPr>
              <w:spacing w:line="360" w:lineRule="auto"/>
              <w:jc w:val="center"/>
              <w:rPr>
                <w:rFonts w:eastAsiaTheme="minorEastAsia"/>
                <w:sz w:val="24"/>
                <w:szCs w:val="24"/>
              </w:rPr>
            </w:pPr>
            <w:r>
              <w:rPr>
                <w:rFonts w:eastAsiaTheme="minorEastAsia"/>
                <w:sz w:val="24"/>
                <w:szCs w:val="24"/>
              </w:rPr>
              <w:t>P</w:t>
            </w:r>
            <w:r>
              <w:rPr>
                <w:rFonts w:eastAsiaTheme="minorEastAsia"/>
                <w:sz w:val="24"/>
                <w:szCs w:val="24"/>
                <w:vertAlign w:val="subscript"/>
              </w:rPr>
              <w:t>i</w:t>
            </w:r>
            <w:r>
              <w:rPr>
                <w:rFonts w:eastAsiaTheme="minorEastAsia"/>
                <w:sz w:val="24"/>
                <w:szCs w:val="24"/>
              </w:rPr>
              <w:t>=C</w:t>
            </w:r>
            <w:r>
              <w:rPr>
                <w:rFonts w:eastAsiaTheme="minorEastAsia"/>
                <w:sz w:val="24"/>
                <w:szCs w:val="24"/>
                <w:vertAlign w:val="subscript"/>
              </w:rPr>
              <w:t>i</w:t>
            </w:r>
            <w:r>
              <w:rPr>
                <w:rFonts w:eastAsiaTheme="minorEastAsia"/>
                <w:sz w:val="24"/>
                <w:szCs w:val="24"/>
              </w:rPr>
              <w:t>/C</w:t>
            </w:r>
            <w:r>
              <w:rPr>
                <w:rFonts w:eastAsiaTheme="minorEastAsia"/>
                <w:sz w:val="24"/>
                <w:szCs w:val="24"/>
                <w:vertAlign w:val="subscript"/>
              </w:rPr>
              <w:t>0i</w:t>
            </w:r>
            <w:r>
              <w:rPr>
                <w:rFonts w:eastAsiaTheme="minorEastAsia"/>
                <w:sz w:val="24"/>
                <w:szCs w:val="24"/>
              </w:rPr>
              <w:t>×100%</w:t>
            </w:r>
          </w:p>
          <w:p w14:paraId="7D6EF40F">
            <w:pPr>
              <w:spacing w:line="360" w:lineRule="auto"/>
              <w:jc w:val="left"/>
              <w:rPr>
                <w:rFonts w:eastAsiaTheme="minorEastAsia"/>
                <w:sz w:val="24"/>
                <w:szCs w:val="24"/>
              </w:rPr>
            </w:pPr>
            <w:r>
              <w:rPr>
                <w:rFonts w:eastAsiaTheme="minorEastAsia"/>
                <w:sz w:val="24"/>
                <w:szCs w:val="24"/>
              </w:rPr>
              <w:t xml:space="preserve">  </w:t>
            </w:r>
            <w:r>
              <w:rPr>
                <w:rFonts w:hint="eastAsia" w:eastAsiaTheme="minorEastAsia"/>
                <w:sz w:val="24"/>
                <w:szCs w:val="24"/>
              </w:rPr>
              <w:t xml:space="preserve">  </w:t>
            </w:r>
            <w:r>
              <w:rPr>
                <w:rFonts w:eastAsiaTheme="minorEastAsia"/>
                <w:sz w:val="24"/>
                <w:szCs w:val="24"/>
              </w:rPr>
              <w:t>式中，P</w:t>
            </w:r>
            <w:r>
              <w:rPr>
                <w:rFonts w:eastAsiaTheme="minorEastAsia"/>
                <w:sz w:val="24"/>
                <w:szCs w:val="24"/>
                <w:vertAlign w:val="subscript"/>
              </w:rPr>
              <w:t>i</w:t>
            </w:r>
            <w:r>
              <w:rPr>
                <w:rFonts w:eastAsiaTheme="minorEastAsia"/>
                <w:sz w:val="24"/>
                <w:szCs w:val="24"/>
              </w:rPr>
              <w:t xml:space="preserve"> ——第i种污染物的最大地面浓度占标率；</w:t>
            </w:r>
          </w:p>
          <w:p w14:paraId="2495D784">
            <w:pPr>
              <w:spacing w:line="360" w:lineRule="auto"/>
              <w:jc w:val="left"/>
              <w:rPr>
                <w:rFonts w:eastAsiaTheme="minorEastAsia"/>
                <w:sz w:val="24"/>
                <w:szCs w:val="24"/>
              </w:rPr>
            </w:pPr>
            <w:r>
              <w:rPr>
                <w:rFonts w:eastAsiaTheme="minorEastAsia"/>
                <w:sz w:val="24"/>
                <w:szCs w:val="24"/>
              </w:rPr>
              <w:t xml:space="preserve">         C</w:t>
            </w:r>
            <w:r>
              <w:rPr>
                <w:rFonts w:eastAsiaTheme="minorEastAsia"/>
                <w:sz w:val="24"/>
                <w:szCs w:val="24"/>
                <w:vertAlign w:val="subscript"/>
              </w:rPr>
              <w:t xml:space="preserve">i </w:t>
            </w:r>
            <w:r>
              <w:rPr>
                <w:rFonts w:eastAsiaTheme="minorEastAsia"/>
                <w:sz w:val="24"/>
                <w:szCs w:val="24"/>
              </w:rPr>
              <w:t>——第i种污染物的最大地面浓度，mg/m</w:t>
            </w:r>
            <w:r>
              <w:rPr>
                <w:rFonts w:eastAsiaTheme="minorEastAsia"/>
                <w:sz w:val="24"/>
                <w:szCs w:val="24"/>
                <w:vertAlign w:val="superscript"/>
              </w:rPr>
              <w:t>3</w:t>
            </w:r>
            <w:r>
              <w:rPr>
                <w:rFonts w:eastAsiaTheme="minorEastAsia"/>
                <w:sz w:val="24"/>
                <w:szCs w:val="24"/>
              </w:rPr>
              <w:t>；</w:t>
            </w:r>
          </w:p>
          <w:p w14:paraId="2379A45E">
            <w:pPr>
              <w:spacing w:line="360" w:lineRule="auto"/>
              <w:jc w:val="left"/>
              <w:rPr>
                <w:rFonts w:eastAsiaTheme="minorEastAsia"/>
                <w:sz w:val="24"/>
                <w:szCs w:val="24"/>
              </w:rPr>
            </w:pPr>
            <w:r>
              <w:rPr>
                <w:rFonts w:eastAsiaTheme="minorEastAsia"/>
                <w:sz w:val="24"/>
                <w:szCs w:val="24"/>
              </w:rPr>
              <w:t xml:space="preserve">         C</w:t>
            </w:r>
            <w:r>
              <w:rPr>
                <w:rFonts w:eastAsiaTheme="minorEastAsia"/>
                <w:sz w:val="24"/>
                <w:szCs w:val="24"/>
                <w:vertAlign w:val="subscript"/>
              </w:rPr>
              <w:t xml:space="preserve">0i </w:t>
            </w:r>
            <w:r>
              <w:rPr>
                <w:rFonts w:eastAsiaTheme="minorEastAsia"/>
                <w:sz w:val="24"/>
                <w:szCs w:val="24"/>
              </w:rPr>
              <w:t>——第i种污染物的环境空气质量标准，mg/m</w:t>
            </w:r>
            <w:r>
              <w:rPr>
                <w:rFonts w:eastAsiaTheme="minorEastAsia"/>
                <w:sz w:val="24"/>
                <w:szCs w:val="24"/>
                <w:vertAlign w:val="superscript"/>
              </w:rPr>
              <w:t>3</w:t>
            </w:r>
            <w:r>
              <w:rPr>
                <w:rFonts w:eastAsiaTheme="minorEastAsia"/>
                <w:sz w:val="24"/>
                <w:szCs w:val="24"/>
              </w:rPr>
              <w:t>。</w:t>
            </w:r>
          </w:p>
          <w:p w14:paraId="0CA37395">
            <w:pPr>
              <w:spacing w:line="360" w:lineRule="auto"/>
              <w:ind w:firstLine="480" w:firstLineChars="200"/>
              <w:jc w:val="left"/>
              <w:rPr>
                <w:rFonts w:eastAsiaTheme="minorEastAsia"/>
                <w:sz w:val="24"/>
                <w:szCs w:val="24"/>
              </w:rPr>
            </w:pPr>
            <w:r>
              <w:rPr>
                <w:rFonts w:eastAsiaTheme="minorEastAsia"/>
                <w:sz w:val="24"/>
                <w:szCs w:val="24"/>
              </w:rPr>
              <w:t>当Pi值大于1.0时，表明大气环境已受到该项评价因子所表征的污染物的污染。Pi值越大，受污染程度越重；Pi值越小，受污染程度越轻。</w:t>
            </w:r>
          </w:p>
          <w:p w14:paraId="7595CEE7">
            <w:pPr>
              <w:spacing w:line="360" w:lineRule="auto"/>
              <w:ind w:firstLine="482" w:firstLineChars="200"/>
              <w:rPr>
                <w:b/>
                <w:sz w:val="24"/>
                <w:szCs w:val="24"/>
              </w:rPr>
            </w:pPr>
            <w:r>
              <w:rPr>
                <w:b/>
                <w:sz w:val="24"/>
                <w:szCs w:val="24"/>
              </w:rPr>
              <w:t>④评价结果</w:t>
            </w:r>
          </w:p>
          <w:p w14:paraId="0F2F6177">
            <w:pPr>
              <w:spacing w:line="360" w:lineRule="auto"/>
              <w:ind w:firstLine="480" w:firstLineChars="200"/>
              <w:rPr>
                <w:sz w:val="24"/>
                <w:szCs w:val="24"/>
              </w:rPr>
            </w:pPr>
            <w:r>
              <w:rPr>
                <w:sz w:val="24"/>
                <w:szCs w:val="24"/>
              </w:rPr>
              <w:t>区域环境空气其他污染物现状评价结果见表3-3。</w:t>
            </w:r>
          </w:p>
          <w:p w14:paraId="27BADB4A">
            <w:pPr>
              <w:spacing w:line="360" w:lineRule="auto"/>
              <w:jc w:val="center"/>
              <w:rPr>
                <w:b/>
                <w:bCs/>
                <w:sz w:val="24"/>
                <w:szCs w:val="24"/>
              </w:rPr>
            </w:pPr>
            <w:r>
              <w:rPr>
                <w:b/>
                <w:bCs/>
                <w:sz w:val="24"/>
                <w:szCs w:val="24"/>
              </w:rPr>
              <w:t>表3-3</w:t>
            </w:r>
            <w:r>
              <w:rPr>
                <w:rFonts w:hint="eastAsia"/>
                <w:b/>
                <w:bCs/>
                <w:sz w:val="24"/>
                <w:szCs w:val="24"/>
              </w:rPr>
              <w:t xml:space="preserve"> </w:t>
            </w:r>
            <w:r>
              <w:rPr>
                <w:b/>
                <w:bCs/>
                <w:sz w:val="24"/>
                <w:szCs w:val="24"/>
              </w:rPr>
              <w:t>其他污染物现状评价结果</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32"/>
              <w:gridCol w:w="1255"/>
              <w:gridCol w:w="1699"/>
              <w:gridCol w:w="1542"/>
              <w:gridCol w:w="1076"/>
              <w:gridCol w:w="1162"/>
            </w:tblGrid>
            <w:tr w14:paraId="10C15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54" w:type="pct"/>
                  <w:tcBorders>
                    <w:tl2br w:val="nil"/>
                    <w:tr2bl w:val="nil"/>
                  </w:tcBorders>
                  <w:vAlign w:val="center"/>
                </w:tcPr>
                <w:p w14:paraId="467B5D2E">
                  <w:pPr>
                    <w:jc w:val="center"/>
                    <w:rPr>
                      <w:b/>
                      <w:bCs/>
                    </w:rPr>
                  </w:pPr>
                  <w:r>
                    <w:rPr>
                      <w:b/>
                      <w:bCs/>
                    </w:rPr>
                    <w:t>污染物</w:t>
                  </w:r>
                </w:p>
              </w:tc>
              <w:tc>
                <w:tcPr>
                  <w:tcW w:w="625" w:type="pct"/>
                  <w:tcBorders>
                    <w:tl2br w:val="nil"/>
                    <w:tr2bl w:val="nil"/>
                  </w:tcBorders>
                  <w:vAlign w:val="center"/>
                </w:tcPr>
                <w:p w14:paraId="05B28981">
                  <w:pPr>
                    <w:jc w:val="center"/>
                    <w:rPr>
                      <w:b/>
                      <w:bCs/>
                    </w:rPr>
                  </w:pPr>
                  <w:r>
                    <w:rPr>
                      <w:b/>
                      <w:bCs/>
                    </w:rPr>
                    <w:t>平均时间</w:t>
                  </w:r>
                </w:p>
              </w:tc>
              <w:tc>
                <w:tcPr>
                  <w:tcW w:w="693" w:type="pct"/>
                  <w:tcBorders>
                    <w:tl2br w:val="nil"/>
                    <w:tr2bl w:val="nil"/>
                  </w:tcBorders>
                  <w:vAlign w:val="center"/>
                </w:tcPr>
                <w:p w14:paraId="2D51BA89">
                  <w:pPr>
                    <w:jc w:val="center"/>
                    <w:rPr>
                      <w:b/>
                      <w:bCs/>
                    </w:rPr>
                  </w:pPr>
                  <w:r>
                    <w:rPr>
                      <w:b/>
                      <w:bCs/>
                    </w:rPr>
                    <w:t>评价标准（mg/m</w:t>
                  </w:r>
                  <w:r>
                    <w:rPr>
                      <w:b/>
                      <w:bCs/>
                      <w:vertAlign w:val="superscript"/>
                    </w:rPr>
                    <w:t>3</w:t>
                  </w:r>
                  <w:r>
                    <w:rPr>
                      <w:b/>
                      <w:bCs/>
                    </w:rPr>
                    <w:t>）</w:t>
                  </w:r>
                </w:p>
              </w:tc>
              <w:tc>
                <w:tcPr>
                  <w:tcW w:w="938" w:type="pct"/>
                  <w:tcBorders>
                    <w:tl2br w:val="nil"/>
                    <w:tr2bl w:val="nil"/>
                  </w:tcBorders>
                  <w:vAlign w:val="center"/>
                </w:tcPr>
                <w:p w14:paraId="336DD4BD">
                  <w:pPr>
                    <w:jc w:val="center"/>
                    <w:rPr>
                      <w:b/>
                      <w:bCs/>
                    </w:rPr>
                  </w:pPr>
                  <w:r>
                    <w:rPr>
                      <w:b/>
                      <w:bCs/>
                    </w:rPr>
                    <w:t>监测浓度范围（mg/m</w:t>
                  </w:r>
                  <w:r>
                    <w:rPr>
                      <w:b/>
                      <w:bCs/>
                      <w:vertAlign w:val="superscript"/>
                    </w:rPr>
                    <w:t>3</w:t>
                  </w:r>
                  <w:r>
                    <w:rPr>
                      <w:b/>
                      <w:bCs/>
                    </w:rPr>
                    <w:t>）</w:t>
                  </w:r>
                </w:p>
              </w:tc>
              <w:tc>
                <w:tcPr>
                  <w:tcW w:w="851" w:type="pct"/>
                  <w:tcBorders>
                    <w:tl2br w:val="nil"/>
                    <w:tr2bl w:val="nil"/>
                  </w:tcBorders>
                  <w:vAlign w:val="center"/>
                </w:tcPr>
                <w:p w14:paraId="17872EA1">
                  <w:pPr>
                    <w:jc w:val="center"/>
                    <w:rPr>
                      <w:b/>
                      <w:bCs/>
                    </w:rPr>
                  </w:pPr>
                  <w:r>
                    <w:rPr>
                      <w:b/>
                      <w:bCs/>
                    </w:rPr>
                    <w:t>最大浓度占标率（%）</w:t>
                  </w:r>
                </w:p>
              </w:tc>
              <w:tc>
                <w:tcPr>
                  <w:tcW w:w="594" w:type="pct"/>
                  <w:tcBorders>
                    <w:tl2br w:val="nil"/>
                    <w:tr2bl w:val="nil"/>
                  </w:tcBorders>
                  <w:vAlign w:val="center"/>
                </w:tcPr>
                <w:p w14:paraId="38149368">
                  <w:pPr>
                    <w:jc w:val="center"/>
                    <w:rPr>
                      <w:b/>
                      <w:bCs/>
                    </w:rPr>
                  </w:pPr>
                  <w:r>
                    <w:rPr>
                      <w:b/>
                      <w:bCs/>
                    </w:rPr>
                    <w:t>超标率（%）</w:t>
                  </w:r>
                </w:p>
              </w:tc>
              <w:tc>
                <w:tcPr>
                  <w:tcW w:w="641" w:type="pct"/>
                  <w:tcBorders>
                    <w:tl2br w:val="nil"/>
                    <w:tr2bl w:val="nil"/>
                  </w:tcBorders>
                  <w:vAlign w:val="center"/>
                </w:tcPr>
                <w:p w14:paraId="0867CA1C">
                  <w:pPr>
                    <w:jc w:val="center"/>
                    <w:rPr>
                      <w:b/>
                      <w:bCs/>
                    </w:rPr>
                  </w:pPr>
                  <w:r>
                    <w:rPr>
                      <w:b/>
                      <w:bCs/>
                    </w:rPr>
                    <w:t>达标情况</w:t>
                  </w:r>
                </w:p>
              </w:tc>
            </w:tr>
            <w:tr w14:paraId="1485D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vAlign w:val="center"/>
                </w:tcPr>
                <w:p w14:paraId="64815EF9">
                  <w:pPr>
                    <w:jc w:val="center"/>
                  </w:pPr>
                  <w:r>
                    <w:t>NH</w:t>
                  </w:r>
                  <w:r>
                    <w:rPr>
                      <w:vertAlign w:val="subscript"/>
                    </w:rPr>
                    <w:t>3</w:t>
                  </w:r>
                </w:p>
              </w:tc>
              <w:tc>
                <w:tcPr>
                  <w:tcW w:w="625" w:type="pct"/>
                  <w:tcBorders>
                    <w:tl2br w:val="nil"/>
                    <w:tr2bl w:val="nil"/>
                  </w:tcBorders>
                  <w:vAlign w:val="center"/>
                </w:tcPr>
                <w:p w14:paraId="522552D8">
                  <w:pPr>
                    <w:jc w:val="center"/>
                  </w:pPr>
                  <w:r>
                    <w:rPr>
                      <w:rFonts w:hint="eastAsia"/>
                    </w:rPr>
                    <w:t>1</w:t>
                  </w:r>
                  <w:r>
                    <w:t>h平均</w:t>
                  </w:r>
                </w:p>
              </w:tc>
              <w:tc>
                <w:tcPr>
                  <w:tcW w:w="693" w:type="pct"/>
                  <w:tcBorders>
                    <w:tl2br w:val="nil"/>
                    <w:tr2bl w:val="nil"/>
                  </w:tcBorders>
                  <w:vAlign w:val="center"/>
                </w:tcPr>
                <w:p w14:paraId="7CE800E1">
                  <w:pPr>
                    <w:jc w:val="center"/>
                  </w:pPr>
                  <w:r>
                    <w:rPr>
                      <w:rFonts w:hint="eastAsia"/>
                    </w:rPr>
                    <w:t>0.2</w:t>
                  </w:r>
                </w:p>
              </w:tc>
              <w:tc>
                <w:tcPr>
                  <w:tcW w:w="938" w:type="pct"/>
                  <w:tcBorders>
                    <w:tl2br w:val="nil"/>
                    <w:tr2bl w:val="nil"/>
                  </w:tcBorders>
                  <w:vAlign w:val="center"/>
                </w:tcPr>
                <w:p w14:paraId="6B76C4D3">
                  <w:pPr>
                    <w:jc w:val="center"/>
                  </w:pPr>
                  <w:r>
                    <w:rPr>
                      <w:rFonts w:hint="eastAsia"/>
                    </w:rPr>
                    <w:t>0.08~0.14</w:t>
                  </w:r>
                </w:p>
              </w:tc>
              <w:tc>
                <w:tcPr>
                  <w:tcW w:w="851" w:type="pct"/>
                  <w:tcBorders>
                    <w:tl2br w:val="nil"/>
                    <w:tr2bl w:val="nil"/>
                  </w:tcBorders>
                  <w:vAlign w:val="center"/>
                </w:tcPr>
                <w:p w14:paraId="4669D40E">
                  <w:pPr>
                    <w:jc w:val="center"/>
                  </w:pPr>
                  <w:r>
                    <w:rPr>
                      <w:rFonts w:hint="eastAsia"/>
                    </w:rPr>
                    <w:t>70</w:t>
                  </w:r>
                </w:p>
              </w:tc>
              <w:tc>
                <w:tcPr>
                  <w:tcW w:w="594" w:type="pct"/>
                  <w:tcBorders>
                    <w:tl2br w:val="nil"/>
                    <w:tr2bl w:val="nil"/>
                  </w:tcBorders>
                  <w:vAlign w:val="center"/>
                </w:tcPr>
                <w:p w14:paraId="64F8EB3C">
                  <w:pPr>
                    <w:jc w:val="center"/>
                  </w:pPr>
                  <w:r>
                    <w:t>0</w:t>
                  </w:r>
                </w:p>
              </w:tc>
              <w:tc>
                <w:tcPr>
                  <w:tcW w:w="641" w:type="pct"/>
                  <w:tcBorders>
                    <w:tl2br w:val="nil"/>
                    <w:tr2bl w:val="nil"/>
                  </w:tcBorders>
                  <w:vAlign w:val="center"/>
                </w:tcPr>
                <w:p w14:paraId="3C6547F2">
                  <w:pPr>
                    <w:jc w:val="center"/>
                  </w:pPr>
                  <w:r>
                    <w:t>达标</w:t>
                  </w:r>
                </w:p>
              </w:tc>
            </w:tr>
            <w:tr w14:paraId="743DF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vAlign w:val="center"/>
                </w:tcPr>
                <w:p w14:paraId="6EC95698">
                  <w:pPr>
                    <w:jc w:val="center"/>
                  </w:pPr>
                  <w:r>
                    <w:t>H</w:t>
                  </w:r>
                  <w:r>
                    <w:rPr>
                      <w:vertAlign w:val="subscript"/>
                    </w:rPr>
                    <w:t>2</w:t>
                  </w:r>
                  <w:r>
                    <w:t>S</w:t>
                  </w:r>
                </w:p>
              </w:tc>
              <w:tc>
                <w:tcPr>
                  <w:tcW w:w="625" w:type="pct"/>
                  <w:tcBorders>
                    <w:tl2br w:val="nil"/>
                    <w:tr2bl w:val="nil"/>
                  </w:tcBorders>
                  <w:vAlign w:val="center"/>
                </w:tcPr>
                <w:p w14:paraId="3D0C03A0">
                  <w:pPr>
                    <w:jc w:val="center"/>
                  </w:pPr>
                  <w:r>
                    <w:rPr>
                      <w:rFonts w:hint="eastAsia"/>
                    </w:rPr>
                    <w:t>1</w:t>
                  </w:r>
                  <w:r>
                    <w:t>h平均</w:t>
                  </w:r>
                </w:p>
              </w:tc>
              <w:tc>
                <w:tcPr>
                  <w:tcW w:w="693" w:type="pct"/>
                  <w:tcBorders>
                    <w:tl2br w:val="nil"/>
                    <w:tr2bl w:val="nil"/>
                  </w:tcBorders>
                  <w:vAlign w:val="center"/>
                </w:tcPr>
                <w:p w14:paraId="10F3D517">
                  <w:pPr>
                    <w:jc w:val="center"/>
                  </w:pPr>
                  <w:r>
                    <w:rPr>
                      <w:rFonts w:hint="eastAsia"/>
                    </w:rPr>
                    <w:t>0.01</w:t>
                  </w:r>
                </w:p>
              </w:tc>
              <w:tc>
                <w:tcPr>
                  <w:tcW w:w="938" w:type="pct"/>
                  <w:tcBorders>
                    <w:tl2br w:val="nil"/>
                    <w:tr2bl w:val="nil"/>
                  </w:tcBorders>
                  <w:vAlign w:val="center"/>
                </w:tcPr>
                <w:p w14:paraId="75427D2A">
                  <w:pPr>
                    <w:jc w:val="center"/>
                  </w:pPr>
                  <w:r>
                    <w:rPr>
                      <w:rFonts w:hint="eastAsia"/>
                    </w:rPr>
                    <w:t>未检出</w:t>
                  </w:r>
                </w:p>
              </w:tc>
              <w:tc>
                <w:tcPr>
                  <w:tcW w:w="851" w:type="pct"/>
                  <w:tcBorders>
                    <w:tl2br w:val="nil"/>
                    <w:tr2bl w:val="nil"/>
                  </w:tcBorders>
                  <w:vAlign w:val="center"/>
                </w:tcPr>
                <w:p w14:paraId="12C89BBD">
                  <w:pPr>
                    <w:jc w:val="center"/>
                  </w:pPr>
                  <w:r>
                    <w:rPr>
                      <w:rFonts w:hint="eastAsia"/>
                    </w:rPr>
                    <w:t>0</w:t>
                  </w:r>
                </w:p>
              </w:tc>
              <w:tc>
                <w:tcPr>
                  <w:tcW w:w="594" w:type="pct"/>
                  <w:tcBorders>
                    <w:tl2br w:val="nil"/>
                    <w:tr2bl w:val="nil"/>
                  </w:tcBorders>
                  <w:vAlign w:val="center"/>
                </w:tcPr>
                <w:p w14:paraId="350B4F4B">
                  <w:pPr>
                    <w:jc w:val="center"/>
                  </w:pPr>
                  <w:r>
                    <w:t>0</w:t>
                  </w:r>
                </w:p>
              </w:tc>
              <w:tc>
                <w:tcPr>
                  <w:tcW w:w="641" w:type="pct"/>
                  <w:tcBorders>
                    <w:tl2br w:val="nil"/>
                    <w:tr2bl w:val="nil"/>
                  </w:tcBorders>
                  <w:vAlign w:val="center"/>
                </w:tcPr>
                <w:p w14:paraId="0DEDBB7A">
                  <w:pPr>
                    <w:jc w:val="center"/>
                  </w:pPr>
                  <w:r>
                    <w:t>达标</w:t>
                  </w:r>
                </w:p>
              </w:tc>
            </w:tr>
            <w:tr w14:paraId="06F3C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4" w:type="pct"/>
                  <w:tcBorders>
                    <w:tl2br w:val="nil"/>
                    <w:tr2bl w:val="nil"/>
                  </w:tcBorders>
                  <w:vAlign w:val="center"/>
                </w:tcPr>
                <w:p w14:paraId="0881CD79">
                  <w:pPr>
                    <w:jc w:val="center"/>
                  </w:pPr>
                  <w:r>
                    <w:rPr>
                      <w:rFonts w:hint="eastAsia"/>
                    </w:rPr>
                    <w:t>臭气浓度</w:t>
                  </w:r>
                </w:p>
              </w:tc>
              <w:tc>
                <w:tcPr>
                  <w:tcW w:w="625" w:type="pct"/>
                  <w:tcBorders>
                    <w:tl2br w:val="nil"/>
                    <w:tr2bl w:val="nil"/>
                  </w:tcBorders>
                  <w:vAlign w:val="center"/>
                </w:tcPr>
                <w:p w14:paraId="76B446A3">
                  <w:pPr>
                    <w:jc w:val="center"/>
                  </w:pPr>
                  <w:r>
                    <w:rPr>
                      <w:rFonts w:hint="eastAsia"/>
                    </w:rPr>
                    <w:t>1</w:t>
                  </w:r>
                  <w:r>
                    <w:t>h平均</w:t>
                  </w:r>
                </w:p>
              </w:tc>
              <w:tc>
                <w:tcPr>
                  <w:tcW w:w="693" w:type="pct"/>
                  <w:tcBorders>
                    <w:tl2br w:val="nil"/>
                    <w:tr2bl w:val="nil"/>
                  </w:tcBorders>
                  <w:vAlign w:val="center"/>
                </w:tcPr>
                <w:p w14:paraId="7D06D771">
                  <w:pPr>
                    <w:jc w:val="center"/>
                  </w:pPr>
                  <w:r>
                    <w:rPr>
                      <w:rFonts w:hint="eastAsia"/>
                    </w:rPr>
                    <w:t>20</w:t>
                  </w:r>
                </w:p>
              </w:tc>
              <w:tc>
                <w:tcPr>
                  <w:tcW w:w="938" w:type="pct"/>
                  <w:tcBorders>
                    <w:tl2br w:val="nil"/>
                    <w:tr2bl w:val="nil"/>
                  </w:tcBorders>
                  <w:vAlign w:val="center"/>
                </w:tcPr>
                <w:p w14:paraId="0A84108D">
                  <w:pPr>
                    <w:jc w:val="center"/>
                  </w:pPr>
                  <w:r>
                    <w:rPr>
                      <w:iCs/>
                    </w:rPr>
                    <w:t>&lt;10</w:t>
                  </w:r>
                </w:p>
              </w:tc>
              <w:tc>
                <w:tcPr>
                  <w:tcW w:w="851" w:type="pct"/>
                  <w:tcBorders>
                    <w:tl2br w:val="nil"/>
                    <w:tr2bl w:val="nil"/>
                  </w:tcBorders>
                  <w:vAlign w:val="center"/>
                </w:tcPr>
                <w:p w14:paraId="077BA680">
                  <w:pPr>
                    <w:jc w:val="center"/>
                  </w:pPr>
                  <w:r>
                    <w:rPr>
                      <w:rFonts w:hint="eastAsia"/>
                    </w:rPr>
                    <w:t>25</w:t>
                  </w:r>
                </w:p>
              </w:tc>
              <w:tc>
                <w:tcPr>
                  <w:tcW w:w="594" w:type="pct"/>
                  <w:tcBorders>
                    <w:tl2br w:val="nil"/>
                    <w:tr2bl w:val="nil"/>
                  </w:tcBorders>
                  <w:shd w:val="clear" w:color="auto" w:fill="auto"/>
                  <w:vAlign w:val="center"/>
                </w:tcPr>
                <w:p w14:paraId="2DAF3599">
                  <w:pPr>
                    <w:jc w:val="center"/>
                  </w:pPr>
                  <w:r>
                    <w:t>0</w:t>
                  </w:r>
                </w:p>
              </w:tc>
              <w:tc>
                <w:tcPr>
                  <w:tcW w:w="641" w:type="pct"/>
                  <w:tcBorders>
                    <w:tl2br w:val="nil"/>
                    <w:tr2bl w:val="nil"/>
                  </w:tcBorders>
                  <w:shd w:val="clear" w:color="auto" w:fill="auto"/>
                  <w:vAlign w:val="center"/>
                </w:tcPr>
                <w:p w14:paraId="35A7F1CB">
                  <w:pPr>
                    <w:jc w:val="center"/>
                  </w:pPr>
                  <w:r>
                    <w:t>达标</w:t>
                  </w:r>
                </w:p>
              </w:tc>
            </w:tr>
          </w:tbl>
          <w:p w14:paraId="527DFAB1">
            <w:pPr>
              <w:spacing w:line="360" w:lineRule="auto"/>
              <w:ind w:firstLine="480" w:firstLineChars="200"/>
              <w:rPr>
                <w:sz w:val="24"/>
                <w:szCs w:val="24"/>
              </w:rPr>
            </w:pPr>
            <w:r>
              <w:rPr>
                <w:sz w:val="24"/>
                <w:szCs w:val="24"/>
              </w:rPr>
              <w:t>结果表明，现状监测期间，评价区域环境空气中H</w:t>
            </w:r>
            <w:r>
              <w:rPr>
                <w:sz w:val="24"/>
                <w:szCs w:val="24"/>
                <w:vertAlign w:val="subscript"/>
              </w:rPr>
              <w:t>2</w:t>
            </w:r>
            <w:r>
              <w:rPr>
                <w:sz w:val="24"/>
                <w:szCs w:val="24"/>
              </w:rPr>
              <w:t>S、NH</w:t>
            </w:r>
            <w:r>
              <w:rPr>
                <w:sz w:val="24"/>
                <w:szCs w:val="24"/>
                <w:vertAlign w:val="subscript"/>
              </w:rPr>
              <w:t>3</w:t>
            </w:r>
            <w:r>
              <w:rPr>
                <w:sz w:val="24"/>
                <w:szCs w:val="24"/>
              </w:rPr>
              <w:t>满足《环境影响评价技术导则 大气环境》（HJ2.2-2018）附录D中的浓度限值标准要求</w:t>
            </w:r>
            <w:r>
              <w:rPr>
                <w:rFonts w:hint="eastAsia"/>
                <w:sz w:val="24"/>
                <w:szCs w:val="24"/>
              </w:rPr>
              <w:t>，臭气浓度满足《恶臭污染物排放标准》（GB14554-93）表1二级标准限值要求</w:t>
            </w:r>
            <w:r>
              <w:rPr>
                <w:sz w:val="24"/>
                <w:szCs w:val="24"/>
              </w:rPr>
              <w:t>。</w:t>
            </w:r>
          </w:p>
          <w:p w14:paraId="46072879">
            <w:pPr>
              <w:spacing w:line="360" w:lineRule="auto"/>
              <w:ind w:firstLine="482" w:firstLineChars="200"/>
              <w:rPr>
                <w:b/>
                <w:sz w:val="24"/>
                <w:szCs w:val="24"/>
              </w:rPr>
            </w:pPr>
            <w:r>
              <w:rPr>
                <w:rFonts w:hint="eastAsia"/>
                <w:b/>
                <w:sz w:val="24"/>
                <w:szCs w:val="24"/>
              </w:rPr>
              <w:t>2、</w:t>
            </w:r>
            <w:r>
              <w:rPr>
                <w:b/>
                <w:sz w:val="24"/>
                <w:szCs w:val="24"/>
              </w:rPr>
              <w:t>地表水环境质量现状</w:t>
            </w:r>
          </w:p>
          <w:p w14:paraId="1BA8916F">
            <w:pPr>
              <w:spacing w:line="360" w:lineRule="auto"/>
              <w:ind w:firstLine="480" w:firstLineChars="200"/>
              <w:jc w:val="left"/>
              <w:rPr>
                <w:sz w:val="24"/>
                <w:szCs w:val="24"/>
              </w:rPr>
            </w:pPr>
            <w:r>
              <w:rPr>
                <w:sz w:val="24"/>
                <w:szCs w:val="24"/>
              </w:rPr>
              <w:t>本项目区域河流为州河水系。根据《建设项目环境影响报告表编制技术指南（污染影响类）（试行）》中“</w:t>
            </w:r>
            <w:r>
              <w:rPr>
                <w:i/>
                <w:sz w:val="24"/>
                <w:szCs w:val="24"/>
              </w:rPr>
              <w:t>应优先采用国务院生态环境保护主管部门统一发布的水环境状况信息</w:t>
            </w:r>
            <w:r>
              <w:rPr>
                <w:sz w:val="24"/>
                <w:szCs w:val="24"/>
              </w:rPr>
              <w:t>”的规定，根据达州市生态环境局202</w:t>
            </w:r>
            <w:r>
              <w:rPr>
                <w:rFonts w:hint="eastAsia"/>
                <w:sz w:val="24"/>
                <w:szCs w:val="24"/>
              </w:rPr>
              <w:t>4</w:t>
            </w:r>
            <w:r>
              <w:rPr>
                <w:sz w:val="24"/>
                <w:szCs w:val="24"/>
              </w:rPr>
              <w:t>年</w:t>
            </w:r>
            <w:r>
              <w:rPr>
                <w:rFonts w:hint="eastAsia"/>
                <w:sz w:val="24"/>
                <w:szCs w:val="24"/>
              </w:rPr>
              <w:t>6</w:t>
            </w:r>
            <w:r>
              <w:rPr>
                <w:sz w:val="24"/>
                <w:szCs w:val="24"/>
              </w:rPr>
              <w:t>月</w:t>
            </w:r>
            <w:r>
              <w:rPr>
                <w:rFonts w:hint="eastAsia"/>
                <w:sz w:val="24"/>
                <w:szCs w:val="24"/>
              </w:rPr>
              <w:t>7</w:t>
            </w:r>
            <w:r>
              <w:rPr>
                <w:sz w:val="24"/>
                <w:szCs w:val="24"/>
              </w:rPr>
              <w:t>日发布的202</w:t>
            </w:r>
            <w:r>
              <w:rPr>
                <w:rFonts w:hint="eastAsia"/>
                <w:sz w:val="24"/>
                <w:szCs w:val="24"/>
              </w:rPr>
              <w:t>4</w:t>
            </w:r>
            <w:r>
              <w:rPr>
                <w:sz w:val="24"/>
                <w:szCs w:val="24"/>
              </w:rPr>
              <w:t>年</w:t>
            </w:r>
            <w:r>
              <w:rPr>
                <w:rFonts w:hint="eastAsia"/>
                <w:sz w:val="24"/>
                <w:szCs w:val="24"/>
              </w:rPr>
              <w:t>5</w:t>
            </w:r>
            <w:r>
              <w:rPr>
                <w:sz w:val="24"/>
                <w:szCs w:val="24"/>
              </w:rPr>
              <w:t>月达州市地表水水质月报：</w:t>
            </w:r>
          </w:p>
          <w:p w14:paraId="2CE0233F">
            <w:pPr>
              <w:spacing w:line="360" w:lineRule="auto"/>
              <w:ind w:firstLine="480" w:firstLineChars="200"/>
              <w:rPr>
                <w:sz w:val="24"/>
                <w:szCs w:val="24"/>
              </w:rPr>
            </w:pPr>
            <w:r>
              <w:rPr>
                <w:sz w:val="24"/>
                <w:szCs w:val="24"/>
              </w:rPr>
              <w:t>2024年</w:t>
            </w:r>
            <w:r>
              <w:rPr>
                <w:rFonts w:hint="eastAsia"/>
                <w:sz w:val="24"/>
                <w:szCs w:val="24"/>
              </w:rPr>
              <w:t>5</w:t>
            </w:r>
            <w:r>
              <w:rPr>
                <w:sz w:val="24"/>
                <w:szCs w:val="24"/>
              </w:rPr>
              <w:t>月全市37个河流断面中，优（Ⅰ~Ⅱ类）良（Ⅲ类）水质断面3</w:t>
            </w:r>
            <w:r>
              <w:rPr>
                <w:rFonts w:hint="eastAsia"/>
                <w:sz w:val="24"/>
                <w:szCs w:val="24"/>
              </w:rPr>
              <w:t>6</w:t>
            </w:r>
            <w:r>
              <w:rPr>
                <w:sz w:val="24"/>
                <w:szCs w:val="24"/>
              </w:rPr>
              <w:t>个，占比9</w:t>
            </w:r>
            <w:r>
              <w:rPr>
                <w:rFonts w:hint="eastAsia"/>
                <w:sz w:val="24"/>
                <w:szCs w:val="24"/>
              </w:rPr>
              <w:t>7.3</w:t>
            </w:r>
            <w:r>
              <w:rPr>
                <w:sz w:val="24"/>
                <w:szCs w:val="24"/>
              </w:rPr>
              <w:t>%；轻度污染（Ⅳ类）水质断面</w:t>
            </w:r>
            <w:r>
              <w:rPr>
                <w:rFonts w:hint="eastAsia"/>
                <w:sz w:val="24"/>
                <w:szCs w:val="24"/>
              </w:rPr>
              <w:t>1</w:t>
            </w:r>
            <w:r>
              <w:rPr>
                <w:sz w:val="24"/>
                <w:szCs w:val="24"/>
              </w:rPr>
              <w:t>个，占比</w:t>
            </w:r>
            <w:r>
              <w:rPr>
                <w:rFonts w:hint="eastAsia"/>
                <w:sz w:val="24"/>
                <w:szCs w:val="24"/>
              </w:rPr>
              <w:t>2.7</w:t>
            </w:r>
            <w:r>
              <w:rPr>
                <w:sz w:val="24"/>
                <w:szCs w:val="24"/>
              </w:rPr>
              <w:t>%。</w:t>
            </w:r>
          </w:p>
          <w:p w14:paraId="2DB4EC26">
            <w:pPr>
              <w:spacing w:line="360" w:lineRule="auto"/>
              <w:ind w:firstLine="480" w:firstLineChars="200"/>
              <w:rPr>
                <w:sz w:val="24"/>
                <w:szCs w:val="24"/>
              </w:rPr>
            </w:pPr>
            <w:r>
              <w:rPr>
                <w:sz w:val="24"/>
                <w:szCs w:val="24"/>
              </w:rPr>
              <w:t>项目区域地表水有联系的监测断面水质评价结果情况见下表所示。</w:t>
            </w:r>
          </w:p>
          <w:p w14:paraId="10D4337E">
            <w:pPr>
              <w:spacing w:line="360" w:lineRule="auto"/>
              <w:jc w:val="center"/>
              <w:rPr>
                <w:b/>
                <w:bCs/>
                <w:sz w:val="24"/>
                <w:szCs w:val="24"/>
              </w:rPr>
            </w:pPr>
            <w:r>
              <w:rPr>
                <w:b/>
                <w:bCs/>
                <w:sz w:val="24"/>
                <w:szCs w:val="24"/>
              </w:rPr>
              <w:t>表3-4</w:t>
            </w:r>
            <w:r>
              <w:rPr>
                <w:rFonts w:hint="eastAsia"/>
                <w:b/>
                <w:bCs/>
                <w:sz w:val="24"/>
                <w:szCs w:val="24"/>
              </w:rPr>
              <w:t xml:space="preserve">  </w:t>
            </w:r>
            <w:r>
              <w:rPr>
                <w:b/>
                <w:bCs/>
                <w:sz w:val="24"/>
                <w:szCs w:val="24"/>
              </w:rPr>
              <w:t>202</w:t>
            </w:r>
            <w:r>
              <w:rPr>
                <w:rFonts w:hint="eastAsia"/>
                <w:b/>
                <w:bCs/>
                <w:sz w:val="24"/>
                <w:szCs w:val="24"/>
              </w:rPr>
              <w:t>4</w:t>
            </w:r>
            <w:r>
              <w:rPr>
                <w:b/>
                <w:bCs/>
                <w:sz w:val="24"/>
                <w:szCs w:val="24"/>
              </w:rPr>
              <w:t>年</w:t>
            </w:r>
            <w:r>
              <w:rPr>
                <w:rFonts w:hint="eastAsia"/>
                <w:b/>
                <w:bCs/>
                <w:sz w:val="24"/>
                <w:szCs w:val="24"/>
              </w:rPr>
              <w:t>5</w:t>
            </w:r>
            <w:r>
              <w:rPr>
                <w:b/>
                <w:bCs/>
                <w:sz w:val="24"/>
                <w:szCs w:val="24"/>
              </w:rPr>
              <w:t>月达州市河流水质评价结果表</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73"/>
              <w:gridCol w:w="712"/>
              <w:gridCol w:w="788"/>
              <w:gridCol w:w="1279"/>
              <w:gridCol w:w="2200"/>
              <w:gridCol w:w="1131"/>
              <w:gridCol w:w="1131"/>
              <w:gridCol w:w="1138"/>
            </w:tblGrid>
            <w:tr w14:paraId="69BE93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37C81967">
                  <w:pPr>
                    <w:pStyle w:val="53"/>
                    <w:rPr>
                      <w:b/>
                      <w:color w:val="auto"/>
                    </w:rPr>
                  </w:pPr>
                  <w:r>
                    <w:rPr>
                      <w:b/>
                      <w:color w:val="auto"/>
                    </w:rPr>
                    <w:t>序号</w:t>
                  </w:r>
                </w:p>
              </w:tc>
              <w:tc>
                <w:tcPr>
                  <w:tcW w:w="828" w:type="pct"/>
                  <w:gridSpan w:val="2"/>
                  <w:tcBorders>
                    <w:tl2br w:val="nil"/>
                    <w:tr2bl w:val="nil"/>
                  </w:tcBorders>
                  <w:vAlign w:val="center"/>
                </w:tcPr>
                <w:p w14:paraId="128359D7">
                  <w:pPr>
                    <w:pStyle w:val="53"/>
                    <w:rPr>
                      <w:b/>
                      <w:color w:val="auto"/>
                    </w:rPr>
                  </w:pPr>
                  <w:r>
                    <w:rPr>
                      <w:b/>
                      <w:color w:val="auto"/>
                    </w:rPr>
                    <w:t>河流</w:t>
                  </w:r>
                </w:p>
              </w:tc>
              <w:tc>
                <w:tcPr>
                  <w:tcW w:w="706" w:type="pct"/>
                  <w:tcBorders>
                    <w:tl2br w:val="nil"/>
                    <w:tr2bl w:val="nil"/>
                  </w:tcBorders>
                  <w:vAlign w:val="center"/>
                </w:tcPr>
                <w:p w14:paraId="541A4347">
                  <w:pPr>
                    <w:pStyle w:val="53"/>
                    <w:rPr>
                      <w:b/>
                      <w:color w:val="auto"/>
                    </w:rPr>
                  </w:pPr>
                  <w:r>
                    <w:rPr>
                      <w:b/>
                      <w:color w:val="auto"/>
                    </w:rPr>
                    <w:t>断面名称</w:t>
                  </w:r>
                </w:p>
              </w:tc>
              <w:tc>
                <w:tcPr>
                  <w:tcW w:w="1214" w:type="pct"/>
                  <w:tcBorders>
                    <w:tl2br w:val="nil"/>
                    <w:tr2bl w:val="nil"/>
                  </w:tcBorders>
                  <w:vAlign w:val="center"/>
                </w:tcPr>
                <w:p w14:paraId="0E93E126">
                  <w:pPr>
                    <w:pStyle w:val="53"/>
                    <w:rPr>
                      <w:b/>
                      <w:color w:val="auto"/>
                    </w:rPr>
                  </w:pPr>
                  <w:r>
                    <w:rPr>
                      <w:b/>
                      <w:color w:val="auto"/>
                    </w:rPr>
                    <w:t>断面属性</w:t>
                  </w:r>
                </w:p>
              </w:tc>
              <w:tc>
                <w:tcPr>
                  <w:tcW w:w="624" w:type="pct"/>
                  <w:tcBorders>
                    <w:tl2br w:val="nil"/>
                    <w:tr2bl w:val="nil"/>
                  </w:tcBorders>
                  <w:vAlign w:val="center"/>
                </w:tcPr>
                <w:p w14:paraId="5A3126ED">
                  <w:pPr>
                    <w:pStyle w:val="53"/>
                    <w:rPr>
                      <w:b/>
                      <w:color w:val="auto"/>
                    </w:rPr>
                  </w:pPr>
                  <w:r>
                    <w:rPr>
                      <w:b/>
                      <w:color w:val="auto"/>
                    </w:rPr>
                    <w:t>上年同期</w:t>
                  </w:r>
                </w:p>
              </w:tc>
              <w:tc>
                <w:tcPr>
                  <w:tcW w:w="624" w:type="pct"/>
                  <w:tcBorders>
                    <w:tl2br w:val="nil"/>
                    <w:tr2bl w:val="nil"/>
                  </w:tcBorders>
                  <w:vAlign w:val="center"/>
                </w:tcPr>
                <w:p w14:paraId="2AAF2DD0">
                  <w:pPr>
                    <w:pStyle w:val="53"/>
                    <w:rPr>
                      <w:b/>
                      <w:color w:val="auto"/>
                    </w:rPr>
                  </w:pPr>
                  <w:r>
                    <w:rPr>
                      <w:b/>
                      <w:color w:val="auto"/>
                    </w:rPr>
                    <w:t>上月类别</w:t>
                  </w:r>
                </w:p>
              </w:tc>
              <w:tc>
                <w:tcPr>
                  <w:tcW w:w="628" w:type="pct"/>
                  <w:tcBorders>
                    <w:tl2br w:val="nil"/>
                    <w:tr2bl w:val="nil"/>
                  </w:tcBorders>
                  <w:vAlign w:val="center"/>
                </w:tcPr>
                <w:p w14:paraId="1D7D44A1">
                  <w:pPr>
                    <w:pStyle w:val="53"/>
                    <w:rPr>
                      <w:b/>
                      <w:color w:val="auto"/>
                    </w:rPr>
                  </w:pPr>
                  <w:r>
                    <w:rPr>
                      <w:b/>
                      <w:color w:val="auto"/>
                    </w:rPr>
                    <w:t>本月类别</w:t>
                  </w:r>
                </w:p>
              </w:tc>
            </w:tr>
            <w:tr w14:paraId="76D32D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4F306C5B">
                  <w:pPr>
                    <w:pStyle w:val="53"/>
                    <w:rPr>
                      <w:bCs/>
                      <w:color w:val="auto"/>
                    </w:rPr>
                  </w:pPr>
                  <w:r>
                    <w:rPr>
                      <w:bCs/>
                      <w:color w:val="auto"/>
                    </w:rPr>
                    <w:t>1</w:t>
                  </w:r>
                </w:p>
              </w:tc>
              <w:tc>
                <w:tcPr>
                  <w:tcW w:w="393" w:type="pct"/>
                  <w:tcBorders>
                    <w:tl2br w:val="nil"/>
                    <w:tr2bl w:val="nil"/>
                  </w:tcBorders>
                  <w:vAlign w:val="center"/>
                </w:tcPr>
                <w:p w14:paraId="0FB9C5DD">
                  <w:pPr>
                    <w:pStyle w:val="53"/>
                    <w:rPr>
                      <w:bCs/>
                      <w:color w:val="auto"/>
                    </w:rPr>
                  </w:pPr>
                  <w:r>
                    <w:rPr>
                      <w:bCs/>
                      <w:color w:val="auto"/>
                    </w:rPr>
                    <w:t>州河水系</w:t>
                  </w:r>
                </w:p>
              </w:tc>
              <w:tc>
                <w:tcPr>
                  <w:tcW w:w="435" w:type="pct"/>
                  <w:tcBorders>
                    <w:tl2br w:val="nil"/>
                    <w:tr2bl w:val="nil"/>
                  </w:tcBorders>
                  <w:vAlign w:val="center"/>
                </w:tcPr>
                <w:p w14:paraId="64E86ADA">
                  <w:pPr>
                    <w:pStyle w:val="53"/>
                    <w:rPr>
                      <w:bCs/>
                      <w:color w:val="auto"/>
                    </w:rPr>
                  </w:pPr>
                  <w:r>
                    <w:rPr>
                      <w:rFonts w:hint="eastAsia"/>
                      <w:bCs/>
                      <w:color w:val="auto"/>
                    </w:rPr>
                    <w:t>中河</w:t>
                  </w:r>
                </w:p>
              </w:tc>
              <w:tc>
                <w:tcPr>
                  <w:tcW w:w="706" w:type="pct"/>
                  <w:tcBorders>
                    <w:tl2br w:val="nil"/>
                    <w:tr2bl w:val="nil"/>
                  </w:tcBorders>
                  <w:vAlign w:val="center"/>
                </w:tcPr>
                <w:p w14:paraId="4358168B">
                  <w:pPr>
                    <w:pStyle w:val="53"/>
                    <w:rPr>
                      <w:bCs/>
                      <w:color w:val="auto"/>
                    </w:rPr>
                  </w:pPr>
                  <w:r>
                    <w:rPr>
                      <w:rFonts w:hint="eastAsia"/>
                      <w:bCs/>
                      <w:color w:val="auto"/>
                    </w:rPr>
                    <w:t>普光</w:t>
                  </w:r>
                </w:p>
              </w:tc>
              <w:tc>
                <w:tcPr>
                  <w:tcW w:w="1214" w:type="pct"/>
                  <w:tcBorders>
                    <w:tl2br w:val="nil"/>
                    <w:tr2bl w:val="nil"/>
                  </w:tcBorders>
                  <w:vAlign w:val="center"/>
                </w:tcPr>
                <w:p w14:paraId="2565BB2C">
                  <w:pPr>
                    <w:pStyle w:val="53"/>
                    <w:rPr>
                      <w:bCs/>
                      <w:color w:val="auto"/>
                    </w:rPr>
                  </w:pPr>
                  <w:r>
                    <w:rPr>
                      <w:rFonts w:hint="eastAsia"/>
                      <w:bCs/>
                      <w:color w:val="auto"/>
                    </w:rPr>
                    <w:t>入河口（入后河）</w:t>
                  </w:r>
                </w:p>
              </w:tc>
              <w:tc>
                <w:tcPr>
                  <w:tcW w:w="624" w:type="pct"/>
                  <w:tcBorders>
                    <w:tl2br w:val="nil"/>
                    <w:tr2bl w:val="nil"/>
                  </w:tcBorders>
                  <w:vAlign w:val="center"/>
                </w:tcPr>
                <w:p w14:paraId="4ACA574F">
                  <w:pPr>
                    <w:pStyle w:val="53"/>
                    <w:rPr>
                      <w:bCs/>
                      <w:color w:val="auto"/>
                    </w:rPr>
                  </w:pPr>
                  <w:r>
                    <w:rPr>
                      <w:bCs/>
                      <w:color w:val="auto"/>
                    </w:rPr>
                    <w:t>III</w:t>
                  </w:r>
                </w:p>
              </w:tc>
              <w:tc>
                <w:tcPr>
                  <w:tcW w:w="624" w:type="pct"/>
                  <w:tcBorders>
                    <w:tl2br w:val="nil"/>
                    <w:tr2bl w:val="nil"/>
                  </w:tcBorders>
                  <w:vAlign w:val="center"/>
                </w:tcPr>
                <w:p w14:paraId="4F8440BF">
                  <w:pPr>
                    <w:jc w:val="center"/>
                    <w:rPr>
                      <w:bCs/>
                    </w:rPr>
                  </w:pPr>
                  <w:r>
                    <w:rPr>
                      <w:bCs/>
                    </w:rPr>
                    <w:t>II</w:t>
                  </w:r>
                </w:p>
              </w:tc>
              <w:tc>
                <w:tcPr>
                  <w:tcW w:w="628" w:type="pct"/>
                  <w:tcBorders>
                    <w:tl2br w:val="nil"/>
                    <w:tr2bl w:val="nil"/>
                  </w:tcBorders>
                  <w:vAlign w:val="center"/>
                </w:tcPr>
                <w:p w14:paraId="1FB4D16E">
                  <w:pPr>
                    <w:jc w:val="center"/>
                    <w:rPr>
                      <w:bCs/>
                    </w:rPr>
                  </w:pPr>
                  <w:r>
                    <w:rPr>
                      <w:bCs/>
                    </w:rPr>
                    <w:t>II</w:t>
                  </w:r>
                </w:p>
              </w:tc>
            </w:tr>
          </w:tbl>
          <w:p w14:paraId="1E976819">
            <w:pPr>
              <w:spacing w:line="360" w:lineRule="auto"/>
              <w:ind w:firstLine="480" w:firstLineChars="200"/>
              <w:rPr>
                <w:sz w:val="24"/>
                <w:szCs w:val="24"/>
              </w:rPr>
            </w:pPr>
            <w:r>
              <w:rPr>
                <w:sz w:val="24"/>
                <w:szCs w:val="24"/>
              </w:rPr>
              <w:t>本项目位于</w:t>
            </w:r>
            <w:r>
              <w:rPr>
                <w:rFonts w:hint="eastAsia"/>
                <w:sz w:val="24"/>
                <w:szCs w:val="24"/>
              </w:rPr>
              <w:t>通川区罗江镇高岩村</w:t>
            </w:r>
            <w:r>
              <w:rPr>
                <w:sz w:val="24"/>
                <w:szCs w:val="24"/>
              </w:rPr>
              <w:t>，参考断面为“</w:t>
            </w:r>
            <w:r>
              <w:rPr>
                <w:rFonts w:hint="eastAsia"/>
                <w:sz w:val="24"/>
                <w:szCs w:val="24"/>
              </w:rPr>
              <w:t>普光</w:t>
            </w:r>
            <w:r>
              <w:rPr>
                <w:sz w:val="24"/>
                <w:szCs w:val="24"/>
              </w:rPr>
              <w:t>断面”，由上表可知，该断面水质可达到《地表水环境质量标准》（GB3838—2002）中的</w:t>
            </w:r>
            <w:r>
              <w:rPr>
                <w:bCs/>
                <w:color w:val="auto"/>
                <w:sz w:val="24"/>
                <w:szCs w:val="24"/>
              </w:rPr>
              <w:t>III</w:t>
            </w:r>
            <w:r>
              <w:rPr>
                <w:sz w:val="24"/>
                <w:szCs w:val="24"/>
              </w:rPr>
              <w:t>类水域标准。</w:t>
            </w:r>
          </w:p>
          <w:p w14:paraId="31815B3A">
            <w:pPr>
              <w:spacing w:line="360" w:lineRule="auto"/>
              <w:ind w:firstLine="482" w:firstLineChars="200"/>
              <w:rPr>
                <w:b/>
                <w:sz w:val="24"/>
                <w:szCs w:val="24"/>
              </w:rPr>
            </w:pPr>
            <w:r>
              <w:rPr>
                <w:b/>
                <w:sz w:val="24"/>
                <w:szCs w:val="24"/>
              </w:rPr>
              <w:t>3、声环境质量现状</w:t>
            </w:r>
          </w:p>
          <w:p w14:paraId="4A95993C">
            <w:pPr>
              <w:spacing w:line="360" w:lineRule="auto"/>
              <w:ind w:firstLine="480" w:firstLineChars="200"/>
              <w:rPr>
                <w:sz w:val="24"/>
                <w:szCs w:val="24"/>
              </w:rPr>
            </w:pPr>
            <w:r>
              <w:rPr>
                <w:sz w:val="24"/>
                <w:szCs w:val="24"/>
              </w:rPr>
              <w:t>为了解区域声环境质量现状，本次环评委托达州恒福环境监测服务有限公司</w:t>
            </w:r>
            <w:r>
              <w:rPr>
                <w:rFonts w:hint="eastAsia"/>
                <w:sz w:val="24"/>
                <w:szCs w:val="24"/>
              </w:rPr>
              <w:t>于2024年8月5日</w:t>
            </w:r>
            <w:r>
              <w:rPr>
                <w:sz w:val="24"/>
                <w:szCs w:val="24"/>
              </w:rPr>
              <w:t>对区域声环境质量进行监测。</w:t>
            </w:r>
          </w:p>
          <w:p w14:paraId="6824727A">
            <w:pPr>
              <w:spacing w:line="360" w:lineRule="auto"/>
              <w:ind w:firstLine="482" w:firstLineChars="200"/>
              <w:rPr>
                <w:b/>
                <w:sz w:val="24"/>
                <w:szCs w:val="24"/>
              </w:rPr>
            </w:pPr>
            <w:r>
              <w:rPr>
                <w:b/>
                <w:sz w:val="24"/>
                <w:szCs w:val="24"/>
              </w:rPr>
              <w:t>①监测点位</w:t>
            </w:r>
          </w:p>
          <w:p w14:paraId="5948B0CC">
            <w:pPr>
              <w:spacing w:line="360" w:lineRule="auto"/>
              <w:ind w:firstLine="480" w:firstLineChars="200"/>
              <w:rPr>
                <w:sz w:val="24"/>
                <w:szCs w:val="24"/>
              </w:rPr>
            </w:pPr>
            <w:r>
              <w:rPr>
                <w:sz w:val="24"/>
                <w:szCs w:val="24"/>
              </w:rPr>
              <w:t>本次环评共</w:t>
            </w:r>
            <w:r>
              <w:rPr>
                <w:rFonts w:hint="eastAsia"/>
                <w:sz w:val="24"/>
                <w:szCs w:val="24"/>
              </w:rPr>
              <w:t>设置</w:t>
            </w:r>
            <w:r>
              <w:rPr>
                <w:sz w:val="24"/>
                <w:szCs w:val="24"/>
              </w:rPr>
              <w:t>噪声监测点</w:t>
            </w:r>
            <w:r>
              <w:rPr>
                <w:rFonts w:hint="eastAsia"/>
                <w:sz w:val="24"/>
                <w:szCs w:val="24"/>
              </w:rPr>
              <w:t>5</w:t>
            </w:r>
            <w:r>
              <w:rPr>
                <w:sz w:val="24"/>
                <w:szCs w:val="24"/>
              </w:rPr>
              <w:t>个，监测点位置见表3-</w:t>
            </w:r>
            <w:r>
              <w:rPr>
                <w:rFonts w:hint="eastAsia"/>
                <w:sz w:val="24"/>
                <w:szCs w:val="24"/>
              </w:rPr>
              <w:t>5</w:t>
            </w:r>
            <w:r>
              <w:rPr>
                <w:sz w:val="24"/>
                <w:szCs w:val="24"/>
              </w:rPr>
              <w:t>。</w:t>
            </w:r>
          </w:p>
          <w:p w14:paraId="54B37353">
            <w:pPr>
              <w:spacing w:line="360" w:lineRule="auto"/>
              <w:jc w:val="center"/>
              <w:rPr>
                <w:b/>
                <w:bCs/>
                <w:sz w:val="24"/>
                <w:szCs w:val="24"/>
              </w:rPr>
            </w:pPr>
            <w:r>
              <w:rPr>
                <w:b/>
                <w:bCs/>
                <w:sz w:val="24"/>
                <w:szCs w:val="24"/>
              </w:rPr>
              <w:t>表3-</w:t>
            </w:r>
            <w:r>
              <w:rPr>
                <w:rFonts w:hint="eastAsia"/>
                <w:b/>
                <w:bCs/>
                <w:sz w:val="24"/>
                <w:szCs w:val="24"/>
              </w:rPr>
              <w:t xml:space="preserve">5 </w:t>
            </w:r>
            <w:r>
              <w:rPr>
                <w:b/>
                <w:bCs/>
                <w:sz w:val="24"/>
                <w:szCs w:val="24"/>
              </w:rPr>
              <w:t>噪声监测点位表</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3"/>
              <w:gridCol w:w="6500"/>
            </w:tblGrid>
            <w:tr w14:paraId="4FCE9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14:paraId="035C229B">
                  <w:pPr>
                    <w:jc w:val="center"/>
                    <w:rPr>
                      <w:b/>
                      <w:bCs/>
                    </w:rPr>
                  </w:pPr>
                  <w:r>
                    <w:rPr>
                      <w:b/>
                      <w:bCs/>
                    </w:rPr>
                    <w:t>编号</w:t>
                  </w:r>
                </w:p>
              </w:tc>
              <w:tc>
                <w:tcPr>
                  <w:tcW w:w="3593" w:type="pct"/>
                  <w:tcBorders>
                    <w:tl2br w:val="nil"/>
                    <w:tr2bl w:val="nil"/>
                  </w:tcBorders>
                  <w:vAlign w:val="center"/>
                </w:tcPr>
                <w:p w14:paraId="00A8338F">
                  <w:pPr>
                    <w:jc w:val="center"/>
                    <w:rPr>
                      <w:b/>
                      <w:bCs/>
                    </w:rPr>
                  </w:pPr>
                  <w:r>
                    <w:rPr>
                      <w:b/>
                      <w:bCs/>
                    </w:rPr>
                    <w:t>监测点名称</w:t>
                  </w:r>
                </w:p>
              </w:tc>
            </w:tr>
            <w:tr w14:paraId="184D6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14:paraId="44A7A036">
                  <w:pPr>
                    <w:spacing w:line="300" w:lineRule="exact"/>
                    <w:jc w:val="center"/>
                  </w:pPr>
                  <w:r>
                    <w:rPr>
                      <w:rFonts w:hint="eastAsia"/>
                    </w:rPr>
                    <w:t>1#</w:t>
                  </w:r>
                </w:p>
              </w:tc>
              <w:tc>
                <w:tcPr>
                  <w:tcW w:w="3593" w:type="pct"/>
                  <w:tcBorders>
                    <w:tl2br w:val="nil"/>
                    <w:tr2bl w:val="nil"/>
                  </w:tcBorders>
                  <w:vAlign w:val="center"/>
                </w:tcPr>
                <w:p w14:paraId="6DBA1F3E">
                  <w:pPr>
                    <w:spacing w:line="300" w:lineRule="exact"/>
                    <w:jc w:val="center"/>
                    <w:rPr>
                      <w:szCs w:val="24"/>
                    </w:rPr>
                  </w:pPr>
                  <w:r>
                    <w:rPr>
                      <w:rFonts w:hint="eastAsia"/>
                    </w:rPr>
                    <w:t>项目东</w:t>
                  </w:r>
                  <w:r>
                    <w:t>北侧场界外</w:t>
                  </w:r>
                  <w:r>
                    <w:rPr>
                      <w:rFonts w:hint="eastAsia"/>
                    </w:rPr>
                    <w:t>1m处</w:t>
                  </w:r>
                </w:p>
              </w:tc>
            </w:tr>
            <w:tr w14:paraId="138A4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14:paraId="6DB6BEC4">
                  <w:pPr>
                    <w:spacing w:line="300" w:lineRule="exact"/>
                    <w:jc w:val="center"/>
                  </w:pPr>
                  <w:r>
                    <w:rPr>
                      <w:rFonts w:hint="eastAsia"/>
                    </w:rPr>
                    <w:t>2#</w:t>
                  </w:r>
                </w:p>
              </w:tc>
              <w:tc>
                <w:tcPr>
                  <w:tcW w:w="3593" w:type="pct"/>
                  <w:tcBorders>
                    <w:tl2br w:val="nil"/>
                    <w:tr2bl w:val="nil"/>
                  </w:tcBorders>
                  <w:vAlign w:val="center"/>
                </w:tcPr>
                <w:p w14:paraId="16C15FF0">
                  <w:pPr>
                    <w:spacing w:line="300" w:lineRule="exact"/>
                    <w:jc w:val="center"/>
                    <w:rPr>
                      <w:szCs w:val="24"/>
                    </w:rPr>
                  </w:pPr>
                  <w:r>
                    <w:rPr>
                      <w:rFonts w:hint="eastAsia"/>
                    </w:rPr>
                    <w:t>项目东南</w:t>
                  </w:r>
                  <w:r>
                    <w:t>侧场界外</w:t>
                  </w:r>
                  <w:r>
                    <w:rPr>
                      <w:rFonts w:hint="eastAsia"/>
                    </w:rPr>
                    <w:t>（紧邻居民处）</w:t>
                  </w:r>
                </w:p>
              </w:tc>
            </w:tr>
            <w:tr w14:paraId="47C02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vAlign w:val="center"/>
                </w:tcPr>
                <w:p w14:paraId="3A148141">
                  <w:pPr>
                    <w:spacing w:line="300" w:lineRule="exact"/>
                    <w:jc w:val="center"/>
                  </w:pPr>
                  <w:r>
                    <w:rPr>
                      <w:rFonts w:hint="eastAsia"/>
                    </w:rPr>
                    <w:t>3#</w:t>
                  </w:r>
                </w:p>
              </w:tc>
              <w:tc>
                <w:tcPr>
                  <w:tcW w:w="3593" w:type="pct"/>
                  <w:tcBorders>
                    <w:tl2br w:val="nil"/>
                    <w:tr2bl w:val="nil"/>
                  </w:tcBorders>
                  <w:vAlign w:val="center"/>
                </w:tcPr>
                <w:p w14:paraId="3FAF6B9C">
                  <w:pPr>
                    <w:spacing w:line="300" w:lineRule="exact"/>
                    <w:jc w:val="center"/>
                    <w:rPr>
                      <w:szCs w:val="24"/>
                    </w:rPr>
                  </w:pPr>
                  <w:r>
                    <w:rPr>
                      <w:rFonts w:hint="eastAsia"/>
                    </w:rPr>
                    <w:t>项目南</w:t>
                  </w:r>
                  <w:r>
                    <w:t>侧场界外（紧邻</w:t>
                  </w:r>
                  <w:r>
                    <w:rPr>
                      <w:rFonts w:hint="eastAsia"/>
                    </w:rPr>
                    <w:t>居民</w:t>
                  </w:r>
                  <w:r>
                    <w:t>处）</w:t>
                  </w:r>
                </w:p>
              </w:tc>
            </w:tr>
            <w:tr w14:paraId="50C9C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tcPr>
                <w:p w14:paraId="31A7D0DB">
                  <w:pPr>
                    <w:spacing w:line="300" w:lineRule="exact"/>
                    <w:jc w:val="center"/>
                  </w:pPr>
                  <w:r>
                    <w:t>4#</w:t>
                  </w:r>
                </w:p>
              </w:tc>
              <w:tc>
                <w:tcPr>
                  <w:tcW w:w="3593" w:type="pct"/>
                  <w:tcBorders>
                    <w:tl2br w:val="nil"/>
                    <w:tr2bl w:val="nil"/>
                  </w:tcBorders>
                  <w:vAlign w:val="center"/>
                </w:tcPr>
                <w:p w14:paraId="0E0429F1">
                  <w:pPr>
                    <w:spacing w:line="300" w:lineRule="exact"/>
                    <w:jc w:val="center"/>
                  </w:pPr>
                  <w:r>
                    <w:rPr>
                      <w:rFonts w:hint="eastAsia"/>
                    </w:rPr>
                    <w:t>项目西南侧</w:t>
                  </w:r>
                  <w:r>
                    <w:t>场界外</w:t>
                  </w:r>
                  <w:r>
                    <w:rPr>
                      <w:rFonts w:hint="eastAsia"/>
                    </w:rPr>
                    <w:t>1m处</w:t>
                  </w:r>
                </w:p>
              </w:tc>
            </w:tr>
            <w:tr w14:paraId="6D0AD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pct"/>
                  <w:tcBorders>
                    <w:tl2br w:val="nil"/>
                    <w:tr2bl w:val="nil"/>
                  </w:tcBorders>
                </w:tcPr>
                <w:p w14:paraId="68051D6F">
                  <w:pPr>
                    <w:spacing w:line="300" w:lineRule="exact"/>
                    <w:jc w:val="center"/>
                  </w:pPr>
                  <w:r>
                    <w:t>5#</w:t>
                  </w:r>
                </w:p>
              </w:tc>
              <w:tc>
                <w:tcPr>
                  <w:tcW w:w="3593" w:type="pct"/>
                  <w:tcBorders>
                    <w:tl2br w:val="nil"/>
                    <w:tr2bl w:val="nil"/>
                  </w:tcBorders>
                  <w:vAlign w:val="center"/>
                </w:tcPr>
                <w:p w14:paraId="27471559">
                  <w:pPr>
                    <w:spacing w:line="300" w:lineRule="exact"/>
                    <w:jc w:val="center"/>
                    <w:rPr>
                      <w:szCs w:val="24"/>
                    </w:rPr>
                  </w:pPr>
                  <w:r>
                    <w:rPr>
                      <w:rFonts w:hint="eastAsia"/>
                    </w:rPr>
                    <w:t>项目西北</w:t>
                  </w:r>
                  <w:r>
                    <w:t>侧场界外</w:t>
                  </w:r>
                  <w:r>
                    <w:rPr>
                      <w:rFonts w:hint="eastAsia"/>
                    </w:rPr>
                    <w:t>1m处</w:t>
                  </w:r>
                </w:p>
              </w:tc>
            </w:tr>
          </w:tbl>
          <w:p w14:paraId="5326F53C">
            <w:pPr>
              <w:spacing w:line="360" w:lineRule="auto"/>
              <w:ind w:firstLine="482" w:firstLineChars="200"/>
              <w:rPr>
                <w:b/>
                <w:sz w:val="24"/>
                <w:szCs w:val="24"/>
              </w:rPr>
            </w:pPr>
            <w:r>
              <w:rPr>
                <w:b/>
                <w:sz w:val="24"/>
                <w:szCs w:val="24"/>
              </w:rPr>
              <w:t>②监测时间</w:t>
            </w:r>
          </w:p>
          <w:p w14:paraId="189AD14C">
            <w:pPr>
              <w:spacing w:line="360" w:lineRule="auto"/>
              <w:ind w:firstLine="480" w:firstLineChars="200"/>
              <w:rPr>
                <w:sz w:val="24"/>
                <w:szCs w:val="24"/>
              </w:rPr>
            </w:pPr>
            <w:r>
              <w:rPr>
                <w:rFonts w:hint="eastAsia"/>
                <w:sz w:val="24"/>
                <w:szCs w:val="24"/>
              </w:rPr>
              <w:t>2024年8月5日</w:t>
            </w:r>
            <w:r>
              <w:rPr>
                <w:sz w:val="24"/>
                <w:szCs w:val="24"/>
              </w:rPr>
              <w:t>，共监测1天，昼夜各监测1次。</w:t>
            </w:r>
          </w:p>
          <w:p w14:paraId="065C0391">
            <w:pPr>
              <w:spacing w:line="360" w:lineRule="auto"/>
              <w:ind w:firstLine="482" w:firstLineChars="200"/>
              <w:rPr>
                <w:b/>
                <w:sz w:val="24"/>
                <w:szCs w:val="24"/>
              </w:rPr>
            </w:pPr>
            <w:r>
              <w:rPr>
                <w:b/>
                <w:sz w:val="24"/>
                <w:szCs w:val="24"/>
              </w:rPr>
              <w:t>③评价标准</w:t>
            </w:r>
          </w:p>
          <w:p w14:paraId="13017293">
            <w:pPr>
              <w:spacing w:line="360" w:lineRule="auto"/>
              <w:ind w:firstLine="480" w:firstLineChars="200"/>
              <w:rPr>
                <w:sz w:val="24"/>
                <w:szCs w:val="24"/>
              </w:rPr>
            </w:pPr>
            <w:r>
              <w:rPr>
                <w:sz w:val="24"/>
                <w:szCs w:val="24"/>
                <w:lang w:val="zh-CN"/>
              </w:rPr>
              <w:t>执行《声环境质量标准》（GB3096-2008）2类标准</w:t>
            </w:r>
            <w:r>
              <w:rPr>
                <w:sz w:val="24"/>
                <w:szCs w:val="24"/>
              </w:rPr>
              <w:t>。</w:t>
            </w:r>
          </w:p>
          <w:p w14:paraId="39951AEA">
            <w:pPr>
              <w:spacing w:line="360" w:lineRule="auto"/>
              <w:ind w:firstLine="482" w:firstLineChars="200"/>
              <w:rPr>
                <w:b/>
                <w:sz w:val="24"/>
                <w:szCs w:val="24"/>
              </w:rPr>
            </w:pPr>
            <w:r>
              <w:rPr>
                <w:b/>
                <w:sz w:val="24"/>
                <w:szCs w:val="24"/>
              </w:rPr>
              <w:t>④评价结果</w:t>
            </w:r>
          </w:p>
          <w:p w14:paraId="28364E9D">
            <w:pPr>
              <w:spacing w:line="360" w:lineRule="auto"/>
              <w:ind w:firstLine="480" w:firstLineChars="200"/>
              <w:rPr>
                <w:sz w:val="24"/>
                <w:szCs w:val="24"/>
              </w:rPr>
            </w:pPr>
            <w:r>
              <w:rPr>
                <w:sz w:val="24"/>
                <w:szCs w:val="24"/>
              </w:rPr>
              <w:t>声环境质量现状评价结果见表3-</w:t>
            </w:r>
            <w:r>
              <w:rPr>
                <w:rFonts w:hint="eastAsia"/>
                <w:sz w:val="24"/>
                <w:szCs w:val="24"/>
              </w:rPr>
              <w:t>6</w:t>
            </w:r>
            <w:r>
              <w:rPr>
                <w:sz w:val="24"/>
                <w:szCs w:val="24"/>
              </w:rPr>
              <w:t>。</w:t>
            </w:r>
          </w:p>
          <w:p w14:paraId="46729B13">
            <w:pPr>
              <w:spacing w:line="360" w:lineRule="auto"/>
              <w:jc w:val="center"/>
              <w:rPr>
                <w:b/>
                <w:bCs/>
                <w:sz w:val="24"/>
                <w:szCs w:val="24"/>
              </w:rPr>
            </w:pPr>
            <w:r>
              <w:rPr>
                <w:b/>
                <w:bCs/>
                <w:sz w:val="24"/>
                <w:szCs w:val="24"/>
              </w:rPr>
              <w:t>表3-</w:t>
            </w:r>
            <w:r>
              <w:rPr>
                <w:rFonts w:hint="eastAsia"/>
                <w:b/>
                <w:bCs/>
                <w:sz w:val="24"/>
                <w:szCs w:val="24"/>
              </w:rPr>
              <w:t xml:space="preserve">6 </w:t>
            </w:r>
            <w:r>
              <w:rPr>
                <w:b/>
                <w:bCs/>
                <w:sz w:val="24"/>
                <w:szCs w:val="24"/>
              </w:rPr>
              <w:t>声环境质量现状评价结果</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846"/>
              <w:gridCol w:w="2328"/>
              <w:gridCol w:w="1243"/>
              <w:gridCol w:w="1219"/>
              <w:gridCol w:w="1243"/>
              <w:gridCol w:w="1219"/>
            </w:tblGrid>
            <w:tr w14:paraId="117DC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79" w:type="pct"/>
                  <w:tcBorders>
                    <w:tl2br w:val="nil"/>
                    <w:tr2bl w:val="nil"/>
                  </w:tcBorders>
                  <w:vAlign w:val="center"/>
                </w:tcPr>
                <w:p w14:paraId="35B41107">
                  <w:pPr>
                    <w:pStyle w:val="39"/>
                    <w:snapToGrid w:val="0"/>
                    <w:spacing w:before="0" w:after="0"/>
                    <w:rPr>
                      <w:rFonts w:cs="Times New Roman"/>
                      <w:b/>
                      <w:sz w:val="21"/>
                      <w:szCs w:val="21"/>
                    </w:rPr>
                  </w:pPr>
                  <w:r>
                    <w:rPr>
                      <w:rFonts w:hint="eastAsia" w:cs="Times New Roman"/>
                      <w:b/>
                      <w:sz w:val="21"/>
                      <w:szCs w:val="21"/>
                    </w:rPr>
                    <w:t>检测日期</w:t>
                  </w:r>
                </w:p>
              </w:tc>
              <w:tc>
                <w:tcPr>
                  <w:tcW w:w="475" w:type="pct"/>
                  <w:tcBorders>
                    <w:tl2br w:val="nil"/>
                    <w:tr2bl w:val="nil"/>
                  </w:tcBorders>
                  <w:vAlign w:val="center"/>
                </w:tcPr>
                <w:p w14:paraId="57FE0D50">
                  <w:pPr>
                    <w:pStyle w:val="39"/>
                    <w:snapToGrid w:val="0"/>
                    <w:spacing w:before="0" w:after="0"/>
                    <w:rPr>
                      <w:rFonts w:cs="Times New Roman"/>
                      <w:b/>
                      <w:sz w:val="21"/>
                      <w:szCs w:val="21"/>
                    </w:rPr>
                  </w:pPr>
                  <w:r>
                    <w:rPr>
                      <w:rFonts w:hint="eastAsia" w:cs="Times New Roman"/>
                      <w:b/>
                      <w:sz w:val="21"/>
                      <w:szCs w:val="21"/>
                    </w:rPr>
                    <w:t>检测因子</w:t>
                  </w:r>
                </w:p>
              </w:tc>
              <w:tc>
                <w:tcPr>
                  <w:tcW w:w="1293" w:type="pct"/>
                  <w:tcBorders>
                    <w:tl2br w:val="nil"/>
                    <w:tr2bl w:val="nil"/>
                  </w:tcBorders>
                  <w:vAlign w:val="center"/>
                </w:tcPr>
                <w:p w14:paraId="485192C0">
                  <w:pPr>
                    <w:pStyle w:val="39"/>
                    <w:snapToGrid w:val="0"/>
                    <w:spacing w:before="0" w:after="0"/>
                    <w:rPr>
                      <w:rFonts w:cs="Times New Roman"/>
                      <w:b/>
                      <w:sz w:val="21"/>
                      <w:szCs w:val="21"/>
                    </w:rPr>
                  </w:pPr>
                  <w:r>
                    <w:rPr>
                      <w:rFonts w:cs="Times New Roman"/>
                      <w:b/>
                      <w:bCs/>
                      <w:sz w:val="21"/>
                      <w:szCs w:val="21"/>
                    </w:rPr>
                    <w:t>检测点编号及位置</w:t>
                  </w:r>
                </w:p>
              </w:tc>
              <w:tc>
                <w:tcPr>
                  <w:tcW w:w="687" w:type="pct"/>
                  <w:tcBorders>
                    <w:tl2br w:val="nil"/>
                    <w:tr2bl w:val="nil"/>
                  </w:tcBorders>
                  <w:vAlign w:val="center"/>
                </w:tcPr>
                <w:p w14:paraId="7C779DAC">
                  <w:pPr>
                    <w:jc w:val="center"/>
                    <w:rPr>
                      <w:b/>
                      <w:spacing w:val="-6"/>
                    </w:rPr>
                  </w:pPr>
                  <w:r>
                    <w:rPr>
                      <w:rFonts w:hint="eastAsia"/>
                      <w:b/>
                      <w:spacing w:val="-6"/>
                    </w:rPr>
                    <w:t>检测时段</w:t>
                  </w:r>
                </w:p>
              </w:tc>
              <w:tc>
                <w:tcPr>
                  <w:tcW w:w="687" w:type="pct"/>
                  <w:tcBorders>
                    <w:tl2br w:val="nil"/>
                    <w:tr2bl w:val="nil"/>
                  </w:tcBorders>
                  <w:vAlign w:val="center"/>
                </w:tcPr>
                <w:p w14:paraId="13E8CC18">
                  <w:pPr>
                    <w:jc w:val="center"/>
                    <w:rPr>
                      <w:b/>
                      <w:spacing w:val="-6"/>
                    </w:rPr>
                  </w:pPr>
                  <w:r>
                    <w:rPr>
                      <w:rFonts w:hint="eastAsia"/>
                      <w:b/>
                      <w:spacing w:val="-6"/>
                    </w:rPr>
                    <w:t>检测</w:t>
                  </w:r>
                </w:p>
                <w:p w14:paraId="64EA6AE4">
                  <w:pPr>
                    <w:jc w:val="center"/>
                    <w:rPr>
                      <w:b/>
                      <w:spacing w:val="-6"/>
                    </w:rPr>
                  </w:pPr>
                  <w:r>
                    <w:rPr>
                      <w:rFonts w:hint="eastAsia"/>
                      <w:b/>
                      <w:spacing w:val="-6"/>
                    </w:rPr>
                    <w:t>结果</w:t>
                  </w:r>
                </w:p>
              </w:tc>
              <w:tc>
                <w:tcPr>
                  <w:tcW w:w="687" w:type="pct"/>
                  <w:tcBorders>
                    <w:tl2br w:val="nil"/>
                    <w:tr2bl w:val="nil"/>
                  </w:tcBorders>
                  <w:vAlign w:val="center"/>
                </w:tcPr>
                <w:p w14:paraId="1013932F">
                  <w:pPr>
                    <w:jc w:val="center"/>
                    <w:rPr>
                      <w:b/>
                      <w:spacing w:val="-6"/>
                    </w:rPr>
                  </w:pPr>
                  <w:r>
                    <w:rPr>
                      <w:rFonts w:hint="eastAsia"/>
                      <w:b/>
                      <w:spacing w:val="-6"/>
                    </w:rPr>
                    <w:t>检测时段</w:t>
                  </w:r>
                </w:p>
              </w:tc>
              <w:tc>
                <w:tcPr>
                  <w:tcW w:w="687" w:type="pct"/>
                  <w:tcBorders>
                    <w:tl2br w:val="nil"/>
                    <w:tr2bl w:val="nil"/>
                  </w:tcBorders>
                  <w:vAlign w:val="center"/>
                </w:tcPr>
                <w:p w14:paraId="5A022A32">
                  <w:pPr>
                    <w:jc w:val="center"/>
                    <w:rPr>
                      <w:b/>
                      <w:spacing w:val="-6"/>
                    </w:rPr>
                  </w:pPr>
                  <w:r>
                    <w:rPr>
                      <w:rFonts w:hint="eastAsia"/>
                      <w:b/>
                      <w:spacing w:val="-6"/>
                    </w:rPr>
                    <w:t>检测</w:t>
                  </w:r>
                </w:p>
                <w:p w14:paraId="20199BE1">
                  <w:pPr>
                    <w:jc w:val="center"/>
                    <w:rPr>
                      <w:b/>
                      <w:spacing w:val="-6"/>
                    </w:rPr>
                  </w:pPr>
                  <w:r>
                    <w:rPr>
                      <w:rFonts w:hint="eastAsia"/>
                      <w:b/>
                      <w:spacing w:val="-6"/>
                    </w:rPr>
                    <w:t>结果</w:t>
                  </w:r>
                </w:p>
              </w:tc>
            </w:tr>
            <w:tr w14:paraId="6653F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9" w:type="pct"/>
                  <w:vMerge w:val="restart"/>
                  <w:tcBorders>
                    <w:tl2br w:val="nil"/>
                    <w:tr2bl w:val="nil"/>
                  </w:tcBorders>
                  <w:vAlign w:val="center"/>
                </w:tcPr>
                <w:p w14:paraId="21408BEE">
                  <w:pPr>
                    <w:jc w:val="center"/>
                  </w:pPr>
                  <w:r>
                    <w:rPr>
                      <w:rFonts w:hint="eastAsia"/>
                    </w:rPr>
                    <w:t>2024.8.5</w:t>
                  </w:r>
                </w:p>
              </w:tc>
              <w:tc>
                <w:tcPr>
                  <w:tcW w:w="475" w:type="pct"/>
                  <w:vMerge w:val="restart"/>
                  <w:tcBorders>
                    <w:tl2br w:val="nil"/>
                    <w:tr2bl w:val="nil"/>
                  </w:tcBorders>
                  <w:vAlign w:val="center"/>
                </w:tcPr>
                <w:p w14:paraId="4444DAB0">
                  <w:pPr>
                    <w:jc w:val="center"/>
                    <w:rPr>
                      <w:bCs/>
                      <w:kern w:val="0"/>
                    </w:rPr>
                  </w:pPr>
                  <w:r>
                    <w:rPr>
                      <w:snapToGrid w:val="0"/>
                    </w:rPr>
                    <w:t>L</w:t>
                  </w:r>
                  <w:r>
                    <w:rPr>
                      <w:snapToGrid w:val="0"/>
                      <w:vertAlign w:val="subscript"/>
                    </w:rPr>
                    <w:t>eq</w:t>
                  </w:r>
                </w:p>
              </w:tc>
              <w:tc>
                <w:tcPr>
                  <w:tcW w:w="1293" w:type="pct"/>
                  <w:tcBorders>
                    <w:tl2br w:val="nil"/>
                    <w:tr2bl w:val="nil"/>
                  </w:tcBorders>
                  <w:vAlign w:val="center"/>
                </w:tcPr>
                <w:p w14:paraId="208678BE">
                  <w:pPr>
                    <w:spacing w:line="300" w:lineRule="exact"/>
                    <w:jc w:val="center"/>
                    <w:rPr>
                      <w:szCs w:val="24"/>
                    </w:rPr>
                  </w:pPr>
                  <w:r>
                    <w:rPr>
                      <w:rFonts w:hint="eastAsia"/>
                    </w:rPr>
                    <w:t>项目东</w:t>
                  </w:r>
                  <w:r>
                    <w:t>北侧场界外</w:t>
                  </w:r>
                  <w:r>
                    <w:rPr>
                      <w:rFonts w:hint="eastAsia"/>
                    </w:rPr>
                    <w:t>1m处</w:t>
                  </w:r>
                </w:p>
              </w:tc>
              <w:tc>
                <w:tcPr>
                  <w:tcW w:w="687" w:type="pct"/>
                  <w:tcBorders>
                    <w:tl2br w:val="nil"/>
                    <w:tr2bl w:val="nil"/>
                  </w:tcBorders>
                  <w:shd w:val="clear" w:color="auto" w:fill="auto"/>
                  <w:vAlign w:val="center"/>
                </w:tcPr>
                <w:p w14:paraId="61D2CC97">
                  <w:pPr>
                    <w:snapToGrid w:val="0"/>
                    <w:ind w:left="-199" w:leftChars="-95" w:right="-174" w:rightChars="-83"/>
                    <w:jc w:val="center"/>
                  </w:pPr>
                  <w:r>
                    <w:t>14:41-14:51</w:t>
                  </w:r>
                </w:p>
              </w:tc>
              <w:tc>
                <w:tcPr>
                  <w:tcW w:w="687" w:type="pct"/>
                  <w:tcBorders>
                    <w:tl2br w:val="nil"/>
                    <w:tr2bl w:val="nil"/>
                  </w:tcBorders>
                  <w:shd w:val="clear" w:color="auto" w:fill="auto"/>
                  <w:vAlign w:val="center"/>
                </w:tcPr>
                <w:p w14:paraId="6EFFA634">
                  <w:pPr>
                    <w:widowControl/>
                    <w:jc w:val="center"/>
                    <w:textAlignment w:val="center"/>
                  </w:pPr>
                  <w:r>
                    <w:t>57</w:t>
                  </w:r>
                </w:p>
              </w:tc>
              <w:tc>
                <w:tcPr>
                  <w:tcW w:w="687" w:type="pct"/>
                  <w:tcBorders>
                    <w:tl2br w:val="nil"/>
                    <w:tr2bl w:val="nil"/>
                  </w:tcBorders>
                  <w:shd w:val="clear" w:color="auto" w:fill="auto"/>
                  <w:vAlign w:val="center"/>
                </w:tcPr>
                <w:p w14:paraId="60980190">
                  <w:pPr>
                    <w:snapToGrid w:val="0"/>
                    <w:ind w:left="-199" w:leftChars="-95" w:right="-174" w:rightChars="-83"/>
                    <w:jc w:val="center"/>
                  </w:pPr>
                  <w:r>
                    <w:t>22:00-22:10</w:t>
                  </w:r>
                </w:p>
              </w:tc>
              <w:tc>
                <w:tcPr>
                  <w:tcW w:w="687" w:type="pct"/>
                  <w:tcBorders>
                    <w:tl2br w:val="nil"/>
                    <w:tr2bl w:val="nil"/>
                  </w:tcBorders>
                  <w:shd w:val="clear" w:color="auto" w:fill="auto"/>
                  <w:vAlign w:val="center"/>
                </w:tcPr>
                <w:p w14:paraId="4280E813">
                  <w:pPr>
                    <w:widowControl/>
                    <w:jc w:val="center"/>
                    <w:textAlignment w:val="center"/>
                  </w:pPr>
                  <w:r>
                    <w:t>45</w:t>
                  </w:r>
                </w:p>
              </w:tc>
            </w:tr>
            <w:tr w14:paraId="484CD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9" w:type="pct"/>
                  <w:vMerge w:val="continue"/>
                  <w:tcBorders>
                    <w:tl2br w:val="nil"/>
                    <w:tr2bl w:val="nil"/>
                  </w:tcBorders>
                  <w:vAlign w:val="center"/>
                </w:tcPr>
                <w:p w14:paraId="3E34834B">
                  <w:pPr>
                    <w:snapToGrid w:val="0"/>
                    <w:jc w:val="center"/>
                    <w:rPr>
                      <w:bCs/>
                    </w:rPr>
                  </w:pPr>
                </w:p>
              </w:tc>
              <w:tc>
                <w:tcPr>
                  <w:tcW w:w="475" w:type="pct"/>
                  <w:vMerge w:val="continue"/>
                  <w:tcBorders>
                    <w:tl2br w:val="nil"/>
                    <w:tr2bl w:val="nil"/>
                  </w:tcBorders>
                  <w:vAlign w:val="center"/>
                </w:tcPr>
                <w:p w14:paraId="7F9D99A0">
                  <w:pPr>
                    <w:jc w:val="center"/>
                    <w:rPr>
                      <w:spacing w:val="-1"/>
                    </w:rPr>
                  </w:pPr>
                </w:p>
              </w:tc>
              <w:tc>
                <w:tcPr>
                  <w:tcW w:w="1293" w:type="pct"/>
                  <w:tcBorders>
                    <w:tl2br w:val="nil"/>
                    <w:tr2bl w:val="nil"/>
                  </w:tcBorders>
                  <w:vAlign w:val="center"/>
                </w:tcPr>
                <w:p w14:paraId="5C1B96F8">
                  <w:pPr>
                    <w:spacing w:line="300" w:lineRule="exact"/>
                    <w:jc w:val="center"/>
                  </w:pPr>
                  <w:r>
                    <w:rPr>
                      <w:rFonts w:hint="eastAsia"/>
                    </w:rPr>
                    <w:t>项目东南</w:t>
                  </w:r>
                  <w:r>
                    <w:t>侧场界外</w:t>
                  </w:r>
                </w:p>
                <w:p w14:paraId="297B8E13">
                  <w:pPr>
                    <w:spacing w:line="300" w:lineRule="exact"/>
                    <w:jc w:val="center"/>
                    <w:rPr>
                      <w:szCs w:val="24"/>
                    </w:rPr>
                  </w:pPr>
                  <w:r>
                    <w:rPr>
                      <w:rFonts w:hint="eastAsia"/>
                    </w:rPr>
                    <w:t>（紧邻居民处）</w:t>
                  </w:r>
                </w:p>
              </w:tc>
              <w:tc>
                <w:tcPr>
                  <w:tcW w:w="687" w:type="pct"/>
                  <w:tcBorders>
                    <w:tl2br w:val="nil"/>
                    <w:tr2bl w:val="nil"/>
                  </w:tcBorders>
                  <w:shd w:val="clear" w:color="auto" w:fill="auto"/>
                  <w:vAlign w:val="center"/>
                </w:tcPr>
                <w:p w14:paraId="04062A8D">
                  <w:pPr>
                    <w:jc w:val="center"/>
                  </w:pPr>
                  <w:r>
                    <w:t>15:00-15:10</w:t>
                  </w:r>
                </w:p>
              </w:tc>
              <w:tc>
                <w:tcPr>
                  <w:tcW w:w="687" w:type="pct"/>
                  <w:tcBorders>
                    <w:tl2br w:val="nil"/>
                    <w:tr2bl w:val="nil"/>
                  </w:tcBorders>
                  <w:shd w:val="clear" w:color="auto" w:fill="auto"/>
                  <w:vAlign w:val="center"/>
                </w:tcPr>
                <w:p w14:paraId="7B9B06CF">
                  <w:pPr>
                    <w:jc w:val="center"/>
                  </w:pPr>
                  <w:r>
                    <w:t>56</w:t>
                  </w:r>
                </w:p>
              </w:tc>
              <w:tc>
                <w:tcPr>
                  <w:tcW w:w="687" w:type="pct"/>
                  <w:tcBorders>
                    <w:tl2br w:val="nil"/>
                    <w:tr2bl w:val="nil"/>
                  </w:tcBorders>
                  <w:shd w:val="clear" w:color="auto" w:fill="auto"/>
                  <w:vAlign w:val="center"/>
                </w:tcPr>
                <w:p w14:paraId="05613E1F">
                  <w:pPr>
                    <w:widowControl/>
                    <w:jc w:val="center"/>
                    <w:textAlignment w:val="center"/>
                  </w:pPr>
                  <w:r>
                    <w:t>22:14-22:24</w:t>
                  </w:r>
                </w:p>
              </w:tc>
              <w:tc>
                <w:tcPr>
                  <w:tcW w:w="687" w:type="pct"/>
                  <w:tcBorders>
                    <w:tl2br w:val="nil"/>
                    <w:tr2bl w:val="nil"/>
                  </w:tcBorders>
                  <w:shd w:val="clear" w:color="auto" w:fill="auto"/>
                  <w:vAlign w:val="center"/>
                </w:tcPr>
                <w:p w14:paraId="7E98D5BE">
                  <w:pPr>
                    <w:widowControl/>
                    <w:jc w:val="center"/>
                    <w:textAlignment w:val="center"/>
                  </w:pPr>
                  <w:r>
                    <w:t>44</w:t>
                  </w:r>
                </w:p>
              </w:tc>
            </w:tr>
            <w:tr w14:paraId="6D33D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9" w:type="pct"/>
                  <w:vMerge w:val="continue"/>
                  <w:tcBorders>
                    <w:tl2br w:val="nil"/>
                    <w:tr2bl w:val="nil"/>
                  </w:tcBorders>
                  <w:vAlign w:val="center"/>
                </w:tcPr>
                <w:p w14:paraId="474E558A">
                  <w:pPr>
                    <w:snapToGrid w:val="0"/>
                    <w:jc w:val="center"/>
                    <w:rPr>
                      <w:bCs/>
                    </w:rPr>
                  </w:pPr>
                </w:p>
              </w:tc>
              <w:tc>
                <w:tcPr>
                  <w:tcW w:w="475" w:type="pct"/>
                  <w:vMerge w:val="continue"/>
                  <w:tcBorders>
                    <w:tl2br w:val="nil"/>
                    <w:tr2bl w:val="nil"/>
                  </w:tcBorders>
                  <w:vAlign w:val="center"/>
                </w:tcPr>
                <w:p w14:paraId="233464B4">
                  <w:pPr>
                    <w:jc w:val="center"/>
                    <w:rPr>
                      <w:bCs/>
                      <w:kern w:val="0"/>
                    </w:rPr>
                  </w:pPr>
                </w:p>
              </w:tc>
              <w:tc>
                <w:tcPr>
                  <w:tcW w:w="1293" w:type="pct"/>
                  <w:tcBorders>
                    <w:tl2br w:val="nil"/>
                    <w:tr2bl w:val="nil"/>
                  </w:tcBorders>
                  <w:vAlign w:val="center"/>
                </w:tcPr>
                <w:p w14:paraId="2C081181">
                  <w:pPr>
                    <w:spacing w:line="300" w:lineRule="exact"/>
                    <w:jc w:val="center"/>
                  </w:pPr>
                  <w:r>
                    <w:rPr>
                      <w:rFonts w:hint="eastAsia"/>
                    </w:rPr>
                    <w:t>项目南</w:t>
                  </w:r>
                  <w:r>
                    <w:t>侧场界外</w:t>
                  </w:r>
                </w:p>
                <w:p w14:paraId="4C94399C">
                  <w:pPr>
                    <w:spacing w:line="300" w:lineRule="exact"/>
                    <w:jc w:val="center"/>
                    <w:rPr>
                      <w:szCs w:val="24"/>
                    </w:rPr>
                  </w:pPr>
                  <w:r>
                    <w:t>（紧邻</w:t>
                  </w:r>
                  <w:r>
                    <w:rPr>
                      <w:rFonts w:hint="eastAsia"/>
                    </w:rPr>
                    <w:t>居民</w:t>
                  </w:r>
                  <w:r>
                    <w:t>处）</w:t>
                  </w:r>
                </w:p>
              </w:tc>
              <w:tc>
                <w:tcPr>
                  <w:tcW w:w="687" w:type="pct"/>
                  <w:tcBorders>
                    <w:tl2br w:val="nil"/>
                    <w:tr2bl w:val="nil"/>
                  </w:tcBorders>
                  <w:shd w:val="clear" w:color="auto" w:fill="auto"/>
                  <w:vAlign w:val="center"/>
                </w:tcPr>
                <w:p w14:paraId="6D72F4E7">
                  <w:pPr>
                    <w:jc w:val="center"/>
                  </w:pPr>
                  <w:r>
                    <w:t>15:16-15:26</w:t>
                  </w:r>
                </w:p>
              </w:tc>
              <w:tc>
                <w:tcPr>
                  <w:tcW w:w="687" w:type="pct"/>
                  <w:tcBorders>
                    <w:tl2br w:val="nil"/>
                    <w:tr2bl w:val="nil"/>
                  </w:tcBorders>
                  <w:shd w:val="clear" w:color="auto" w:fill="auto"/>
                  <w:vAlign w:val="center"/>
                </w:tcPr>
                <w:p w14:paraId="6E2A3CF3">
                  <w:pPr>
                    <w:jc w:val="center"/>
                  </w:pPr>
                  <w:r>
                    <w:t>54</w:t>
                  </w:r>
                </w:p>
              </w:tc>
              <w:tc>
                <w:tcPr>
                  <w:tcW w:w="687" w:type="pct"/>
                  <w:tcBorders>
                    <w:tl2br w:val="nil"/>
                    <w:tr2bl w:val="nil"/>
                  </w:tcBorders>
                  <w:shd w:val="clear" w:color="auto" w:fill="auto"/>
                  <w:vAlign w:val="center"/>
                </w:tcPr>
                <w:p w14:paraId="65711A01">
                  <w:pPr>
                    <w:widowControl/>
                    <w:jc w:val="center"/>
                    <w:textAlignment w:val="center"/>
                  </w:pPr>
                  <w:r>
                    <w:t>22:28-22:38</w:t>
                  </w:r>
                </w:p>
              </w:tc>
              <w:tc>
                <w:tcPr>
                  <w:tcW w:w="687" w:type="pct"/>
                  <w:tcBorders>
                    <w:tl2br w:val="nil"/>
                    <w:tr2bl w:val="nil"/>
                  </w:tcBorders>
                  <w:shd w:val="clear" w:color="auto" w:fill="auto"/>
                  <w:vAlign w:val="center"/>
                </w:tcPr>
                <w:p w14:paraId="3EFF8F93">
                  <w:pPr>
                    <w:widowControl/>
                    <w:jc w:val="center"/>
                    <w:textAlignment w:val="center"/>
                  </w:pPr>
                  <w:r>
                    <w:t>46</w:t>
                  </w:r>
                </w:p>
              </w:tc>
            </w:tr>
            <w:tr w14:paraId="6BF01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9" w:type="pct"/>
                  <w:vMerge w:val="continue"/>
                  <w:tcBorders>
                    <w:tl2br w:val="nil"/>
                    <w:tr2bl w:val="nil"/>
                  </w:tcBorders>
                  <w:vAlign w:val="center"/>
                </w:tcPr>
                <w:p w14:paraId="7853C0D7">
                  <w:pPr>
                    <w:snapToGrid w:val="0"/>
                    <w:jc w:val="center"/>
                    <w:rPr>
                      <w:bCs/>
                    </w:rPr>
                  </w:pPr>
                </w:p>
              </w:tc>
              <w:tc>
                <w:tcPr>
                  <w:tcW w:w="475" w:type="pct"/>
                  <w:vMerge w:val="continue"/>
                  <w:tcBorders>
                    <w:tl2br w:val="nil"/>
                    <w:tr2bl w:val="nil"/>
                  </w:tcBorders>
                  <w:vAlign w:val="center"/>
                </w:tcPr>
                <w:p w14:paraId="4019E62D">
                  <w:pPr>
                    <w:jc w:val="center"/>
                    <w:rPr>
                      <w:bCs/>
                      <w:kern w:val="0"/>
                    </w:rPr>
                  </w:pPr>
                </w:p>
              </w:tc>
              <w:tc>
                <w:tcPr>
                  <w:tcW w:w="1293" w:type="pct"/>
                  <w:tcBorders>
                    <w:tl2br w:val="nil"/>
                    <w:tr2bl w:val="nil"/>
                  </w:tcBorders>
                  <w:vAlign w:val="center"/>
                </w:tcPr>
                <w:p w14:paraId="3CA01FBE">
                  <w:pPr>
                    <w:spacing w:line="300" w:lineRule="exact"/>
                    <w:jc w:val="center"/>
                  </w:pPr>
                  <w:r>
                    <w:rPr>
                      <w:rFonts w:hint="eastAsia"/>
                    </w:rPr>
                    <w:t>项目西南侧</w:t>
                  </w:r>
                  <w:r>
                    <w:t>场界外</w:t>
                  </w:r>
                  <w:r>
                    <w:rPr>
                      <w:rFonts w:hint="eastAsia"/>
                    </w:rPr>
                    <w:t>1m处</w:t>
                  </w:r>
                </w:p>
              </w:tc>
              <w:tc>
                <w:tcPr>
                  <w:tcW w:w="687" w:type="pct"/>
                  <w:tcBorders>
                    <w:tl2br w:val="nil"/>
                    <w:tr2bl w:val="nil"/>
                  </w:tcBorders>
                  <w:shd w:val="clear" w:color="auto" w:fill="auto"/>
                  <w:vAlign w:val="center"/>
                </w:tcPr>
                <w:p w14:paraId="65EE9C3B">
                  <w:pPr>
                    <w:jc w:val="center"/>
                  </w:pPr>
                  <w:r>
                    <w:t>15:35-15:45</w:t>
                  </w:r>
                </w:p>
              </w:tc>
              <w:tc>
                <w:tcPr>
                  <w:tcW w:w="687" w:type="pct"/>
                  <w:tcBorders>
                    <w:tl2br w:val="nil"/>
                    <w:tr2bl w:val="nil"/>
                  </w:tcBorders>
                  <w:shd w:val="clear" w:color="auto" w:fill="auto"/>
                  <w:vAlign w:val="center"/>
                </w:tcPr>
                <w:p w14:paraId="0DEC65F8">
                  <w:pPr>
                    <w:jc w:val="center"/>
                  </w:pPr>
                  <w:r>
                    <w:t>54</w:t>
                  </w:r>
                </w:p>
              </w:tc>
              <w:tc>
                <w:tcPr>
                  <w:tcW w:w="687" w:type="pct"/>
                  <w:tcBorders>
                    <w:tl2br w:val="nil"/>
                    <w:tr2bl w:val="nil"/>
                  </w:tcBorders>
                  <w:shd w:val="clear" w:color="auto" w:fill="auto"/>
                  <w:vAlign w:val="center"/>
                </w:tcPr>
                <w:p w14:paraId="4110891A">
                  <w:pPr>
                    <w:widowControl/>
                    <w:jc w:val="center"/>
                    <w:textAlignment w:val="center"/>
                  </w:pPr>
                  <w:r>
                    <w:t>22:42-22:52</w:t>
                  </w:r>
                </w:p>
              </w:tc>
              <w:tc>
                <w:tcPr>
                  <w:tcW w:w="687" w:type="pct"/>
                  <w:tcBorders>
                    <w:tl2br w:val="nil"/>
                    <w:tr2bl w:val="nil"/>
                  </w:tcBorders>
                  <w:shd w:val="clear" w:color="auto" w:fill="auto"/>
                  <w:vAlign w:val="center"/>
                </w:tcPr>
                <w:p w14:paraId="32687227">
                  <w:pPr>
                    <w:widowControl/>
                    <w:jc w:val="center"/>
                    <w:textAlignment w:val="center"/>
                  </w:pPr>
                  <w:r>
                    <w:t>44</w:t>
                  </w:r>
                </w:p>
              </w:tc>
            </w:tr>
            <w:tr w14:paraId="5E490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9" w:type="pct"/>
                  <w:vMerge w:val="continue"/>
                  <w:tcBorders>
                    <w:tl2br w:val="nil"/>
                    <w:tr2bl w:val="nil"/>
                  </w:tcBorders>
                  <w:vAlign w:val="center"/>
                </w:tcPr>
                <w:p w14:paraId="747535A6">
                  <w:pPr>
                    <w:jc w:val="center"/>
                  </w:pPr>
                </w:p>
              </w:tc>
              <w:tc>
                <w:tcPr>
                  <w:tcW w:w="475" w:type="pct"/>
                  <w:vMerge w:val="continue"/>
                  <w:tcBorders>
                    <w:tl2br w:val="nil"/>
                    <w:tr2bl w:val="nil"/>
                  </w:tcBorders>
                  <w:vAlign w:val="center"/>
                </w:tcPr>
                <w:p w14:paraId="4F980808">
                  <w:pPr>
                    <w:jc w:val="center"/>
                    <w:rPr>
                      <w:bCs/>
                      <w:kern w:val="0"/>
                    </w:rPr>
                  </w:pPr>
                </w:p>
              </w:tc>
              <w:tc>
                <w:tcPr>
                  <w:tcW w:w="1293" w:type="pct"/>
                  <w:tcBorders>
                    <w:tl2br w:val="nil"/>
                    <w:tr2bl w:val="nil"/>
                  </w:tcBorders>
                  <w:vAlign w:val="center"/>
                </w:tcPr>
                <w:p w14:paraId="1678F5F2">
                  <w:pPr>
                    <w:spacing w:line="300" w:lineRule="exact"/>
                    <w:jc w:val="center"/>
                    <w:rPr>
                      <w:szCs w:val="24"/>
                    </w:rPr>
                  </w:pPr>
                  <w:r>
                    <w:rPr>
                      <w:rFonts w:hint="eastAsia"/>
                    </w:rPr>
                    <w:t>项目西北</w:t>
                  </w:r>
                  <w:r>
                    <w:t>侧场界外</w:t>
                  </w:r>
                  <w:r>
                    <w:rPr>
                      <w:rFonts w:hint="eastAsia"/>
                    </w:rPr>
                    <w:t>1m处</w:t>
                  </w:r>
                </w:p>
              </w:tc>
              <w:tc>
                <w:tcPr>
                  <w:tcW w:w="687" w:type="pct"/>
                  <w:tcBorders>
                    <w:tl2br w:val="nil"/>
                    <w:tr2bl w:val="nil"/>
                  </w:tcBorders>
                  <w:shd w:val="clear" w:color="auto" w:fill="auto"/>
                  <w:vAlign w:val="center"/>
                </w:tcPr>
                <w:p w14:paraId="398012FD">
                  <w:pPr>
                    <w:ind w:left="-199" w:leftChars="-95" w:right="-197" w:rightChars="-94"/>
                    <w:jc w:val="center"/>
                    <w:rPr>
                      <w:bCs/>
                    </w:rPr>
                  </w:pPr>
                  <w:r>
                    <w:t>15:50-16:00</w:t>
                  </w:r>
                </w:p>
              </w:tc>
              <w:tc>
                <w:tcPr>
                  <w:tcW w:w="687" w:type="pct"/>
                  <w:tcBorders>
                    <w:tl2br w:val="nil"/>
                    <w:tr2bl w:val="nil"/>
                  </w:tcBorders>
                  <w:shd w:val="clear" w:color="auto" w:fill="auto"/>
                  <w:vAlign w:val="center"/>
                </w:tcPr>
                <w:p w14:paraId="01655818">
                  <w:pPr>
                    <w:ind w:left="-199" w:leftChars="-95" w:right="-197" w:rightChars="-94"/>
                    <w:jc w:val="center"/>
                    <w:rPr>
                      <w:bCs/>
                    </w:rPr>
                  </w:pPr>
                  <w:r>
                    <w:rPr>
                      <w:bCs/>
                    </w:rPr>
                    <w:t>52</w:t>
                  </w:r>
                </w:p>
              </w:tc>
              <w:tc>
                <w:tcPr>
                  <w:tcW w:w="687" w:type="pct"/>
                  <w:tcBorders>
                    <w:tl2br w:val="nil"/>
                    <w:tr2bl w:val="nil"/>
                  </w:tcBorders>
                  <w:shd w:val="clear" w:color="auto" w:fill="auto"/>
                  <w:vAlign w:val="center"/>
                </w:tcPr>
                <w:p w14:paraId="27F13E94">
                  <w:pPr>
                    <w:widowControl/>
                    <w:jc w:val="center"/>
                    <w:textAlignment w:val="center"/>
                  </w:pPr>
                  <w:r>
                    <w:t>22:56-23:06</w:t>
                  </w:r>
                </w:p>
              </w:tc>
              <w:tc>
                <w:tcPr>
                  <w:tcW w:w="687" w:type="pct"/>
                  <w:tcBorders>
                    <w:tl2br w:val="nil"/>
                    <w:tr2bl w:val="nil"/>
                  </w:tcBorders>
                  <w:shd w:val="clear" w:color="auto" w:fill="auto"/>
                  <w:vAlign w:val="center"/>
                </w:tcPr>
                <w:p w14:paraId="6CFA6D89">
                  <w:pPr>
                    <w:widowControl/>
                    <w:jc w:val="center"/>
                    <w:textAlignment w:val="center"/>
                  </w:pPr>
                  <w:r>
                    <w:t>46</w:t>
                  </w:r>
                </w:p>
              </w:tc>
            </w:tr>
          </w:tbl>
          <w:p w14:paraId="32BE5D8E">
            <w:pPr>
              <w:spacing w:line="360" w:lineRule="auto"/>
              <w:ind w:firstLine="480" w:firstLineChars="200"/>
              <w:rPr>
                <w:sz w:val="24"/>
                <w:szCs w:val="24"/>
              </w:rPr>
            </w:pPr>
            <w:r>
              <w:rPr>
                <w:sz w:val="24"/>
                <w:szCs w:val="24"/>
              </w:rPr>
              <w:t>结果表明，监测点噪声值均达到《声环境质量标准》（GB3096-2008）2类标准，区域声环境质量良好</w:t>
            </w:r>
            <w:r>
              <w:rPr>
                <w:rFonts w:hint="eastAsia"/>
                <w:sz w:val="24"/>
                <w:szCs w:val="24"/>
              </w:rPr>
              <w:t>。</w:t>
            </w:r>
          </w:p>
          <w:p w14:paraId="4C17EEFF">
            <w:pPr>
              <w:spacing w:line="360" w:lineRule="auto"/>
              <w:ind w:firstLine="482" w:firstLineChars="200"/>
              <w:rPr>
                <w:b/>
                <w:bCs/>
                <w:sz w:val="24"/>
                <w:szCs w:val="24"/>
              </w:rPr>
            </w:pPr>
            <w:r>
              <w:rPr>
                <w:rFonts w:hint="eastAsia"/>
                <w:b/>
                <w:bCs/>
                <w:sz w:val="24"/>
                <w:szCs w:val="24"/>
              </w:rPr>
              <w:t>4、地下水环境现状</w:t>
            </w:r>
          </w:p>
          <w:p w14:paraId="4D388161">
            <w:pPr>
              <w:spacing w:line="360" w:lineRule="auto"/>
              <w:ind w:firstLine="480" w:firstLineChars="200"/>
              <w:rPr>
                <w:sz w:val="24"/>
                <w:szCs w:val="24"/>
              </w:rPr>
            </w:pPr>
            <w:r>
              <w:rPr>
                <w:sz w:val="24"/>
                <w:szCs w:val="24"/>
              </w:rPr>
              <w:t>本项目</w:t>
            </w:r>
            <w:r>
              <w:rPr>
                <w:rFonts w:hint="eastAsia"/>
                <w:sz w:val="24"/>
                <w:szCs w:val="24"/>
              </w:rPr>
              <w:t>为专科医院建设项目</w:t>
            </w:r>
            <w:r>
              <w:rPr>
                <w:sz w:val="24"/>
                <w:szCs w:val="24"/>
              </w:rPr>
              <w:t>，根据《环境影响评价技术导则</w:t>
            </w:r>
            <w:r>
              <w:rPr>
                <w:rFonts w:hint="eastAsia"/>
                <w:sz w:val="24"/>
                <w:szCs w:val="24"/>
              </w:rPr>
              <w:t xml:space="preserve"> </w:t>
            </w:r>
            <w:r>
              <w:rPr>
                <w:sz w:val="24"/>
                <w:szCs w:val="24"/>
              </w:rPr>
              <w:t>地下水环境》（HJ610-2016）附录A，本项目地下水环境影响评价项目类别为“1</w:t>
            </w:r>
            <w:r>
              <w:rPr>
                <w:rFonts w:hint="eastAsia"/>
                <w:sz w:val="24"/>
                <w:szCs w:val="24"/>
              </w:rPr>
              <w:t>59</w:t>
            </w:r>
            <w:r>
              <w:rPr>
                <w:sz w:val="24"/>
                <w:szCs w:val="24"/>
              </w:rPr>
              <w:t>、</w:t>
            </w:r>
            <w:r>
              <w:rPr>
                <w:rFonts w:hint="eastAsia"/>
                <w:sz w:val="24"/>
                <w:szCs w:val="24"/>
              </w:rPr>
              <w:t>专科防治院（所、站）</w:t>
            </w:r>
            <w:r>
              <w:rPr>
                <w:sz w:val="24"/>
                <w:szCs w:val="24"/>
              </w:rPr>
              <w:t>，Ⅳ类建设项目”。根据《环境影响评价技术导则-地下水环境》（HJ610-2016），Ⅳ类建设项目不开展地下水环境影响评价，因此，本次评价未对地下水环境现状进行调查。</w:t>
            </w:r>
          </w:p>
          <w:p w14:paraId="0BC850CA">
            <w:pPr>
              <w:spacing w:line="360" w:lineRule="auto"/>
              <w:ind w:firstLine="482" w:firstLineChars="200"/>
              <w:rPr>
                <w:b/>
                <w:bCs/>
                <w:sz w:val="24"/>
                <w:szCs w:val="24"/>
              </w:rPr>
            </w:pPr>
            <w:r>
              <w:rPr>
                <w:rFonts w:hint="eastAsia"/>
                <w:b/>
                <w:bCs/>
                <w:sz w:val="24"/>
                <w:szCs w:val="24"/>
              </w:rPr>
              <w:t>5、土壤环境现状</w:t>
            </w:r>
          </w:p>
          <w:p w14:paraId="1ED0141A">
            <w:pPr>
              <w:spacing w:line="360" w:lineRule="auto"/>
              <w:ind w:firstLine="480" w:firstLineChars="200"/>
              <w:rPr>
                <w:sz w:val="24"/>
                <w:szCs w:val="24"/>
                <w:lang w:val="zh-CN"/>
              </w:rPr>
            </w:pPr>
            <w:r>
              <w:rPr>
                <w:rFonts w:hint="eastAsia"/>
                <w:sz w:val="24"/>
                <w:szCs w:val="24"/>
              </w:rPr>
              <w:t>根据《</w:t>
            </w:r>
            <w:r>
              <w:rPr>
                <w:sz w:val="24"/>
                <w:szCs w:val="24"/>
              </w:rPr>
              <w:t>环境影响评价技术导则</w:t>
            </w:r>
            <w:r>
              <w:rPr>
                <w:rFonts w:hint="eastAsia"/>
                <w:sz w:val="24"/>
                <w:szCs w:val="24"/>
              </w:rPr>
              <w:t xml:space="preserve"> 土壤导则》（HJ964-2018）中建设项目类别划分，本项目属于</w:t>
            </w:r>
            <w:r>
              <w:rPr>
                <w:sz w:val="24"/>
                <w:szCs w:val="24"/>
              </w:rPr>
              <w:t>附录A</w:t>
            </w:r>
            <w:r>
              <w:rPr>
                <w:rFonts w:hint="eastAsia"/>
                <w:sz w:val="24"/>
                <w:szCs w:val="24"/>
              </w:rPr>
              <w:t>中其他项目，属于</w:t>
            </w:r>
            <w:r>
              <w:rPr>
                <w:sz w:val="24"/>
                <w:szCs w:val="24"/>
              </w:rPr>
              <w:t>Ⅳ类项目</w:t>
            </w:r>
            <w:r>
              <w:rPr>
                <w:rFonts w:hint="eastAsia"/>
                <w:sz w:val="24"/>
                <w:szCs w:val="24"/>
              </w:rPr>
              <w:t>，</w:t>
            </w:r>
            <w:r>
              <w:rPr>
                <w:sz w:val="24"/>
                <w:szCs w:val="24"/>
              </w:rPr>
              <w:t>项目不开展</w:t>
            </w:r>
            <w:r>
              <w:rPr>
                <w:rFonts w:hint="eastAsia"/>
                <w:sz w:val="24"/>
                <w:szCs w:val="24"/>
              </w:rPr>
              <w:t>土壤</w:t>
            </w:r>
            <w:r>
              <w:rPr>
                <w:sz w:val="24"/>
                <w:szCs w:val="24"/>
              </w:rPr>
              <w:t>环境影响评价，因此，本次评价未对</w:t>
            </w:r>
            <w:r>
              <w:rPr>
                <w:rFonts w:hint="eastAsia"/>
                <w:sz w:val="24"/>
                <w:szCs w:val="24"/>
              </w:rPr>
              <w:t>土壤</w:t>
            </w:r>
            <w:r>
              <w:rPr>
                <w:sz w:val="24"/>
                <w:szCs w:val="24"/>
              </w:rPr>
              <w:t>环境现状进行调查。</w:t>
            </w:r>
          </w:p>
        </w:tc>
      </w:tr>
      <w:tr w14:paraId="6564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14:paraId="231BF936">
            <w:pPr>
              <w:spacing w:line="360" w:lineRule="auto"/>
              <w:jc w:val="center"/>
              <w:rPr>
                <w:sz w:val="24"/>
                <w:szCs w:val="24"/>
              </w:rPr>
            </w:pPr>
            <w:r>
              <w:rPr>
                <w:sz w:val="24"/>
                <w:szCs w:val="24"/>
              </w:rPr>
              <w:t>环境</w:t>
            </w:r>
          </w:p>
          <w:p w14:paraId="03344651">
            <w:pPr>
              <w:spacing w:line="360" w:lineRule="auto"/>
              <w:jc w:val="center"/>
              <w:rPr>
                <w:sz w:val="24"/>
                <w:szCs w:val="24"/>
              </w:rPr>
            </w:pPr>
            <w:r>
              <w:rPr>
                <w:sz w:val="24"/>
                <w:szCs w:val="24"/>
              </w:rPr>
              <w:t>保护</w:t>
            </w:r>
          </w:p>
          <w:p w14:paraId="077A3FA9">
            <w:pPr>
              <w:spacing w:line="360" w:lineRule="auto"/>
              <w:jc w:val="center"/>
              <w:rPr>
                <w:sz w:val="24"/>
                <w:szCs w:val="24"/>
              </w:rPr>
            </w:pPr>
            <w:r>
              <w:rPr>
                <w:sz w:val="24"/>
                <w:szCs w:val="24"/>
              </w:rPr>
              <w:t>目标</w:t>
            </w:r>
          </w:p>
        </w:tc>
        <w:tc>
          <w:tcPr>
            <w:tcW w:w="9272" w:type="dxa"/>
            <w:vAlign w:val="center"/>
          </w:tcPr>
          <w:p w14:paraId="77E8ECA4">
            <w:pPr>
              <w:spacing w:line="360" w:lineRule="auto"/>
              <w:ind w:firstLine="482" w:firstLineChars="200"/>
              <w:rPr>
                <w:b/>
                <w:sz w:val="24"/>
                <w:szCs w:val="24"/>
              </w:rPr>
            </w:pPr>
            <w:r>
              <w:rPr>
                <w:b/>
                <w:sz w:val="24"/>
                <w:szCs w:val="24"/>
              </w:rPr>
              <w:t>1、大气环境</w:t>
            </w:r>
          </w:p>
          <w:p w14:paraId="3DCB53E5">
            <w:pPr>
              <w:spacing w:line="360" w:lineRule="auto"/>
              <w:ind w:firstLine="480" w:firstLineChars="200"/>
              <w:rPr>
                <w:sz w:val="24"/>
                <w:szCs w:val="24"/>
              </w:rPr>
            </w:pPr>
            <w:r>
              <w:rPr>
                <w:sz w:val="24"/>
                <w:szCs w:val="24"/>
              </w:rPr>
              <w:t>本项目厂界外500m范围内大气环境</w:t>
            </w:r>
            <w:r>
              <w:rPr>
                <w:rFonts w:hint="eastAsia"/>
                <w:sz w:val="24"/>
                <w:szCs w:val="24"/>
              </w:rPr>
              <w:t>主要</w:t>
            </w:r>
            <w:r>
              <w:rPr>
                <w:sz w:val="24"/>
                <w:szCs w:val="24"/>
              </w:rPr>
              <w:t>保护目标见表3-</w:t>
            </w:r>
            <w:r>
              <w:rPr>
                <w:rFonts w:hint="eastAsia"/>
                <w:sz w:val="24"/>
                <w:szCs w:val="24"/>
              </w:rPr>
              <w:t>7。</w:t>
            </w:r>
          </w:p>
          <w:p w14:paraId="3C5E3A5B">
            <w:pPr>
              <w:spacing w:line="360" w:lineRule="auto"/>
              <w:jc w:val="center"/>
              <w:rPr>
                <w:b/>
                <w:bCs/>
                <w:sz w:val="24"/>
                <w:szCs w:val="24"/>
              </w:rPr>
            </w:pPr>
            <w:r>
              <w:rPr>
                <w:b/>
                <w:bCs/>
                <w:sz w:val="24"/>
                <w:szCs w:val="24"/>
              </w:rPr>
              <w:t>表3-</w:t>
            </w:r>
            <w:r>
              <w:rPr>
                <w:rFonts w:hint="eastAsia"/>
                <w:b/>
                <w:bCs/>
                <w:sz w:val="24"/>
                <w:szCs w:val="24"/>
              </w:rPr>
              <w:t>7</w:t>
            </w:r>
            <w:r>
              <w:rPr>
                <w:b/>
                <w:bCs/>
                <w:sz w:val="24"/>
                <w:szCs w:val="24"/>
              </w:rPr>
              <w:t xml:space="preserve">  </w:t>
            </w:r>
            <w:r>
              <w:rPr>
                <w:rFonts w:hint="eastAsia"/>
                <w:b/>
                <w:bCs/>
                <w:sz w:val="24"/>
                <w:szCs w:val="24"/>
              </w:rPr>
              <w:t>大气环境</w:t>
            </w:r>
            <w:r>
              <w:rPr>
                <w:b/>
                <w:bCs/>
                <w:sz w:val="24"/>
                <w:szCs w:val="24"/>
              </w:rPr>
              <w:t>主要环境保护目标</w:t>
            </w:r>
          </w:p>
          <w:tbl>
            <w:tblPr>
              <w:tblStyle w:val="23"/>
              <w:tblW w:w="497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993"/>
              <w:gridCol w:w="1273"/>
              <w:gridCol w:w="907"/>
              <w:gridCol w:w="1477"/>
              <w:gridCol w:w="938"/>
              <w:gridCol w:w="1839"/>
            </w:tblGrid>
            <w:tr w14:paraId="64B25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05F17773">
                  <w:pPr>
                    <w:jc w:val="center"/>
                    <w:rPr>
                      <w:b/>
                      <w:bCs/>
                    </w:rPr>
                  </w:pPr>
                  <w:r>
                    <w:rPr>
                      <w:b/>
                      <w:bCs/>
                    </w:rPr>
                    <w:t>序号</w:t>
                  </w:r>
                </w:p>
              </w:tc>
              <w:tc>
                <w:tcPr>
                  <w:tcW w:w="1176" w:type="pct"/>
                  <w:tcBorders>
                    <w:tl2br w:val="nil"/>
                    <w:tr2bl w:val="nil"/>
                  </w:tcBorders>
                  <w:vAlign w:val="center"/>
                </w:tcPr>
                <w:p w14:paraId="1B8027B5">
                  <w:pPr>
                    <w:jc w:val="center"/>
                    <w:rPr>
                      <w:b/>
                      <w:bCs/>
                    </w:rPr>
                  </w:pPr>
                  <w:r>
                    <w:rPr>
                      <w:b/>
                      <w:bCs/>
                    </w:rPr>
                    <w:t>保护对象</w:t>
                  </w:r>
                </w:p>
              </w:tc>
              <w:tc>
                <w:tcPr>
                  <w:tcW w:w="777" w:type="pct"/>
                  <w:tcBorders>
                    <w:tl2br w:val="nil"/>
                    <w:tr2bl w:val="nil"/>
                  </w:tcBorders>
                  <w:vAlign w:val="center"/>
                </w:tcPr>
                <w:p w14:paraId="1E8015AF">
                  <w:pPr>
                    <w:jc w:val="center"/>
                    <w:rPr>
                      <w:b/>
                      <w:bCs/>
                    </w:rPr>
                  </w:pPr>
                  <w:r>
                    <w:rPr>
                      <w:b/>
                      <w:bCs/>
                    </w:rPr>
                    <w:t>方位</w:t>
                  </w:r>
                </w:p>
              </w:tc>
              <w:tc>
                <w:tcPr>
                  <w:tcW w:w="574" w:type="pct"/>
                  <w:tcBorders>
                    <w:tl2br w:val="nil"/>
                    <w:tr2bl w:val="nil"/>
                  </w:tcBorders>
                  <w:vAlign w:val="center"/>
                </w:tcPr>
                <w:p w14:paraId="32CCA6A1">
                  <w:pPr>
                    <w:jc w:val="center"/>
                    <w:rPr>
                      <w:b/>
                      <w:bCs/>
                    </w:rPr>
                  </w:pPr>
                  <w:r>
                    <w:rPr>
                      <w:b/>
                      <w:bCs/>
                    </w:rPr>
                    <w:t>距离</w:t>
                  </w:r>
                  <w:r>
                    <w:rPr>
                      <w:rFonts w:hint="eastAsia"/>
                      <w:b/>
                      <w:bCs/>
                    </w:rPr>
                    <w:t>/m</w:t>
                  </w:r>
                </w:p>
              </w:tc>
              <w:tc>
                <w:tcPr>
                  <w:tcW w:w="890" w:type="pct"/>
                  <w:tcBorders>
                    <w:tl2br w:val="nil"/>
                    <w:tr2bl w:val="nil"/>
                  </w:tcBorders>
                  <w:vAlign w:val="center"/>
                </w:tcPr>
                <w:p w14:paraId="70212FF9">
                  <w:pPr>
                    <w:jc w:val="center"/>
                    <w:rPr>
                      <w:b/>
                      <w:bCs/>
                    </w:rPr>
                  </w:pPr>
                  <w:r>
                    <w:rPr>
                      <w:b/>
                      <w:bCs/>
                    </w:rPr>
                    <w:t>规模</w:t>
                  </w:r>
                </w:p>
              </w:tc>
              <w:tc>
                <w:tcPr>
                  <w:tcW w:w="591" w:type="pct"/>
                  <w:tcBorders>
                    <w:tl2br w:val="nil"/>
                    <w:tr2bl w:val="nil"/>
                  </w:tcBorders>
                  <w:vAlign w:val="center"/>
                </w:tcPr>
                <w:p w14:paraId="443A5A38">
                  <w:pPr>
                    <w:jc w:val="center"/>
                    <w:rPr>
                      <w:b/>
                      <w:bCs/>
                    </w:rPr>
                  </w:pPr>
                  <w:r>
                    <w:rPr>
                      <w:b/>
                      <w:bCs/>
                    </w:rPr>
                    <w:t>性质</w:t>
                  </w:r>
                </w:p>
              </w:tc>
              <w:tc>
                <w:tcPr>
                  <w:tcW w:w="591" w:type="pct"/>
                  <w:tcBorders>
                    <w:tl2br w:val="nil"/>
                    <w:tr2bl w:val="nil"/>
                  </w:tcBorders>
                  <w:vAlign w:val="center"/>
                </w:tcPr>
                <w:p w14:paraId="0DA3EC71">
                  <w:pPr>
                    <w:jc w:val="center"/>
                    <w:rPr>
                      <w:b/>
                      <w:bCs/>
                    </w:rPr>
                  </w:pPr>
                  <w:r>
                    <w:rPr>
                      <w:b/>
                      <w:bCs/>
                    </w:rPr>
                    <w:t>保护级别</w:t>
                  </w:r>
                </w:p>
              </w:tc>
            </w:tr>
            <w:tr w14:paraId="0763F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82F263F">
                  <w:pPr>
                    <w:jc w:val="center"/>
                  </w:pPr>
                  <w:r>
                    <w:t>1</w:t>
                  </w:r>
                </w:p>
              </w:tc>
              <w:tc>
                <w:tcPr>
                  <w:tcW w:w="1176" w:type="pct"/>
                  <w:tcBorders>
                    <w:tl2br w:val="nil"/>
                    <w:tr2bl w:val="nil"/>
                  </w:tcBorders>
                  <w:vAlign w:val="center"/>
                </w:tcPr>
                <w:p w14:paraId="33DAFA61">
                  <w:pPr>
                    <w:autoSpaceDE w:val="0"/>
                    <w:autoSpaceDN w:val="0"/>
                    <w:adjustRightInd w:val="0"/>
                    <w:jc w:val="center"/>
                    <w:rPr>
                      <w:kern w:val="0"/>
                    </w:rPr>
                  </w:pPr>
                  <w:r>
                    <w:rPr>
                      <w:rFonts w:hint="eastAsia"/>
                      <w:kern w:val="0"/>
                    </w:rPr>
                    <w:t>罗江镇居民</w:t>
                  </w:r>
                </w:p>
              </w:tc>
              <w:tc>
                <w:tcPr>
                  <w:tcW w:w="777" w:type="pct"/>
                  <w:tcBorders>
                    <w:tl2br w:val="nil"/>
                    <w:tr2bl w:val="nil"/>
                  </w:tcBorders>
                  <w:vAlign w:val="center"/>
                </w:tcPr>
                <w:p w14:paraId="72C43D9E">
                  <w:pPr>
                    <w:adjustRightInd w:val="0"/>
                    <w:snapToGrid w:val="0"/>
                    <w:jc w:val="center"/>
                    <w:rPr>
                      <w:kern w:val="0"/>
                    </w:rPr>
                  </w:pPr>
                  <w:r>
                    <w:rPr>
                      <w:rFonts w:hint="eastAsia"/>
                      <w:kern w:val="0"/>
                    </w:rPr>
                    <w:t>北侧</w:t>
                  </w:r>
                </w:p>
              </w:tc>
              <w:tc>
                <w:tcPr>
                  <w:tcW w:w="574" w:type="pct"/>
                  <w:tcBorders>
                    <w:tl2br w:val="nil"/>
                    <w:tr2bl w:val="nil"/>
                  </w:tcBorders>
                  <w:vAlign w:val="center"/>
                </w:tcPr>
                <w:p w14:paraId="6D7CC331">
                  <w:pPr>
                    <w:widowControl/>
                    <w:adjustRightInd w:val="0"/>
                    <w:snapToGrid w:val="0"/>
                    <w:jc w:val="center"/>
                    <w:rPr>
                      <w:kern w:val="0"/>
                    </w:rPr>
                  </w:pPr>
                  <w:r>
                    <w:rPr>
                      <w:rFonts w:hint="eastAsia"/>
                      <w:kern w:val="0"/>
                    </w:rPr>
                    <w:t>0~500</w:t>
                  </w:r>
                </w:p>
              </w:tc>
              <w:tc>
                <w:tcPr>
                  <w:tcW w:w="890" w:type="pct"/>
                  <w:tcBorders>
                    <w:tl2br w:val="nil"/>
                    <w:tr2bl w:val="nil"/>
                  </w:tcBorders>
                  <w:vAlign w:val="center"/>
                </w:tcPr>
                <w:p w14:paraId="6659251C">
                  <w:pPr>
                    <w:widowControl/>
                    <w:adjustRightInd w:val="0"/>
                    <w:snapToGrid w:val="0"/>
                    <w:jc w:val="center"/>
                    <w:rPr>
                      <w:kern w:val="0"/>
                    </w:rPr>
                  </w:pPr>
                  <w:r>
                    <w:rPr>
                      <w:rFonts w:hint="eastAsia"/>
                      <w:kern w:val="0"/>
                      <w:lang w:val="en-US" w:eastAsia="zh-CN"/>
                    </w:rPr>
                    <w:t>1</w:t>
                  </w:r>
                  <w:r>
                    <w:rPr>
                      <w:rFonts w:hint="eastAsia"/>
                      <w:kern w:val="0"/>
                    </w:rPr>
                    <w:t>8户，约</w:t>
                  </w:r>
                  <w:r>
                    <w:rPr>
                      <w:rFonts w:hint="eastAsia"/>
                      <w:kern w:val="0"/>
                      <w:lang w:val="en-US" w:eastAsia="zh-CN"/>
                    </w:rPr>
                    <w:t>5</w:t>
                  </w:r>
                  <w:r>
                    <w:rPr>
                      <w:rFonts w:hint="eastAsia"/>
                      <w:kern w:val="0"/>
                    </w:rPr>
                    <w:t>4人</w:t>
                  </w:r>
                </w:p>
              </w:tc>
              <w:tc>
                <w:tcPr>
                  <w:tcW w:w="591" w:type="pct"/>
                  <w:tcBorders>
                    <w:tl2br w:val="nil"/>
                    <w:tr2bl w:val="nil"/>
                  </w:tcBorders>
                  <w:vAlign w:val="center"/>
                </w:tcPr>
                <w:p w14:paraId="04F19C2F">
                  <w:pPr>
                    <w:widowControl/>
                    <w:adjustRightInd w:val="0"/>
                    <w:snapToGrid w:val="0"/>
                    <w:jc w:val="center"/>
                    <w:rPr>
                      <w:kern w:val="0"/>
                    </w:rPr>
                  </w:pPr>
                  <w:r>
                    <w:rPr>
                      <w:rFonts w:hint="eastAsia"/>
                      <w:kern w:val="0"/>
                    </w:rPr>
                    <w:t>居民区</w:t>
                  </w:r>
                </w:p>
              </w:tc>
              <w:tc>
                <w:tcPr>
                  <w:tcW w:w="591" w:type="pct"/>
                  <w:vMerge w:val="restart"/>
                  <w:tcBorders>
                    <w:tl2br w:val="nil"/>
                    <w:tr2bl w:val="nil"/>
                  </w:tcBorders>
                  <w:vAlign w:val="center"/>
                </w:tcPr>
                <w:p w14:paraId="440177F6">
                  <w:pPr>
                    <w:jc w:val="center"/>
                  </w:pPr>
                  <w:r>
                    <w:t>《环境空气质量标准》（GB3095-2012）二级标准</w:t>
                  </w:r>
                </w:p>
              </w:tc>
            </w:tr>
            <w:tr w14:paraId="24163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220A5903">
                  <w:pPr>
                    <w:jc w:val="center"/>
                  </w:pPr>
                  <w:r>
                    <w:t>2</w:t>
                  </w:r>
                </w:p>
              </w:tc>
              <w:tc>
                <w:tcPr>
                  <w:tcW w:w="1176" w:type="pct"/>
                  <w:tcBorders>
                    <w:tl2br w:val="nil"/>
                    <w:tr2bl w:val="nil"/>
                  </w:tcBorders>
                  <w:shd w:val="clear" w:color="auto" w:fill="auto"/>
                  <w:vAlign w:val="center"/>
                </w:tcPr>
                <w:p w14:paraId="02058CA7">
                  <w:pPr>
                    <w:autoSpaceDE w:val="0"/>
                    <w:autoSpaceDN w:val="0"/>
                    <w:adjustRightInd w:val="0"/>
                    <w:jc w:val="center"/>
                    <w:rPr>
                      <w:rFonts w:ascii="Times New Roman" w:hAnsi="Times New Roman" w:eastAsia="宋体" w:cs="Times New Roman"/>
                      <w:kern w:val="0"/>
                      <w:sz w:val="21"/>
                      <w:szCs w:val="21"/>
                      <w:lang w:val="en-US" w:eastAsia="zh-CN" w:bidi="ar-SA"/>
                    </w:rPr>
                  </w:pPr>
                  <w:r>
                    <w:rPr>
                      <w:rFonts w:hint="eastAsia"/>
                      <w:kern w:val="0"/>
                    </w:rPr>
                    <w:t>罗江镇居民</w:t>
                  </w:r>
                </w:p>
              </w:tc>
              <w:tc>
                <w:tcPr>
                  <w:tcW w:w="777" w:type="pct"/>
                  <w:tcBorders>
                    <w:tl2br w:val="nil"/>
                    <w:tr2bl w:val="nil"/>
                  </w:tcBorders>
                  <w:shd w:val="clear" w:color="auto" w:fill="auto"/>
                  <w:vAlign w:val="center"/>
                </w:tcPr>
                <w:p w14:paraId="29F19DDD">
                  <w:pPr>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东侧、东南侧、南侧</w:t>
                  </w:r>
                </w:p>
              </w:tc>
              <w:tc>
                <w:tcPr>
                  <w:tcW w:w="574" w:type="pct"/>
                  <w:tcBorders>
                    <w:tl2br w:val="nil"/>
                    <w:tr2bl w:val="nil"/>
                  </w:tcBorders>
                  <w:shd w:val="clear" w:color="auto" w:fill="auto"/>
                  <w:vAlign w:val="center"/>
                </w:tcPr>
                <w:p w14:paraId="3541EDCC">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0~500</w:t>
                  </w:r>
                </w:p>
              </w:tc>
              <w:tc>
                <w:tcPr>
                  <w:tcW w:w="890" w:type="pct"/>
                  <w:tcBorders>
                    <w:tl2br w:val="nil"/>
                    <w:tr2bl w:val="nil"/>
                  </w:tcBorders>
                  <w:shd w:val="clear" w:color="auto" w:fill="auto"/>
                  <w:vAlign w:val="center"/>
                </w:tcPr>
                <w:p w14:paraId="3D4C72AB">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40户，约120人</w:t>
                  </w:r>
                </w:p>
              </w:tc>
              <w:tc>
                <w:tcPr>
                  <w:tcW w:w="591" w:type="pct"/>
                  <w:tcBorders>
                    <w:tl2br w:val="nil"/>
                    <w:tr2bl w:val="nil"/>
                  </w:tcBorders>
                  <w:shd w:val="clear" w:color="auto" w:fill="auto"/>
                  <w:vAlign w:val="center"/>
                </w:tcPr>
                <w:p w14:paraId="38D7CF81">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居民区</w:t>
                  </w:r>
                </w:p>
              </w:tc>
              <w:tc>
                <w:tcPr>
                  <w:tcW w:w="591" w:type="pct"/>
                  <w:vMerge w:val="continue"/>
                  <w:tcBorders>
                    <w:tl2br w:val="nil"/>
                    <w:tr2bl w:val="nil"/>
                  </w:tcBorders>
                  <w:vAlign w:val="center"/>
                </w:tcPr>
                <w:p w14:paraId="4A406958">
                  <w:pPr>
                    <w:jc w:val="center"/>
                  </w:pPr>
                </w:p>
              </w:tc>
            </w:tr>
            <w:tr w14:paraId="00E62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03DD580E">
                  <w:pPr>
                    <w:jc w:val="center"/>
                  </w:pPr>
                  <w:r>
                    <w:rPr>
                      <w:rFonts w:hint="eastAsia"/>
                    </w:rPr>
                    <w:t>3</w:t>
                  </w:r>
                </w:p>
              </w:tc>
              <w:tc>
                <w:tcPr>
                  <w:tcW w:w="1176" w:type="pct"/>
                  <w:tcBorders>
                    <w:tl2br w:val="nil"/>
                    <w:tr2bl w:val="nil"/>
                  </w:tcBorders>
                  <w:shd w:val="clear" w:color="auto" w:fill="auto"/>
                  <w:vAlign w:val="center"/>
                </w:tcPr>
                <w:p w14:paraId="5D87B8CC">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罗江镇居民</w:t>
                  </w:r>
                </w:p>
              </w:tc>
              <w:tc>
                <w:tcPr>
                  <w:tcW w:w="777" w:type="pct"/>
                  <w:tcBorders>
                    <w:tl2br w:val="nil"/>
                    <w:tr2bl w:val="nil"/>
                  </w:tcBorders>
                  <w:shd w:val="clear" w:color="auto" w:fill="auto"/>
                  <w:vAlign w:val="center"/>
                </w:tcPr>
                <w:p w14:paraId="3AC94E4A">
                  <w:pPr>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西南侧、西侧</w:t>
                  </w:r>
                </w:p>
              </w:tc>
              <w:tc>
                <w:tcPr>
                  <w:tcW w:w="574" w:type="pct"/>
                  <w:tcBorders>
                    <w:tl2br w:val="nil"/>
                    <w:tr2bl w:val="nil"/>
                  </w:tcBorders>
                  <w:shd w:val="clear" w:color="auto" w:fill="auto"/>
                  <w:vAlign w:val="center"/>
                </w:tcPr>
                <w:p w14:paraId="57CD411A">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0~500</w:t>
                  </w:r>
                </w:p>
              </w:tc>
              <w:tc>
                <w:tcPr>
                  <w:tcW w:w="890" w:type="pct"/>
                  <w:tcBorders>
                    <w:tl2br w:val="nil"/>
                    <w:tr2bl w:val="nil"/>
                  </w:tcBorders>
                  <w:shd w:val="clear" w:color="auto" w:fill="auto"/>
                  <w:vAlign w:val="center"/>
                </w:tcPr>
                <w:p w14:paraId="78476293">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7户，约20人</w:t>
                  </w:r>
                </w:p>
              </w:tc>
              <w:tc>
                <w:tcPr>
                  <w:tcW w:w="591" w:type="pct"/>
                  <w:tcBorders>
                    <w:tl2br w:val="nil"/>
                    <w:tr2bl w:val="nil"/>
                  </w:tcBorders>
                  <w:shd w:val="clear" w:color="auto" w:fill="auto"/>
                  <w:vAlign w:val="center"/>
                </w:tcPr>
                <w:p w14:paraId="659DA353">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居民区</w:t>
                  </w:r>
                </w:p>
              </w:tc>
              <w:tc>
                <w:tcPr>
                  <w:tcW w:w="591" w:type="pct"/>
                  <w:vMerge w:val="continue"/>
                  <w:tcBorders>
                    <w:tl2br w:val="nil"/>
                    <w:tr2bl w:val="nil"/>
                  </w:tcBorders>
                  <w:vAlign w:val="center"/>
                </w:tcPr>
                <w:p w14:paraId="6B8FA627">
                  <w:pPr>
                    <w:jc w:val="center"/>
                  </w:pPr>
                </w:p>
              </w:tc>
            </w:tr>
            <w:tr w14:paraId="76D79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14:paraId="17AB843A">
                  <w:pPr>
                    <w:jc w:val="center"/>
                  </w:pPr>
                  <w:r>
                    <w:t>4</w:t>
                  </w:r>
                </w:p>
              </w:tc>
              <w:tc>
                <w:tcPr>
                  <w:tcW w:w="1176" w:type="pct"/>
                  <w:tcBorders>
                    <w:tl2br w:val="nil"/>
                    <w:tr2bl w:val="nil"/>
                  </w:tcBorders>
                  <w:shd w:val="clear" w:color="auto" w:fill="auto"/>
                  <w:vAlign w:val="center"/>
                </w:tcPr>
                <w:p w14:paraId="29FC54E1">
                  <w:pPr>
                    <w:autoSpaceDE w:val="0"/>
                    <w:autoSpaceDN w:val="0"/>
                    <w:adjustRightInd w:val="0"/>
                    <w:jc w:val="center"/>
                    <w:rPr>
                      <w:rFonts w:ascii="Times New Roman" w:hAnsi="Times New Roman" w:eastAsia="宋体" w:cs="Times New Roman"/>
                      <w:kern w:val="0"/>
                      <w:sz w:val="21"/>
                      <w:szCs w:val="21"/>
                      <w:lang w:val="en-US" w:eastAsia="zh-CN" w:bidi="ar-SA"/>
                    </w:rPr>
                  </w:pPr>
                  <w:r>
                    <w:rPr>
                      <w:rFonts w:hint="eastAsia"/>
                      <w:kern w:val="0"/>
                    </w:rPr>
                    <w:t>罗江镇居民</w:t>
                  </w:r>
                </w:p>
              </w:tc>
              <w:tc>
                <w:tcPr>
                  <w:tcW w:w="777" w:type="pct"/>
                  <w:tcBorders>
                    <w:tl2br w:val="nil"/>
                    <w:tr2bl w:val="nil"/>
                  </w:tcBorders>
                  <w:shd w:val="clear" w:color="auto" w:fill="auto"/>
                  <w:vAlign w:val="center"/>
                </w:tcPr>
                <w:p w14:paraId="5050F65E">
                  <w:pPr>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西北侧</w:t>
                  </w:r>
                </w:p>
              </w:tc>
              <w:tc>
                <w:tcPr>
                  <w:tcW w:w="574" w:type="pct"/>
                  <w:tcBorders>
                    <w:tl2br w:val="nil"/>
                    <w:tr2bl w:val="nil"/>
                  </w:tcBorders>
                  <w:shd w:val="clear" w:color="auto" w:fill="auto"/>
                  <w:vAlign w:val="center"/>
                </w:tcPr>
                <w:p w14:paraId="4D08664D">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0~350</w:t>
                  </w:r>
                </w:p>
              </w:tc>
              <w:tc>
                <w:tcPr>
                  <w:tcW w:w="890" w:type="pct"/>
                  <w:tcBorders>
                    <w:tl2br w:val="nil"/>
                    <w:tr2bl w:val="nil"/>
                  </w:tcBorders>
                  <w:shd w:val="clear" w:color="auto" w:fill="auto"/>
                  <w:vAlign w:val="center"/>
                </w:tcPr>
                <w:p w14:paraId="56497A94">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30户，约100人</w:t>
                  </w:r>
                </w:p>
              </w:tc>
              <w:tc>
                <w:tcPr>
                  <w:tcW w:w="591" w:type="pct"/>
                  <w:tcBorders>
                    <w:tl2br w:val="nil"/>
                    <w:tr2bl w:val="nil"/>
                  </w:tcBorders>
                  <w:shd w:val="clear" w:color="auto" w:fill="auto"/>
                  <w:vAlign w:val="center"/>
                </w:tcPr>
                <w:p w14:paraId="5BF05B1A">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kern w:val="0"/>
                    </w:rPr>
                    <w:t>居民区</w:t>
                  </w:r>
                </w:p>
              </w:tc>
              <w:tc>
                <w:tcPr>
                  <w:tcW w:w="591" w:type="pct"/>
                  <w:vMerge w:val="continue"/>
                  <w:tcBorders>
                    <w:tl2br w:val="nil"/>
                    <w:tr2bl w:val="nil"/>
                  </w:tcBorders>
                  <w:vAlign w:val="center"/>
                </w:tcPr>
                <w:p w14:paraId="2EE3DE65">
                  <w:pPr>
                    <w:jc w:val="center"/>
                  </w:pPr>
                </w:p>
              </w:tc>
            </w:tr>
          </w:tbl>
          <w:p w14:paraId="5DC20D86"/>
          <w:p w14:paraId="6AD30A6C">
            <w:pPr>
              <w:spacing w:line="360" w:lineRule="auto"/>
              <w:ind w:firstLine="482" w:firstLineChars="200"/>
              <w:rPr>
                <w:b/>
                <w:sz w:val="24"/>
                <w:szCs w:val="24"/>
              </w:rPr>
            </w:pPr>
            <w:r>
              <w:rPr>
                <w:b/>
                <w:sz w:val="24"/>
                <w:szCs w:val="24"/>
              </w:rPr>
              <w:t>2</w:t>
            </w:r>
            <w:r>
              <w:rPr>
                <w:rFonts w:hint="eastAsia"/>
                <w:b/>
                <w:sz w:val="24"/>
                <w:szCs w:val="24"/>
              </w:rPr>
              <w:t>、地表水</w:t>
            </w:r>
          </w:p>
          <w:p w14:paraId="3D43B6EA">
            <w:pPr>
              <w:spacing w:line="360" w:lineRule="auto"/>
              <w:ind w:firstLine="480" w:firstLineChars="200"/>
              <w:rPr>
                <w:bCs/>
                <w:sz w:val="24"/>
                <w:szCs w:val="24"/>
              </w:rPr>
            </w:pPr>
            <w:r>
              <w:rPr>
                <w:rFonts w:hint="eastAsia"/>
                <w:bCs/>
                <w:sz w:val="24"/>
                <w:szCs w:val="24"/>
              </w:rPr>
              <w:t>本项目地表水保护目标为州河（距离本项目约110m），</w:t>
            </w:r>
            <w:r>
              <w:rPr>
                <w:bCs/>
                <w:sz w:val="24"/>
                <w:szCs w:val="24"/>
              </w:rPr>
              <w:t>执行《地表水环境质量标准》（GB3838-2002）的Ⅲ类水域标准</w:t>
            </w:r>
            <w:r>
              <w:rPr>
                <w:rFonts w:hint="eastAsia"/>
                <w:bCs/>
                <w:sz w:val="24"/>
                <w:szCs w:val="24"/>
              </w:rPr>
              <w:t>。</w:t>
            </w:r>
          </w:p>
          <w:p w14:paraId="69CCF537">
            <w:pPr>
              <w:spacing w:line="360" w:lineRule="auto"/>
              <w:ind w:firstLine="482" w:firstLineChars="200"/>
              <w:rPr>
                <w:b/>
                <w:sz w:val="24"/>
                <w:szCs w:val="24"/>
              </w:rPr>
            </w:pPr>
            <w:r>
              <w:rPr>
                <w:b/>
                <w:sz w:val="24"/>
                <w:szCs w:val="24"/>
              </w:rPr>
              <w:t>3、声环境</w:t>
            </w:r>
          </w:p>
          <w:p w14:paraId="76E82062">
            <w:pPr>
              <w:spacing w:line="360" w:lineRule="auto"/>
              <w:ind w:firstLine="480" w:firstLineChars="200"/>
              <w:rPr>
                <w:sz w:val="24"/>
                <w:szCs w:val="24"/>
              </w:rPr>
            </w:pPr>
            <w:r>
              <w:rPr>
                <w:sz w:val="24"/>
                <w:szCs w:val="24"/>
              </w:rPr>
              <w:t>本项目厂界外50m范围内声环境保护目标</w:t>
            </w:r>
            <w:r>
              <w:rPr>
                <w:rFonts w:hint="eastAsia"/>
                <w:sz w:val="24"/>
                <w:szCs w:val="24"/>
              </w:rPr>
              <w:t>见表3-8</w:t>
            </w:r>
            <w:r>
              <w:rPr>
                <w:sz w:val="24"/>
                <w:szCs w:val="24"/>
              </w:rPr>
              <w:t>。</w:t>
            </w:r>
          </w:p>
          <w:p w14:paraId="422F54E6">
            <w:pPr>
              <w:spacing w:line="360" w:lineRule="auto"/>
              <w:jc w:val="center"/>
              <w:rPr>
                <w:b/>
                <w:bCs/>
                <w:sz w:val="24"/>
                <w:szCs w:val="24"/>
              </w:rPr>
            </w:pPr>
            <w:r>
              <w:rPr>
                <w:rFonts w:hint="eastAsia"/>
                <w:b/>
                <w:bCs/>
                <w:sz w:val="24"/>
                <w:szCs w:val="24"/>
              </w:rPr>
              <w:t>表3-8  厂界外50m范围内声环境保护目标</w:t>
            </w:r>
          </w:p>
          <w:tbl>
            <w:tblPr>
              <w:tblStyle w:val="23"/>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941"/>
              <w:gridCol w:w="895"/>
              <w:gridCol w:w="898"/>
              <w:gridCol w:w="1402"/>
              <w:gridCol w:w="1039"/>
              <w:gridCol w:w="2163"/>
            </w:tblGrid>
            <w:tr w14:paraId="6D7C7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73" w:type="pct"/>
                  <w:tcBorders>
                    <w:tl2br w:val="nil"/>
                    <w:tr2bl w:val="nil"/>
                  </w:tcBorders>
                  <w:vAlign w:val="center"/>
                </w:tcPr>
                <w:p w14:paraId="2CD8DACA">
                  <w:pPr>
                    <w:jc w:val="center"/>
                    <w:rPr>
                      <w:b/>
                      <w:bCs/>
                    </w:rPr>
                  </w:pPr>
                  <w:r>
                    <w:rPr>
                      <w:b/>
                      <w:bCs/>
                    </w:rPr>
                    <w:t>序号</w:t>
                  </w:r>
                </w:p>
              </w:tc>
              <w:tc>
                <w:tcPr>
                  <w:tcW w:w="1076" w:type="pct"/>
                  <w:tcBorders>
                    <w:tl2br w:val="nil"/>
                    <w:tr2bl w:val="nil"/>
                  </w:tcBorders>
                  <w:vAlign w:val="center"/>
                </w:tcPr>
                <w:p w14:paraId="164E4C0E">
                  <w:pPr>
                    <w:jc w:val="center"/>
                    <w:rPr>
                      <w:b/>
                      <w:bCs/>
                    </w:rPr>
                  </w:pPr>
                  <w:r>
                    <w:rPr>
                      <w:b/>
                      <w:bCs/>
                    </w:rPr>
                    <w:t>保护对象</w:t>
                  </w:r>
                </w:p>
              </w:tc>
              <w:tc>
                <w:tcPr>
                  <w:tcW w:w="496" w:type="pct"/>
                  <w:tcBorders>
                    <w:tl2br w:val="nil"/>
                    <w:tr2bl w:val="nil"/>
                  </w:tcBorders>
                  <w:vAlign w:val="center"/>
                </w:tcPr>
                <w:p w14:paraId="54C8724D">
                  <w:pPr>
                    <w:jc w:val="center"/>
                    <w:rPr>
                      <w:b/>
                      <w:bCs/>
                    </w:rPr>
                  </w:pPr>
                  <w:r>
                    <w:rPr>
                      <w:b/>
                      <w:bCs/>
                    </w:rPr>
                    <w:t>方位</w:t>
                  </w:r>
                </w:p>
              </w:tc>
              <w:tc>
                <w:tcPr>
                  <w:tcW w:w="498" w:type="pct"/>
                  <w:tcBorders>
                    <w:tl2br w:val="nil"/>
                    <w:tr2bl w:val="nil"/>
                  </w:tcBorders>
                  <w:vAlign w:val="center"/>
                </w:tcPr>
                <w:p w14:paraId="28D5DD2C">
                  <w:pPr>
                    <w:jc w:val="center"/>
                    <w:rPr>
                      <w:b/>
                      <w:bCs/>
                    </w:rPr>
                  </w:pPr>
                  <w:r>
                    <w:rPr>
                      <w:b/>
                      <w:bCs/>
                    </w:rPr>
                    <w:t>距离</w:t>
                  </w:r>
                  <w:r>
                    <w:rPr>
                      <w:rFonts w:hint="eastAsia"/>
                      <w:b/>
                      <w:bCs/>
                    </w:rPr>
                    <w:t>/m</w:t>
                  </w:r>
                </w:p>
              </w:tc>
              <w:tc>
                <w:tcPr>
                  <w:tcW w:w="777" w:type="pct"/>
                  <w:tcBorders>
                    <w:tl2br w:val="nil"/>
                    <w:tr2bl w:val="nil"/>
                  </w:tcBorders>
                  <w:vAlign w:val="center"/>
                </w:tcPr>
                <w:p w14:paraId="2F92BBB9">
                  <w:pPr>
                    <w:jc w:val="center"/>
                    <w:rPr>
                      <w:b/>
                      <w:bCs/>
                    </w:rPr>
                  </w:pPr>
                  <w:r>
                    <w:rPr>
                      <w:b/>
                      <w:bCs/>
                    </w:rPr>
                    <w:t>规模</w:t>
                  </w:r>
                </w:p>
              </w:tc>
              <w:tc>
                <w:tcPr>
                  <w:tcW w:w="576" w:type="pct"/>
                  <w:tcBorders>
                    <w:tl2br w:val="nil"/>
                    <w:tr2bl w:val="nil"/>
                  </w:tcBorders>
                  <w:vAlign w:val="center"/>
                </w:tcPr>
                <w:p w14:paraId="2B3880C6">
                  <w:pPr>
                    <w:jc w:val="center"/>
                    <w:rPr>
                      <w:b/>
                      <w:bCs/>
                    </w:rPr>
                  </w:pPr>
                  <w:r>
                    <w:rPr>
                      <w:b/>
                      <w:bCs/>
                    </w:rPr>
                    <w:t>性质</w:t>
                  </w:r>
                </w:p>
              </w:tc>
              <w:tc>
                <w:tcPr>
                  <w:tcW w:w="1199" w:type="pct"/>
                  <w:tcBorders>
                    <w:tl2br w:val="nil"/>
                    <w:tr2bl w:val="nil"/>
                  </w:tcBorders>
                  <w:vAlign w:val="center"/>
                </w:tcPr>
                <w:p w14:paraId="31B0FA3B">
                  <w:pPr>
                    <w:jc w:val="center"/>
                    <w:rPr>
                      <w:b/>
                      <w:bCs/>
                    </w:rPr>
                  </w:pPr>
                  <w:r>
                    <w:rPr>
                      <w:b/>
                      <w:bCs/>
                    </w:rPr>
                    <w:t>保护级别</w:t>
                  </w:r>
                </w:p>
              </w:tc>
            </w:tr>
            <w:tr w14:paraId="0547C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14:paraId="5BB3D263">
                  <w:pPr>
                    <w:jc w:val="center"/>
                  </w:pPr>
                  <w:r>
                    <w:t>1</w:t>
                  </w:r>
                </w:p>
              </w:tc>
              <w:tc>
                <w:tcPr>
                  <w:tcW w:w="1076" w:type="pct"/>
                  <w:tcBorders>
                    <w:tl2br w:val="nil"/>
                    <w:tr2bl w:val="nil"/>
                  </w:tcBorders>
                  <w:vAlign w:val="center"/>
                </w:tcPr>
                <w:p w14:paraId="1C9B014D">
                  <w:pPr>
                    <w:autoSpaceDE w:val="0"/>
                    <w:autoSpaceDN w:val="0"/>
                    <w:adjustRightInd w:val="0"/>
                    <w:jc w:val="center"/>
                    <w:rPr>
                      <w:kern w:val="0"/>
                    </w:rPr>
                  </w:pPr>
                  <w:r>
                    <w:rPr>
                      <w:rFonts w:hint="eastAsia"/>
                      <w:kern w:val="0"/>
                    </w:rPr>
                    <w:t>罗江镇居民</w:t>
                  </w:r>
                </w:p>
              </w:tc>
              <w:tc>
                <w:tcPr>
                  <w:tcW w:w="496" w:type="pct"/>
                  <w:tcBorders>
                    <w:tl2br w:val="nil"/>
                    <w:tr2bl w:val="nil"/>
                  </w:tcBorders>
                  <w:vAlign w:val="center"/>
                </w:tcPr>
                <w:p w14:paraId="018D9894">
                  <w:pPr>
                    <w:adjustRightInd w:val="0"/>
                    <w:snapToGrid w:val="0"/>
                    <w:jc w:val="center"/>
                    <w:rPr>
                      <w:kern w:val="0"/>
                    </w:rPr>
                  </w:pPr>
                  <w:r>
                    <w:rPr>
                      <w:rFonts w:hint="eastAsia"/>
                      <w:kern w:val="0"/>
                    </w:rPr>
                    <w:t>东侧</w:t>
                  </w:r>
                </w:p>
              </w:tc>
              <w:tc>
                <w:tcPr>
                  <w:tcW w:w="498" w:type="pct"/>
                  <w:tcBorders>
                    <w:tl2br w:val="nil"/>
                    <w:tr2bl w:val="nil"/>
                  </w:tcBorders>
                  <w:vAlign w:val="center"/>
                </w:tcPr>
                <w:p w14:paraId="302322AF">
                  <w:pPr>
                    <w:widowControl/>
                    <w:adjustRightInd w:val="0"/>
                    <w:snapToGrid w:val="0"/>
                    <w:jc w:val="center"/>
                    <w:rPr>
                      <w:kern w:val="0"/>
                    </w:rPr>
                  </w:pPr>
                  <w:r>
                    <w:rPr>
                      <w:rFonts w:hint="eastAsia"/>
                      <w:kern w:val="0"/>
                    </w:rPr>
                    <w:t>0~50</w:t>
                  </w:r>
                </w:p>
              </w:tc>
              <w:tc>
                <w:tcPr>
                  <w:tcW w:w="777" w:type="pct"/>
                  <w:tcBorders>
                    <w:tl2br w:val="nil"/>
                    <w:tr2bl w:val="nil"/>
                  </w:tcBorders>
                  <w:vAlign w:val="center"/>
                </w:tcPr>
                <w:p w14:paraId="4EF660E7">
                  <w:pPr>
                    <w:widowControl/>
                    <w:adjustRightInd w:val="0"/>
                    <w:snapToGrid w:val="0"/>
                    <w:jc w:val="center"/>
                    <w:rPr>
                      <w:kern w:val="0"/>
                    </w:rPr>
                  </w:pPr>
                  <w:r>
                    <w:rPr>
                      <w:rFonts w:hint="eastAsia"/>
                      <w:kern w:val="0"/>
                    </w:rPr>
                    <w:t>1户，3人</w:t>
                  </w:r>
                </w:p>
              </w:tc>
              <w:tc>
                <w:tcPr>
                  <w:tcW w:w="576" w:type="pct"/>
                  <w:tcBorders>
                    <w:tl2br w:val="nil"/>
                    <w:tr2bl w:val="nil"/>
                  </w:tcBorders>
                  <w:vAlign w:val="center"/>
                </w:tcPr>
                <w:p w14:paraId="5CF04E47">
                  <w:pPr>
                    <w:widowControl/>
                    <w:adjustRightInd w:val="0"/>
                    <w:snapToGrid w:val="0"/>
                    <w:jc w:val="center"/>
                    <w:rPr>
                      <w:kern w:val="0"/>
                    </w:rPr>
                  </w:pPr>
                  <w:r>
                    <w:rPr>
                      <w:rFonts w:hint="eastAsia"/>
                      <w:kern w:val="0"/>
                    </w:rPr>
                    <w:t>居民区</w:t>
                  </w:r>
                </w:p>
              </w:tc>
              <w:tc>
                <w:tcPr>
                  <w:tcW w:w="1199" w:type="pct"/>
                  <w:vMerge w:val="restart"/>
                  <w:tcBorders>
                    <w:tl2br w:val="nil"/>
                    <w:tr2bl w:val="nil"/>
                  </w:tcBorders>
                  <w:vAlign w:val="center"/>
                </w:tcPr>
                <w:p w14:paraId="09F7DF8D">
                  <w:pPr>
                    <w:jc w:val="center"/>
                  </w:pPr>
                  <w:r>
                    <w:t>《声环境质量标准》（GB3096-2008）2类标准</w:t>
                  </w:r>
                </w:p>
              </w:tc>
            </w:tr>
            <w:tr w14:paraId="5AC5B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73" w:type="pct"/>
                  <w:tcBorders>
                    <w:tl2br w:val="nil"/>
                    <w:tr2bl w:val="nil"/>
                  </w:tcBorders>
                  <w:vAlign w:val="center"/>
                </w:tcPr>
                <w:p w14:paraId="2E4215B0">
                  <w:pPr>
                    <w:jc w:val="center"/>
                  </w:pPr>
                  <w:r>
                    <w:t>2</w:t>
                  </w:r>
                </w:p>
              </w:tc>
              <w:tc>
                <w:tcPr>
                  <w:tcW w:w="1076" w:type="pct"/>
                  <w:tcBorders>
                    <w:tl2br w:val="nil"/>
                    <w:tr2bl w:val="nil"/>
                  </w:tcBorders>
                  <w:vAlign w:val="center"/>
                </w:tcPr>
                <w:p w14:paraId="3846BE01">
                  <w:pPr>
                    <w:autoSpaceDE w:val="0"/>
                    <w:autoSpaceDN w:val="0"/>
                    <w:adjustRightInd w:val="0"/>
                    <w:jc w:val="center"/>
                    <w:rPr>
                      <w:kern w:val="0"/>
                    </w:rPr>
                  </w:pPr>
                  <w:r>
                    <w:rPr>
                      <w:rFonts w:hint="eastAsia"/>
                      <w:kern w:val="0"/>
                    </w:rPr>
                    <w:t>罗江镇居民</w:t>
                  </w:r>
                </w:p>
              </w:tc>
              <w:tc>
                <w:tcPr>
                  <w:tcW w:w="496" w:type="pct"/>
                  <w:tcBorders>
                    <w:tl2br w:val="nil"/>
                    <w:tr2bl w:val="nil"/>
                  </w:tcBorders>
                  <w:vAlign w:val="center"/>
                </w:tcPr>
                <w:p w14:paraId="0CF407A1">
                  <w:pPr>
                    <w:adjustRightInd w:val="0"/>
                    <w:snapToGrid w:val="0"/>
                    <w:jc w:val="center"/>
                    <w:rPr>
                      <w:kern w:val="0"/>
                    </w:rPr>
                  </w:pPr>
                  <w:r>
                    <w:rPr>
                      <w:rFonts w:hint="eastAsia"/>
                      <w:kern w:val="0"/>
                    </w:rPr>
                    <w:t>东南侧</w:t>
                  </w:r>
                </w:p>
              </w:tc>
              <w:tc>
                <w:tcPr>
                  <w:tcW w:w="498" w:type="pct"/>
                  <w:tcBorders>
                    <w:tl2br w:val="nil"/>
                    <w:tr2bl w:val="nil"/>
                  </w:tcBorders>
                  <w:vAlign w:val="center"/>
                </w:tcPr>
                <w:p w14:paraId="08D5681C">
                  <w:pPr>
                    <w:widowControl/>
                    <w:adjustRightInd w:val="0"/>
                    <w:snapToGrid w:val="0"/>
                    <w:jc w:val="center"/>
                    <w:rPr>
                      <w:kern w:val="0"/>
                    </w:rPr>
                  </w:pPr>
                  <w:r>
                    <w:rPr>
                      <w:rFonts w:hint="eastAsia"/>
                      <w:kern w:val="0"/>
                    </w:rPr>
                    <w:t>0~50</w:t>
                  </w:r>
                </w:p>
              </w:tc>
              <w:tc>
                <w:tcPr>
                  <w:tcW w:w="777" w:type="pct"/>
                  <w:tcBorders>
                    <w:tl2br w:val="nil"/>
                    <w:tr2bl w:val="nil"/>
                  </w:tcBorders>
                  <w:vAlign w:val="center"/>
                </w:tcPr>
                <w:p w14:paraId="7E07AB9F">
                  <w:pPr>
                    <w:widowControl/>
                    <w:adjustRightInd w:val="0"/>
                    <w:snapToGrid w:val="0"/>
                    <w:jc w:val="center"/>
                    <w:rPr>
                      <w:kern w:val="0"/>
                    </w:rPr>
                  </w:pPr>
                  <w:r>
                    <w:rPr>
                      <w:rFonts w:hint="eastAsia"/>
                      <w:kern w:val="0"/>
                    </w:rPr>
                    <w:t>2户，6人</w:t>
                  </w:r>
                </w:p>
              </w:tc>
              <w:tc>
                <w:tcPr>
                  <w:tcW w:w="576" w:type="pct"/>
                  <w:tcBorders>
                    <w:tl2br w:val="nil"/>
                    <w:tr2bl w:val="nil"/>
                  </w:tcBorders>
                  <w:vAlign w:val="center"/>
                </w:tcPr>
                <w:p w14:paraId="074FEE79">
                  <w:pPr>
                    <w:widowControl/>
                    <w:adjustRightInd w:val="0"/>
                    <w:snapToGrid w:val="0"/>
                    <w:jc w:val="center"/>
                    <w:rPr>
                      <w:kern w:val="0"/>
                    </w:rPr>
                  </w:pPr>
                  <w:r>
                    <w:rPr>
                      <w:rFonts w:hint="eastAsia"/>
                      <w:kern w:val="0"/>
                    </w:rPr>
                    <w:t>居民区</w:t>
                  </w:r>
                </w:p>
              </w:tc>
              <w:tc>
                <w:tcPr>
                  <w:tcW w:w="1199" w:type="pct"/>
                  <w:vMerge w:val="continue"/>
                  <w:tcBorders>
                    <w:tl2br w:val="nil"/>
                    <w:tr2bl w:val="nil"/>
                  </w:tcBorders>
                  <w:vAlign w:val="center"/>
                </w:tcPr>
                <w:p w14:paraId="207C473D">
                  <w:pPr>
                    <w:jc w:val="center"/>
                  </w:pPr>
                </w:p>
              </w:tc>
            </w:tr>
            <w:tr w14:paraId="07895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73" w:type="pct"/>
                  <w:tcBorders>
                    <w:tl2br w:val="nil"/>
                    <w:tr2bl w:val="nil"/>
                  </w:tcBorders>
                  <w:vAlign w:val="center"/>
                </w:tcPr>
                <w:p w14:paraId="6E869026">
                  <w:pPr>
                    <w:jc w:val="center"/>
                  </w:pPr>
                  <w:r>
                    <w:t>3</w:t>
                  </w:r>
                </w:p>
              </w:tc>
              <w:tc>
                <w:tcPr>
                  <w:tcW w:w="1076" w:type="pct"/>
                  <w:tcBorders>
                    <w:tl2br w:val="nil"/>
                    <w:tr2bl w:val="nil"/>
                  </w:tcBorders>
                  <w:vAlign w:val="center"/>
                </w:tcPr>
                <w:p w14:paraId="3B54E16A">
                  <w:pPr>
                    <w:autoSpaceDE w:val="0"/>
                    <w:autoSpaceDN w:val="0"/>
                    <w:adjustRightInd w:val="0"/>
                    <w:jc w:val="center"/>
                    <w:rPr>
                      <w:kern w:val="0"/>
                    </w:rPr>
                  </w:pPr>
                  <w:r>
                    <w:rPr>
                      <w:rFonts w:hint="eastAsia"/>
                      <w:kern w:val="0"/>
                    </w:rPr>
                    <w:t>罗江镇居民</w:t>
                  </w:r>
                </w:p>
              </w:tc>
              <w:tc>
                <w:tcPr>
                  <w:tcW w:w="496" w:type="pct"/>
                  <w:tcBorders>
                    <w:tl2br w:val="nil"/>
                    <w:tr2bl w:val="nil"/>
                  </w:tcBorders>
                  <w:vAlign w:val="center"/>
                </w:tcPr>
                <w:p w14:paraId="425870A8">
                  <w:pPr>
                    <w:adjustRightInd w:val="0"/>
                    <w:snapToGrid w:val="0"/>
                    <w:jc w:val="center"/>
                    <w:rPr>
                      <w:kern w:val="0"/>
                    </w:rPr>
                  </w:pPr>
                  <w:r>
                    <w:rPr>
                      <w:rFonts w:hint="eastAsia"/>
                      <w:kern w:val="0"/>
                    </w:rPr>
                    <w:t>南侧</w:t>
                  </w:r>
                </w:p>
              </w:tc>
              <w:tc>
                <w:tcPr>
                  <w:tcW w:w="498" w:type="pct"/>
                  <w:tcBorders>
                    <w:tl2br w:val="nil"/>
                    <w:tr2bl w:val="nil"/>
                  </w:tcBorders>
                  <w:vAlign w:val="center"/>
                </w:tcPr>
                <w:p w14:paraId="55E6AC01">
                  <w:pPr>
                    <w:widowControl/>
                    <w:adjustRightInd w:val="0"/>
                    <w:snapToGrid w:val="0"/>
                    <w:jc w:val="center"/>
                    <w:rPr>
                      <w:kern w:val="0"/>
                    </w:rPr>
                  </w:pPr>
                  <w:r>
                    <w:rPr>
                      <w:rFonts w:hint="eastAsia"/>
                      <w:kern w:val="0"/>
                    </w:rPr>
                    <w:t>0~50</w:t>
                  </w:r>
                </w:p>
              </w:tc>
              <w:tc>
                <w:tcPr>
                  <w:tcW w:w="777" w:type="pct"/>
                  <w:tcBorders>
                    <w:tl2br w:val="nil"/>
                    <w:tr2bl w:val="nil"/>
                  </w:tcBorders>
                  <w:vAlign w:val="center"/>
                </w:tcPr>
                <w:p w14:paraId="0D618D70">
                  <w:pPr>
                    <w:widowControl/>
                    <w:adjustRightInd w:val="0"/>
                    <w:snapToGrid w:val="0"/>
                    <w:jc w:val="center"/>
                    <w:rPr>
                      <w:kern w:val="0"/>
                    </w:rPr>
                  </w:pPr>
                  <w:r>
                    <w:rPr>
                      <w:rFonts w:hint="eastAsia"/>
                      <w:kern w:val="0"/>
                    </w:rPr>
                    <w:t>1户，3人</w:t>
                  </w:r>
                </w:p>
              </w:tc>
              <w:tc>
                <w:tcPr>
                  <w:tcW w:w="576" w:type="pct"/>
                  <w:tcBorders>
                    <w:tl2br w:val="nil"/>
                    <w:tr2bl w:val="nil"/>
                  </w:tcBorders>
                  <w:vAlign w:val="center"/>
                </w:tcPr>
                <w:p w14:paraId="727BCAD1">
                  <w:pPr>
                    <w:widowControl/>
                    <w:adjustRightInd w:val="0"/>
                    <w:snapToGrid w:val="0"/>
                    <w:jc w:val="center"/>
                    <w:rPr>
                      <w:kern w:val="0"/>
                    </w:rPr>
                  </w:pPr>
                  <w:r>
                    <w:rPr>
                      <w:rFonts w:hint="eastAsia"/>
                      <w:kern w:val="0"/>
                    </w:rPr>
                    <w:t>居民区</w:t>
                  </w:r>
                </w:p>
              </w:tc>
              <w:tc>
                <w:tcPr>
                  <w:tcW w:w="1199" w:type="pct"/>
                  <w:vMerge w:val="continue"/>
                  <w:tcBorders>
                    <w:tl2br w:val="nil"/>
                    <w:tr2bl w:val="nil"/>
                  </w:tcBorders>
                  <w:vAlign w:val="center"/>
                </w:tcPr>
                <w:p w14:paraId="1220988F">
                  <w:pPr>
                    <w:jc w:val="center"/>
                  </w:pPr>
                </w:p>
              </w:tc>
            </w:tr>
            <w:tr w14:paraId="0B28A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73" w:type="pct"/>
                  <w:tcBorders>
                    <w:tl2br w:val="nil"/>
                    <w:tr2bl w:val="nil"/>
                  </w:tcBorders>
                  <w:vAlign w:val="center"/>
                </w:tcPr>
                <w:p w14:paraId="3AE7FFE4">
                  <w:pPr>
                    <w:jc w:val="center"/>
                  </w:pPr>
                  <w:r>
                    <w:rPr>
                      <w:rFonts w:hint="eastAsia"/>
                    </w:rPr>
                    <w:t>4</w:t>
                  </w:r>
                </w:p>
              </w:tc>
              <w:tc>
                <w:tcPr>
                  <w:tcW w:w="1076" w:type="pct"/>
                  <w:tcBorders>
                    <w:tl2br w:val="nil"/>
                    <w:tr2bl w:val="nil"/>
                  </w:tcBorders>
                  <w:vAlign w:val="center"/>
                </w:tcPr>
                <w:p w14:paraId="7150A784">
                  <w:pPr>
                    <w:autoSpaceDE w:val="0"/>
                    <w:autoSpaceDN w:val="0"/>
                    <w:adjustRightInd w:val="0"/>
                    <w:jc w:val="center"/>
                    <w:rPr>
                      <w:kern w:val="0"/>
                    </w:rPr>
                  </w:pPr>
                  <w:r>
                    <w:rPr>
                      <w:rFonts w:hint="eastAsia"/>
                      <w:kern w:val="0"/>
                    </w:rPr>
                    <w:t>罗江镇居民</w:t>
                  </w:r>
                </w:p>
              </w:tc>
              <w:tc>
                <w:tcPr>
                  <w:tcW w:w="496" w:type="pct"/>
                  <w:tcBorders>
                    <w:tl2br w:val="nil"/>
                    <w:tr2bl w:val="nil"/>
                  </w:tcBorders>
                  <w:vAlign w:val="center"/>
                </w:tcPr>
                <w:p w14:paraId="3E375D0D">
                  <w:pPr>
                    <w:adjustRightInd w:val="0"/>
                    <w:snapToGrid w:val="0"/>
                    <w:jc w:val="center"/>
                    <w:rPr>
                      <w:kern w:val="0"/>
                    </w:rPr>
                  </w:pPr>
                  <w:r>
                    <w:rPr>
                      <w:rFonts w:hint="eastAsia"/>
                      <w:kern w:val="0"/>
                    </w:rPr>
                    <w:t>西南侧</w:t>
                  </w:r>
                </w:p>
              </w:tc>
              <w:tc>
                <w:tcPr>
                  <w:tcW w:w="498" w:type="pct"/>
                  <w:tcBorders>
                    <w:tl2br w:val="nil"/>
                    <w:tr2bl w:val="nil"/>
                  </w:tcBorders>
                  <w:vAlign w:val="center"/>
                </w:tcPr>
                <w:p w14:paraId="6CF99D5A">
                  <w:pPr>
                    <w:widowControl/>
                    <w:adjustRightInd w:val="0"/>
                    <w:snapToGrid w:val="0"/>
                    <w:jc w:val="center"/>
                    <w:rPr>
                      <w:kern w:val="0"/>
                    </w:rPr>
                  </w:pPr>
                  <w:r>
                    <w:rPr>
                      <w:rFonts w:hint="eastAsia"/>
                      <w:kern w:val="0"/>
                    </w:rPr>
                    <w:t>0~50</w:t>
                  </w:r>
                </w:p>
              </w:tc>
              <w:tc>
                <w:tcPr>
                  <w:tcW w:w="777" w:type="pct"/>
                  <w:tcBorders>
                    <w:tl2br w:val="nil"/>
                    <w:tr2bl w:val="nil"/>
                  </w:tcBorders>
                  <w:vAlign w:val="center"/>
                </w:tcPr>
                <w:p w14:paraId="3F167989">
                  <w:pPr>
                    <w:widowControl/>
                    <w:adjustRightInd w:val="0"/>
                    <w:snapToGrid w:val="0"/>
                    <w:jc w:val="center"/>
                    <w:rPr>
                      <w:kern w:val="0"/>
                    </w:rPr>
                  </w:pPr>
                  <w:r>
                    <w:rPr>
                      <w:rFonts w:hint="eastAsia"/>
                      <w:kern w:val="0"/>
                    </w:rPr>
                    <w:t>2户，6人</w:t>
                  </w:r>
                </w:p>
              </w:tc>
              <w:tc>
                <w:tcPr>
                  <w:tcW w:w="576" w:type="pct"/>
                  <w:tcBorders>
                    <w:tl2br w:val="nil"/>
                    <w:tr2bl w:val="nil"/>
                  </w:tcBorders>
                  <w:vAlign w:val="center"/>
                </w:tcPr>
                <w:p w14:paraId="5C414FB7">
                  <w:pPr>
                    <w:widowControl/>
                    <w:adjustRightInd w:val="0"/>
                    <w:snapToGrid w:val="0"/>
                    <w:jc w:val="center"/>
                    <w:rPr>
                      <w:kern w:val="0"/>
                    </w:rPr>
                  </w:pPr>
                  <w:r>
                    <w:rPr>
                      <w:rFonts w:hint="eastAsia"/>
                      <w:kern w:val="0"/>
                    </w:rPr>
                    <w:t>居民区</w:t>
                  </w:r>
                </w:p>
              </w:tc>
              <w:tc>
                <w:tcPr>
                  <w:tcW w:w="1199" w:type="pct"/>
                  <w:vMerge w:val="continue"/>
                  <w:tcBorders>
                    <w:tl2br w:val="nil"/>
                    <w:tr2bl w:val="nil"/>
                  </w:tcBorders>
                  <w:vAlign w:val="center"/>
                </w:tcPr>
                <w:p w14:paraId="509BFC3E">
                  <w:pPr>
                    <w:jc w:val="center"/>
                  </w:pPr>
                </w:p>
              </w:tc>
            </w:tr>
          </w:tbl>
          <w:p w14:paraId="3244F9FE">
            <w:pPr>
              <w:spacing w:line="360" w:lineRule="auto"/>
              <w:ind w:firstLine="482" w:firstLineChars="200"/>
              <w:rPr>
                <w:b/>
                <w:sz w:val="24"/>
                <w:szCs w:val="24"/>
              </w:rPr>
            </w:pPr>
            <w:r>
              <w:rPr>
                <w:rFonts w:hint="eastAsia"/>
                <w:b/>
                <w:sz w:val="24"/>
                <w:szCs w:val="24"/>
              </w:rPr>
              <w:t>4</w:t>
            </w:r>
            <w:r>
              <w:rPr>
                <w:b/>
                <w:sz w:val="24"/>
                <w:szCs w:val="24"/>
              </w:rPr>
              <w:t>、地下水环境</w:t>
            </w:r>
          </w:p>
          <w:p w14:paraId="1B37621D">
            <w:pPr>
              <w:spacing w:line="360" w:lineRule="auto"/>
              <w:ind w:firstLine="480" w:firstLineChars="200"/>
              <w:rPr>
                <w:sz w:val="24"/>
                <w:szCs w:val="24"/>
              </w:rPr>
            </w:pPr>
            <w:r>
              <w:rPr>
                <w:sz w:val="24"/>
                <w:szCs w:val="24"/>
              </w:rPr>
              <w:t>本项目厂界外500m范围内无地下水集中式饮用水水源和热水、矿泉水、温泉等特殊地下水资源。</w:t>
            </w:r>
          </w:p>
          <w:p w14:paraId="36BBA809">
            <w:pPr>
              <w:spacing w:line="360" w:lineRule="auto"/>
              <w:ind w:firstLine="482" w:firstLineChars="200"/>
              <w:rPr>
                <w:b/>
                <w:sz w:val="24"/>
                <w:szCs w:val="24"/>
              </w:rPr>
            </w:pPr>
            <w:r>
              <w:rPr>
                <w:rFonts w:hint="eastAsia"/>
                <w:b/>
                <w:sz w:val="24"/>
                <w:szCs w:val="24"/>
              </w:rPr>
              <w:t>5</w:t>
            </w:r>
            <w:r>
              <w:rPr>
                <w:b/>
                <w:sz w:val="24"/>
                <w:szCs w:val="24"/>
              </w:rPr>
              <w:t>、生态环境</w:t>
            </w:r>
          </w:p>
          <w:p w14:paraId="582A2F45">
            <w:pPr>
              <w:spacing w:line="360" w:lineRule="auto"/>
              <w:ind w:firstLine="480" w:firstLineChars="200"/>
              <w:rPr>
                <w:b/>
                <w:sz w:val="24"/>
                <w:szCs w:val="24"/>
              </w:rPr>
            </w:pPr>
            <w:r>
              <w:rPr>
                <w:sz w:val="24"/>
                <w:szCs w:val="24"/>
              </w:rPr>
              <w:t>本项目用地范围内无生态环境保护目标。</w:t>
            </w:r>
          </w:p>
        </w:tc>
      </w:tr>
      <w:tr w14:paraId="3E41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3" w:type="dxa"/>
            <w:vAlign w:val="center"/>
          </w:tcPr>
          <w:p w14:paraId="530F4722">
            <w:pPr>
              <w:spacing w:line="360" w:lineRule="auto"/>
              <w:jc w:val="center"/>
              <w:rPr>
                <w:sz w:val="24"/>
                <w:szCs w:val="24"/>
              </w:rPr>
            </w:pPr>
            <w:r>
              <w:rPr>
                <w:sz w:val="24"/>
                <w:szCs w:val="24"/>
              </w:rPr>
              <w:t>污染</w:t>
            </w:r>
          </w:p>
          <w:p w14:paraId="0C28C31D">
            <w:pPr>
              <w:spacing w:line="360" w:lineRule="auto"/>
              <w:jc w:val="center"/>
              <w:rPr>
                <w:sz w:val="24"/>
                <w:szCs w:val="24"/>
              </w:rPr>
            </w:pPr>
            <w:r>
              <w:rPr>
                <w:sz w:val="24"/>
                <w:szCs w:val="24"/>
              </w:rPr>
              <w:t>物排</w:t>
            </w:r>
          </w:p>
          <w:p w14:paraId="12D1E842">
            <w:pPr>
              <w:spacing w:line="360" w:lineRule="auto"/>
              <w:jc w:val="center"/>
              <w:rPr>
                <w:sz w:val="24"/>
                <w:szCs w:val="24"/>
              </w:rPr>
            </w:pPr>
            <w:r>
              <w:rPr>
                <w:sz w:val="24"/>
                <w:szCs w:val="24"/>
              </w:rPr>
              <w:t>放控</w:t>
            </w:r>
          </w:p>
          <w:p w14:paraId="19C7F2B6">
            <w:pPr>
              <w:spacing w:line="360" w:lineRule="auto"/>
              <w:jc w:val="center"/>
              <w:rPr>
                <w:sz w:val="24"/>
                <w:szCs w:val="24"/>
              </w:rPr>
            </w:pPr>
            <w:r>
              <w:rPr>
                <w:sz w:val="24"/>
                <w:szCs w:val="24"/>
              </w:rPr>
              <w:t>制标</w:t>
            </w:r>
          </w:p>
          <w:p w14:paraId="26B6F594">
            <w:pPr>
              <w:spacing w:line="360" w:lineRule="auto"/>
              <w:jc w:val="center"/>
              <w:rPr>
                <w:sz w:val="24"/>
                <w:szCs w:val="24"/>
              </w:rPr>
            </w:pPr>
            <w:r>
              <w:rPr>
                <w:sz w:val="24"/>
                <w:szCs w:val="24"/>
              </w:rPr>
              <w:t>准</w:t>
            </w:r>
          </w:p>
        </w:tc>
        <w:tc>
          <w:tcPr>
            <w:tcW w:w="9272" w:type="dxa"/>
            <w:vAlign w:val="center"/>
          </w:tcPr>
          <w:p w14:paraId="53F7F0DA">
            <w:pPr>
              <w:spacing w:line="360" w:lineRule="auto"/>
              <w:ind w:firstLine="482" w:firstLineChars="200"/>
              <w:rPr>
                <w:b/>
                <w:sz w:val="24"/>
                <w:szCs w:val="24"/>
              </w:rPr>
            </w:pPr>
            <w:r>
              <w:rPr>
                <w:b/>
                <w:sz w:val="24"/>
                <w:szCs w:val="24"/>
              </w:rPr>
              <w:t>1、废气</w:t>
            </w:r>
          </w:p>
          <w:p w14:paraId="69DFBCF9">
            <w:pPr>
              <w:spacing w:line="360" w:lineRule="auto"/>
              <w:ind w:firstLine="480" w:firstLineChars="200"/>
              <w:rPr>
                <w:sz w:val="24"/>
                <w:szCs w:val="24"/>
              </w:rPr>
            </w:pPr>
            <w:r>
              <w:rPr>
                <w:sz w:val="24"/>
                <w:szCs w:val="24"/>
              </w:rPr>
              <w:t>施工期扬尘执行</w:t>
            </w:r>
            <w:r>
              <w:rPr>
                <w:rFonts w:hint="eastAsia"/>
                <w:sz w:val="24"/>
                <w:szCs w:val="24"/>
              </w:rPr>
              <w:t>《四川省施工场地扬尘排放标准》（DB51/2682-2020）。</w:t>
            </w:r>
          </w:p>
          <w:p w14:paraId="47619E3C">
            <w:pPr>
              <w:spacing w:line="360" w:lineRule="auto"/>
              <w:ind w:firstLine="480" w:firstLineChars="200"/>
              <w:rPr>
                <w:sz w:val="24"/>
                <w:szCs w:val="24"/>
              </w:rPr>
            </w:pPr>
            <w:r>
              <w:rPr>
                <w:sz w:val="24"/>
                <w:szCs w:val="24"/>
              </w:rPr>
              <w:t>运营期</w:t>
            </w:r>
            <w:r>
              <w:rPr>
                <w:rFonts w:hint="eastAsia"/>
                <w:sz w:val="24"/>
                <w:szCs w:val="24"/>
              </w:rPr>
              <w:t>污水处理设施恶臭无组织排放</w:t>
            </w:r>
            <w:r>
              <w:rPr>
                <w:sz w:val="24"/>
                <w:szCs w:val="24"/>
              </w:rPr>
              <w:t>执行</w:t>
            </w:r>
            <w:r>
              <w:rPr>
                <w:rFonts w:hint="eastAsia"/>
                <w:sz w:val="24"/>
                <w:szCs w:val="24"/>
              </w:rPr>
              <w:t>《医疗机构水污染物排放标准》（GB18466-2005）表3中污水处理站周边大气污染物最高允许浓度标准</w:t>
            </w:r>
            <w:r>
              <w:rPr>
                <w:sz w:val="24"/>
                <w:szCs w:val="24"/>
              </w:rPr>
              <w:t>。</w:t>
            </w:r>
          </w:p>
          <w:p w14:paraId="07002E5B">
            <w:pPr>
              <w:pStyle w:val="18"/>
              <w:spacing w:line="360" w:lineRule="auto"/>
              <w:ind w:left="900" w:hanging="480"/>
              <w:rPr>
                <w:sz w:val="24"/>
                <w:szCs w:val="24"/>
              </w:rPr>
            </w:pPr>
            <w:r>
              <w:rPr>
                <w:rFonts w:hint="eastAsia"/>
                <w:sz w:val="24"/>
                <w:szCs w:val="24"/>
              </w:rPr>
              <w:t>食堂油烟执行《饮食业油烟排放标准》（GB18483-2001）中排放限值。</w:t>
            </w:r>
          </w:p>
          <w:p w14:paraId="2CFF0245">
            <w:pPr>
              <w:spacing w:line="360" w:lineRule="auto"/>
              <w:jc w:val="center"/>
              <w:rPr>
                <w:b/>
                <w:bCs/>
                <w:sz w:val="24"/>
                <w:szCs w:val="24"/>
              </w:rPr>
            </w:pPr>
            <w:r>
              <w:rPr>
                <w:rFonts w:hint="eastAsia"/>
                <w:b/>
                <w:bCs/>
                <w:sz w:val="24"/>
                <w:szCs w:val="24"/>
              </w:rPr>
              <w:t>表3-9  大气污染物排放限值</w:t>
            </w:r>
          </w:p>
          <w:tbl>
            <w:tblPr>
              <w:tblStyle w:val="22"/>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427"/>
              <w:gridCol w:w="2834"/>
              <w:gridCol w:w="1257"/>
              <w:gridCol w:w="2360"/>
            </w:tblGrid>
            <w:tr w14:paraId="62163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1431" w:type="pct"/>
                  <w:gridSpan w:val="2"/>
                  <w:tcBorders>
                    <w:tl2br w:val="nil"/>
                    <w:tr2bl w:val="nil"/>
                  </w:tcBorders>
                  <w:vAlign w:val="center"/>
                </w:tcPr>
                <w:p w14:paraId="4E06E729">
                  <w:pPr>
                    <w:pStyle w:val="4"/>
                    <w:rPr>
                      <w:b/>
                      <w:bCs/>
                    </w:rPr>
                  </w:pPr>
                  <w:r>
                    <w:rPr>
                      <w:b/>
                      <w:bCs/>
                    </w:rPr>
                    <w:t>废气</w:t>
                  </w:r>
                </w:p>
              </w:tc>
              <w:tc>
                <w:tcPr>
                  <w:tcW w:w="1567" w:type="pct"/>
                  <w:tcBorders>
                    <w:tl2br w:val="nil"/>
                    <w:tr2bl w:val="nil"/>
                  </w:tcBorders>
                  <w:vAlign w:val="center"/>
                </w:tcPr>
                <w:p w14:paraId="79DEDE6B">
                  <w:pPr>
                    <w:pStyle w:val="4"/>
                    <w:rPr>
                      <w:b/>
                      <w:bCs/>
                    </w:rPr>
                  </w:pPr>
                  <w:r>
                    <w:rPr>
                      <w:b/>
                      <w:bCs/>
                    </w:rPr>
                    <w:t>污染物名称</w:t>
                  </w:r>
                </w:p>
              </w:tc>
              <w:tc>
                <w:tcPr>
                  <w:tcW w:w="695" w:type="pct"/>
                  <w:tcBorders>
                    <w:tl2br w:val="nil"/>
                    <w:tr2bl w:val="nil"/>
                  </w:tcBorders>
                  <w:vAlign w:val="center"/>
                </w:tcPr>
                <w:p w14:paraId="7607967E">
                  <w:pPr>
                    <w:pStyle w:val="4"/>
                    <w:rPr>
                      <w:b/>
                      <w:bCs/>
                    </w:rPr>
                  </w:pPr>
                  <w:r>
                    <w:rPr>
                      <w:b/>
                      <w:bCs/>
                    </w:rPr>
                    <w:t>排放限值</w:t>
                  </w:r>
                </w:p>
              </w:tc>
              <w:tc>
                <w:tcPr>
                  <w:tcW w:w="1305" w:type="pct"/>
                  <w:tcBorders>
                    <w:tl2br w:val="nil"/>
                    <w:tr2bl w:val="nil"/>
                  </w:tcBorders>
                  <w:vAlign w:val="center"/>
                </w:tcPr>
                <w:p w14:paraId="1C256812">
                  <w:pPr>
                    <w:pStyle w:val="4"/>
                    <w:rPr>
                      <w:b/>
                      <w:bCs/>
                    </w:rPr>
                  </w:pPr>
                  <w:r>
                    <w:rPr>
                      <w:b/>
                      <w:bCs/>
                    </w:rPr>
                    <w:t>排放标准</w:t>
                  </w:r>
                </w:p>
              </w:tc>
            </w:tr>
            <w:tr w14:paraId="5E50E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2" w:type="pct"/>
                  <w:vMerge w:val="restart"/>
                  <w:tcBorders>
                    <w:tl2br w:val="nil"/>
                    <w:tr2bl w:val="nil"/>
                  </w:tcBorders>
                  <w:vAlign w:val="center"/>
                </w:tcPr>
                <w:p w14:paraId="0A46063B">
                  <w:pPr>
                    <w:pStyle w:val="4"/>
                  </w:pPr>
                  <w:r>
                    <w:rPr>
                      <w:rFonts w:hint="eastAsia"/>
                    </w:rPr>
                    <w:t>施工期</w:t>
                  </w:r>
                </w:p>
              </w:tc>
              <w:tc>
                <w:tcPr>
                  <w:tcW w:w="788" w:type="pct"/>
                  <w:vMerge w:val="restart"/>
                  <w:tcBorders>
                    <w:tl2br w:val="nil"/>
                    <w:tr2bl w:val="nil"/>
                  </w:tcBorders>
                  <w:vAlign w:val="center"/>
                </w:tcPr>
                <w:p w14:paraId="3B69AB46">
                  <w:pPr>
                    <w:pStyle w:val="4"/>
                  </w:pPr>
                  <w:r>
                    <w:rPr>
                      <w:rFonts w:hint="eastAsia"/>
                    </w:rPr>
                    <w:t>扬尘</w:t>
                  </w:r>
                  <w:r>
                    <w:rPr>
                      <w:rFonts w:hint="eastAsia"/>
                      <w:lang w:eastAsia="zh-CN"/>
                    </w:rPr>
                    <w:t>（</w:t>
                  </w:r>
                  <w:r>
                    <w:rPr>
                      <w:rFonts w:hint="eastAsia"/>
                      <w:lang w:val="en-US" w:eastAsia="zh-CN"/>
                    </w:rPr>
                    <w:t>拆除工程/土方开挖/土方回填阶段</w:t>
                  </w:r>
                  <w:r>
                    <w:rPr>
                      <w:rFonts w:hint="eastAsia"/>
                      <w:lang w:eastAsia="zh-CN"/>
                    </w:rPr>
                    <w:t>）</w:t>
                  </w:r>
                </w:p>
              </w:tc>
              <w:tc>
                <w:tcPr>
                  <w:tcW w:w="1567" w:type="pct"/>
                  <w:tcBorders>
                    <w:tl2br w:val="nil"/>
                    <w:tr2bl w:val="nil"/>
                  </w:tcBorders>
                  <w:vAlign w:val="center"/>
                </w:tcPr>
                <w:p w14:paraId="7FC6A647">
                  <w:pPr>
                    <w:pStyle w:val="4"/>
                  </w:pPr>
                  <w:r>
                    <w:t>总悬浮颗粒物（TSP）</w:t>
                  </w:r>
                </w:p>
                <w:p w14:paraId="5FDC6BDA">
                  <w:pPr>
                    <w:pStyle w:val="4"/>
                    <w:rPr>
                      <w:rFonts w:hint="eastAsia" w:eastAsia="宋体"/>
                      <w:lang w:eastAsia="zh-CN"/>
                    </w:rPr>
                  </w:pPr>
                  <w:r>
                    <w:rPr>
                      <w:rFonts w:hint="eastAsia"/>
                      <w:lang w:eastAsia="zh-CN"/>
                    </w:rPr>
                    <w:t>（</w:t>
                  </w:r>
                  <w:r>
                    <w:rPr>
                      <w:rFonts w:hint="default" w:ascii="Times New Roman" w:hAnsi="Times New Roman" w:cs="Times New Roman"/>
                      <w:lang w:eastAsia="zh-CN"/>
                    </w:rPr>
                    <w:t>μ</w:t>
                  </w:r>
                  <w:r>
                    <w:rPr>
                      <w:rFonts w:hint="eastAsia"/>
                      <w:lang w:eastAsia="zh-CN"/>
                    </w:rPr>
                    <w:t>g/m3）</w:t>
                  </w:r>
                </w:p>
              </w:tc>
              <w:tc>
                <w:tcPr>
                  <w:tcW w:w="695" w:type="pct"/>
                  <w:tcBorders>
                    <w:tl2br w:val="nil"/>
                    <w:tr2bl w:val="nil"/>
                  </w:tcBorders>
                  <w:vAlign w:val="center"/>
                </w:tcPr>
                <w:p w14:paraId="262278B7">
                  <w:pPr>
                    <w:pStyle w:val="4"/>
                  </w:pPr>
                  <w:r>
                    <w:rPr>
                      <w:rFonts w:hint="eastAsia"/>
                      <w:lang w:val="en-US" w:eastAsia="zh-CN"/>
                    </w:rPr>
                    <w:t>600</w:t>
                  </w:r>
                </w:p>
              </w:tc>
              <w:tc>
                <w:tcPr>
                  <w:tcW w:w="1305" w:type="pct"/>
                  <w:vMerge w:val="restart"/>
                  <w:tcBorders>
                    <w:tl2br w:val="nil"/>
                    <w:tr2bl w:val="nil"/>
                  </w:tcBorders>
                  <w:vAlign w:val="center"/>
                </w:tcPr>
                <w:p w14:paraId="137DDB40">
                  <w:pPr>
                    <w:pStyle w:val="4"/>
                  </w:pPr>
                  <w:r>
                    <w:rPr>
                      <w:rFonts w:hint="eastAsia"/>
                      <w:lang w:bidi="ar"/>
                    </w:rPr>
                    <w:t>《四川省施工场地扬尘排放标准》（DB51/2682-2020）</w:t>
                  </w:r>
                </w:p>
              </w:tc>
            </w:tr>
            <w:tr w14:paraId="396F7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2" w:type="pct"/>
                  <w:vMerge w:val="continue"/>
                  <w:tcBorders>
                    <w:tl2br w:val="nil"/>
                    <w:tr2bl w:val="nil"/>
                  </w:tcBorders>
                  <w:vAlign w:val="center"/>
                </w:tcPr>
                <w:p w14:paraId="072F85C6">
                  <w:pPr>
                    <w:pStyle w:val="4"/>
                  </w:pPr>
                </w:p>
              </w:tc>
              <w:tc>
                <w:tcPr>
                  <w:tcW w:w="788" w:type="pct"/>
                  <w:vMerge w:val="continue"/>
                  <w:tcBorders>
                    <w:tl2br w:val="nil"/>
                    <w:tr2bl w:val="nil"/>
                  </w:tcBorders>
                  <w:vAlign w:val="center"/>
                </w:tcPr>
                <w:p w14:paraId="35910E75">
                  <w:pPr>
                    <w:pStyle w:val="4"/>
                  </w:pPr>
                </w:p>
              </w:tc>
              <w:tc>
                <w:tcPr>
                  <w:tcW w:w="1567" w:type="pct"/>
                  <w:tcBorders>
                    <w:tl2br w:val="nil"/>
                    <w:tr2bl w:val="nil"/>
                  </w:tcBorders>
                  <w:vAlign w:val="center"/>
                </w:tcPr>
                <w:p w14:paraId="63E4619D">
                  <w:pPr>
                    <w:pStyle w:val="4"/>
                    <w:rPr>
                      <w:rFonts w:hint="default" w:eastAsia="宋体"/>
                      <w:lang w:val="en-US" w:eastAsia="zh-CN"/>
                    </w:rPr>
                  </w:pPr>
                  <w:r>
                    <w:rPr>
                      <w:rFonts w:hint="eastAsia"/>
                      <w:lang w:val="en-US" w:eastAsia="zh-CN"/>
                    </w:rPr>
                    <w:t>其他工程阶段</w:t>
                  </w:r>
                </w:p>
              </w:tc>
              <w:tc>
                <w:tcPr>
                  <w:tcW w:w="695" w:type="pct"/>
                  <w:tcBorders>
                    <w:tl2br w:val="nil"/>
                    <w:tr2bl w:val="nil"/>
                  </w:tcBorders>
                  <w:vAlign w:val="center"/>
                </w:tcPr>
                <w:p w14:paraId="32FF2D1C">
                  <w:pPr>
                    <w:pStyle w:val="4"/>
                    <w:rPr>
                      <w:rFonts w:hint="default" w:eastAsia="宋体"/>
                      <w:lang w:val="en-US" w:eastAsia="zh-CN"/>
                    </w:rPr>
                  </w:pPr>
                  <w:r>
                    <w:rPr>
                      <w:rFonts w:hint="eastAsia"/>
                      <w:lang w:val="en-US" w:eastAsia="zh-CN"/>
                    </w:rPr>
                    <w:t>250</w:t>
                  </w:r>
                </w:p>
              </w:tc>
              <w:tc>
                <w:tcPr>
                  <w:tcW w:w="1305" w:type="pct"/>
                  <w:vMerge w:val="continue"/>
                  <w:tcBorders>
                    <w:tl2br w:val="nil"/>
                    <w:tr2bl w:val="nil"/>
                  </w:tcBorders>
                  <w:vAlign w:val="center"/>
                </w:tcPr>
                <w:p w14:paraId="73B83E07">
                  <w:pPr>
                    <w:pStyle w:val="4"/>
                  </w:pPr>
                </w:p>
              </w:tc>
            </w:tr>
            <w:tr w14:paraId="3569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2" w:type="pct"/>
                  <w:vMerge w:val="restart"/>
                  <w:tcBorders>
                    <w:tl2br w:val="nil"/>
                    <w:tr2bl w:val="nil"/>
                  </w:tcBorders>
                  <w:vAlign w:val="center"/>
                </w:tcPr>
                <w:p w14:paraId="60B1AFBD">
                  <w:pPr>
                    <w:pStyle w:val="4"/>
                  </w:pPr>
                  <w:r>
                    <w:rPr>
                      <w:rFonts w:hint="eastAsia"/>
                    </w:rPr>
                    <w:t>营运期</w:t>
                  </w:r>
                </w:p>
              </w:tc>
              <w:tc>
                <w:tcPr>
                  <w:tcW w:w="788" w:type="pct"/>
                  <w:vMerge w:val="restart"/>
                  <w:tcBorders>
                    <w:tl2br w:val="nil"/>
                    <w:tr2bl w:val="nil"/>
                  </w:tcBorders>
                  <w:vAlign w:val="center"/>
                </w:tcPr>
                <w:p w14:paraId="1BAFCAE4">
                  <w:pPr>
                    <w:pStyle w:val="4"/>
                  </w:pPr>
                  <w:r>
                    <w:t>污水处理站废气</w:t>
                  </w:r>
                </w:p>
                <w:p w14:paraId="42074F84">
                  <w:pPr>
                    <w:pStyle w:val="4"/>
                  </w:pPr>
                  <w:r>
                    <w:rPr>
                      <w:rFonts w:hint="eastAsia"/>
                    </w:rPr>
                    <w:t>（无组织）</w:t>
                  </w:r>
                </w:p>
              </w:tc>
              <w:tc>
                <w:tcPr>
                  <w:tcW w:w="1567" w:type="pct"/>
                  <w:tcBorders>
                    <w:tl2br w:val="nil"/>
                    <w:tr2bl w:val="nil"/>
                  </w:tcBorders>
                  <w:vAlign w:val="center"/>
                </w:tcPr>
                <w:p w14:paraId="2D8247C2">
                  <w:pPr>
                    <w:pStyle w:val="4"/>
                  </w:pPr>
                  <w:r>
                    <w:t>NH</w:t>
                  </w:r>
                  <w:r>
                    <w:rPr>
                      <w:vertAlign w:val="subscript"/>
                    </w:rPr>
                    <w:t>3</w:t>
                  </w:r>
                  <w:r>
                    <w:rPr>
                      <w:rFonts w:hint="eastAsia"/>
                    </w:rPr>
                    <w:t>（mg/m</w:t>
                  </w:r>
                  <w:r>
                    <w:rPr>
                      <w:rFonts w:hint="eastAsia"/>
                      <w:vertAlign w:val="superscript"/>
                    </w:rPr>
                    <w:t>3</w:t>
                  </w:r>
                  <w:r>
                    <w:rPr>
                      <w:rFonts w:hint="eastAsia"/>
                    </w:rPr>
                    <w:t>）</w:t>
                  </w:r>
                </w:p>
              </w:tc>
              <w:tc>
                <w:tcPr>
                  <w:tcW w:w="695" w:type="pct"/>
                  <w:tcBorders>
                    <w:tl2br w:val="nil"/>
                    <w:tr2bl w:val="nil"/>
                  </w:tcBorders>
                  <w:vAlign w:val="center"/>
                </w:tcPr>
                <w:p w14:paraId="7A0797EB">
                  <w:pPr>
                    <w:pStyle w:val="4"/>
                  </w:pPr>
                  <w:r>
                    <w:rPr>
                      <w:rFonts w:hint="eastAsia"/>
                    </w:rPr>
                    <w:t>1.00</w:t>
                  </w:r>
                </w:p>
              </w:tc>
              <w:tc>
                <w:tcPr>
                  <w:tcW w:w="1305" w:type="pct"/>
                  <w:vMerge w:val="restart"/>
                  <w:tcBorders>
                    <w:tl2br w:val="nil"/>
                    <w:tr2bl w:val="nil"/>
                  </w:tcBorders>
                  <w:vAlign w:val="center"/>
                </w:tcPr>
                <w:p w14:paraId="105C064A">
                  <w:pPr>
                    <w:pStyle w:val="4"/>
                  </w:pPr>
                  <w:r>
                    <w:t>《医疗机构水污染物排放标准》（GB18466-2005）中表3中污水处理站周边大气污染物最高允许浓度标准</w:t>
                  </w:r>
                </w:p>
              </w:tc>
            </w:tr>
            <w:tr w14:paraId="54C30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2" w:type="pct"/>
                  <w:vMerge w:val="continue"/>
                  <w:tcBorders>
                    <w:tl2br w:val="nil"/>
                    <w:tr2bl w:val="nil"/>
                  </w:tcBorders>
                  <w:vAlign w:val="center"/>
                </w:tcPr>
                <w:p w14:paraId="3D69B318">
                  <w:pPr>
                    <w:pStyle w:val="4"/>
                  </w:pPr>
                </w:p>
              </w:tc>
              <w:tc>
                <w:tcPr>
                  <w:tcW w:w="788" w:type="pct"/>
                  <w:vMerge w:val="continue"/>
                  <w:tcBorders>
                    <w:tl2br w:val="nil"/>
                    <w:tr2bl w:val="nil"/>
                  </w:tcBorders>
                  <w:vAlign w:val="center"/>
                </w:tcPr>
                <w:p w14:paraId="1B08791C">
                  <w:pPr>
                    <w:pStyle w:val="4"/>
                  </w:pPr>
                </w:p>
              </w:tc>
              <w:tc>
                <w:tcPr>
                  <w:tcW w:w="1567" w:type="pct"/>
                  <w:tcBorders>
                    <w:tl2br w:val="nil"/>
                    <w:tr2bl w:val="nil"/>
                  </w:tcBorders>
                  <w:vAlign w:val="center"/>
                </w:tcPr>
                <w:p w14:paraId="2F1AF566">
                  <w:pPr>
                    <w:pStyle w:val="4"/>
                  </w:pPr>
                  <w:r>
                    <w:t>H</w:t>
                  </w:r>
                  <w:r>
                    <w:rPr>
                      <w:vertAlign w:val="subscript"/>
                    </w:rPr>
                    <w:t>2</w:t>
                  </w:r>
                  <w:r>
                    <w:t>S</w:t>
                  </w:r>
                  <w:r>
                    <w:rPr>
                      <w:rFonts w:hint="eastAsia"/>
                    </w:rPr>
                    <w:t>（mg/m</w:t>
                  </w:r>
                  <w:r>
                    <w:rPr>
                      <w:rFonts w:hint="eastAsia"/>
                      <w:vertAlign w:val="superscript"/>
                    </w:rPr>
                    <w:t>3</w:t>
                  </w:r>
                  <w:r>
                    <w:rPr>
                      <w:rFonts w:hint="eastAsia"/>
                    </w:rPr>
                    <w:t>）</w:t>
                  </w:r>
                </w:p>
              </w:tc>
              <w:tc>
                <w:tcPr>
                  <w:tcW w:w="695" w:type="pct"/>
                  <w:tcBorders>
                    <w:tl2br w:val="nil"/>
                    <w:tr2bl w:val="nil"/>
                  </w:tcBorders>
                  <w:vAlign w:val="center"/>
                </w:tcPr>
                <w:p w14:paraId="384515CF">
                  <w:pPr>
                    <w:pStyle w:val="4"/>
                  </w:pPr>
                  <w:r>
                    <w:rPr>
                      <w:rFonts w:hint="eastAsia"/>
                    </w:rPr>
                    <w:t>0.03</w:t>
                  </w:r>
                </w:p>
              </w:tc>
              <w:tc>
                <w:tcPr>
                  <w:tcW w:w="1305" w:type="pct"/>
                  <w:vMerge w:val="continue"/>
                  <w:tcBorders>
                    <w:tl2br w:val="nil"/>
                    <w:tr2bl w:val="nil"/>
                  </w:tcBorders>
                  <w:vAlign w:val="center"/>
                </w:tcPr>
                <w:p w14:paraId="4D62722D">
                  <w:pPr>
                    <w:pStyle w:val="4"/>
                  </w:pPr>
                </w:p>
              </w:tc>
            </w:tr>
            <w:tr w14:paraId="55C0A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42" w:type="pct"/>
                  <w:vMerge w:val="continue"/>
                  <w:tcBorders>
                    <w:tl2br w:val="nil"/>
                    <w:tr2bl w:val="nil"/>
                  </w:tcBorders>
                  <w:vAlign w:val="center"/>
                </w:tcPr>
                <w:p w14:paraId="5945F0F4">
                  <w:pPr>
                    <w:pStyle w:val="4"/>
                  </w:pPr>
                </w:p>
              </w:tc>
              <w:tc>
                <w:tcPr>
                  <w:tcW w:w="788" w:type="pct"/>
                  <w:vMerge w:val="continue"/>
                  <w:tcBorders>
                    <w:tl2br w:val="nil"/>
                    <w:tr2bl w:val="nil"/>
                  </w:tcBorders>
                  <w:vAlign w:val="center"/>
                </w:tcPr>
                <w:p w14:paraId="6B399648">
                  <w:pPr>
                    <w:pStyle w:val="4"/>
                  </w:pPr>
                </w:p>
              </w:tc>
              <w:tc>
                <w:tcPr>
                  <w:tcW w:w="1567" w:type="pct"/>
                  <w:tcBorders>
                    <w:tl2br w:val="nil"/>
                    <w:tr2bl w:val="nil"/>
                  </w:tcBorders>
                  <w:vAlign w:val="center"/>
                </w:tcPr>
                <w:p w14:paraId="1B47399A">
                  <w:pPr>
                    <w:pStyle w:val="4"/>
                  </w:pPr>
                  <w:r>
                    <w:rPr>
                      <w:rFonts w:hint="eastAsia"/>
                    </w:rPr>
                    <w:t>臭气浓度（无量纲）</w:t>
                  </w:r>
                </w:p>
              </w:tc>
              <w:tc>
                <w:tcPr>
                  <w:tcW w:w="695" w:type="pct"/>
                  <w:tcBorders>
                    <w:tl2br w:val="nil"/>
                    <w:tr2bl w:val="nil"/>
                  </w:tcBorders>
                  <w:vAlign w:val="center"/>
                </w:tcPr>
                <w:p w14:paraId="16797CB9">
                  <w:pPr>
                    <w:pStyle w:val="4"/>
                  </w:pPr>
                  <w:r>
                    <w:rPr>
                      <w:rFonts w:hint="eastAsia"/>
                    </w:rPr>
                    <w:t>10</w:t>
                  </w:r>
                </w:p>
              </w:tc>
              <w:tc>
                <w:tcPr>
                  <w:tcW w:w="1305" w:type="pct"/>
                  <w:vMerge w:val="continue"/>
                  <w:tcBorders>
                    <w:tl2br w:val="nil"/>
                    <w:tr2bl w:val="nil"/>
                  </w:tcBorders>
                  <w:vAlign w:val="center"/>
                </w:tcPr>
                <w:p w14:paraId="4DB28C63">
                  <w:pPr>
                    <w:pStyle w:val="4"/>
                  </w:pPr>
                </w:p>
              </w:tc>
            </w:tr>
            <w:tr w14:paraId="486CD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42" w:type="pct"/>
                  <w:vMerge w:val="continue"/>
                  <w:tcBorders>
                    <w:tl2br w:val="nil"/>
                    <w:tr2bl w:val="nil"/>
                  </w:tcBorders>
                  <w:vAlign w:val="center"/>
                </w:tcPr>
                <w:p w14:paraId="59F64A85">
                  <w:pPr>
                    <w:pStyle w:val="4"/>
                  </w:pPr>
                </w:p>
              </w:tc>
              <w:tc>
                <w:tcPr>
                  <w:tcW w:w="788" w:type="pct"/>
                  <w:vMerge w:val="continue"/>
                  <w:tcBorders>
                    <w:tl2br w:val="nil"/>
                    <w:tr2bl w:val="nil"/>
                  </w:tcBorders>
                  <w:vAlign w:val="center"/>
                </w:tcPr>
                <w:p w14:paraId="5895B458">
                  <w:pPr>
                    <w:pStyle w:val="4"/>
                  </w:pPr>
                </w:p>
              </w:tc>
              <w:tc>
                <w:tcPr>
                  <w:tcW w:w="1567" w:type="pct"/>
                  <w:tcBorders>
                    <w:tl2br w:val="nil"/>
                    <w:tr2bl w:val="nil"/>
                  </w:tcBorders>
                  <w:vAlign w:val="center"/>
                </w:tcPr>
                <w:p w14:paraId="0234809E">
                  <w:pPr>
                    <w:pStyle w:val="4"/>
                  </w:pPr>
                  <w:r>
                    <w:rPr>
                      <w:rFonts w:hint="eastAsia"/>
                    </w:rPr>
                    <w:t>氯气</w:t>
                  </w:r>
                </w:p>
              </w:tc>
              <w:tc>
                <w:tcPr>
                  <w:tcW w:w="695" w:type="pct"/>
                  <w:tcBorders>
                    <w:tl2br w:val="nil"/>
                    <w:tr2bl w:val="nil"/>
                  </w:tcBorders>
                  <w:vAlign w:val="center"/>
                </w:tcPr>
                <w:p w14:paraId="3336EF69">
                  <w:pPr>
                    <w:pStyle w:val="4"/>
                  </w:pPr>
                  <w:r>
                    <w:rPr>
                      <w:rFonts w:hint="eastAsia"/>
                    </w:rPr>
                    <w:t>0.1</w:t>
                  </w:r>
                </w:p>
              </w:tc>
              <w:tc>
                <w:tcPr>
                  <w:tcW w:w="1305" w:type="pct"/>
                  <w:vMerge w:val="continue"/>
                  <w:tcBorders>
                    <w:tl2br w:val="nil"/>
                    <w:tr2bl w:val="nil"/>
                  </w:tcBorders>
                  <w:vAlign w:val="center"/>
                </w:tcPr>
                <w:p w14:paraId="5D8B69F5">
                  <w:pPr>
                    <w:pStyle w:val="4"/>
                  </w:pPr>
                </w:p>
              </w:tc>
            </w:tr>
            <w:tr w14:paraId="4F73C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42" w:type="pct"/>
                  <w:vMerge w:val="continue"/>
                  <w:tcBorders>
                    <w:tl2br w:val="nil"/>
                    <w:tr2bl w:val="nil"/>
                  </w:tcBorders>
                  <w:vAlign w:val="center"/>
                </w:tcPr>
                <w:p w14:paraId="11D5DF9D">
                  <w:pPr>
                    <w:pStyle w:val="4"/>
                  </w:pPr>
                </w:p>
              </w:tc>
              <w:tc>
                <w:tcPr>
                  <w:tcW w:w="788" w:type="pct"/>
                  <w:vMerge w:val="continue"/>
                  <w:tcBorders>
                    <w:tl2br w:val="nil"/>
                    <w:tr2bl w:val="nil"/>
                  </w:tcBorders>
                  <w:vAlign w:val="center"/>
                </w:tcPr>
                <w:p w14:paraId="54F03797">
                  <w:pPr>
                    <w:pStyle w:val="4"/>
                  </w:pPr>
                </w:p>
              </w:tc>
              <w:tc>
                <w:tcPr>
                  <w:tcW w:w="1567" w:type="pct"/>
                  <w:tcBorders>
                    <w:tl2br w:val="nil"/>
                    <w:tr2bl w:val="nil"/>
                  </w:tcBorders>
                  <w:vAlign w:val="center"/>
                </w:tcPr>
                <w:p w14:paraId="1E91867B">
                  <w:pPr>
                    <w:pStyle w:val="4"/>
                  </w:pPr>
                  <w:r>
                    <w:rPr>
                      <w:rFonts w:hint="eastAsia"/>
                    </w:rPr>
                    <w:t>甲烷（指处理站内最高体积百分数/%）</w:t>
                  </w:r>
                </w:p>
              </w:tc>
              <w:tc>
                <w:tcPr>
                  <w:tcW w:w="695" w:type="pct"/>
                  <w:tcBorders>
                    <w:tl2br w:val="nil"/>
                    <w:tr2bl w:val="nil"/>
                  </w:tcBorders>
                  <w:vAlign w:val="center"/>
                </w:tcPr>
                <w:p w14:paraId="4FE0E25E">
                  <w:pPr>
                    <w:pStyle w:val="4"/>
                  </w:pPr>
                  <w:r>
                    <w:rPr>
                      <w:rFonts w:hint="eastAsia"/>
                    </w:rPr>
                    <w:t>1</w:t>
                  </w:r>
                </w:p>
              </w:tc>
              <w:tc>
                <w:tcPr>
                  <w:tcW w:w="1305" w:type="pct"/>
                  <w:vMerge w:val="continue"/>
                  <w:tcBorders>
                    <w:tl2br w:val="nil"/>
                    <w:tr2bl w:val="nil"/>
                  </w:tcBorders>
                  <w:vAlign w:val="center"/>
                </w:tcPr>
                <w:p w14:paraId="01590725">
                  <w:pPr>
                    <w:pStyle w:val="4"/>
                  </w:pPr>
                </w:p>
              </w:tc>
            </w:tr>
          </w:tbl>
          <w:p w14:paraId="276C75AD"/>
          <w:p w14:paraId="06EB394E">
            <w:pPr>
              <w:spacing w:line="360" w:lineRule="auto"/>
              <w:jc w:val="center"/>
              <w:rPr>
                <w:b/>
                <w:bCs/>
                <w:sz w:val="24"/>
                <w:szCs w:val="24"/>
              </w:rPr>
            </w:pPr>
            <w:r>
              <w:rPr>
                <w:rFonts w:hint="eastAsia"/>
                <w:b/>
                <w:bCs/>
                <w:sz w:val="24"/>
                <w:szCs w:val="24"/>
              </w:rPr>
              <w:t>表3-10  食堂油烟排放限值</w:t>
            </w:r>
          </w:p>
          <w:tbl>
            <w:tblPr>
              <w:tblStyle w:val="22"/>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1841"/>
              <w:gridCol w:w="1992"/>
              <w:gridCol w:w="2359"/>
            </w:tblGrid>
            <w:tr w14:paraId="2AC06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1574" w:type="pct"/>
                  <w:tcBorders>
                    <w:tl2br w:val="nil"/>
                    <w:tr2bl w:val="nil"/>
                  </w:tcBorders>
                  <w:vAlign w:val="center"/>
                </w:tcPr>
                <w:p w14:paraId="09021572">
                  <w:pPr>
                    <w:pStyle w:val="4"/>
                    <w:rPr>
                      <w:b/>
                      <w:bCs/>
                    </w:rPr>
                  </w:pPr>
                  <w:r>
                    <w:rPr>
                      <w:rFonts w:hint="eastAsia"/>
                      <w:b/>
                      <w:bCs/>
                    </w:rPr>
                    <w:t>规模</w:t>
                  </w:r>
                </w:p>
              </w:tc>
              <w:tc>
                <w:tcPr>
                  <w:tcW w:w="1018" w:type="pct"/>
                  <w:tcBorders>
                    <w:tl2br w:val="nil"/>
                    <w:tr2bl w:val="nil"/>
                  </w:tcBorders>
                  <w:vAlign w:val="center"/>
                </w:tcPr>
                <w:p w14:paraId="2FFD5B0E">
                  <w:pPr>
                    <w:pStyle w:val="4"/>
                    <w:rPr>
                      <w:b/>
                      <w:bCs/>
                    </w:rPr>
                  </w:pPr>
                  <w:r>
                    <w:rPr>
                      <w:rFonts w:hint="eastAsia"/>
                      <w:b/>
                      <w:bCs/>
                    </w:rPr>
                    <w:t>小型</w:t>
                  </w:r>
                </w:p>
              </w:tc>
              <w:tc>
                <w:tcPr>
                  <w:tcW w:w="1102" w:type="pct"/>
                  <w:tcBorders>
                    <w:tl2br w:val="nil"/>
                    <w:tr2bl w:val="nil"/>
                  </w:tcBorders>
                  <w:vAlign w:val="center"/>
                </w:tcPr>
                <w:p w14:paraId="259AFB1C">
                  <w:pPr>
                    <w:pStyle w:val="4"/>
                    <w:rPr>
                      <w:b/>
                      <w:bCs/>
                    </w:rPr>
                  </w:pPr>
                  <w:r>
                    <w:rPr>
                      <w:rFonts w:hint="eastAsia"/>
                      <w:b/>
                      <w:bCs/>
                    </w:rPr>
                    <w:t>中型</w:t>
                  </w:r>
                </w:p>
              </w:tc>
              <w:tc>
                <w:tcPr>
                  <w:tcW w:w="1304" w:type="pct"/>
                  <w:tcBorders>
                    <w:tl2br w:val="nil"/>
                    <w:tr2bl w:val="nil"/>
                  </w:tcBorders>
                  <w:vAlign w:val="center"/>
                </w:tcPr>
                <w:p w14:paraId="45A01E8A">
                  <w:pPr>
                    <w:pStyle w:val="4"/>
                    <w:rPr>
                      <w:b/>
                      <w:bCs/>
                    </w:rPr>
                  </w:pPr>
                  <w:r>
                    <w:rPr>
                      <w:rFonts w:hint="eastAsia"/>
                      <w:b/>
                      <w:bCs/>
                    </w:rPr>
                    <w:t>大型</w:t>
                  </w:r>
                </w:p>
              </w:tc>
            </w:tr>
            <w:tr w14:paraId="43030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4" w:type="pct"/>
                  <w:tcBorders>
                    <w:tl2br w:val="nil"/>
                    <w:tr2bl w:val="nil"/>
                  </w:tcBorders>
                  <w:vAlign w:val="center"/>
                </w:tcPr>
                <w:p w14:paraId="31EBEAC7">
                  <w:pPr>
                    <w:pStyle w:val="4"/>
                  </w:pPr>
                  <w:r>
                    <w:rPr>
                      <w:rFonts w:hint="eastAsia"/>
                    </w:rPr>
                    <w:t>最高允许排放浓度（mg/m</w:t>
                  </w:r>
                  <w:r>
                    <w:rPr>
                      <w:rFonts w:hint="eastAsia"/>
                      <w:vertAlign w:val="superscript"/>
                    </w:rPr>
                    <w:t>3</w:t>
                  </w:r>
                  <w:r>
                    <w:rPr>
                      <w:rFonts w:hint="eastAsia"/>
                    </w:rPr>
                    <w:t>）</w:t>
                  </w:r>
                </w:p>
              </w:tc>
              <w:tc>
                <w:tcPr>
                  <w:tcW w:w="3425" w:type="pct"/>
                  <w:gridSpan w:val="3"/>
                  <w:tcBorders>
                    <w:tl2br w:val="nil"/>
                    <w:tr2bl w:val="nil"/>
                  </w:tcBorders>
                  <w:vAlign w:val="center"/>
                </w:tcPr>
                <w:p w14:paraId="429AAD9C">
                  <w:pPr>
                    <w:pStyle w:val="4"/>
                  </w:pPr>
                  <w:r>
                    <w:rPr>
                      <w:rFonts w:hint="eastAsia"/>
                    </w:rPr>
                    <w:t>2.0</w:t>
                  </w:r>
                </w:p>
              </w:tc>
            </w:tr>
            <w:tr w14:paraId="0C827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74" w:type="pct"/>
                  <w:tcBorders>
                    <w:tl2br w:val="nil"/>
                    <w:tr2bl w:val="nil"/>
                  </w:tcBorders>
                  <w:vAlign w:val="center"/>
                </w:tcPr>
                <w:p w14:paraId="65477A55">
                  <w:pPr>
                    <w:pStyle w:val="4"/>
                  </w:pPr>
                  <w:r>
                    <w:rPr>
                      <w:rFonts w:hint="eastAsia"/>
                    </w:rPr>
                    <w:t>净化设施最低去除率（%）</w:t>
                  </w:r>
                </w:p>
              </w:tc>
              <w:tc>
                <w:tcPr>
                  <w:tcW w:w="1018" w:type="pct"/>
                  <w:tcBorders>
                    <w:tl2br w:val="nil"/>
                    <w:tr2bl w:val="nil"/>
                  </w:tcBorders>
                  <w:vAlign w:val="center"/>
                </w:tcPr>
                <w:p w14:paraId="022D00D9">
                  <w:pPr>
                    <w:pStyle w:val="4"/>
                  </w:pPr>
                  <w:r>
                    <w:rPr>
                      <w:rFonts w:hint="eastAsia"/>
                    </w:rPr>
                    <w:t>60</w:t>
                  </w:r>
                </w:p>
              </w:tc>
              <w:tc>
                <w:tcPr>
                  <w:tcW w:w="1102" w:type="pct"/>
                  <w:tcBorders>
                    <w:tl2br w:val="nil"/>
                    <w:tr2bl w:val="nil"/>
                  </w:tcBorders>
                  <w:vAlign w:val="center"/>
                </w:tcPr>
                <w:p w14:paraId="138642E0">
                  <w:pPr>
                    <w:pStyle w:val="4"/>
                  </w:pPr>
                  <w:r>
                    <w:rPr>
                      <w:rFonts w:hint="eastAsia"/>
                    </w:rPr>
                    <w:t>75</w:t>
                  </w:r>
                </w:p>
              </w:tc>
              <w:tc>
                <w:tcPr>
                  <w:tcW w:w="1304" w:type="pct"/>
                  <w:tcBorders>
                    <w:tl2br w:val="nil"/>
                    <w:tr2bl w:val="nil"/>
                  </w:tcBorders>
                  <w:vAlign w:val="center"/>
                </w:tcPr>
                <w:p w14:paraId="20C04E24">
                  <w:pPr>
                    <w:pStyle w:val="4"/>
                  </w:pPr>
                  <w:r>
                    <w:rPr>
                      <w:rFonts w:hint="eastAsia"/>
                    </w:rPr>
                    <w:t>85</w:t>
                  </w:r>
                </w:p>
              </w:tc>
            </w:tr>
          </w:tbl>
          <w:p w14:paraId="0561B209">
            <w:pPr>
              <w:pStyle w:val="18"/>
              <w:ind w:left="840" w:hanging="420"/>
            </w:pPr>
          </w:p>
          <w:p w14:paraId="0FF7ABA9">
            <w:pPr>
              <w:spacing w:line="360" w:lineRule="auto"/>
              <w:ind w:firstLine="482" w:firstLineChars="200"/>
              <w:rPr>
                <w:b/>
                <w:sz w:val="24"/>
                <w:szCs w:val="24"/>
              </w:rPr>
            </w:pPr>
            <w:r>
              <w:rPr>
                <w:b/>
                <w:sz w:val="24"/>
                <w:szCs w:val="24"/>
              </w:rPr>
              <w:t>2、废水</w:t>
            </w:r>
          </w:p>
          <w:p w14:paraId="2B812233">
            <w:pPr>
              <w:spacing w:line="360" w:lineRule="auto"/>
              <w:ind w:firstLine="480" w:firstLineChars="200"/>
              <w:rPr>
                <w:kern w:val="0"/>
                <w:sz w:val="24"/>
              </w:rPr>
            </w:pPr>
            <w:r>
              <w:rPr>
                <w:kern w:val="0"/>
                <w:sz w:val="24"/>
              </w:rPr>
              <w:t>执行《医疗机构水污染物排放标准》（GB18466-2005）中</w:t>
            </w:r>
            <w:r>
              <w:rPr>
                <w:rFonts w:hint="eastAsia"/>
                <w:kern w:val="0"/>
                <w:sz w:val="24"/>
              </w:rPr>
              <w:t>表2</w:t>
            </w:r>
            <w:r>
              <w:rPr>
                <w:kern w:val="0"/>
                <w:sz w:val="24"/>
              </w:rPr>
              <w:t>的预处理标准。</w:t>
            </w:r>
          </w:p>
          <w:p w14:paraId="1409D406">
            <w:pPr>
              <w:spacing w:line="360" w:lineRule="auto"/>
              <w:jc w:val="center"/>
              <w:rPr>
                <w:b/>
                <w:bCs/>
                <w:sz w:val="24"/>
                <w:szCs w:val="24"/>
              </w:rPr>
            </w:pPr>
            <w:r>
              <w:rPr>
                <w:rFonts w:hint="eastAsia"/>
                <w:b/>
                <w:bCs/>
                <w:sz w:val="24"/>
                <w:szCs w:val="24"/>
              </w:rPr>
              <w:t>表3-11 水污染物排放限值  单位：mg/L，pH无量纲，粪大肠菌群MPN/L</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141"/>
              <w:gridCol w:w="1261"/>
              <w:gridCol w:w="1366"/>
              <w:gridCol w:w="1514"/>
              <w:gridCol w:w="1031"/>
              <w:gridCol w:w="964"/>
            </w:tblGrid>
            <w:tr w14:paraId="6C6D1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14:paraId="5817A752">
                  <w:pPr>
                    <w:jc w:val="center"/>
                    <w:rPr>
                      <w:b/>
                      <w:bCs/>
                    </w:rPr>
                  </w:pPr>
                  <w:r>
                    <w:rPr>
                      <w:b/>
                      <w:bCs/>
                    </w:rPr>
                    <w:t>项目</w:t>
                  </w:r>
                </w:p>
              </w:tc>
              <w:tc>
                <w:tcPr>
                  <w:tcW w:w="630" w:type="pct"/>
                  <w:tcBorders>
                    <w:tl2br w:val="nil"/>
                    <w:tr2bl w:val="nil"/>
                  </w:tcBorders>
                  <w:vAlign w:val="center"/>
                </w:tcPr>
                <w:p w14:paraId="1E7AD706">
                  <w:pPr>
                    <w:jc w:val="center"/>
                    <w:rPr>
                      <w:b/>
                      <w:bCs/>
                    </w:rPr>
                  </w:pPr>
                  <w:r>
                    <w:rPr>
                      <w:rFonts w:hint="eastAsia"/>
                      <w:b/>
                      <w:bCs/>
                    </w:rPr>
                    <w:t>pH</w:t>
                  </w:r>
                </w:p>
              </w:tc>
              <w:tc>
                <w:tcPr>
                  <w:tcW w:w="696" w:type="pct"/>
                  <w:tcBorders>
                    <w:tl2br w:val="nil"/>
                    <w:tr2bl w:val="nil"/>
                  </w:tcBorders>
                  <w:vAlign w:val="center"/>
                </w:tcPr>
                <w:p w14:paraId="6997B9AC">
                  <w:pPr>
                    <w:jc w:val="center"/>
                    <w:rPr>
                      <w:b/>
                      <w:bCs/>
                    </w:rPr>
                  </w:pPr>
                  <w:r>
                    <w:rPr>
                      <w:b/>
                      <w:bCs/>
                    </w:rPr>
                    <w:t>COD</w:t>
                  </w:r>
                </w:p>
              </w:tc>
              <w:tc>
                <w:tcPr>
                  <w:tcW w:w="754" w:type="pct"/>
                  <w:tcBorders>
                    <w:tl2br w:val="nil"/>
                    <w:tr2bl w:val="nil"/>
                  </w:tcBorders>
                  <w:vAlign w:val="center"/>
                </w:tcPr>
                <w:p w14:paraId="7CBAFA09">
                  <w:pPr>
                    <w:jc w:val="center"/>
                    <w:rPr>
                      <w:b/>
                      <w:bCs/>
                    </w:rPr>
                  </w:pPr>
                  <w:r>
                    <w:rPr>
                      <w:b/>
                      <w:bCs/>
                    </w:rPr>
                    <w:t>BOD</w:t>
                  </w:r>
                  <w:r>
                    <w:rPr>
                      <w:b/>
                      <w:bCs/>
                      <w:vertAlign w:val="subscript"/>
                    </w:rPr>
                    <w:t>5</w:t>
                  </w:r>
                </w:p>
              </w:tc>
              <w:tc>
                <w:tcPr>
                  <w:tcW w:w="836" w:type="pct"/>
                  <w:tcBorders>
                    <w:tl2br w:val="nil"/>
                    <w:tr2bl w:val="nil"/>
                  </w:tcBorders>
                  <w:vAlign w:val="center"/>
                </w:tcPr>
                <w:p w14:paraId="2C172375">
                  <w:pPr>
                    <w:jc w:val="center"/>
                    <w:rPr>
                      <w:b/>
                      <w:bCs/>
                    </w:rPr>
                  </w:pPr>
                  <w:r>
                    <w:rPr>
                      <w:b/>
                      <w:bCs/>
                    </w:rPr>
                    <w:t>NH</w:t>
                  </w:r>
                  <w:r>
                    <w:rPr>
                      <w:b/>
                      <w:bCs/>
                      <w:vertAlign w:val="subscript"/>
                    </w:rPr>
                    <w:t>3</w:t>
                  </w:r>
                  <w:r>
                    <w:rPr>
                      <w:b/>
                      <w:bCs/>
                    </w:rPr>
                    <w:t>-N</w:t>
                  </w:r>
                </w:p>
              </w:tc>
              <w:tc>
                <w:tcPr>
                  <w:tcW w:w="569" w:type="pct"/>
                  <w:tcBorders>
                    <w:tl2br w:val="nil"/>
                    <w:tr2bl w:val="nil"/>
                  </w:tcBorders>
                  <w:vAlign w:val="center"/>
                </w:tcPr>
                <w:p w14:paraId="0EB80078">
                  <w:pPr>
                    <w:jc w:val="center"/>
                    <w:rPr>
                      <w:b/>
                      <w:bCs/>
                    </w:rPr>
                  </w:pPr>
                  <w:r>
                    <w:rPr>
                      <w:b/>
                      <w:bCs/>
                    </w:rPr>
                    <w:t>TP</w:t>
                  </w:r>
                </w:p>
              </w:tc>
              <w:tc>
                <w:tcPr>
                  <w:tcW w:w="532" w:type="pct"/>
                  <w:tcBorders>
                    <w:tl2br w:val="nil"/>
                    <w:tr2bl w:val="nil"/>
                  </w:tcBorders>
                  <w:vAlign w:val="center"/>
                </w:tcPr>
                <w:p w14:paraId="43F6C194">
                  <w:pPr>
                    <w:jc w:val="center"/>
                    <w:rPr>
                      <w:b/>
                      <w:bCs/>
                    </w:rPr>
                  </w:pPr>
                  <w:r>
                    <w:rPr>
                      <w:b/>
                      <w:bCs/>
                    </w:rPr>
                    <w:t>SS</w:t>
                  </w:r>
                </w:p>
              </w:tc>
            </w:tr>
            <w:tr w14:paraId="43DCC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14:paraId="30227700">
                  <w:pPr>
                    <w:jc w:val="center"/>
                  </w:pPr>
                  <w:r>
                    <w:t>标准值</w:t>
                  </w:r>
                </w:p>
              </w:tc>
              <w:tc>
                <w:tcPr>
                  <w:tcW w:w="630" w:type="pct"/>
                  <w:tcBorders>
                    <w:tl2br w:val="nil"/>
                    <w:tr2bl w:val="nil"/>
                  </w:tcBorders>
                  <w:vAlign w:val="center"/>
                </w:tcPr>
                <w:p w14:paraId="353C1909">
                  <w:pPr>
                    <w:jc w:val="center"/>
                  </w:pPr>
                  <w:r>
                    <w:rPr>
                      <w:rFonts w:hint="eastAsia"/>
                    </w:rPr>
                    <w:t>6~9</w:t>
                  </w:r>
                </w:p>
              </w:tc>
              <w:tc>
                <w:tcPr>
                  <w:tcW w:w="696" w:type="pct"/>
                  <w:tcBorders>
                    <w:tl2br w:val="nil"/>
                    <w:tr2bl w:val="nil"/>
                  </w:tcBorders>
                  <w:vAlign w:val="center"/>
                </w:tcPr>
                <w:p w14:paraId="5D994689">
                  <w:pPr>
                    <w:jc w:val="center"/>
                  </w:pPr>
                  <w:r>
                    <w:t>250</w:t>
                  </w:r>
                </w:p>
              </w:tc>
              <w:tc>
                <w:tcPr>
                  <w:tcW w:w="754" w:type="pct"/>
                  <w:tcBorders>
                    <w:tl2br w:val="nil"/>
                    <w:tr2bl w:val="nil"/>
                  </w:tcBorders>
                  <w:vAlign w:val="center"/>
                </w:tcPr>
                <w:p w14:paraId="5C33CE8F">
                  <w:pPr>
                    <w:jc w:val="center"/>
                  </w:pPr>
                  <w:r>
                    <w:t>100</w:t>
                  </w:r>
                </w:p>
              </w:tc>
              <w:tc>
                <w:tcPr>
                  <w:tcW w:w="836" w:type="pct"/>
                  <w:tcBorders>
                    <w:tl2br w:val="nil"/>
                    <w:tr2bl w:val="nil"/>
                  </w:tcBorders>
                  <w:vAlign w:val="center"/>
                </w:tcPr>
                <w:p w14:paraId="4A882727">
                  <w:pPr>
                    <w:jc w:val="center"/>
                  </w:pPr>
                  <w:r>
                    <w:t>45</w:t>
                  </w:r>
                </w:p>
              </w:tc>
              <w:tc>
                <w:tcPr>
                  <w:tcW w:w="569" w:type="pct"/>
                  <w:tcBorders>
                    <w:tl2br w:val="nil"/>
                    <w:tr2bl w:val="nil"/>
                  </w:tcBorders>
                  <w:vAlign w:val="center"/>
                </w:tcPr>
                <w:p w14:paraId="6452EFE3">
                  <w:pPr>
                    <w:jc w:val="center"/>
                  </w:pPr>
                  <w:r>
                    <w:t>8</w:t>
                  </w:r>
                </w:p>
              </w:tc>
              <w:tc>
                <w:tcPr>
                  <w:tcW w:w="532" w:type="pct"/>
                  <w:tcBorders>
                    <w:tl2br w:val="nil"/>
                    <w:tr2bl w:val="nil"/>
                  </w:tcBorders>
                  <w:vAlign w:val="center"/>
                </w:tcPr>
                <w:p w14:paraId="5CC9C6CF">
                  <w:pPr>
                    <w:jc w:val="center"/>
                  </w:pPr>
                  <w:r>
                    <w:t>60</w:t>
                  </w:r>
                </w:p>
              </w:tc>
            </w:tr>
            <w:tr w14:paraId="68247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14:paraId="083A0FBD">
                  <w:pPr>
                    <w:jc w:val="center"/>
                    <w:rPr>
                      <w:b/>
                      <w:bCs/>
                    </w:rPr>
                  </w:pPr>
                  <w:r>
                    <w:rPr>
                      <w:rFonts w:hint="eastAsia"/>
                      <w:b/>
                      <w:bCs/>
                    </w:rPr>
                    <w:t>粪大肠菌群</w:t>
                  </w:r>
                </w:p>
              </w:tc>
              <w:tc>
                <w:tcPr>
                  <w:tcW w:w="630" w:type="pct"/>
                  <w:tcBorders>
                    <w:tl2br w:val="nil"/>
                    <w:tr2bl w:val="nil"/>
                  </w:tcBorders>
                  <w:vAlign w:val="center"/>
                </w:tcPr>
                <w:p w14:paraId="367A8C52">
                  <w:pPr>
                    <w:jc w:val="center"/>
                    <w:rPr>
                      <w:b/>
                      <w:bCs/>
                    </w:rPr>
                  </w:pPr>
                  <w:r>
                    <w:rPr>
                      <w:rFonts w:hint="eastAsia"/>
                      <w:b/>
                      <w:bCs/>
                    </w:rPr>
                    <w:t>总余氯</w:t>
                  </w:r>
                </w:p>
              </w:tc>
              <w:tc>
                <w:tcPr>
                  <w:tcW w:w="696" w:type="pct"/>
                  <w:tcBorders>
                    <w:tl2br w:val="nil"/>
                    <w:tr2bl w:val="nil"/>
                  </w:tcBorders>
                  <w:vAlign w:val="center"/>
                </w:tcPr>
                <w:p w14:paraId="1665E448">
                  <w:pPr>
                    <w:jc w:val="center"/>
                    <w:rPr>
                      <w:b/>
                      <w:bCs/>
                    </w:rPr>
                  </w:pPr>
                  <w:r>
                    <w:rPr>
                      <w:b/>
                      <w:bCs/>
                    </w:rPr>
                    <w:t>动植物油</w:t>
                  </w:r>
                </w:p>
              </w:tc>
              <w:tc>
                <w:tcPr>
                  <w:tcW w:w="754" w:type="pct"/>
                  <w:tcBorders>
                    <w:tl2br w:val="nil"/>
                    <w:tr2bl w:val="nil"/>
                  </w:tcBorders>
                  <w:vAlign w:val="center"/>
                </w:tcPr>
                <w:p w14:paraId="5DF3645D">
                  <w:pPr>
                    <w:jc w:val="center"/>
                    <w:rPr>
                      <w:b/>
                      <w:bCs/>
                    </w:rPr>
                  </w:pPr>
                  <w:r>
                    <w:rPr>
                      <w:rFonts w:hint="eastAsia"/>
                      <w:b/>
                      <w:bCs/>
                    </w:rPr>
                    <w:t>石油类</w:t>
                  </w:r>
                </w:p>
              </w:tc>
              <w:tc>
                <w:tcPr>
                  <w:tcW w:w="836" w:type="pct"/>
                  <w:tcBorders>
                    <w:tl2br w:val="nil"/>
                    <w:tr2bl w:val="nil"/>
                  </w:tcBorders>
                  <w:vAlign w:val="center"/>
                </w:tcPr>
                <w:p w14:paraId="5D5E2531">
                  <w:pPr>
                    <w:jc w:val="center"/>
                    <w:rPr>
                      <w:b/>
                      <w:bCs/>
                    </w:rPr>
                  </w:pPr>
                  <w:r>
                    <w:rPr>
                      <w:rFonts w:hint="eastAsia"/>
                      <w:b/>
                      <w:bCs/>
                    </w:rPr>
                    <w:t>阴离子表面活性剂</w:t>
                  </w:r>
                </w:p>
              </w:tc>
              <w:tc>
                <w:tcPr>
                  <w:tcW w:w="569" w:type="pct"/>
                  <w:tcBorders>
                    <w:tl2br w:val="nil"/>
                    <w:tr2bl w:val="nil"/>
                  </w:tcBorders>
                  <w:vAlign w:val="center"/>
                </w:tcPr>
                <w:p w14:paraId="7FC5A7BB">
                  <w:pPr>
                    <w:jc w:val="center"/>
                  </w:pPr>
                </w:p>
              </w:tc>
              <w:tc>
                <w:tcPr>
                  <w:tcW w:w="532" w:type="pct"/>
                  <w:tcBorders>
                    <w:tl2br w:val="nil"/>
                    <w:tr2bl w:val="nil"/>
                  </w:tcBorders>
                  <w:vAlign w:val="center"/>
                </w:tcPr>
                <w:p w14:paraId="5CC0B674">
                  <w:pPr>
                    <w:jc w:val="center"/>
                  </w:pPr>
                </w:p>
              </w:tc>
            </w:tr>
            <w:tr w14:paraId="45D21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pct"/>
                  <w:tcBorders>
                    <w:tl2br w:val="nil"/>
                    <w:tr2bl w:val="nil"/>
                  </w:tcBorders>
                  <w:vAlign w:val="center"/>
                </w:tcPr>
                <w:p w14:paraId="59909655">
                  <w:pPr>
                    <w:jc w:val="center"/>
                  </w:pPr>
                  <w:r>
                    <w:rPr>
                      <w:rFonts w:hint="eastAsia"/>
                    </w:rPr>
                    <w:t>5000</w:t>
                  </w:r>
                </w:p>
              </w:tc>
              <w:tc>
                <w:tcPr>
                  <w:tcW w:w="630" w:type="pct"/>
                  <w:tcBorders>
                    <w:tl2br w:val="nil"/>
                    <w:tr2bl w:val="nil"/>
                  </w:tcBorders>
                  <w:vAlign w:val="center"/>
                </w:tcPr>
                <w:p w14:paraId="1AE41B77">
                  <w:pPr>
                    <w:jc w:val="center"/>
                  </w:pPr>
                  <w:r>
                    <w:rPr>
                      <w:rFonts w:hint="eastAsia"/>
                    </w:rPr>
                    <w:t>8</w:t>
                  </w:r>
                </w:p>
              </w:tc>
              <w:tc>
                <w:tcPr>
                  <w:tcW w:w="696" w:type="pct"/>
                  <w:tcBorders>
                    <w:tl2br w:val="nil"/>
                    <w:tr2bl w:val="nil"/>
                  </w:tcBorders>
                  <w:vAlign w:val="center"/>
                </w:tcPr>
                <w:p w14:paraId="3BFE5CE0">
                  <w:pPr>
                    <w:jc w:val="center"/>
                  </w:pPr>
                  <w:r>
                    <w:t>2</w:t>
                  </w:r>
                  <w:r>
                    <w:rPr>
                      <w:rFonts w:hint="eastAsia"/>
                    </w:rPr>
                    <w:t>0</w:t>
                  </w:r>
                </w:p>
              </w:tc>
              <w:tc>
                <w:tcPr>
                  <w:tcW w:w="754" w:type="pct"/>
                  <w:tcBorders>
                    <w:tl2br w:val="nil"/>
                    <w:tr2bl w:val="nil"/>
                  </w:tcBorders>
                  <w:vAlign w:val="center"/>
                </w:tcPr>
                <w:p w14:paraId="283DE381">
                  <w:pPr>
                    <w:jc w:val="center"/>
                  </w:pPr>
                  <w:r>
                    <w:rPr>
                      <w:rFonts w:hint="eastAsia"/>
                    </w:rPr>
                    <w:t>20</w:t>
                  </w:r>
                </w:p>
              </w:tc>
              <w:tc>
                <w:tcPr>
                  <w:tcW w:w="836" w:type="pct"/>
                  <w:tcBorders>
                    <w:tl2br w:val="nil"/>
                    <w:tr2bl w:val="nil"/>
                  </w:tcBorders>
                  <w:vAlign w:val="center"/>
                </w:tcPr>
                <w:p w14:paraId="694D9571">
                  <w:pPr>
                    <w:jc w:val="center"/>
                  </w:pPr>
                  <w:r>
                    <w:rPr>
                      <w:rFonts w:hint="eastAsia"/>
                    </w:rPr>
                    <w:t>10</w:t>
                  </w:r>
                </w:p>
              </w:tc>
              <w:tc>
                <w:tcPr>
                  <w:tcW w:w="569" w:type="pct"/>
                  <w:tcBorders>
                    <w:tl2br w:val="nil"/>
                    <w:tr2bl w:val="nil"/>
                  </w:tcBorders>
                  <w:vAlign w:val="center"/>
                </w:tcPr>
                <w:p w14:paraId="606AF820">
                  <w:pPr>
                    <w:jc w:val="center"/>
                  </w:pPr>
                </w:p>
              </w:tc>
              <w:tc>
                <w:tcPr>
                  <w:tcW w:w="532" w:type="pct"/>
                  <w:tcBorders>
                    <w:tl2br w:val="nil"/>
                    <w:tr2bl w:val="nil"/>
                  </w:tcBorders>
                  <w:vAlign w:val="center"/>
                </w:tcPr>
                <w:p w14:paraId="02BDC8EF">
                  <w:pPr>
                    <w:jc w:val="center"/>
                  </w:pPr>
                </w:p>
              </w:tc>
            </w:tr>
          </w:tbl>
          <w:p w14:paraId="288D7395">
            <w:pPr>
              <w:spacing w:line="360" w:lineRule="auto"/>
              <w:ind w:firstLine="482" w:firstLineChars="200"/>
              <w:rPr>
                <w:b/>
                <w:sz w:val="24"/>
                <w:szCs w:val="24"/>
              </w:rPr>
            </w:pPr>
            <w:r>
              <w:rPr>
                <w:b/>
                <w:sz w:val="24"/>
                <w:szCs w:val="24"/>
              </w:rPr>
              <w:t>3、噪声</w:t>
            </w:r>
          </w:p>
          <w:p w14:paraId="5597ECF3">
            <w:pPr>
              <w:spacing w:line="360" w:lineRule="auto"/>
              <w:ind w:firstLine="480" w:firstLineChars="200"/>
              <w:rPr>
                <w:sz w:val="24"/>
                <w:szCs w:val="24"/>
              </w:rPr>
            </w:pPr>
            <w:r>
              <w:rPr>
                <w:rFonts w:hint="eastAsia"/>
                <w:sz w:val="24"/>
                <w:szCs w:val="24"/>
                <w:lang w:val="en-US" w:eastAsia="zh-CN"/>
              </w:rPr>
              <w:t>厂界施工期</w:t>
            </w:r>
            <w:r>
              <w:rPr>
                <w:sz w:val="24"/>
                <w:szCs w:val="24"/>
              </w:rPr>
              <w:t>执行《建筑施工场界环境噪声排放标准》（GB12523-2011），运营期执行《工业企业厂界环境噪声排放标准》（GB12348-2008）2类标准</w:t>
            </w:r>
            <w:r>
              <w:rPr>
                <w:rFonts w:hint="eastAsia"/>
                <w:sz w:val="24"/>
                <w:szCs w:val="24"/>
                <w:lang w:eastAsia="zh-CN"/>
              </w:rPr>
              <w:t>；</w:t>
            </w:r>
            <w:r>
              <w:rPr>
                <w:rFonts w:hint="eastAsia"/>
                <w:sz w:val="24"/>
                <w:szCs w:val="24"/>
                <w:lang w:val="en-US" w:eastAsia="zh-CN"/>
              </w:rPr>
              <w:t>敏感点施工期和</w:t>
            </w:r>
            <w:r>
              <w:rPr>
                <w:sz w:val="24"/>
                <w:szCs w:val="24"/>
              </w:rPr>
              <w:t>运营期执行</w:t>
            </w:r>
            <w:r>
              <w:rPr>
                <w:sz w:val="24"/>
                <w:lang w:val="zh-CN"/>
              </w:rPr>
              <w:t>《声环境质量标准》（GB3096-2008）2类标准</w:t>
            </w:r>
            <w:r>
              <w:rPr>
                <w:sz w:val="24"/>
                <w:szCs w:val="24"/>
              </w:rPr>
              <w:t>。</w:t>
            </w:r>
          </w:p>
          <w:p w14:paraId="406A0D9B">
            <w:pPr>
              <w:spacing w:line="360" w:lineRule="auto"/>
              <w:jc w:val="center"/>
              <w:rPr>
                <w:b/>
                <w:bCs/>
                <w:sz w:val="24"/>
                <w:szCs w:val="24"/>
              </w:rPr>
            </w:pPr>
            <w:r>
              <w:rPr>
                <w:rFonts w:hint="eastAsia"/>
                <w:b/>
                <w:bCs/>
                <w:sz w:val="24"/>
                <w:szCs w:val="24"/>
              </w:rPr>
              <w:t>表3-12  噪声排放标准限值</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982"/>
              <w:gridCol w:w="922"/>
              <w:gridCol w:w="4058"/>
            </w:tblGrid>
            <w:tr w14:paraId="7D1E7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14:paraId="3F98B94B">
                  <w:pPr>
                    <w:jc w:val="center"/>
                    <w:rPr>
                      <w:b/>
                      <w:bCs/>
                      <w:sz w:val="21"/>
                      <w:szCs w:val="21"/>
                    </w:rPr>
                  </w:pPr>
                  <w:r>
                    <w:rPr>
                      <w:b/>
                      <w:bCs/>
                      <w:sz w:val="21"/>
                      <w:szCs w:val="21"/>
                    </w:rPr>
                    <w:t>项目</w:t>
                  </w:r>
                </w:p>
              </w:tc>
              <w:tc>
                <w:tcPr>
                  <w:tcW w:w="542" w:type="pct"/>
                  <w:tcBorders>
                    <w:tl2br w:val="nil"/>
                    <w:tr2bl w:val="nil"/>
                  </w:tcBorders>
                  <w:shd w:val="clear" w:color="auto" w:fill="auto"/>
                  <w:vAlign w:val="center"/>
                </w:tcPr>
                <w:p w14:paraId="61093EBF">
                  <w:pPr>
                    <w:jc w:val="center"/>
                    <w:rPr>
                      <w:b/>
                      <w:bCs/>
                      <w:sz w:val="21"/>
                      <w:szCs w:val="21"/>
                    </w:rPr>
                  </w:pPr>
                  <w:r>
                    <w:rPr>
                      <w:b/>
                      <w:bCs/>
                      <w:sz w:val="21"/>
                      <w:szCs w:val="21"/>
                    </w:rPr>
                    <w:t>昼间</w:t>
                  </w:r>
                </w:p>
              </w:tc>
              <w:tc>
                <w:tcPr>
                  <w:tcW w:w="509" w:type="pct"/>
                  <w:tcBorders>
                    <w:tl2br w:val="nil"/>
                    <w:tr2bl w:val="nil"/>
                  </w:tcBorders>
                  <w:shd w:val="clear" w:color="auto" w:fill="auto"/>
                  <w:vAlign w:val="center"/>
                </w:tcPr>
                <w:p w14:paraId="3AB910AF">
                  <w:pPr>
                    <w:jc w:val="center"/>
                    <w:rPr>
                      <w:b/>
                      <w:bCs/>
                      <w:sz w:val="21"/>
                      <w:szCs w:val="21"/>
                    </w:rPr>
                  </w:pPr>
                  <w:r>
                    <w:rPr>
                      <w:b/>
                      <w:bCs/>
                      <w:sz w:val="21"/>
                      <w:szCs w:val="21"/>
                    </w:rPr>
                    <w:t>夜间</w:t>
                  </w:r>
                </w:p>
              </w:tc>
              <w:tc>
                <w:tcPr>
                  <w:tcW w:w="2241" w:type="pct"/>
                  <w:tcBorders>
                    <w:tl2br w:val="nil"/>
                    <w:tr2bl w:val="nil"/>
                  </w:tcBorders>
                  <w:shd w:val="clear" w:color="auto" w:fill="auto"/>
                  <w:vAlign w:val="center"/>
                </w:tcPr>
                <w:p w14:paraId="57594C0D">
                  <w:pPr>
                    <w:jc w:val="center"/>
                    <w:rPr>
                      <w:rFonts w:hint="eastAsia" w:eastAsia="宋体"/>
                      <w:b/>
                      <w:bCs/>
                      <w:sz w:val="21"/>
                      <w:szCs w:val="21"/>
                      <w:lang w:val="en-US" w:eastAsia="zh-CN"/>
                    </w:rPr>
                  </w:pPr>
                  <w:r>
                    <w:rPr>
                      <w:rFonts w:hint="eastAsia"/>
                      <w:b/>
                      <w:bCs/>
                      <w:sz w:val="21"/>
                      <w:szCs w:val="21"/>
                      <w:lang w:val="en-US" w:eastAsia="zh-CN"/>
                    </w:rPr>
                    <w:t>标准</w:t>
                  </w:r>
                </w:p>
              </w:tc>
            </w:tr>
            <w:tr w14:paraId="12417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14:paraId="71DF23EF">
                  <w:pPr>
                    <w:pStyle w:val="4"/>
                    <w:rPr>
                      <w:sz w:val="21"/>
                      <w:szCs w:val="21"/>
                    </w:rPr>
                  </w:pPr>
                  <w:r>
                    <w:rPr>
                      <w:sz w:val="21"/>
                      <w:szCs w:val="21"/>
                    </w:rPr>
                    <w:t>施工期排放限值[dB（A）]</w:t>
                  </w:r>
                </w:p>
              </w:tc>
              <w:tc>
                <w:tcPr>
                  <w:tcW w:w="542" w:type="pct"/>
                  <w:tcBorders>
                    <w:tl2br w:val="nil"/>
                    <w:tr2bl w:val="nil"/>
                  </w:tcBorders>
                  <w:shd w:val="clear" w:color="auto" w:fill="auto"/>
                  <w:vAlign w:val="center"/>
                </w:tcPr>
                <w:p w14:paraId="187286FB">
                  <w:pPr>
                    <w:pStyle w:val="4"/>
                    <w:rPr>
                      <w:sz w:val="21"/>
                      <w:szCs w:val="21"/>
                    </w:rPr>
                  </w:pPr>
                  <w:r>
                    <w:rPr>
                      <w:sz w:val="21"/>
                      <w:szCs w:val="21"/>
                    </w:rPr>
                    <w:t>70</w:t>
                  </w:r>
                </w:p>
              </w:tc>
              <w:tc>
                <w:tcPr>
                  <w:tcW w:w="509" w:type="pct"/>
                  <w:tcBorders>
                    <w:tl2br w:val="nil"/>
                    <w:tr2bl w:val="nil"/>
                  </w:tcBorders>
                  <w:shd w:val="clear" w:color="auto" w:fill="auto"/>
                  <w:vAlign w:val="center"/>
                </w:tcPr>
                <w:p w14:paraId="7CB10819">
                  <w:pPr>
                    <w:pStyle w:val="4"/>
                    <w:rPr>
                      <w:sz w:val="21"/>
                      <w:szCs w:val="21"/>
                    </w:rPr>
                  </w:pPr>
                  <w:r>
                    <w:rPr>
                      <w:sz w:val="21"/>
                      <w:szCs w:val="21"/>
                    </w:rPr>
                    <w:t>55</w:t>
                  </w:r>
                </w:p>
              </w:tc>
              <w:tc>
                <w:tcPr>
                  <w:tcW w:w="2241" w:type="pct"/>
                  <w:tcBorders>
                    <w:tl2br w:val="nil"/>
                    <w:tr2bl w:val="nil"/>
                  </w:tcBorders>
                  <w:shd w:val="clear" w:color="auto" w:fill="auto"/>
                  <w:vAlign w:val="center"/>
                </w:tcPr>
                <w:p w14:paraId="3F4C46AA">
                  <w:pPr>
                    <w:pStyle w:val="4"/>
                    <w:rPr>
                      <w:sz w:val="21"/>
                      <w:szCs w:val="21"/>
                    </w:rPr>
                  </w:pPr>
                  <w:r>
                    <w:rPr>
                      <w:sz w:val="21"/>
                      <w:szCs w:val="21"/>
                    </w:rPr>
                    <w:t>《建筑施工场界环境噪声排放标准》（GB12523-2011）</w:t>
                  </w:r>
                </w:p>
              </w:tc>
            </w:tr>
            <w:tr w14:paraId="20B44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14:paraId="7C8E62C9">
                  <w:pPr>
                    <w:jc w:val="center"/>
                    <w:rPr>
                      <w:sz w:val="21"/>
                      <w:szCs w:val="21"/>
                    </w:rPr>
                  </w:pPr>
                  <w:r>
                    <w:rPr>
                      <w:sz w:val="21"/>
                      <w:szCs w:val="21"/>
                    </w:rPr>
                    <w:t>运营期排放限值</w:t>
                  </w:r>
                  <w:r>
                    <w:rPr>
                      <w:rFonts w:hint="eastAsia" w:eastAsia="仿宋"/>
                      <w:sz w:val="21"/>
                      <w:szCs w:val="21"/>
                    </w:rPr>
                    <w:t>〔</w:t>
                  </w:r>
                  <w:r>
                    <w:rPr>
                      <w:sz w:val="21"/>
                      <w:szCs w:val="21"/>
                    </w:rPr>
                    <w:t>dB（A）</w:t>
                  </w:r>
                  <w:r>
                    <w:rPr>
                      <w:rFonts w:hint="eastAsia" w:eastAsia="仿宋"/>
                      <w:sz w:val="21"/>
                      <w:szCs w:val="21"/>
                    </w:rPr>
                    <w:t>〕</w:t>
                  </w:r>
                </w:p>
              </w:tc>
              <w:tc>
                <w:tcPr>
                  <w:tcW w:w="542" w:type="pct"/>
                  <w:tcBorders>
                    <w:tl2br w:val="nil"/>
                    <w:tr2bl w:val="nil"/>
                  </w:tcBorders>
                  <w:shd w:val="clear" w:color="auto" w:fill="auto"/>
                  <w:vAlign w:val="center"/>
                </w:tcPr>
                <w:p w14:paraId="7D70B672">
                  <w:pPr>
                    <w:jc w:val="center"/>
                    <w:rPr>
                      <w:sz w:val="21"/>
                      <w:szCs w:val="21"/>
                    </w:rPr>
                  </w:pPr>
                  <w:r>
                    <w:rPr>
                      <w:sz w:val="21"/>
                      <w:szCs w:val="21"/>
                    </w:rPr>
                    <w:t>60</w:t>
                  </w:r>
                </w:p>
              </w:tc>
              <w:tc>
                <w:tcPr>
                  <w:tcW w:w="509" w:type="pct"/>
                  <w:tcBorders>
                    <w:tl2br w:val="nil"/>
                    <w:tr2bl w:val="nil"/>
                  </w:tcBorders>
                  <w:shd w:val="clear" w:color="auto" w:fill="auto"/>
                  <w:vAlign w:val="center"/>
                </w:tcPr>
                <w:p w14:paraId="68143650">
                  <w:pPr>
                    <w:jc w:val="center"/>
                    <w:rPr>
                      <w:sz w:val="21"/>
                      <w:szCs w:val="21"/>
                    </w:rPr>
                  </w:pPr>
                  <w:r>
                    <w:rPr>
                      <w:sz w:val="21"/>
                      <w:szCs w:val="21"/>
                    </w:rPr>
                    <w:t>50</w:t>
                  </w:r>
                </w:p>
              </w:tc>
              <w:tc>
                <w:tcPr>
                  <w:tcW w:w="2241" w:type="pct"/>
                  <w:tcBorders>
                    <w:tl2br w:val="nil"/>
                    <w:tr2bl w:val="nil"/>
                  </w:tcBorders>
                  <w:shd w:val="clear" w:color="auto" w:fill="auto"/>
                  <w:vAlign w:val="center"/>
                </w:tcPr>
                <w:p w14:paraId="528BF4F0">
                  <w:pPr>
                    <w:jc w:val="center"/>
                    <w:rPr>
                      <w:rFonts w:hint="default" w:eastAsia="宋体"/>
                      <w:sz w:val="21"/>
                      <w:szCs w:val="21"/>
                      <w:lang w:val="en-US" w:eastAsia="zh-CN"/>
                    </w:rPr>
                  </w:pPr>
                  <w:r>
                    <w:rPr>
                      <w:sz w:val="21"/>
                      <w:szCs w:val="21"/>
                    </w:rPr>
                    <w:t>《工业企业厂界环境噪声排放标准》（GB12348-2008）</w:t>
                  </w:r>
                  <w:r>
                    <w:rPr>
                      <w:rFonts w:hint="eastAsia"/>
                      <w:sz w:val="21"/>
                      <w:szCs w:val="21"/>
                      <w:lang w:val="en-US" w:eastAsia="zh-CN"/>
                    </w:rPr>
                    <w:t>2类</w:t>
                  </w:r>
                </w:p>
              </w:tc>
            </w:tr>
            <w:tr w14:paraId="025D2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shd w:val="clear" w:color="auto" w:fill="auto"/>
                  <w:vAlign w:val="center"/>
                </w:tcPr>
                <w:p w14:paraId="36442877">
                  <w:pPr>
                    <w:jc w:val="center"/>
                    <w:rPr>
                      <w:rFonts w:hint="default" w:eastAsia="宋体"/>
                      <w:sz w:val="21"/>
                      <w:szCs w:val="21"/>
                      <w:lang w:val="en-US" w:eastAsia="zh-CN"/>
                    </w:rPr>
                  </w:pPr>
                  <w:r>
                    <w:rPr>
                      <w:rFonts w:hint="eastAsia"/>
                      <w:sz w:val="21"/>
                      <w:szCs w:val="21"/>
                      <w:lang w:val="en-US" w:eastAsia="zh-CN"/>
                    </w:rPr>
                    <w:t>敏感点排放限值</w:t>
                  </w:r>
                  <w:r>
                    <w:rPr>
                      <w:rFonts w:hint="eastAsia" w:eastAsia="仿宋"/>
                      <w:sz w:val="21"/>
                      <w:szCs w:val="21"/>
                    </w:rPr>
                    <w:t>〔</w:t>
                  </w:r>
                  <w:r>
                    <w:rPr>
                      <w:sz w:val="21"/>
                      <w:szCs w:val="21"/>
                    </w:rPr>
                    <w:t>dB（A）</w:t>
                  </w:r>
                  <w:r>
                    <w:rPr>
                      <w:rFonts w:hint="eastAsia" w:eastAsia="仿宋"/>
                      <w:sz w:val="21"/>
                      <w:szCs w:val="21"/>
                    </w:rPr>
                    <w:t>〕</w:t>
                  </w:r>
                </w:p>
              </w:tc>
              <w:tc>
                <w:tcPr>
                  <w:tcW w:w="542" w:type="pct"/>
                  <w:tcBorders>
                    <w:tl2br w:val="nil"/>
                    <w:tr2bl w:val="nil"/>
                  </w:tcBorders>
                  <w:shd w:val="clear" w:color="auto" w:fill="auto"/>
                  <w:vAlign w:val="center"/>
                </w:tcPr>
                <w:p w14:paraId="35716573">
                  <w:pPr>
                    <w:jc w:val="center"/>
                    <w:rPr>
                      <w:rFonts w:hint="default" w:eastAsia="宋体"/>
                      <w:sz w:val="21"/>
                      <w:szCs w:val="21"/>
                      <w:lang w:val="en-US" w:eastAsia="zh-CN"/>
                    </w:rPr>
                  </w:pPr>
                  <w:r>
                    <w:rPr>
                      <w:rFonts w:hint="eastAsia"/>
                      <w:sz w:val="21"/>
                      <w:szCs w:val="21"/>
                      <w:lang w:val="en-US" w:eastAsia="zh-CN"/>
                    </w:rPr>
                    <w:t>60</w:t>
                  </w:r>
                </w:p>
              </w:tc>
              <w:tc>
                <w:tcPr>
                  <w:tcW w:w="509" w:type="pct"/>
                  <w:tcBorders>
                    <w:tl2br w:val="nil"/>
                    <w:tr2bl w:val="nil"/>
                  </w:tcBorders>
                  <w:shd w:val="clear" w:color="auto" w:fill="auto"/>
                  <w:vAlign w:val="center"/>
                </w:tcPr>
                <w:p w14:paraId="7EC4A97A">
                  <w:pPr>
                    <w:jc w:val="center"/>
                    <w:rPr>
                      <w:rFonts w:hint="default" w:eastAsia="宋体"/>
                      <w:sz w:val="21"/>
                      <w:szCs w:val="21"/>
                      <w:lang w:val="en-US" w:eastAsia="zh-CN"/>
                    </w:rPr>
                  </w:pPr>
                  <w:r>
                    <w:rPr>
                      <w:rFonts w:hint="eastAsia"/>
                      <w:sz w:val="21"/>
                      <w:szCs w:val="21"/>
                      <w:lang w:val="en-US" w:eastAsia="zh-CN"/>
                    </w:rPr>
                    <w:t>50</w:t>
                  </w:r>
                </w:p>
              </w:tc>
              <w:tc>
                <w:tcPr>
                  <w:tcW w:w="2241" w:type="pct"/>
                  <w:tcBorders>
                    <w:tl2br w:val="nil"/>
                    <w:tr2bl w:val="nil"/>
                  </w:tcBorders>
                  <w:shd w:val="clear" w:color="auto" w:fill="auto"/>
                  <w:vAlign w:val="center"/>
                </w:tcPr>
                <w:p w14:paraId="29413ADC">
                  <w:pPr>
                    <w:jc w:val="center"/>
                    <w:rPr>
                      <w:sz w:val="21"/>
                      <w:szCs w:val="21"/>
                    </w:rPr>
                  </w:pPr>
                  <w:r>
                    <w:rPr>
                      <w:sz w:val="21"/>
                      <w:szCs w:val="21"/>
                      <w:lang w:val="zh-CN"/>
                    </w:rPr>
                    <w:t>《声环境质量标准》（GB3096-2008）2类</w:t>
                  </w:r>
                </w:p>
              </w:tc>
            </w:tr>
          </w:tbl>
          <w:p w14:paraId="12987DDE">
            <w:pPr>
              <w:spacing w:line="360" w:lineRule="auto"/>
              <w:ind w:firstLine="482" w:firstLineChars="200"/>
              <w:rPr>
                <w:b/>
                <w:sz w:val="24"/>
                <w:szCs w:val="24"/>
              </w:rPr>
            </w:pPr>
            <w:r>
              <w:rPr>
                <w:b/>
                <w:sz w:val="24"/>
                <w:szCs w:val="24"/>
              </w:rPr>
              <w:t>4、固体废物</w:t>
            </w:r>
          </w:p>
          <w:p w14:paraId="7F215EDF">
            <w:pPr>
              <w:spacing w:line="360" w:lineRule="auto"/>
              <w:ind w:firstLine="480" w:firstLineChars="200"/>
              <w:rPr>
                <w:sz w:val="24"/>
                <w:szCs w:val="24"/>
              </w:rPr>
            </w:pPr>
            <w:r>
              <w:rPr>
                <w:sz w:val="24"/>
                <w:szCs w:val="24"/>
              </w:rPr>
              <w:t>一般固废按照《中华人民共和国固体废物污染环境防治法》《一般工业固体废物贮存和填埋污染控制标准》（GB1859</w:t>
            </w:r>
            <w:r>
              <w:rPr>
                <w:rFonts w:hint="eastAsia"/>
                <w:sz w:val="24"/>
                <w:szCs w:val="24"/>
                <w:lang w:val="en-US" w:eastAsia="zh-CN"/>
              </w:rPr>
              <w:t>9</w:t>
            </w:r>
            <w:r>
              <w:rPr>
                <w:sz w:val="24"/>
                <w:szCs w:val="24"/>
              </w:rPr>
              <w:t>-2020）和</w:t>
            </w:r>
            <w:r>
              <w:rPr>
                <w:sz w:val="24"/>
                <w:szCs w:val="24"/>
                <w:lang w:val="en-US" w:eastAsia="zh-CN"/>
              </w:rPr>
              <w:t>《固体废物分类与代码目录》</w:t>
            </w:r>
            <w:r>
              <w:rPr>
                <w:rFonts w:hint="eastAsia"/>
                <w:sz w:val="24"/>
                <w:szCs w:val="24"/>
                <w:lang w:val="en-US" w:eastAsia="zh-CN"/>
              </w:rPr>
              <w:t>（生态环境部</w:t>
            </w:r>
            <w:r>
              <w:rPr>
                <w:sz w:val="24"/>
                <w:szCs w:val="24"/>
                <w:lang w:val="en-US" w:eastAsia="zh-CN"/>
              </w:rPr>
              <w:t>公告 2024年第4号</w:t>
            </w:r>
            <w:r>
              <w:rPr>
                <w:rFonts w:hint="eastAsia"/>
                <w:sz w:val="24"/>
                <w:szCs w:val="24"/>
                <w:lang w:val="en-US" w:eastAsia="zh-CN"/>
              </w:rPr>
              <w:t>）</w:t>
            </w:r>
            <w:r>
              <w:rPr>
                <w:sz w:val="24"/>
                <w:szCs w:val="24"/>
              </w:rPr>
              <w:t>进行分类</w:t>
            </w:r>
            <w:r>
              <w:rPr>
                <w:rFonts w:hint="eastAsia"/>
                <w:sz w:val="24"/>
                <w:szCs w:val="24"/>
              </w:rPr>
              <w:t>、</w:t>
            </w:r>
            <w:r>
              <w:rPr>
                <w:sz w:val="24"/>
                <w:szCs w:val="24"/>
              </w:rPr>
              <w:t>管理和处置，危险废物按照《危险废物贮存污染控制标准》（GB18597-20</w:t>
            </w:r>
            <w:r>
              <w:rPr>
                <w:rFonts w:hint="eastAsia"/>
                <w:sz w:val="24"/>
                <w:szCs w:val="24"/>
              </w:rPr>
              <w:t>23</w:t>
            </w:r>
            <w:r>
              <w:rPr>
                <w:sz w:val="24"/>
                <w:szCs w:val="24"/>
              </w:rPr>
              <w:t>）、《医疗废物管理条例》等相关要求。</w:t>
            </w:r>
          </w:p>
        </w:tc>
      </w:tr>
      <w:tr w14:paraId="503E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733" w:type="dxa"/>
            <w:vAlign w:val="center"/>
          </w:tcPr>
          <w:p w14:paraId="765E0647">
            <w:pPr>
              <w:spacing w:line="360" w:lineRule="auto"/>
              <w:jc w:val="center"/>
              <w:rPr>
                <w:sz w:val="24"/>
                <w:szCs w:val="24"/>
              </w:rPr>
            </w:pPr>
            <w:r>
              <w:rPr>
                <w:sz w:val="24"/>
                <w:szCs w:val="24"/>
              </w:rPr>
              <w:t>总量</w:t>
            </w:r>
          </w:p>
          <w:p w14:paraId="1023BB25">
            <w:pPr>
              <w:spacing w:line="360" w:lineRule="auto"/>
              <w:jc w:val="center"/>
              <w:rPr>
                <w:sz w:val="24"/>
                <w:szCs w:val="24"/>
              </w:rPr>
            </w:pPr>
            <w:r>
              <w:rPr>
                <w:sz w:val="24"/>
                <w:szCs w:val="24"/>
              </w:rPr>
              <w:t>控制</w:t>
            </w:r>
          </w:p>
          <w:p w14:paraId="45CF3CE7">
            <w:pPr>
              <w:spacing w:line="360" w:lineRule="auto"/>
              <w:jc w:val="center"/>
              <w:rPr>
                <w:sz w:val="24"/>
                <w:szCs w:val="24"/>
              </w:rPr>
            </w:pPr>
            <w:r>
              <w:rPr>
                <w:sz w:val="24"/>
                <w:szCs w:val="24"/>
              </w:rPr>
              <w:t>指标</w:t>
            </w:r>
          </w:p>
        </w:tc>
        <w:tc>
          <w:tcPr>
            <w:tcW w:w="9272" w:type="dxa"/>
            <w:vAlign w:val="center"/>
          </w:tcPr>
          <w:p w14:paraId="3A60482E">
            <w:pPr>
              <w:spacing w:line="360" w:lineRule="auto"/>
              <w:ind w:firstLine="482" w:firstLineChars="200"/>
              <w:rPr>
                <w:b/>
                <w:bCs/>
                <w:sz w:val="24"/>
                <w:szCs w:val="24"/>
              </w:rPr>
            </w:pPr>
            <w:r>
              <w:rPr>
                <w:rFonts w:hint="eastAsia"/>
                <w:b/>
                <w:bCs/>
                <w:sz w:val="24"/>
                <w:szCs w:val="24"/>
              </w:rPr>
              <w:t>1、水污染物总量控制指标</w:t>
            </w:r>
          </w:p>
          <w:p w14:paraId="1ABDD385">
            <w:pPr>
              <w:spacing w:line="360" w:lineRule="auto"/>
              <w:ind w:firstLine="480" w:firstLineChars="200"/>
              <w:rPr>
                <w:sz w:val="24"/>
                <w:szCs w:val="24"/>
              </w:rPr>
            </w:pPr>
            <w:r>
              <w:rPr>
                <w:sz w:val="24"/>
                <w:szCs w:val="24"/>
              </w:rPr>
              <w:t>本项目涉及的总量控制指标为化学需氧量（COD）、氨氮（NH</w:t>
            </w:r>
            <w:r>
              <w:rPr>
                <w:sz w:val="24"/>
                <w:szCs w:val="24"/>
                <w:vertAlign w:val="subscript"/>
              </w:rPr>
              <w:t>3</w:t>
            </w:r>
            <w:r>
              <w:rPr>
                <w:sz w:val="24"/>
                <w:szCs w:val="24"/>
              </w:rPr>
              <w:t>-N）、</w:t>
            </w:r>
            <w:r>
              <w:rPr>
                <w:rFonts w:hint="eastAsia"/>
                <w:sz w:val="24"/>
                <w:szCs w:val="24"/>
              </w:rPr>
              <w:t>总磷（TP）</w:t>
            </w:r>
            <w:r>
              <w:rPr>
                <w:sz w:val="24"/>
                <w:szCs w:val="24"/>
              </w:rPr>
              <w:t>，所有指标采用排放标准法核算各污染物排放量，其主要计算过程如下：</w:t>
            </w:r>
          </w:p>
          <w:p w14:paraId="7F6861BD">
            <w:pPr>
              <w:spacing w:line="360" w:lineRule="auto"/>
              <w:ind w:firstLine="480" w:firstLineChars="200"/>
              <w:rPr>
                <w:sz w:val="24"/>
                <w:szCs w:val="24"/>
              </w:rPr>
            </w:pPr>
            <w:r>
              <w:rPr>
                <w:rFonts w:hint="eastAsia"/>
                <w:sz w:val="24"/>
                <w:szCs w:val="24"/>
              </w:rPr>
              <w:t>生活污水、医疗废水和其他废水先经化粪池处理后再由污水处理站处理，处理后达《医疗机构水污染物排放标准》（GB18466-2005）中的预处理标准后排入市政管网，最终排入罗江镇污水处理厂进行处理，处理后达</w:t>
            </w:r>
            <w:r>
              <w:rPr>
                <w:sz w:val="24"/>
                <w:szCs w:val="24"/>
              </w:rPr>
              <w:t>《城镇污水处理厂污染物排放标准》（GB18918-2002）中一级A标后排入</w:t>
            </w:r>
            <w:r>
              <w:rPr>
                <w:rFonts w:hint="eastAsia"/>
                <w:sz w:val="24"/>
                <w:szCs w:val="24"/>
              </w:rPr>
              <w:t>州河。按照排放标准法核算各污染物的总量如下：</w:t>
            </w:r>
          </w:p>
          <w:p w14:paraId="627A9A5A">
            <w:pPr>
              <w:spacing w:line="360" w:lineRule="auto"/>
              <w:ind w:firstLine="480" w:firstLineChars="200"/>
              <w:rPr>
                <w:sz w:val="24"/>
                <w:szCs w:val="24"/>
              </w:rPr>
            </w:pPr>
            <w:r>
              <w:rPr>
                <w:rFonts w:hint="eastAsia"/>
                <w:sz w:val="24"/>
                <w:szCs w:val="24"/>
              </w:rPr>
              <w:t>COD：（</w:t>
            </w:r>
            <w:r>
              <w:rPr>
                <w:rFonts w:hint="eastAsia"/>
                <w:sz w:val="24"/>
                <w:szCs w:val="24"/>
                <w:lang w:eastAsia="zh-CN"/>
              </w:rPr>
              <w:t>15421.25</w:t>
            </w:r>
            <w:r>
              <w:rPr>
                <w:rFonts w:hint="eastAsia"/>
                <w:sz w:val="24"/>
                <w:szCs w:val="24"/>
              </w:rPr>
              <w:t>m</w:t>
            </w:r>
            <w:r>
              <w:rPr>
                <w:rFonts w:hint="eastAsia"/>
                <w:sz w:val="24"/>
                <w:szCs w:val="24"/>
                <w:vertAlign w:val="superscript"/>
              </w:rPr>
              <w:t>3</w:t>
            </w:r>
            <w:r>
              <w:rPr>
                <w:rFonts w:hint="eastAsia"/>
                <w:sz w:val="24"/>
                <w:szCs w:val="24"/>
              </w:rPr>
              <w:t>/a×250mg/L）×10</w:t>
            </w:r>
            <w:r>
              <w:rPr>
                <w:rFonts w:hint="eastAsia"/>
                <w:sz w:val="24"/>
                <w:szCs w:val="24"/>
                <w:vertAlign w:val="superscript"/>
              </w:rPr>
              <w:t>-6</w:t>
            </w:r>
            <w:r>
              <w:rPr>
                <w:rFonts w:hint="eastAsia"/>
                <w:sz w:val="24"/>
                <w:szCs w:val="24"/>
              </w:rPr>
              <w:t>=3.</w:t>
            </w:r>
            <w:r>
              <w:rPr>
                <w:rFonts w:hint="eastAsia"/>
                <w:sz w:val="24"/>
                <w:szCs w:val="24"/>
                <w:lang w:val="en-US" w:eastAsia="zh-CN"/>
              </w:rPr>
              <w:t>85</w:t>
            </w:r>
            <w:r>
              <w:rPr>
                <w:rFonts w:hint="eastAsia"/>
                <w:sz w:val="24"/>
                <w:szCs w:val="24"/>
              </w:rPr>
              <w:t>5t/a</w:t>
            </w:r>
          </w:p>
          <w:p w14:paraId="148050EE">
            <w:pPr>
              <w:spacing w:line="360" w:lineRule="auto"/>
              <w:ind w:firstLine="480" w:firstLineChars="200"/>
              <w:rPr>
                <w:sz w:val="24"/>
                <w:szCs w:val="24"/>
              </w:rPr>
            </w:pPr>
            <w:r>
              <w:rPr>
                <w:rFonts w:hint="eastAsia"/>
                <w:sz w:val="24"/>
                <w:szCs w:val="24"/>
              </w:rPr>
              <w:t>NH</w:t>
            </w:r>
            <w:r>
              <w:rPr>
                <w:rFonts w:hint="eastAsia"/>
                <w:sz w:val="24"/>
                <w:szCs w:val="24"/>
                <w:vertAlign w:val="subscript"/>
              </w:rPr>
              <w:t>3</w:t>
            </w:r>
            <w:r>
              <w:rPr>
                <w:rFonts w:hint="eastAsia"/>
                <w:sz w:val="24"/>
                <w:szCs w:val="24"/>
              </w:rPr>
              <w:t>-N：（</w:t>
            </w:r>
            <w:r>
              <w:rPr>
                <w:rFonts w:hint="eastAsia"/>
                <w:sz w:val="24"/>
                <w:szCs w:val="24"/>
                <w:lang w:eastAsia="zh-CN"/>
              </w:rPr>
              <w:t>15421.25</w:t>
            </w:r>
            <w:r>
              <w:rPr>
                <w:rFonts w:hint="eastAsia"/>
                <w:sz w:val="24"/>
                <w:szCs w:val="24"/>
              </w:rPr>
              <w:t>m</w:t>
            </w:r>
            <w:r>
              <w:rPr>
                <w:rFonts w:hint="eastAsia"/>
                <w:sz w:val="24"/>
                <w:szCs w:val="24"/>
                <w:vertAlign w:val="superscript"/>
              </w:rPr>
              <w:t>3</w:t>
            </w:r>
            <w:r>
              <w:rPr>
                <w:rFonts w:hint="eastAsia"/>
                <w:sz w:val="24"/>
                <w:szCs w:val="24"/>
              </w:rPr>
              <w:t>/a×45mg/L）×10</w:t>
            </w:r>
            <w:r>
              <w:rPr>
                <w:rFonts w:hint="eastAsia"/>
                <w:sz w:val="24"/>
                <w:szCs w:val="24"/>
                <w:vertAlign w:val="superscript"/>
              </w:rPr>
              <w:t>-6</w:t>
            </w:r>
            <w:r>
              <w:rPr>
                <w:rFonts w:hint="eastAsia"/>
                <w:sz w:val="24"/>
                <w:szCs w:val="24"/>
              </w:rPr>
              <w:t>=0.</w:t>
            </w:r>
            <w:r>
              <w:rPr>
                <w:rFonts w:hint="eastAsia"/>
                <w:sz w:val="24"/>
                <w:szCs w:val="24"/>
                <w:lang w:val="en-US" w:eastAsia="zh-CN"/>
              </w:rPr>
              <w:t>694</w:t>
            </w:r>
            <w:r>
              <w:rPr>
                <w:rFonts w:hint="eastAsia"/>
                <w:sz w:val="24"/>
                <w:szCs w:val="24"/>
              </w:rPr>
              <w:t>t/a</w:t>
            </w:r>
          </w:p>
          <w:p w14:paraId="19AD72F6">
            <w:pPr>
              <w:spacing w:line="360" w:lineRule="auto"/>
              <w:ind w:firstLine="480" w:firstLineChars="200"/>
              <w:rPr>
                <w:sz w:val="24"/>
                <w:szCs w:val="24"/>
              </w:rPr>
            </w:pPr>
            <w:r>
              <w:rPr>
                <w:rFonts w:hint="eastAsia"/>
                <w:sz w:val="24"/>
                <w:szCs w:val="24"/>
              </w:rPr>
              <w:t>TP：（</w:t>
            </w:r>
            <w:r>
              <w:rPr>
                <w:rFonts w:hint="eastAsia"/>
                <w:sz w:val="24"/>
                <w:szCs w:val="24"/>
                <w:lang w:eastAsia="zh-CN"/>
              </w:rPr>
              <w:t>15421.25</w:t>
            </w:r>
            <w:r>
              <w:rPr>
                <w:rFonts w:hint="eastAsia"/>
                <w:sz w:val="24"/>
                <w:szCs w:val="24"/>
              </w:rPr>
              <w:t>m</w:t>
            </w:r>
            <w:r>
              <w:rPr>
                <w:rFonts w:hint="eastAsia"/>
                <w:sz w:val="24"/>
                <w:szCs w:val="24"/>
                <w:vertAlign w:val="superscript"/>
              </w:rPr>
              <w:t>3</w:t>
            </w:r>
            <w:r>
              <w:rPr>
                <w:rFonts w:hint="eastAsia"/>
                <w:sz w:val="24"/>
                <w:szCs w:val="24"/>
              </w:rPr>
              <w:t>/a×8mg/L）×10</w:t>
            </w:r>
            <w:r>
              <w:rPr>
                <w:rFonts w:hint="eastAsia"/>
                <w:sz w:val="24"/>
                <w:szCs w:val="24"/>
                <w:vertAlign w:val="superscript"/>
              </w:rPr>
              <w:t>-6</w:t>
            </w:r>
            <w:r>
              <w:rPr>
                <w:rFonts w:hint="eastAsia"/>
                <w:sz w:val="24"/>
                <w:szCs w:val="24"/>
              </w:rPr>
              <w:t>=0.1</w:t>
            </w:r>
            <w:r>
              <w:rPr>
                <w:rFonts w:hint="eastAsia"/>
                <w:sz w:val="24"/>
                <w:szCs w:val="24"/>
                <w:lang w:val="en-US" w:eastAsia="zh-CN"/>
              </w:rPr>
              <w:t>23</w:t>
            </w:r>
            <w:r>
              <w:rPr>
                <w:rFonts w:hint="eastAsia"/>
                <w:sz w:val="24"/>
                <w:szCs w:val="24"/>
              </w:rPr>
              <w:t>t/a</w:t>
            </w:r>
          </w:p>
          <w:p w14:paraId="2E1FF932">
            <w:pPr>
              <w:spacing w:line="360" w:lineRule="auto"/>
              <w:ind w:firstLine="480" w:firstLineChars="200"/>
              <w:rPr>
                <w:sz w:val="24"/>
                <w:szCs w:val="24"/>
              </w:rPr>
            </w:pPr>
            <w:r>
              <w:rPr>
                <w:rFonts w:hint="eastAsia"/>
                <w:sz w:val="24"/>
                <w:szCs w:val="24"/>
              </w:rPr>
              <w:t>废水污染物总量控制指标：本项目废水进入罗江镇污水处理厂，项目废水将占用污水处理厂指标，因此本项目不单独申请废水总量控制指标。</w:t>
            </w:r>
          </w:p>
          <w:p w14:paraId="1BA7C4FD">
            <w:pPr>
              <w:spacing w:line="360" w:lineRule="auto"/>
              <w:ind w:firstLine="482" w:firstLineChars="200"/>
              <w:rPr>
                <w:b/>
                <w:bCs/>
                <w:sz w:val="24"/>
                <w:szCs w:val="24"/>
              </w:rPr>
            </w:pPr>
            <w:r>
              <w:rPr>
                <w:rFonts w:hint="eastAsia"/>
                <w:b/>
                <w:bCs/>
                <w:sz w:val="24"/>
                <w:szCs w:val="24"/>
              </w:rPr>
              <w:t>2、大气污染物总量控制</w:t>
            </w:r>
          </w:p>
          <w:p w14:paraId="0E3CDEE0">
            <w:pPr>
              <w:spacing w:line="360" w:lineRule="auto"/>
              <w:ind w:firstLine="480" w:firstLineChars="200"/>
              <w:rPr>
                <w:sz w:val="24"/>
                <w:szCs w:val="24"/>
              </w:rPr>
            </w:pPr>
            <w:r>
              <w:rPr>
                <w:rFonts w:hint="eastAsia"/>
                <w:sz w:val="24"/>
                <w:szCs w:val="24"/>
              </w:rPr>
              <w:t>本项目不设置大气污染总量控制指标。</w:t>
            </w:r>
          </w:p>
        </w:tc>
      </w:tr>
    </w:tbl>
    <w:p w14:paraId="1EC9E3DF">
      <w:p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2B340F09">
      <w:pPr>
        <w:pStyle w:val="34"/>
        <w:jc w:val="center"/>
        <w:rPr>
          <w:rFonts w:eastAsia="黑体"/>
          <w:b w:val="0"/>
          <w:sz w:val="30"/>
          <w:szCs w:val="30"/>
        </w:rPr>
      </w:pPr>
      <w:r>
        <w:rPr>
          <w:rFonts w:eastAsia="黑体"/>
          <w:b w:val="0"/>
          <w:sz w:val="30"/>
          <w:szCs w:val="30"/>
        </w:rPr>
        <w:t>四、主要环境影响和保护措施</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872"/>
      </w:tblGrid>
      <w:tr w14:paraId="6DB0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65" w:type="pct"/>
            <w:vAlign w:val="center"/>
          </w:tcPr>
          <w:p w14:paraId="073183F2">
            <w:pPr>
              <w:pStyle w:val="19"/>
              <w:adjustRightInd w:val="0"/>
              <w:snapToGrid w:val="0"/>
              <w:spacing w:before="0" w:beforeAutospacing="0" w:after="0" w:afterAutospacing="0" w:line="360" w:lineRule="auto"/>
              <w:jc w:val="center"/>
              <w:rPr>
                <w:rFonts w:ascii="Times New Roman" w:hAnsi="Times New Roman"/>
                <w:kern w:val="2"/>
                <w:szCs w:val="24"/>
              </w:rPr>
            </w:pPr>
            <w:r>
              <w:rPr>
                <w:rFonts w:ascii="Times New Roman" w:hAnsi="Times New Roman"/>
                <w:kern w:val="2"/>
                <w:szCs w:val="24"/>
              </w:rPr>
              <w:t>施工</w:t>
            </w:r>
          </w:p>
          <w:p w14:paraId="119F8CD2">
            <w:pPr>
              <w:pStyle w:val="19"/>
              <w:adjustRightInd w:val="0"/>
              <w:snapToGrid w:val="0"/>
              <w:spacing w:before="0" w:beforeAutospacing="0" w:after="0" w:afterAutospacing="0" w:line="360" w:lineRule="auto"/>
              <w:jc w:val="center"/>
              <w:rPr>
                <w:rFonts w:ascii="Times New Roman" w:hAnsi="Times New Roman"/>
                <w:kern w:val="2"/>
                <w:szCs w:val="24"/>
              </w:rPr>
            </w:pPr>
            <w:r>
              <w:rPr>
                <w:rFonts w:ascii="Times New Roman" w:hAnsi="Times New Roman"/>
                <w:kern w:val="2"/>
                <w:szCs w:val="24"/>
              </w:rPr>
              <w:t>期环</w:t>
            </w:r>
          </w:p>
          <w:p w14:paraId="30EA06B8">
            <w:pPr>
              <w:pStyle w:val="19"/>
              <w:adjustRightInd w:val="0"/>
              <w:snapToGrid w:val="0"/>
              <w:spacing w:before="0" w:beforeAutospacing="0" w:after="0" w:afterAutospacing="0" w:line="360" w:lineRule="auto"/>
              <w:jc w:val="center"/>
              <w:rPr>
                <w:rFonts w:ascii="Times New Roman" w:hAnsi="Times New Roman"/>
                <w:kern w:val="2"/>
                <w:szCs w:val="24"/>
              </w:rPr>
            </w:pPr>
            <w:r>
              <w:rPr>
                <w:rFonts w:ascii="Times New Roman" w:hAnsi="Times New Roman"/>
                <w:kern w:val="2"/>
                <w:szCs w:val="24"/>
              </w:rPr>
              <w:t>境保</w:t>
            </w:r>
          </w:p>
          <w:p w14:paraId="1D107DB0">
            <w:pPr>
              <w:pStyle w:val="19"/>
              <w:adjustRightInd w:val="0"/>
              <w:snapToGrid w:val="0"/>
              <w:spacing w:before="0" w:beforeAutospacing="0" w:after="0" w:afterAutospacing="0" w:line="360" w:lineRule="auto"/>
              <w:jc w:val="center"/>
              <w:rPr>
                <w:rFonts w:ascii="Times New Roman" w:hAnsi="Times New Roman"/>
                <w:kern w:val="2"/>
                <w:szCs w:val="24"/>
              </w:rPr>
            </w:pPr>
            <w:r>
              <w:rPr>
                <w:rFonts w:ascii="Times New Roman" w:hAnsi="Times New Roman"/>
                <w:kern w:val="2"/>
                <w:szCs w:val="24"/>
              </w:rPr>
              <w:t>护措</w:t>
            </w:r>
          </w:p>
          <w:p w14:paraId="1CB28F4C">
            <w:pPr>
              <w:pStyle w:val="8"/>
              <w:spacing w:after="0" w:line="360" w:lineRule="auto"/>
              <w:jc w:val="center"/>
              <w:rPr>
                <w:sz w:val="24"/>
              </w:rPr>
            </w:pPr>
            <w:r>
              <w:rPr>
                <w:kern w:val="2"/>
                <w:sz w:val="24"/>
              </w:rPr>
              <w:t>施</w:t>
            </w:r>
          </w:p>
        </w:tc>
        <w:tc>
          <w:tcPr>
            <w:tcW w:w="4634" w:type="pct"/>
            <w:vAlign w:val="center"/>
          </w:tcPr>
          <w:p w14:paraId="09301F98">
            <w:pPr>
              <w:autoSpaceDE w:val="0"/>
              <w:autoSpaceDN w:val="0"/>
              <w:adjustRightInd w:val="0"/>
              <w:spacing w:line="360" w:lineRule="auto"/>
              <w:ind w:firstLine="480" w:firstLineChars="200"/>
              <w:rPr>
                <w:sz w:val="24"/>
                <w:szCs w:val="24"/>
              </w:rPr>
            </w:pPr>
            <w:r>
              <w:rPr>
                <w:sz w:val="24"/>
                <w:szCs w:val="24"/>
              </w:rPr>
              <w:t>项目施工期主要是对</w:t>
            </w:r>
            <w:r>
              <w:rPr>
                <w:sz w:val="24"/>
                <w:szCs w:val="24"/>
                <w:lang w:val="zh-CN"/>
              </w:rPr>
              <w:t>楼体进行内部</w:t>
            </w:r>
            <w:r>
              <w:rPr>
                <w:sz w:val="24"/>
                <w:szCs w:val="24"/>
              </w:rPr>
              <w:t>装修和医疗设备安装，</w:t>
            </w:r>
            <w:r>
              <w:rPr>
                <w:rFonts w:hint="eastAsia"/>
                <w:sz w:val="24"/>
                <w:szCs w:val="24"/>
              </w:rPr>
              <w:t>其中污水处理站施工涉及土地开挖和土地平整，</w:t>
            </w:r>
            <w:r>
              <w:rPr>
                <w:sz w:val="24"/>
                <w:szCs w:val="24"/>
              </w:rPr>
              <w:t>污染物主要为</w:t>
            </w:r>
            <w:r>
              <w:rPr>
                <w:rFonts w:hint="eastAsia"/>
                <w:sz w:val="24"/>
                <w:szCs w:val="24"/>
              </w:rPr>
              <w:t>施工扬尘、</w:t>
            </w:r>
            <w:r>
              <w:rPr>
                <w:sz w:val="24"/>
                <w:szCs w:val="24"/>
              </w:rPr>
              <w:t>装修废气和装修垃圾、废包装材料、施工人员生活污水和生活垃圾、施工机械设备噪声等。</w:t>
            </w:r>
          </w:p>
          <w:p w14:paraId="1638BA8D">
            <w:pPr>
              <w:autoSpaceDE w:val="0"/>
              <w:autoSpaceDN w:val="0"/>
              <w:adjustRightInd w:val="0"/>
              <w:spacing w:line="360" w:lineRule="auto"/>
              <w:ind w:firstLine="482" w:firstLineChars="200"/>
              <w:rPr>
                <w:b/>
                <w:bCs/>
                <w:sz w:val="24"/>
                <w:szCs w:val="24"/>
              </w:rPr>
            </w:pPr>
            <w:r>
              <w:rPr>
                <w:rFonts w:hint="eastAsia"/>
                <w:b/>
                <w:bCs/>
                <w:sz w:val="24"/>
                <w:szCs w:val="24"/>
              </w:rPr>
              <w:t>1、施工扬尘</w:t>
            </w:r>
          </w:p>
          <w:p w14:paraId="19596CC5">
            <w:pPr>
              <w:autoSpaceDE w:val="0"/>
              <w:autoSpaceDN w:val="0"/>
              <w:adjustRightInd w:val="0"/>
              <w:spacing w:line="360" w:lineRule="auto"/>
              <w:ind w:firstLine="480" w:firstLineChars="200"/>
              <w:rPr>
                <w:sz w:val="24"/>
                <w:szCs w:val="24"/>
              </w:rPr>
            </w:pPr>
            <w:r>
              <w:rPr>
                <w:rFonts w:hint="eastAsia"/>
                <w:sz w:val="24"/>
                <w:szCs w:val="24"/>
              </w:rPr>
              <w:t>在施工阶段，产生扬尘的作业主要有土地平整、开挖、回填、建材运输、装卸等过程，经类比分析，施工场地扬尘浓度一般约为3.5mg/m3，会对周围环境产生一定影响。为减轻施工期扬尘对大气环境的影响施工单位必须严格按照《四川省建筑工程扬尘污染防治技术导则（试行）》（川建发〔2019〕16号）、《四川省施工场地扬尘排放标准》（DB51/2682-2020）</w:t>
            </w:r>
            <w:r>
              <w:rPr>
                <w:rFonts w:hint="eastAsia"/>
                <w:sz w:val="24"/>
                <w:szCs w:val="24"/>
                <w:lang w:eastAsia="zh-CN"/>
              </w:rPr>
              <w:t>、</w:t>
            </w:r>
            <w:r>
              <w:rPr>
                <w:rFonts w:hint="eastAsia"/>
                <w:sz w:val="24"/>
                <w:szCs w:val="24"/>
              </w:rPr>
              <w:t>《四川省2023-2025年扬尘源专项整治行动实施方案》《打赢蓝天保卫战三年行动计划的通知》（国发〔2018〕22号）等有关要求进行施工，采取以下扬尘防治措施：</w:t>
            </w:r>
          </w:p>
          <w:p w14:paraId="16AE883A">
            <w:pPr>
              <w:autoSpaceDE w:val="0"/>
              <w:autoSpaceDN w:val="0"/>
              <w:adjustRightInd w:val="0"/>
              <w:spacing w:line="360" w:lineRule="auto"/>
              <w:ind w:firstLine="480" w:firstLineChars="200"/>
              <w:rPr>
                <w:sz w:val="24"/>
                <w:szCs w:val="24"/>
              </w:rPr>
            </w:pPr>
            <w:r>
              <w:rPr>
                <w:rFonts w:hint="eastAsia"/>
                <w:sz w:val="24"/>
                <w:szCs w:val="24"/>
              </w:rPr>
              <w:t>①施工现场架设2.5~3m高围挡，围挡顶部设置水喷雾装置且封闭施工现场，施工现场主要道路及施工区域与社会通行道路交叉通道必须硬化；推行绿色施工和装配式建筑施工方式，在专业化工厂预制构件，在工地进行装配，减少现场浇筑。</w:t>
            </w:r>
          </w:p>
          <w:p w14:paraId="40ACD790">
            <w:pPr>
              <w:autoSpaceDE w:val="0"/>
              <w:autoSpaceDN w:val="0"/>
              <w:adjustRightInd w:val="0"/>
              <w:spacing w:line="360" w:lineRule="auto"/>
              <w:ind w:firstLine="480" w:firstLineChars="200"/>
              <w:rPr>
                <w:sz w:val="24"/>
                <w:szCs w:val="24"/>
              </w:rPr>
            </w:pPr>
            <w:r>
              <w:rPr>
                <w:rFonts w:hint="eastAsia"/>
                <w:sz w:val="24"/>
                <w:szCs w:val="24"/>
              </w:rPr>
              <w:t>②施工车辆实施限速管理，施工现场主要运输道路定期洒水抑尘；施工场地安装扬尘在线视频监测设备，设置喷淋、冲洗等防尘降尘设施，对驶离车辆实施冲洗，配套设置地面排水沟、沉淀池。</w:t>
            </w:r>
          </w:p>
          <w:p w14:paraId="41D67585">
            <w:pPr>
              <w:autoSpaceDE w:val="0"/>
              <w:autoSpaceDN w:val="0"/>
              <w:adjustRightInd w:val="0"/>
              <w:spacing w:line="360" w:lineRule="auto"/>
              <w:ind w:firstLine="480" w:firstLineChars="200"/>
              <w:rPr>
                <w:sz w:val="24"/>
                <w:szCs w:val="24"/>
              </w:rPr>
            </w:pPr>
            <w:r>
              <w:rPr>
                <w:rFonts w:hint="eastAsia"/>
                <w:sz w:val="24"/>
                <w:szCs w:val="24"/>
              </w:rPr>
              <w:t>③运输车辆严禁超载行驶，必须采取密闭运输，装卸作业时必须采取有效防护措施，不得遗撒、泄漏、违规倾倒；运输时应选择对周围环境影响较小的运输路线，定时对运输路线进行清扫。</w:t>
            </w:r>
          </w:p>
          <w:p w14:paraId="5B6750B9">
            <w:pPr>
              <w:autoSpaceDE w:val="0"/>
              <w:autoSpaceDN w:val="0"/>
              <w:adjustRightInd w:val="0"/>
              <w:spacing w:line="360" w:lineRule="auto"/>
              <w:ind w:firstLine="480" w:firstLineChars="200"/>
              <w:rPr>
                <w:sz w:val="24"/>
                <w:szCs w:val="24"/>
              </w:rPr>
            </w:pPr>
            <w:r>
              <w:rPr>
                <w:rFonts w:hint="eastAsia"/>
                <w:sz w:val="24"/>
                <w:szCs w:val="24"/>
              </w:rPr>
              <w:t>④禁止在风天进行渣土堆放作业，建材堆放地点要相对集中，建筑垃圾应及时清运，并对堆场以防尘布覆盖，禁止露天堆放。</w:t>
            </w:r>
          </w:p>
          <w:p w14:paraId="2590A825">
            <w:pPr>
              <w:autoSpaceDE w:val="0"/>
              <w:autoSpaceDN w:val="0"/>
              <w:adjustRightInd w:val="0"/>
              <w:spacing w:line="360" w:lineRule="auto"/>
              <w:ind w:firstLine="480" w:firstLineChars="200"/>
              <w:rPr>
                <w:sz w:val="24"/>
                <w:szCs w:val="24"/>
              </w:rPr>
            </w:pPr>
            <w:r>
              <w:rPr>
                <w:rFonts w:hint="eastAsia"/>
                <w:sz w:val="24"/>
                <w:szCs w:val="24"/>
              </w:rPr>
              <w:t>⑤风速大于4m/s时应停止施工；尽量避免冬季、春季进行大规模土方作业，做到“慎开工，早完工”；遇重污染天气，建设单位和施工单位应按照《达州市重污染天气应急预案（2017年修订）》通知落实重污染天气状况下的应急措施要求。</w:t>
            </w:r>
          </w:p>
          <w:p w14:paraId="398F4C3D">
            <w:pPr>
              <w:autoSpaceDE w:val="0"/>
              <w:autoSpaceDN w:val="0"/>
              <w:adjustRightInd w:val="0"/>
              <w:spacing w:line="360" w:lineRule="auto"/>
              <w:ind w:firstLine="480" w:firstLineChars="200"/>
              <w:rPr>
                <w:sz w:val="24"/>
                <w:szCs w:val="24"/>
              </w:rPr>
            </w:pPr>
            <w:r>
              <w:rPr>
                <w:rFonts w:hint="eastAsia"/>
                <w:sz w:val="24"/>
                <w:szCs w:val="24"/>
              </w:rPr>
              <w:t>同时，施工单位必须全面督查建筑工地现场管理“六必须”、“六不准”的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同时，施工单位必须严格按照《四川省建筑工程扬尘污染防治技术导则（试行）》（川建发〔2019〕16号）等文件中的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14:paraId="496C8DDC">
            <w:pPr>
              <w:autoSpaceDE w:val="0"/>
              <w:autoSpaceDN w:val="0"/>
              <w:adjustRightInd w:val="0"/>
              <w:spacing w:line="360" w:lineRule="auto"/>
              <w:ind w:firstLine="482" w:firstLineChars="200"/>
              <w:rPr>
                <w:b/>
                <w:bCs/>
                <w:sz w:val="24"/>
                <w:szCs w:val="24"/>
              </w:rPr>
            </w:pPr>
            <w:r>
              <w:rPr>
                <w:rFonts w:hint="eastAsia"/>
                <w:b/>
                <w:bCs/>
                <w:sz w:val="24"/>
                <w:szCs w:val="24"/>
              </w:rPr>
              <w:t>2、</w:t>
            </w:r>
            <w:r>
              <w:rPr>
                <w:b/>
                <w:bCs/>
                <w:sz w:val="24"/>
                <w:szCs w:val="24"/>
              </w:rPr>
              <w:t>装修废气</w:t>
            </w:r>
          </w:p>
          <w:p w14:paraId="648B189F">
            <w:pPr>
              <w:autoSpaceDE w:val="0"/>
              <w:autoSpaceDN w:val="0"/>
              <w:adjustRightInd w:val="0"/>
              <w:spacing w:line="360" w:lineRule="auto"/>
              <w:ind w:firstLine="480" w:firstLineChars="200"/>
              <w:rPr>
                <w:sz w:val="24"/>
                <w:szCs w:val="24"/>
              </w:rPr>
            </w:pPr>
            <w:r>
              <w:rPr>
                <w:sz w:val="24"/>
                <w:szCs w:val="24"/>
              </w:rPr>
              <w:t>建筑物进入装修施工阶段，必须处理墙面、装饰吊顶、制造与涂漆家具、处理楼面等作业，均需要大量使用胶合板、涂料、油漆等建筑材料，这些材料会向周围环境空气挥发有机废气。本项目装修施工过程中应使用环保型建筑材料，其中各项指标均应符合《室内装饰装修材料内墙涂料中有害物质限量》（GB18582-2008）要求。通过使用环保型建筑材料，对周边企业及工作人员带来的影响是有限的。</w:t>
            </w:r>
          </w:p>
          <w:p w14:paraId="473C7496">
            <w:pPr>
              <w:autoSpaceDE w:val="0"/>
              <w:autoSpaceDN w:val="0"/>
              <w:adjustRightInd w:val="0"/>
              <w:spacing w:line="360" w:lineRule="auto"/>
              <w:ind w:firstLine="482" w:firstLineChars="200"/>
              <w:rPr>
                <w:b/>
                <w:bCs/>
                <w:sz w:val="24"/>
                <w:szCs w:val="24"/>
              </w:rPr>
            </w:pPr>
            <w:r>
              <w:rPr>
                <w:rFonts w:hint="eastAsia"/>
                <w:b/>
                <w:bCs/>
                <w:sz w:val="24"/>
                <w:szCs w:val="24"/>
              </w:rPr>
              <w:t>3</w:t>
            </w:r>
            <w:r>
              <w:rPr>
                <w:b/>
                <w:bCs/>
                <w:sz w:val="24"/>
                <w:szCs w:val="24"/>
              </w:rPr>
              <w:t>、废水</w:t>
            </w:r>
          </w:p>
          <w:p w14:paraId="75517CC0">
            <w:pPr>
              <w:autoSpaceDE w:val="0"/>
              <w:autoSpaceDN w:val="0"/>
              <w:adjustRightInd w:val="0"/>
              <w:spacing w:line="360" w:lineRule="auto"/>
              <w:ind w:firstLine="480" w:firstLineChars="200"/>
              <w:rPr>
                <w:sz w:val="24"/>
                <w:szCs w:val="24"/>
              </w:rPr>
            </w:pPr>
            <w:r>
              <w:rPr>
                <w:sz w:val="24"/>
                <w:szCs w:val="24"/>
              </w:rPr>
              <w:t>施工高峰期施工人员预计约10人，施工人员生活用水量按0.1m</w:t>
            </w:r>
            <w:r>
              <w:rPr>
                <w:sz w:val="24"/>
                <w:szCs w:val="24"/>
                <w:vertAlign w:val="superscript"/>
              </w:rPr>
              <w:t>3</w:t>
            </w:r>
            <w:r>
              <w:rPr>
                <w:sz w:val="24"/>
                <w:szCs w:val="24"/>
              </w:rPr>
              <w:t>/d，生活污水产生系数取0.8，则生活污水产生量为0.8m</w:t>
            </w:r>
            <w:r>
              <w:rPr>
                <w:sz w:val="24"/>
                <w:szCs w:val="24"/>
                <w:vertAlign w:val="superscript"/>
              </w:rPr>
              <w:t>3</w:t>
            </w:r>
            <w:r>
              <w:rPr>
                <w:sz w:val="24"/>
                <w:szCs w:val="24"/>
              </w:rPr>
              <w:t>/d，生活污水经已建化粪池处理后排入市政污水管网。</w:t>
            </w:r>
          </w:p>
          <w:p w14:paraId="522BBEEB">
            <w:pPr>
              <w:autoSpaceDE w:val="0"/>
              <w:autoSpaceDN w:val="0"/>
              <w:adjustRightInd w:val="0"/>
              <w:spacing w:line="360" w:lineRule="auto"/>
              <w:ind w:firstLine="482" w:firstLineChars="200"/>
              <w:rPr>
                <w:sz w:val="24"/>
                <w:szCs w:val="24"/>
                <w:highlight w:val="yellow"/>
              </w:rPr>
            </w:pPr>
            <w:r>
              <w:rPr>
                <w:rFonts w:hint="eastAsia"/>
                <w:b/>
                <w:bCs/>
                <w:sz w:val="24"/>
                <w:szCs w:val="24"/>
              </w:rPr>
              <w:t>4</w:t>
            </w:r>
            <w:r>
              <w:rPr>
                <w:b/>
                <w:bCs/>
                <w:sz w:val="24"/>
                <w:szCs w:val="24"/>
              </w:rPr>
              <w:t>、噪声</w:t>
            </w:r>
          </w:p>
          <w:p w14:paraId="7348303C">
            <w:pPr>
              <w:spacing w:line="360" w:lineRule="auto"/>
              <w:ind w:firstLine="482"/>
              <w:rPr>
                <w:b/>
                <w:sz w:val="24"/>
                <w:szCs w:val="24"/>
              </w:rPr>
            </w:pPr>
            <w:r>
              <w:rPr>
                <w:rFonts w:hint="eastAsia"/>
                <w:b/>
                <w:sz w:val="24"/>
                <w:szCs w:val="24"/>
              </w:rPr>
              <w:t>（1）噪声源强及治理措施</w:t>
            </w:r>
          </w:p>
          <w:p w14:paraId="336F5918">
            <w:pPr>
              <w:spacing w:line="360" w:lineRule="auto"/>
              <w:ind w:firstLine="480"/>
              <w:rPr>
                <w:sz w:val="24"/>
                <w:szCs w:val="24"/>
              </w:rPr>
            </w:pPr>
            <w:r>
              <w:rPr>
                <w:sz w:val="24"/>
                <w:szCs w:val="24"/>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14:paraId="51B9CBC1">
            <w:pPr>
              <w:spacing w:line="360" w:lineRule="auto"/>
              <w:ind w:firstLine="480"/>
              <w:rPr>
                <w:sz w:val="24"/>
                <w:szCs w:val="24"/>
              </w:rPr>
            </w:pPr>
            <w:r>
              <w:rPr>
                <w:sz w:val="24"/>
                <w:szCs w:val="24"/>
              </w:rPr>
              <w:t>①选用符合国家标准的低噪声设备，定期加强对设备的维修保养，避免由于设备非正常工作而产生噪声污染。</w:t>
            </w:r>
          </w:p>
          <w:p w14:paraId="5FCA8361">
            <w:pPr>
              <w:spacing w:line="360" w:lineRule="auto"/>
              <w:ind w:firstLine="480"/>
              <w:rPr>
                <w:sz w:val="24"/>
                <w:szCs w:val="24"/>
              </w:rPr>
            </w:pPr>
            <w:r>
              <w:rPr>
                <w:sz w:val="24"/>
                <w:szCs w:val="24"/>
              </w:rPr>
              <w:t>②合理安排施工时间，禁止夜间（22:00~6:00）施工，如夜间需进行施工工艺要求必须连续作业的强噪声施工，须事先征得周围居民同意，向当地管理部门申报。</w:t>
            </w:r>
          </w:p>
          <w:p w14:paraId="771EF906">
            <w:pPr>
              <w:spacing w:line="360" w:lineRule="auto"/>
              <w:ind w:firstLine="480"/>
              <w:rPr>
                <w:b/>
                <w:sz w:val="24"/>
                <w:szCs w:val="24"/>
              </w:rPr>
            </w:pPr>
            <w:r>
              <w:rPr>
                <w:sz w:val="24"/>
                <w:szCs w:val="24"/>
              </w:rPr>
              <w:t>③加强管理，文明施工。装卸、搬运木材、模具、钢材等严禁抛掷，材料运输车辆进场要专人指挥，厂内运输车辆实施限速、禁止鸣笛。施工监理单位应做好噪声控制措施，确保施工场界噪声达标排放。</w:t>
            </w:r>
          </w:p>
          <w:p w14:paraId="7A4464BF">
            <w:pPr>
              <w:spacing w:line="360" w:lineRule="auto"/>
              <w:ind w:firstLine="480"/>
              <w:rPr>
                <w:sz w:val="24"/>
                <w:szCs w:val="24"/>
              </w:rPr>
            </w:pPr>
            <w:r>
              <w:rPr>
                <w:sz w:val="24"/>
                <w:szCs w:val="24"/>
              </w:rPr>
              <w:t>④施工运输车辆应按照有关部门同意的运输路线行进，运输时间应避开居民进出高峰期，同时严格限速、限载管理，禁止鸣笛。</w:t>
            </w:r>
          </w:p>
          <w:p w14:paraId="2CD9E01C">
            <w:pPr>
              <w:spacing w:line="360" w:lineRule="auto"/>
              <w:ind w:firstLine="480"/>
              <w:rPr>
                <w:b/>
                <w:sz w:val="24"/>
                <w:szCs w:val="24"/>
              </w:rPr>
            </w:pPr>
            <w:r>
              <w:rPr>
                <w:sz w:val="24"/>
                <w:szCs w:val="24"/>
              </w:rPr>
              <w:t>⑤合理布置施工总平面。施工期高噪声尽量设备布置在场地中央，有效利用距离的衰减，确保</w:t>
            </w:r>
            <w:r>
              <w:rPr>
                <w:rFonts w:hint="eastAsia"/>
                <w:sz w:val="24"/>
                <w:szCs w:val="24"/>
              </w:rPr>
              <w:t>厂界</w:t>
            </w:r>
            <w:r>
              <w:rPr>
                <w:sz w:val="24"/>
                <w:szCs w:val="24"/>
              </w:rPr>
              <w:t>达标排放。</w:t>
            </w:r>
          </w:p>
          <w:p w14:paraId="3D775B3A">
            <w:pPr>
              <w:spacing w:line="360" w:lineRule="auto"/>
              <w:ind w:firstLine="480"/>
              <w:rPr>
                <w:sz w:val="24"/>
                <w:szCs w:val="24"/>
              </w:rPr>
            </w:pPr>
            <w:r>
              <w:rPr>
                <w:sz w:val="24"/>
                <w:szCs w:val="24"/>
              </w:rPr>
              <w:t>⑥施工前应进行公示，施工单位应在现场张贴通告和投诉电话，建设单位在接到投诉电话后及时与当地环保部门联系，及时处理各种环境纠纷。</w:t>
            </w:r>
          </w:p>
          <w:p w14:paraId="26F39DBC">
            <w:pPr>
              <w:spacing w:line="360" w:lineRule="auto"/>
              <w:ind w:firstLine="480"/>
              <w:rPr>
                <w:sz w:val="24"/>
                <w:szCs w:val="24"/>
              </w:rPr>
            </w:pPr>
            <w:r>
              <w:rPr>
                <w:rFonts w:hint="eastAsia"/>
                <w:sz w:val="24"/>
                <w:szCs w:val="24"/>
              </w:rPr>
              <w:t>本项目施工期噪声污染源源强核算结果及相关参数见下表：</w:t>
            </w:r>
          </w:p>
          <w:p w14:paraId="6AF6EAB8">
            <w:pPr>
              <w:pStyle w:val="8"/>
              <w:spacing w:after="0" w:line="360" w:lineRule="auto"/>
              <w:jc w:val="center"/>
              <w:rPr>
                <w:b/>
                <w:bCs/>
                <w:sz w:val="24"/>
              </w:rPr>
            </w:pPr>
            <w:r>
              <w:rPr>
                <w:rFonts w:hint="eastAsia"/>
                <w:b/>
                <w:bCs/>
                <w:sz w:val="24"/>
              </w:rPr>
              <w:t>表4-1 工业企业噪声施工期源强调查清单（室外声源）</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12"/>
              <w:gridCol w:w="901"/>
              <w:gridCol w:w="554"/>
              <w:gridCol w:w="606"/>
              <w:gridCol w:w="606"/>
              <w:gridCol w:w="607"/>
              <w:gridCol w:w="1462"/>
              <w:gridCol w:w="846"/>
              <w:gridCol w:w="1192"/>
              <w:gridCol w:w="1460"/>
            </w:tblGrid>
            <w:tr w14:paraId="67FF8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vAlign w:val="center"/>
                </w:tcPr>
                <w:p w14:paraId="1D97823E">
                  <w:pPr>
                    <w:pStyle w:val="29"/>
                  </w:pPr>
                  <w:r>
                    <w:rPr>
                      <w:rFonts w:hint="eastAsia"/>
                    </w:rPr>
                    <w:t>序号</w:t>
                  </w:r>
                </w:p>
              </w:tc>
              <w:tc>
                <w:tcPr>
                  <w:tcW w:w="521" w:type="pct"/>
                  <w:vMerge w:val="restart"/>
                  <w:tcBorders>
                    <w:tl2br w:val="nil"/>
                    <w:tr2bl w:val="nil"/>
                  </w:tcBorders>
                  <w:vAlign w:val="center"/>
                </w:tcPr>
                <w:p w14:paraId="586C3F7E">
                  <w:pPr>
                    <w:pStyle w:val="29"/>
                  </w:pPr>
                  <w:r>
                    <w:t>声源</w:t>
                  </w:r>
                  <w:r>
                    <w:rPr>
                      <w:rFonts w:hint="eastAsia"/>
                    </w:rPr>
                    <w:t>名称</w:t>
                  </w:r>
                </w:p>
              </w:tc>
              <w:tc>
                <w:tcPr>
                  <w:tcW w:w="320" w:type="pct"/>
                  <w:vMerge w:val="restart"/>
                  <w:tcBorders>
                    <w:tl2br w:val="nil"/>
                    <w:tr2bl w:val="nil"/>
                  </w:tcBorders>
                  <w:vAlign w:val="center"/>
                </w:tcPr>
                <w:p w14:paraId="4BCC9CBD">
                  <w:pPr>
                    <w:pStyle w:val="29"/>
                  </w:pPr>
                  <w:r>
                    <w:rPr>
                      <w:rFonts w:hint="eastAsia"/>
                    </w:rPr>
                    <w:t>型号</w:t>
                  </w:r>
                </w:p>
              </w:tc>
              <w:tc>
                <w:tcPr>
                  <w:tcW w:w="1051" w:type="pct"/>
                  <w:gridSpan w:val="3"/>
                  <w:tcBorders>
                    <w:tl2br w:val="nil"/>
                    <w:tr2bl w:val="nil"/>
                  </w:tcBorders>
                  <w:vAlign w:val="center"/>
                </w:tcPr>
                <w:p w14:paraId="03A5E1F2">
                  <w:pPr>
                    <w:pStyle w:val="29"/>
                  </w:pPr>
                  <w:r>
                    <w:rPr>
                      <w:rFonts w:hint="eastAsia"/>
                    </w:rPr>
                    <w:t>空间相对位置</w:t>
                  </w:r>
                </w:p>
              </w:tc>
              <w:tc>
                <w:tcPr>
                  <w:tcW w:w="1334" w:type="pct"/>
                  <w:gridSpan w:val="2"/>
                  <w:tcBorders>
                    <w:tl2br w:val="nil"/>
                    <w:tr2bl w:val="nil"/>
                  </w:tcBorders>
                  <w:vAlign w:val="center"/>
                </w:tcPr>
                <w:p w14:paraId="0DD9A7E1">
                  <w:pPr>
                    <w:pStyle w:val="29"/>
                  </w:pPr>
                  <w:r>
                    <w:t>噪声源强</w:t>
                  </w:r>
                  <w:r>
                    <w:rPr>
                      <w:rFonts w:hint="eastAsia"/>
                    </w:rPr>
                    <w:t>（任选一种）</w:t>
                  </w:r>
                </w:p>
              </w:tc>
              <w:tc>
                <w:tcPr>
                  <w:tcW w:w="689" w:type="pct"/>
                  <w:vMerge w:val="restart"/>
                  <w:tcBorders>
                    <w:tl2br w:val="nil"/>
                    <w:tr2bl w:val="nil"/>
                  </w:tcBorders>
                  <w:vAlign w:val="center"/>
                </w:tcPr>
                <w:p w14:paraId="720A2798">
                  <w:pPr>
                    <w:pStyle w:val="29"/>
                  </w:pPr>
                  <w:r>
                    <w:rPr>
                      <w:rFonts w:hint="eastAsia"/>
                    </w:rPr>
                    <w:t>声源控制措施</w:t>
                  </w:r>
                </w:p>
              </w:tc>
              <w:tc>
                <w:tcPr>
                  <w:tcW w:w="844" w:type="pct"/>
                  <w:vMerge w:val="restart"/>
                  <w:tcBorders>
                    <w:tl2br w:val="nil"/>
                    <w:tr2bl w:val="nil"/>
                  </w:tcBorders>
                  <w:vAlign w:val="center"/>
                </w:tcPr>
                <w:p w14:paraId="0A9DEFA7">
                  <w:pPr>
                    <w:pStyle w:val="29"/>
                  </w:pPr>
                  <w:r>
                    <w:rPr>
                      <w:rFonts w:hint="eastAsia"/>
                    </w:rPr>
                    <w:t>运行时段</w:t>
                  </w:r>
                </w:p>
              </w:tc>
            </w:tr>
            <w:tr w14:paraId="07C09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vAlign w:val="center"/>
                </w:tcPr>
                <w:p w14:paraId="523E1175">
                  <w:pPr>
                    <w:pStyle w:val="29"/>
                    <w:spacing w:line="360" w:lineRule="auto"/>
                  </w:pPr>
                </w:p>
              </w:tc>
              <w:tc>
                <w:tcPr>
                  <w:tcW w:w="521" w:type="pct"/>
                  <w:vMerge w:val="continue"/>
                  <w:tcBorders>
                    <w:tl2br w:val="nil"/>
                    <w:tr2bl w:val="nil"/>
                  </w:tcBorders>
                  <w:vAlign w:val="center"/>
                </w:tcPr>
                <w:p w14:paraId="323093FD">
                  <w:pPr>
                    <w:pStyle w:val="29"/>
                    <w:spacing w:line="360" w:lineRule="auto"/>
                  </w:pPr>
                </w:p>
              </w:tc>
              <w:tc>
                <w:tcPr>
                  <w:tcW w:w="320" w:type="pct"/>
                  <w:vMerge w:val="continue"/>
                  <w:tcBorders>
                    <w:tl2br w:val="nil"/>
                    <w:tr2bl w:val="nil"/>
                  </w:tcBorders>
                  <w:vAlign w:val="center"/>
                </w:tcPr>
                <w:p w14:paraId="0CAA2CA0">
                  <w:pPr>
                    <w:pStyle w:val="29"/>
                    <w:spacing w:line="360" w:lineRule="auto"/>
                  </w:pPr>
                </w:p>
              </w:tc>
              <w:tc>
                <w:tcPr>
                  <w:tcW w:w="350" w:type="pct"/>
                  <w:tcBorders>
                    <w:tl2br w:val="nil"/>
                    <w:tr2bl w:val="nil"/>
                  </w:tcBorders>
                  <w:vAlign w:val="center"/>
                </w:tcPr>
                <w:p w14:paraId="777EB630">
                  <w:pPr>
                    <w:pStyle w:val="29"/>
                    <w:spacing w:line="360" w:lineRule="auto"/>
                  </w:pPr>
                  <w:r>
                    <w:rPr>
                      <w:rFonts w:hint="eastAsia"/>
                    </w:rPr>
                    <w:t>X</w:t>
                  </w:r>
                </w:p>
              </w:tc>
              <w:tc>
                <w:tcPr>
                  <w:tcW w:w="350" w:type="pct"/>
                  <w:tcBorders>
                    <w:tl2br w:val="nil"/>
                    <w:tr2bl w:val="nil"/>
                  </w:tcBorders>
                  <w:vAlign w:val="center"/>
                </w:tcPr>
                <w:p w14:paraId="532034E4">
                  <w:pPr>
                    <w:pStyle w:val="29"/>
                    <w:spacing w:line="360" w:lineRule="auto"/>
                  </w:pPr>
                  <w:r>
                    <w:rPr>
                      <w:rFonts w:hint="eastAsia"/>
                    </w:rPr>
                    <w:t>Y</w:t>
                  </w:r>
                </w:p>
              </w:tc>
              <w:tc>
                <w:tcPr>
                  <w:tcW w:w="350" w:type="pct"/>
                  <w:tcBorders>
                    <w:tl2br w:val="nil"/>
                    <w:tr2bl w:val="nil"/>
                  </w:tcBorders>
                  <w:vAlign w:val="center"/>
                </w:tcPr>
                <w:p w14:paraId="1599E692">
                  <w:pPr>
                    <w:pStyle w:val="29"/>
                    <w:spacing w:line="360" w:lineRule="auto"/>
                  </w:pPr>
                  <w:r>
                    <w:rPr>
                      <w:rFonts w:hint="eastAsia"/>
                    </w:rPr>
                    <w:t>Z</w:t>
                  </w:r>
                </w:p>
              </w:tc>
              <w:tc>
                <w:tcPr>
                  <w:tcW w:w="845" w:type="pct"/>
                  <w:tcBorders>
                    <w:tl2br w:val="nil"/>
                    <w:tr2bl w:val="nil"/>
                  </w:tcBorders>
                  <w:vAlign w:val="center"/>
                </w:tcPr>
                <w:p w14:paraId="4C2F3D6A">
                  <w:pPr>
                    <w:pStyle w:val="29"/>
                  </w:pPr>
                  <w:r>
                    <w:t>（声压级/距声源距离）/（dB（A）/m）</w:t>
                  </w:r>
                </w:p>
              </w:tc>
              <w:tc>
                <w:tcPr>
                  <w:tcW w:w="489" w:type="pct"/>
                  <w:tcBorders>
                    <w:tl2br w:val="nil"/>
                    <w:tr2bl w:val="nil"/>
                  </w:tcBorders>
                  <w:vAlign w:val="center"/>
                </w:tcPr>
                <w:p w14:paraId="4B53E532">
                  <w:pPr>
                    <w:pStyle w:val="29"/>
                  </w:pPr>
                  <w:r>
                    <w:rPr>
                      <w:rFonts w:hint="eastAsia"/>
                    </w:rPr>
                    <w:t>声功率级/</w:t>
                  </w:r>
                  <w:r>
                    <w:t>dB（A）</w:t>
                  </w:r>
                </w:p>
              </w:tc>
              <w:tc>
                <w:tcPr>
                  <w:tcW w:w="689" w:type="pct"/>
                  <w:vMerge w:val="continue"/>
                  <w:tcBorders>
                    <w:tl2br w:val="nil"/>
                    <w:tr2bl w:val="nil"/>
                  </w:tcBorders>
                  <w:vAlign w:val="center"/>
                </w:tcPr>
                <w:p w14:paraId="6C8C9943">
                  <w:pPr>
                    <w:pStyle w:val="29"/>
                    <w:spacing w:line="360" w:lineRule="auto"/>
                  </w:pPr>
                </w:p>
              </w:tc>
              <w:tc>
                <w:tcPr>
                  <w:tcW w:w="844" w:type="pct"/>
                  <w:vMerge w:val="continue"/>
                  <w:tcBorders>
                    <w:tl2br w:val="nil"/>
                    <w:tr2bl w:val="nil"/>
                  </w:tcBorders>
                  <w:vAlign w:val="center"/>
                </w:tcPr>
                <w:p w14:paraId="68E080F8">
                  <w:pPr>
                    <w:pStyle w:val="29"/>
                    <w:spacing w:line="360" w:lineRule="auto"/>
                  </w:pPr>
                </w:p>
              </w:tc>
            </w:tr>
            <w:tr w14:paraId="13393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14:paraId="037A8C7F">
                  <w:pPr>
                    <w:pStyle w:val="29"/>
                  </w:pPr>
                  <w:r>
                    <w:rPr>
                      <w:rFonts w:hint="eastAsia"/>
                    </w:rPr>
                    <w:t>1</w:t>
                  </w:r>
                </w:p>
              </w:tc>
              <w:tc>
                <w:tcPr>
                  <w:tcW w:w="521" w:type="pct"/>
                  <w:tcBorders>
                    <w:tl2br w:val="nil"/>
                    <w:tr2bl w:val="nil"/>
                  </w:tcBorders>
                  <w:vAlign w:val="center"/>
                </w:tcPr>
                <w:p w14:paraId="0F6C887B">
                  <w:pPr>
                    <w:pStyle w:val="29"/>
                  </w:pPr>
                  <w:r>
                    <w:rPr>
                      <w:rFonts w:hint="eastAsia"/>
                    </w:rPr>
                    <w:t>电锯</w:t>
                  </w:r>
                </w:p>
              </w:tc>
              <w:tc>
                <w:tcPr>
                  <w:tcW w:w="320" w:type="pct"/>
                  <w:tcBorders>
                    <w:tl2br w:val="nil"/>
                    <w:tr2bl w:val="nil"/>
                  </w:tcBorders>
                  <w:vAlign w:val="center"/>
                </w:tcPr>
                <w:p w14:paraId="51BC8DD4">
                  <w:pPr>
                    <w:pStyle w:val="29"/>
                  </w:pPr>
                  <w:r>
                    <w:rPr>
                      <w:rFonts w:hint="eastAsia"/>
                    </w:rPr>
                    <w:t>/</w:t>
                  </w:r>
                </w:p>
              </w:tc>
              <w:tc>
                <w:tcPr>
                  <w:tcW w:w="350" w:type="pct"/>
                  <w:tcBorders>
                    <w:tl2br w:val="nil"/>
                    <w:tr2bl w:val="nil"/>
                  </w:tcBorders>
                  <w:vAlign w:val="center"/>
                </w:tcPr>
                <w:p w14:paraId="4999F23B">
                  <w:pPr>
                    <w:pStyle w:val="29"/>
                  </w:pPr>
                  <w:r>
                    <w:rPr>
                      <w:rFonts w:hint="eastAsia"/>
                    </w:rPr>
                    <w:t>30.83</w:t>
                  </w:r>
                </w:p>
              </w:tc>
              <w:tc>
                <w:tcPr>
                  <w:tcW w:w="350" w:type="pct"/>
                  <w:tcBorders>
                    <w:tl2br w:val="nil"/>
                    <w:tr2bl w:val="nil"/>
                  </w:tcBorders>
                  <w:vAlign w:val="center"/>
                </w:tcPr>
                <w:p w14:paraId="31EE90B5">
                  <w:pPr>
                    <w:pStyle w:val="29"/>
                  </w:pPr>
                  <w:r>
                    <w:rPr>
                      <w:rFonts w:hint="eastAsia"/>
                    </w:rPr>
                    <w:t>23.13</w:t>
                  </w:r>
                </w:p>
              </w:tc>
              <w:tc>
                <w:tcPr>
                  <w:tcW w:w="350" w:type="pct"/>
                  <w:tcBorders>
                    <w:tl2br w:val="nil"/>
                    <w:tr2bl w:val="nil"/>
                  </w:tcBorders>
                  <w:vAlign w:val="center"/>
                </w:tcPr>
                <w:p w14:paraId="28325057">
                  <w:pPr>
                    <w:pStyle w:val="29"/>
                  </w:pPr>
                  <w:r>
                    <w:rPr>
                      <w:rFonts w:hint="eastAsia"/>
                    </w:rPr>
                    <w:t>1</w:t>
                  </w:r>
                </w:p>
              </w:tc>
              <w:tc>
                <w:tcPr>
                  <w:tcW w:w="845" w:type="pct"/>
                  <w:tcBorders>
                    <w:tl2br w:val="nil"/>
                    <w:tr2bl w:val="nil"/>
                  </w:tcBorders>
                  <w:vAlign w:val="center"/>
                </w:tcPr>
                <w:p w14:paraId="2D40D241">
                  <w:pPr>
                    <w:pStyle w:val="29"/>
                  </w:pPr>
                  <w:r>
                    <w:rPr>
                      <w:rFonts w:hint="eastAsia"/>
                    </w:rPr>
                    <w:t>/</w:t>
                  </w:r>
                </w:p>
              </w:tc>
              <w:tc>
                <w:tcPr>
                  <w:tcW w:w="489" w:type="pct"/>
                  <w:tcBorders>
                    <w:tl2br w:val="nil"/>
                    <w:tr2bl w:val="nil"/>
                  </w:tcBorders>
                  <w:vAlign w:val="center"/>
                </w:tcPr>
                <w:p w14:paraId="2ACEC761">
                  <w:pPr>
                    <w:pStyle w:val="29"/>
                  </w:pPr>
                  <w:r>
                    <w:rPr>
                      <w:rFonts w:hint="eastAsia"/>
                    </w:rPr>
                    <w:t>90</w:t>
                  </w:r>
                </w:p>
              </w:tc>
              <w:tc>
                <w:tcPr>
                  <w:tcW w:w="689" w:type="pct"/>
                  <w:vMerge w:val="restart"/>
                  <w:tcBorders>
                    <w:tl2br w:val="nil"/>
                    <w:tr2bl w:val="nil"/>
                  </w:tcBorders>
                  <w:vAlign w:val="center"/>
                </w:tcPr>
                <w:p w14:paraId="59C39DD1">
                  <w:pPr>
                    <w:pStyle w:val="29"/>
                  </w:pPr>
                  <w:r>
                    <w:rPr>
                      <w:rFonts w:hint="eastAsia"/>
                    </w:rPr>
                    <w:t>选用低噪声设备，合理布置设备，加强管理</w:t>
                  </w:r>
                </w:p>
              </w:tc>
              <w:tc>
                <w:tcPr>
                  <w:tcW w:w="844" w:type="pct"/>
                  <w:tcBorders>
                    <w:tl2br w:val="nil"/>
                    <w:tr2bl w:val="nil"/>
                  </w:tcBorders>
                  <w:vAlign w:val="center"/>
                </w:tcPr>
                <w:p w14:paraId="408A4300">
                  <w:pPr>
                    <w:pStyle w:val="29"/>
                  </w:pPr>
                  <w:r>
                    <w:rPr>
                      <w:rFonts w:hint="eastAsia"/>
                    </w:rPr>
                    <w:t>昼间</w:t>
                  </w:r>
                </w:p>
              </w:tc>
            </w:tr>
            <w:tr w14:paraId="5AA18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14:paraId="15CB45FE">
                  <w:pPr>
                    <w:pStyle w:val="29"/>
                  </w:pPr>
                  <w:r>
                    <w:rPr>
                      <w:rFonts w:hint="eastAsia"/>
                    </w:rPr>
                    <w:t>2</w:t>
                  </w:r>
                </w:p>
              </w:tc>
              <w:tc>
                <w:tcPr>
                  <w:tcW w:w="521" w:type="pct"/>
                  <w:tcBorders>
                    <w:tl2br w:val="nil"/>
                    <w:tr2bl w:val="nil"/>
                  </w:tcBorders>
                  <w:vAlign w:val="center"/>
                </w:tcPr>
                <w:p w14:paraId="3248E9F4">
                  <w:pPr>
                    <w:pStyle w:val="29"/>
                  </w:pPr>
                  <w:r>
                    <w:rPr>
                      <w:rFonts w:hint="eastAsia"/>
                    </w:rPr>
                    <w:t>挖土机</w:t>
                  </w:r>
                </w:p>
              </w:tc>
              <w:tc>
                <w:tcPr>
                  <w:tcW w:w="320" w:type="pct"/>
                  <w:tcBorders>
                    <w:tl2br w:val="nil"/>
                    <w:tr2bl w:val="nil"/>
                  </w:tcBorders>
                  <w:vAlign w:val="center"/>
                </w:tcPr>
                <w:p w14:paraId="324416D3">
                  <w:pPr>
                    <w:pStyle w:val="29"/>
                  </w:pPr>
                  <w:r>
                    <w:rPr>
                      <w:rFonts w:hint="eastAsia"/>
                    </w:rPr>
                    <w:t>/</w:t>
                  </w:r>
                </w:p>
              </w:tc>
              <w:tc>
                <w:tcPr>
                  <w:tcW w:w="350" w:type="pct"/>
                  <w:tcBorders>
                    <w:tl2br w:val="nil"/>
                    <w:tr2bl w:val="nil"/>
                  </w:tcBorders>
                  <w:vAlign w:val="center"/>
                </w:tcPr>
                <w:p w14:paraId="792C66AE">
                  <w:pPr>
                    <w:pStyle w:val="29"/>
                  </w:pPr>
                  <w:r>
                    <w:rPr>
                      <w:rFonts w:hint="eastAsia"/>
                    </w:rPr>
                    <w:t>-20.4</w:t>
                  </w:r>
                </w:p>
              </w:tc>
              <w:tc>
                <w:tcPr>
                  <w:tcW w:w="350" w:type="pct"/>
                  <w:tcBorders>
                    <w:tl2br w:val="nil"/>
                    <w:tr2bl w:val="nil"/>
                  </w:tcBorders>
                  <w:vAlign w:val="center"/>
                </w:tcPr>
                <w:p w14:paraId="376C0CBC">
                  <w:pPr>
                    <w:pStyle w:val="29"/>
                  </w:pPr>
                  <w:r>
                    <w:rPr>
                      <w:rFonts w:hint="eastAsia"/>
                    </w:rPr>
                    <w:t>5.18</w:t>
                  </w:r>
                </w:p>
              </w:tc>
              <w:tc>
                <w:tcPr>
                  <w:tcW w:w="350" w:type="pct"/>
                  <w:tcBorders>
                    <w:tl2br w:val="nil"/>
                    <w:tr2bl w:val="nil"/>
                  </w:tcBorders>
                  <w:vAlign w:val="center"/>
                </w:tcPr>
                <w:p w14:paraId="473154F3">
                  <w:pPr>
                    <w:pStyle w:val="29"/>
                  </w:pPr>
                  <w:r>
                    <w:rPr>
                      <w:rFonts w:hint="eastAsia"/>
                    </w:rPr>
                    <w:t>1</w:t>
                  </w:r>
                </w:p>
              </w:tc>
              <w:tc>
                <w:tcPr>
                  <w:tcW w:w="845" w:type="pct"/>
                  <w:tcBorders>
                    <w:tl2br w:val="nil"/>
                    <w:tr2bl w:val="nil"/>
                  </w:tcBorders>
                  <w:vAlign w:val="center"/>
                </w:tcPr>
                <w:p w14:paraId="4A94C126">
                  <w:pPr>
                    <w:pStyle w:val="29"/>
                  </w:pPr>
                  <w:r>
                    <w:rPr>
                      <w:rFonts w:hint="eastAsia"/>
                    </w:rPr>
                    <w:t>/</w:t>
                  </w:r>
                </w:p>
              </w:tc>
              <w:tc>
                <w:tcPr>
                  <w:tcW w:w="489" w:type="pct"/>
                  <w:tcBorders>
                    <w:tl2br w:val="nil"/>
                    <w:tr2bl w:val="nil"/>
                  </w:tcBorders>
                  <w:vAlign w:val="center"/>
                </w:tcPr>
                <w:p w14:paraId="47C2A499">
                  <w:pPr>
                    <w:pStyle w:val="29"/>
                  </w:pPr>
                  <w:r>
                    <w:rPr>
                      <w:rFonts w:hint="eastAsia"/>
                    </w:rPr>
                    <w:t>80</w:t>
                  </w:r>
                </w:p>
              </w:tc>
              <w:tc>
                <w:tcPr>
                  <w:tcW w:w="689" w:type="pct"/>
                  <w:vMerge w:val="continue"/>
                  <w:tcBorders>
                    <w:tl2br w:val="nil"/>
                    <w:tr2bl w:val="nil"/>
                  </w:tcBorders>
                  <w:vAlign w:val="center"/>
                </w:tcPr>
                <w:p w14:paraId="11315A9A">
                  <w:pPr>
                    <w:pStyle w:val="29"/>
                  </w:pPr>
                </w:p>
              </w:tc>
              <w:tc>
                <w:tcPr>
                  <w:tcW w:w="844" w:type="pct"/>
                  <w:tcBorders>
                    <w:tl2br w:val="nil"/>
                    <w:tr2bl w:val="nil"/>
                  </w:tcBorders>
                  <w:vAlign w:val="center"/>
                </w:tcPr>
                <w:p w14:paraId="2D6D7155">
                  <w:pPr>
                    <w:pStyle w:val="29"/>
                  </w:pPr>
                  <w:r>
                    <w:rPr>
                      <w:rFonts w:hint="eastAsia"/>
                    </w:rPr>
                    <w:t>昼间</w:t>
                  </w:r>
                </w:p>
              </w:tc>
            </w:tr>
            <w:tr w14:paraId="68BB2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14:paraId="014CF27C">
                  <w:pPr>
                    <w:pStyle w:val="29"/>
                  </w:pPr>
                  <w:r>
                    <w:rPr>
                      <w:rFonts w:hint="eastAsia"/>
                    </w:rPr>
                    <w:t>3</w:t>
                  </w:r>
                </w:p>
              </w:tc>
              <w:tc>
                <w:tcPr>
                  <w:tcW w:w="521" w:type="pct"/>
                  <w:tcBorders>
                    <w:tl2br w:val="nil"/>
                    <w:tr2bl w:val="nil"/>
                  </w:tcBorders>
                  <w:vAlign w:val="center"/>
                </w:tcPr>
                <w:p w14:paraId="7FFF24CF">
                  <w:pPr>
                    <w:pStyle w:val="29"/>
                  </w:pPr>
                  <w:r>
                    <w:rPr>
                      <w:rFonts w:hint="eastAsia"/>
                    </w:rPr>
                    <w:t>打桩机</w:t>
                  </w:r>
                </w:p>
              </w:tc>
              <w:tc>
                <w:tcPr>
                  <w:tcW w:w="320" w:type="pct"/>
                  <w:tcBorders>
                    <w:tl2br w:val="nil"/>
                    <w:tr2bl w:val="nil"/>
                  </w:tcBorders>
                  <w:vAlign w:val="center"/>
                </w:tcPr>
                <w:p w14:paraId="7A340804">
                  <w:pPr>
                    <w:pStyle w:val="29"/>
                  </w:pPr>
                  <w:r>
                    <w:rPr>
                      <w:rFonts w:hint="eastAsia"/>
                    </w:rPr>
                    <w:t>/</w:t>
                  </w:r>
                </w:p>
              </w:tc>
              <w:tc>
                <w:tcPr>
                  <w:tcW w:w="350" w:type="pct"/>
                  <w:tcBorders>
                    <w:tl2br w:val="nil"/>
                    <w:tr2bl w:val="nil"/>
                  </w:tcBorders>
                  <w:vAlign w:val="center"/>
                </w:tcPr>
                <w:p w14:paraId="39247FB5">
                  <w:pPr>
                    <w:pStyle w:val="29"/>
                  </w:pPr>
                  <w:r>
                    <w:rPr>
                      <w:rFonts w:hint="eastAsia"/>
                    </w:rPr>
                    <w:t>17.94</w:t>
                  </w:r>
                </w:p>
              </w:tc>
              <w:tc>
                <w:tcPr>
                  <w:tcW w:w="350" w:type="pct"/>
                  <w:tcBorders>
                    <w:tl2br w:val="nil"/>
                    <w:tr2bl w:val="nil"/>
                  </w:tcBorders>
                  <w:vAlign w:val="center"/>
                </w:tcPr>
                <w:p w14:paraId="48441F24">
                  <w:pPr>
                    <w:pStyle w:val="29"/>
                  </w:pPr>
                  <w:r>
                    <w:rPr>
                      <w:rFonts w:hint="eastAsia"/>
                    </w:rPr>
                    <w:t>5.99</w:t>
                  </w:r>
                </w:p>
              </w:tc>
              <w:tc>
                <w:tcPr>
                  <w:tcW w:w="350" w:type="pct"/>
                  <w:tcBorders>
                    <w:tl2br w:val="nil"/>
                    <w:tr2bl w:val="nil"/>
                  </w:tcBorders>
                  <w:vAlign w:val="center"/>
                </w:tcPr>
                <w:p w14:paraId="786B807E">
                  <w:pPr>
                    <w:pStyle w:val="29"/>
                  </w:pPr>
                  <w:r>
                    <w:rPr>
                      <w:rFonts w:hint="eastAsia"/>
                    </w:rPr>
                    <w:t>1</w:t>
                  </w:r>
                </w:p>
              </w:tc>
              <w:tc>
                <w:tcPr>
                  <w:tcW w:w="845" w:type="pct"/>
                  <w:tcBorders>
                    <w:tl2br w:val="nil"/>
                    <w:tr2bl w:val="nil"/>
                  </w:tcBorders>
                  <w:vAlign w:val="center"/>
                </w:tcPr>
                <w:p w14:paraId="4F2D4880">
                  <w:pPr>
                    <w:pStyle w:val="29"/>
                  </w:pPr>
                  <w:r>
                    <w:rPr>
                      <w:rFonts w:hint="eastAsia"/>
                    </w:rPr>
                    <w:t>/</w:t>
                  </w:r>
                </w:p>
              </w:tc>
              <w:tc>
                <w:tcPr>
                  <w:tcW w:w="489" w:type="pct"/>
                  <w:tcBorders>
                    <w:tl2br w:val="nil"/>
                    <w:tr2bl w:val="nil"/>
                  </w:tcBorders>
                  <w:vAlign w:val="center"/>
                </w:tcPr>
                <w:p w14:paraId="1743318A">
                  <w:pPr>
                    <w:pStyle w:val="29"/>
                  </w:pPr>
                  <w:r>
                    <w:rPr>
                      <w:rFonts w:hint="eastAsia"/>
                    </w:rPr>
                    <w:t>95</w:t>
                  </w:r>
                </w:p>
              </w:tc>
              <w:tc>
                <w:tcPr>
                  <w:tcW w:w="689" w:type="pct"/>
                  <w:vMerge w:val="continue"/>
                  <w:tcBorders>
                    <w:tl2br w:val="nil"/>
                    <w:tr2bl w:val="nil"/>
                  </w:tcBorders>
                  <w:vAlign w:val="center"/>
                </w:tcPr>
                <w:p w14:paraId="07D04936">
                  <w:pPr>
                    <w:pStyle w:val="29"/>
                  </w:pPr>
                </w:p>
              </w:tc>
              <w:tc>
                <w:tcPr>
                  <w:tcW w:w="844" w:type="pct"/>
                  <w:tcBorders>
                    <w:tl2br w:val="nil"/>
                    <w:tr2bl w:val="nil"/>
                  </w:tcBorders>
                  <w:vAlign w:val="center"/>
                </w:tcPr>
                <w:p w14:paraId="5C955A6E">
                  <w:pPr>
                    <w:pStyle w:val="29"/>
                  </w:pPr>
                  <w:r>
                    <w:rPr>
                      <w:rFonts w:hint="eastAsia"/>
                    </w:rPr>
                    <w:t>昼间</w:t>
                  </w:r>
                </w:p>
              </w:tc>
            </w:tr>
            <w:tr w14:paraId="25173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14:paraId="6F0F3CA0">
                  <w:pPr>
                    <w:pStyle w:val="29"/>
                  </w:pPr>
                  <w:r>
                    <w:rPr>
                      <w:rFonts w:hint="eastAsia"/>
                    </w:rPr>
                    <w:t>4</w:t>
                  </w:r>
                </w:p>
              </w:tc>
              <w:tc>
                <w:tcPr>
                  <w:tcW w:w="521" w:type="pct"/>
                  <w:tcBorders>
                    <w:tl2br w:val="nil"/>
                    <w:tr2bl w:val="nil"/>
                  </w:tcBorders>
                  <w:vAlign w:val="center"/>
                </w:tcPr>
                <w:p w14:paraId="3695C80D">
                  <w:pPr>
                    <w:pStyle w:val="29"/>
                  </w:pPr>
                  <w:r>
                    <w:rPr>
                      <w:rFonts w:hint="eastAsia"/>
                    </w:rPr>
                    <w:t>振捣器</w:t>
                  </w:r>
                </w:p>
              </w:tc>
              <w:tc>
                <w:tcPr>
                  <w:tcW w:w="320" w:type="pct"/>
                  <w:tcBorders>
                    <w:tl2br w:val="nil"/>
                    <w:tr2bl w:val="nil"/>
                  </w:tcBorders>
                  <w:vAlign w:val="center"/>
                </w:tcPr>
                <w:p w14:paraId="2B28735D">
                  <w:pPr>
                    <w:pStyle w:val="29"/>
                  </w:pPr>
                  <w:r>
                    <w:rPr>
                      <w:rFonts w:hint="eastAsia"/>
                    </w:rPr>
                    <w:t>/</w:t>
                  </w:r>
                </w:p>
              </w:tc>
              <w:tc>
                <w:tcPr>
                  <w:tcW w:w="350" w:type="pct"/>
                  <w:tcBorders>
                    <w:tl2br w:val="nil"/>
                    <w:tr2bl w:val="nil"/>
                  </w:tcBorders>
                  <w:vAlign w:val="center"/>
                </w:tcPr>
                <w:p w14:paraId="49DE8C0E">
                  <w:pPr>
                    <w:pStyle w:val="29"/>
                  </w:pPr>
                  <w:r>
                    <w:rPr>
                      <w:rFonts w:hint="eastAsia"/>
                    </w:rPr>
                    <w:t>54.27</w:t>
                  </w:r>
                </w:p>
              </w:tc>
              <w:tc>
                <w:tcPr>
                  <w:tcW w:w="350" w:type="pct"/>
                  <w:tcBorders>
                    <w:tl2br w:val="nil"/>
                    <w:tr2bl w:val="nil"/>
                  </w:tcBorders>
                  <w:vAlign w:val="center"/>
                </w:tcPr>
                <w:p w14:paraId="79AFC3AF">
                  <w:pPr>
                    <w:pStyle w:val="29"/>
                  </w:pPr>
                  <w:r>
                    <w:rPr>
                      <w:rFonts w:hint="eastAsia"/>
                    </w:rPr>
                    <w:t>15.9</w:t>
                  </w:r>
                </w:p>
              </w:tc>
              <w:tc>
                <w:tcPr>
                  <w:tcW w:w="350" w:type="pct"/>
                  <w:tcBorders>
                    <w:tl2br w:val="nil"/>
                    <w:tr2bl w:val="nil"/>
                  </w:tcBorders>
                  <w:vAlign w:val="center"/>
                </w:tcPr>
                <w:p w14:paraId="66F2FF2B">
                  <w:pPr>
                    <w:pStyle w:val="29"/>
                  </w:pPr>
                  <w:r>
                    <w:rPr>
                      <w:rFonts w:hint="eastAsia"/>
                    </w:rPr>
                    <w:t>1</w:t>
                  </w:r>
                </w:p>
              </w:tc>
              <w:tc>
                <w:tcPr>
                  <w:tcW w:w="845" w:type="pct"/>
                  <w:tcBorders>
                    <w:tl2br w:val="nil"/>
                    <w:tr2bl w:val="nil"/>
                  </w:tcBorders>
                  <w:vAlign w:val="center"/>
                </w:tcPr>
                <w:p w14:paraId="1333F25C">
                  <w:pPr>
                    <w:pStyle w:val="29"/>
                  </w:pPr>
                  <w:r>
                    <w:rPr>
                      <w:rFonts w:hint="eastAsia"/>
                    </w:rPr>
                    <w:t>/</w:t>
                  </w:r>
                </w:p>
              </w:tc>
              <w:tc>
                <w:tcPr>
                  <w:tcW w:w="489" w:type="pct"/>
                  <w:tcBorders>
                    <w:tl2br w:val="nil"/>
                    <w:tr2bl w:val="nil"/>
                  </w:tcBorders>
                  <w:vAlign w:val="center"/>
                </w:tcPr>
                <w:p w14:paraId="4AE56FD0">
                  <w:pPr>
                    <w:pStyle w:val="29"/>
                  </w:pPr>
                  <w:r>
                    <w:rPr>
                      <w:rFonts w:hint="eastAsia"/>
                    </w:rPr>
                    <w:t>95</w:t>
                  </w:r>
                </w:p>
              </w:tc>
              <w:tc>
                <w:tcPr>
                  <w:tcW w:w="689" w:type="pct"/>
                  <w:vMerge w:val="continue"/>
                  <w:tcBorders>
                    <w:tl2br w:val="nil"/>
                    <w:tr2bl w:val="nil"/>
                  </w:tcBorders>
                  <w:vAlign w:val="center"/>
                </w:tcPr>
                <w:p w14:paraId="5EFF67D6">
                  <w:pPr>
                    <w:pStyle w:val="29"/>
                  </w:pPr>
                </w:p>
              </w:tc>
              <w:tc>
                <w:tcPr>
                  <w:tcW w:w="844" w:type="pct"/>
                  <w:tcBorders>
                    <w:tl2br w:val="nil"/>
                    <w:tr2bl w:val="nil"/>
                  </w:tcBorders>
                  <w:vAlign w:val="center"/>
                </w:tcPr>
                <w:p w14:paraId="073F5E74">
                  <w:pPr>
                    <w:pStyle w:val="29"/>
                  </w:pPr>
                  <w:r>
                    <w:rPr>
                      <w:rFonts w:hint="eastAsia"/>
                    </w:rPr>
                    <w:t>昼间</w:t>
                  </w:r>
                </w:p>
              </w:tc>
            </w:tr>
            <w:tr w14:paraId="02799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14:paraId="0687F763">
                  <w:pPr>
                    <w:pStyle w:val="29"/>
                  </w:pPr>
                  <w:r>
                    <w:rPr>
                      <w:rFonts w:hint="eastAsia"/>
                    </w:rPr>
                    <w:t>5</w:t>
                  </w:r>
                </w:p>
              </w:tc>
              <w:tc>
                <w:tcPr>
                  <w:tcW w:w="521" w:type="pct"/>
                  <w:tcBorders>
                    <w:tl2br w:val="nil"/>
                    <w:tr2bl w:val="nil"/>
                  </w:tcBorders>
                  <w:vAlign w:val="center"/>
                </w:tcPr>
                <w:p w14:paraId="292A39CD">
                  <w:pPr>
                    <w:pStyle w:val="29"/>
                  </w:pPr>
                  <w:r>
                    <w:rPr>
                      <w:rFonts w:hint="eastAsia"/>
                    </w:rPr>
                    <w:t>电钻、手工钻</w:t>
                  </w:r>
                </w:p>
              </w:tc>
              <w:tc>
                <w:tcPr>
                  <w:tcW w:w="320" w:type="pct"/>
                  <w:tcBorders>
                    <w:tl2br w:val="nil"/>
                    <w:tr2bl w:val="nil"/>
                  </w:tcBorders>
                  <w:vAlign w:val="center"/>
                </w:tcPr>
                <w:p w14:paraId="53F84716">
                  <w:pPr>
                    <w:pStyle w:val="29"/>
                  </w:pPr>
                  <w:r>
                    <w:rPr>
                      <w:rFonts w:hint="eastAsia"/>
                    </w:rPr>
                    <w:t>//</w:t>
                  </w:r>
                </w:p>
              </w:tc>
              <w:tc>
                <w:tcPr>
                  <w:tcW w:w="350" w:type="pct"/>
                  <w:tcBorders>
                    <w:tl2br w:val="nil"/>
                    <w:tr2bl w:val="nil"/>
                  </w:tcBorders>
                  <w:vAlign w:val="center"/>
                </w:tcPr>
                <w:p w14:paraId="76CBFA1F">
                  <w:pPr>
                    <w:pStyle w:val="29"/>
                  </w:pPr>
                  <w:r>
                    <w:rPr>
                      <w:rFonts w:hint="eastAsia"/>
                    </w:rPr>
                    <w:t>45.69</w:t>
                  </w:r>
                </w:p>
              </w:tc>
              <w:tc>
                <w:tcPr>
                  <w:tcW w:w="350" w:type="pct"/>
                  <w:tcBorders>
                    <w:tl2br w:val="nil"/>
                    <w:tr2bl w:val="nil"/>
                  </w:tcBorders>
                  <w:vAlign w:val="center"/>
                </w:tcPr>
                <w:p w14:paraId="0A475D05">
                  <w:pPr>
                    <w:pStyle w:val="29"/>
                  </w:pPr>
                  <w:r>
                    <w:rPr>
                      <w:rFonts w:hint="eastAsia"/>
                    </w:rPr>
                    <w:t>-1.06</w:t>
                  </w:r>
                </w:p>
              </w:tc>
              <w:tc>
                <w:tcPr>
                  <w:tcW w:w="350" w:type="pct"/>
                  <w:tcBorders>
                    <w:tl2br w:val="nil"/>
                    <w:tr2bl w:val="nil"/>
                  </w:tcBorders>
                  <w:vAlign w:val="center"/>
                </w:tcPr>
                <w:p w14:paraId="6EC82FB4">
                  <w:pPr>
                    <w:pStyle w:val="29"/>
                  </w:pPr>
                  <w:r>
                    <w:rPr>
                      <w:rFonts w:hint="eastAsia"/>
                    </w:rPr>
                    <w:t>1</w:t>
                  </w:r>
                </w:p>
              </w:tc>
              <w:tc>
                <w:tcPr>
                  <w:tcW w:w="845" w:type="pct"/>
                  <w:tcBorders>
                    <w:tl2br w:val="nil"/>
                    <w:tr2bl w:val="nil"/>
                  </w:tcBorders>
                  <w:vAlign w:val="center"/>
                </w:tcPr>
                <w:p w14:paraId="10DAF0A6">
                  <w:pPr>
                    <w:pStyle w:val="29"/>
                  </w:pPr>
                  <w:r>
                    <w:rPr>
                      <w:rFonts w:hint="eastAsia"/>
                    </w:rPr>
                    <w:t>/</w:t>
                  </w:r>
                </w:p>
              </w:tc>
              <w:tc>
                <w:tcPr>
                  <w:tcW w:w="489" w:type="pct"/>
                  <w:tcBorders>
                    <w:tl2br w:val="nil"/>
                    <w:tr2bl w:val="nil"/>
                  </w:tcBorders>
                  <w:vAlign w:val="center"/>
                </w:tcPr>
                <w:p w14:paraId="3A4EC548">
                  <w:pPr>
                    <w:pStyle w:val="29"/>
                  </w:pPr>
                  <w:r>
                    <w:rPr>
                      <w:rFonts w:hint="eastAsia"/>
                    </w:rPr>
                    <w:t>90</w:t>
                  </w:r>
                </w:p>
              </w:tc>
              <w:tc>
                <w:tcPr>
                  <w:tcW w:w="689" w:type="pct"/>
                  <w:vMerge w:val="continue"/>
                  <w:tcBorders>
                    <w:tl2br w:val="nil"/>
                    <w:tr2bl w:val="nil"/>
                  </w:tcBorders>
                  <w:vAlign w:val="center"/>
                </w:tcPr>
                <w:p w14:paraId="7AF31EBD">
                  <w:pPr>
                    <w:pStyle w:val="29"/>
                  </w:pPr>
                </w:p>
              </w:tc>
              <w:tc>
                <w:tcPr>
                  <w:tcW w:w="844" w:type="pct"/>
                  <w:tcBorders>
                    <w:tl2br w:val="nil"/>
                    <w:tr2bl w:val="nil"/>
                  </w:tcBorders>
                  <w:vAlign w:val="center"/>
                </w:tcPr>
                <w:p w14:paraId="5BEF32B8">
                  <w:pPr>
                    <w:pStyle w:val="29"/>
                  </w:pPr>
                  <w:r>
                    <w:rPr>
                      <w:rFonts w:hint="eastAsia"/>
                    </w:rPr>
                    <w:t>昼间</w:t>
                  </w:r>
                </w:p>
              </w:tc>
            </w:tr>
          </w:tbl>
          <w:p w14:paraId="0CFB503C">
            <w:pPr>
              <w:spacing w:line="360" w:lineRule="auto"/>
              <w:ind w:firstLine="482"/>
              <w:rPr>
                <w:b/>
                <w:sz w:val="24"/>
                <w:szCs w:val="24"/>
              </w:rPr>
            </w:pPr>
            <w:r>
              <w:rPr>
                <w:rFonts w:hint="eastAsia"/>
                <w:b/>
                <w:sz w:val="24"/>
                <w:szCs w:val="24"/>
              </w:rPr>
              <w:t>（</w:t>
            </w:r>
            <w:r>
              <w:rPr>
                <w:b/>
                <w:sz w:val="24"/>
                <w:szCs w:val="24"/>
              </w:rPr>
              <w:t>2</w:t>
            </w:r>
            <w:r>
              <w:rPr>
                <w:rFonts w:hint="eastAsia"/>
                <w:b/>
                <w:sz w:val="24"/>
                <w:szCs w:val="24"/>
              </w:rPr>
              <w:t>）达标情况分析</w:t>
            </w:r>
          </w:p>
          <w:p w14:paraId="2041B92F">
            <w:pPr>
              <w:spacing w:line="360" w:lineRule="auto"/>
              <w:ind w:firstLine="482"/>
              <w:rPr>
                <w:b/>
                <w:sz w:val="24"/>
                <w:szCs w:val="24"/>
              </w:rPr>
            </w:pPr>
            <w:r>
              <w:rPr>
                <w:rFonts w:hint="eastAsia"/>
                <w:b/>
                <w:sz w:val="24"/>
                <w:szCs w:val="24"/>
              </w:rPr>
              <w:t>1）预测模式</w:t>
            </w:r>
          </w:p>
          <w:p w14:paraId="146A1111">
            <w:pPr>
              <w:spacing w:line="360" w:lineRule="auto"/>
              <w:ind w:firstLine="480"/>
              <w:rPr>
                <w:sz w:val="24"/>
                <w:szCs w:val="24"/>
              </w:rPr>
            </w:pPr>
            <w:r>
              <w:rPr>
                <w:rFonts w:hint="eastAsia"/>
                <w:sz w:val="24"/>
                <w:szCs w:val="24"/>
              </w:rPr>
              <w:t>本次评价采用《环境影响评价技术导则一声环境》（HJ2.4-2021）中推荐模式进行预测，用A声级计算。具体模式见运营期噪声达标情况分析。</w:t>
            </w:r>
          </w:p>
          <w:p w14:paraId="441D6AF7">
            <w:pPr>
              <w:spacing w:line="360" w:lineRule="auto"/>
              <w:ind w:firstLine="482"/>
              <w:rPr>
                <w:b/>
                <w:bCs/>
                <w:sz w:val="24"/>
                <w:szCs w:val="24"/>
              </w:rPr>
            </w:pPr>
            <w:r>
              <w:rPr>
                <w:rFonts w:hint="eastAsia"/>
                <w:b/>
                <w:bCs/>
                <w:sz w:val="24"/>
                <w:szCs w:val="24"/>
              </w:rPr>
              <w:t>2）预测结果</w:t>
            </w:r>
          </w:p>
          <w:p w14:paraId="379D6740">
            <w:pPr>
              <w:pStyle w:val="8"/>
              <w:spacing w:after="0" w:line="360" w:lineRule="auto"/>
              <w:jc w:val="center"/>
              <w:rPr>
                <w:b/>
                <w:bCs/>
                <w:sz w:val="24"/>
              </w:rPr>
            </w:pPr>
            <w:r>
              <w:rPr>
                <w:rFonts w:hint="eastAsia"/>
                <w:b/>
                <w:bCs/>
                <w:sz w:val="24"/>
              </w:rPr>
              <w:t>表4-2  施工期昼间</w:t>
            </w:r>
            <w:r>
              <w:rPr>
                <w:rFonts w:hint="eastAsia"/>
                <w:b/>
                <w:bCs/>
                <w:sz w:val="24"/>
                <w:lang w:val="en-US" w:eastAsia="zh-CN"/>
              </w:rPr>
              <w:t>厂界</w:t>
            </w:r>
            <w:r>
              <w:rPr>
                <w:rFonts w:hint="eastAsia"/>
                <w:b/>
                <w:bCs/>
                <w:sz w:val="24"/>
              </w:rPr>
              <w:t>噪声预测结果</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516"/>
              <w:gridCol w:w="1765"/>
              <w:gridCol w:w="2306"/>
              <w:gridCol w:w="1074"/>
            </w:tblGrid>
            <w:tr w14:paraId="3EF6C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73" w:type="pct"/>
                  <w:vMerge w:val="restart"/>
                  <w:tcBorders>
                    <w:tl2br w:val="nil"/>
                    <w:tr2bl w:val="nil"/>
                  </w:tcBorders>
                  <w:shd w:val="clear" w:color="000000" w:themeColor="text1" w:fill="auto"/>
                  <w:vAlign w:val="center"/>
                </w:tcPr>
                <w:p w14:paraId="2C8ED86B">
                  <w:pPr>
                    <w:pStyle w:val="29"/>
                    <w:rPr>
                      <w:b/>
                      <w:bCs/>
                    </w:rPr>
                  </w:pPr>
                  <w:r>
                    <w:rPr>
                      <w:rFonts w:hint="eastAsia"/>
                      <w:b/>
                      <w:bCs/>
                    </w:rPr>
                    <w:t>编号</w:t>
                  </w:r>
                </w:p>
              </w:tc>
              <w:tc>
                <w:tcPr>
                  <w:tcW w:w="1453" w:type="pct"/>
                  <w:vMerge w:val="restart"/>
                  <w:tcBorders>
                    <w:tl2br w:val="nil"/>
                    <w:tr2bl w:val="nil"/>
                  </w:tcBorders>
                  <w:shd w:val="clear" w:color="000000" w:themeColor="text1" w:fill="auto"/>
                  <w:vAlign w:val="center"/>
                </w:tcPr>
                <w:p w14:paraId="7F11565C">
                  <w:pPr>
                    <w:pStyle w:val="29"/>
                    <w:rPr>
                      <w:b/>
                      <w:bCs/>
                    </w:rPr>
                  </w:pPr>
                  <w:r>
                    <w:rPr>
                      <w:rFonts w:hint="eastAsia"/>
                      <w:b/>
                      <w:bCs/>
                    </w:rPr>
                    <w:t>预测点位置</w:t>
                  </w:r>
                </w:p>
              </w:tc>
              <w:tc>
                <w:tcPr>
                  <w:tcW w:w="1019" w:type="pct"/>
                  <w:tcBorders>
                    <w:tl2br w:val="nil"/>
                    <w:tr2bl w:val="nil"/>
                  </w:tcBorders>
                  <w:shd w:val="clear" w:color="000000" w:themeColor="text1" w:fill="auto"/>
                  <w:vAlign w:val="center"/>
                </w:tcPr>
                <w:p w14:paraId="572B114A">
                  <w:pPr>
                    <w:pStyle w:val="29"/>
                    <w:rPr>
                      <w:b/>
                      <w:bCs/>
                    </w:rPr>
                  </w:pPr>
                  <w:r>
                    <w:rPr>
                      <w:rFonts w:hint="eastAsia"/>
                      <w:b/>
                      <w:bCs/>
                    </w:rPr>
                    <w:t>贡献值</w:t>
                  </w:r>
                </w:p>
                <w:p w14:paraId="2A43261E">
                  <w:pPr>
                    <w:pStyle w:val="29"/>
                    <w:rPr>
                      <w:b/>
                      <w:bCs/>
                    </w:rPr>
                  </w:pPr>
                  <w:r>
                    <w:rPr>
                      <w:rFonts w:hint="eastAsia"/>
                      <w:b/>
                      <w:bCs/>
                    </w:rPr>
                    <w:t>[dB（A）]</w:t>
                  </w:r>
                </w:p>
              </w:tc>
              <w:tc>
                <w:tcPr>
                  <w:tcW w:w="1332" w:type="pct"/>
                  <w:tcBorders>
                    <w:tl2br w:val="nil"/>
                    <w:tr2bl w:val="nil"/>
                  </w:tcBorders>
                  <w:shd w:val="clear" w:color="000000" w:themeColor="text1" w:fill="auto"/>
                  <w:vAlign w:val="center"/>
                </w:tcPr>
                <w:p w14:paraId="0F1404B1">
                  <w:pPr>
                    <w:pStyle w:val="29"/>
                    <w:rPr>
                      <w:b/>
                      <w:bCs/>
                    </w:rPr>
                  </w:pPr>
                  <w:r>
                    <w:rPr>
                      <w:rFonts w:hint="eastAsia"/>
                      <w:b/>
                      <w:bCs/>
                    </w:rPr>
                    <w:t>标准值</w:t>
                  </w:r>
                </w:p>
                <w:p w14:paraId="0E04A0E4">
                  <w:pPr>
                    <w:pStyle w:val="29"/>
                    <w:rPr>
                      <w:b/>
                      <w:bCs/>
                    </w:rPr>
                  </w:pPr>
                  <w:r>
                    <w:rPr>
                      <w:rFonts w:hint="eastAsia"/>
                      <w:b/>
                      <w:bCs/>
                    </w:rPr>
                    <w:t>[</w:t>
                  </w:r>
                  <w:r>
                    <w:rPr>
                      <w:b/>
                      <w:bCs/>
                    </w:rPr>
                    <w:t>dB（A）</w:t>
                  </w:r>
                  <w:r>
                    <w:rPr>
                      <w:rFonts w:hint="eastAsia"/>
                      <w:b/>
                      <w:bCs/>
                    </w:rPr>
                    <w:t>]</w:t>
                  </w:r>
                </w:p>
              </w:tc>
              <w:tc>
                <w:tcPr>
                  <w:tcW w:w="620" w:type="pct"/>
                  <w:vMerge w:val="restart"/>
                  <w:tcBorders>
                    <w:tl2br w:val="nil"/>
                    <w:tr2bl w:val="nil"/>
                  </w:tcBorders>
                  <w:shd w:val="clear" w:color="000000" w:themeColor="text1" w:fill="auto"/>
                  <w:vAlign w:val="center"/>
                </w:tcPr>
                <w:p w14:paraId="629D1335">
                  <w:pPr>
                    <w:pStyle w:val="29"/>
                  </w:pPr>
                  <w:r>
                    <w:rPr>
                      <w:rFonts w:hint="eastAsia"/>
                      <w:b/>
                      <w:bCs/>
                    </w:rPr>
                    <w:t>预测</w:t>
                  </w:r>
                  <w:r>
                    <w:rPr>
                      <w:b/>
                      <w:bCs/>
                    </w:rPr>
                    <w:t>结果</w:t>
                  </w:r>
                </w:p>
              </w:tc>
            </w:tr>
            <w:tr w14:paraId="299D2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73" w:type="pct"/>
                  <w:vMerge w:val="continue"/>
                  <w:tcBorders>
                    <w:tl2br w:val="nil"/>
                    <w:tr2bl w:val="nil"/>
                  </w:tcBorders>
                  <w:vAlign w:val="center"/>
                </w:tcPr>
                <w:p w14:paraId="1BC7359D">
                  <w:pPr>
                    <w:pStyle w:val="29"/>
                    <w:spacing w:line="360" w:lineRule="auto"/>
                    <w:rPr>
                      <w:b/>
                      <w:bCs/>
                    </w:rPr>
                  </w:pPr>
                </w:p>
              </w:tc>
              <w:tc>
                <w:tcPr>
                  <w:tcW w:w="1453" w:type="pct"/>
                  <w:vMerge w:val="continue"/>
                  <w:tcBorders>
                    <w:tl2br w:val="nil"/>
                    <w:tr2bl w:val="nil"/>
                  </w:tcBorders>
                  <w:vAlign w:val="center"/>
                </w:tcPr>
                <w:p w14:paraId="44608BB2">
                  <w:pPr>
                    <w:pStyle w:val="29"/>
                    <w:spacing w:line="360" w:lineRule="auto"/>
                    <w:rPr>
                      <w:b/>
                      <w:bCs/>
                    </w:rPr>
                  </w:pPr>
                </w:p>
              </w:tc>
              <w:tc>
                <w:tcPr>
                  <w:tcW w:w="1019" w:type="pct"/>
                  <w:tcBorders>
                    <w:tl2br w:val="nil"/>
                    <w:tr2bl w:val="nil"/>
                  </w:tcBorders>
                  <w:shd w:val="clear" w:color="000000" w:themeColor="text1" w:fill="auto"/>
                  <w:vAlign w:val="center"/>
                </w:tcPr>
                <w:p w14:paraId="46DC0654">
                  <w:pPr>
                    <w:pStyle w:val="29"/>
                    <w:rPr>
                      <w:b/>
                      <w:bCs/>
                    </w:rPr>
                  </w:pPr>
                  <w:r>
                    <w:rPr>
                      <w:rFonts w:hint="eastAsia"/>
                      <w:b/>
                      <w:bCs/>
                    </w:rPr>
                    <w:t>昼间</w:t>
                  </w:r>
                </w:p>
              </w:tc>
              <w:tc>
                <w:tcPr>
                  <w:tcW w:w="1332" w:type="pct"/>
                  <w:tcBorders>
                    <w:tl2br w:val="nil"/>
                    <w:tr2bl w:val="nil"/>
                  </w:tcBorders>
                  <w:shd w:val="clear" w:color="000000" w:themeColor="text1" w:fill="auto"/>
                  <w:vAlign w:val="center"/>
                </w:tcPr>
                <w:p w14:paraId="5660915A">
                  <w:pPr>
                    <w:pStyle w:val="29"/>
                    <w:rPr>
                      <w:b/>
                      <w:bCs/>
                    </w:rPr>
                  </w:pPr>
                  <w:r>
                    <w:rPr>
                      <w:rFonts w:hint="eastAsia"/>
                      <w:b/>
                      <w:bCs/>
                    </w:rPr>
                    <w:t>昼间</w:t>
                  </w:r>
                </w:p>
              </w:tc>
              <w:tc>
                <w:tcPr>
                  <w:tcW w:w="620" w:type="pct"/>
                  <w:vMerge w:val="continue"/>
                  <w:tcBorders>
                    <w:tl2br w:val="nil"/>
                    <w:tr2bl w:val="nil"/>
                  </w:tcBorders>
                  <w:vAlign w:val="center"/>
                </w:tcPr>
                <w:p w14:paraId="51B50C13">
                  <w:pPr>
                    <w:pStyle w:val="29"/>
                    <w:spacing w:line="360" w:lineRule="auto"/>
                  </w:pPr>
                </w:p>
              </w:tc>
            </w:tr>
            <w:tr w14:paraId="541E7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l2br w:val="nil"/>
                    <w:tr2bl w:val="nil"/>
                  </w:tcBorders>
                  <w:vAlign w:val="center"/>
                </w:tcPr>
                <w:p w14:paraId="0C229FFB">
                  <w:pPr>
                    <w:pStyle w:val="29"/>
                  </w:pPr>
                  <w:r>
                    <w:rPr>
                      <w:rFonts w:hint="eastAsia"/>
                    </w:rPr>
                    <w:t>1</w:t>
                  </w:r>
                  <w:r>
                    <w:t>#</w:t>
                  </w:r>
                </w:p>
              </w:tc>
              <w:tc>
                <w:tcPr>
                  <w:tcW w:w="1453" w:type="pct"/>
                  <w:tcBorders>
                    <w:tl2br w:val="nil"/>
                    <w:tr2bl w:val="nil"/>
                  </w:tcBorders>
                  <w:shd w:val="clear" w:color="auto" w:fill="auto"/>
                  <w:vAlign w:val="center"/>
                </w:tcPr>
                <w:p w14:paraId="27600C65">
                  <w:pPr>
                    <w:spacing w:line="300" w:lineRule="exact"/>
                    <w:jc w:val="center"/>
                    <w:rPr>
                      <w:szCs w:val="24"/>
                    </w:rPr>
                  </w:pPr>
                  <w:r>
                    <w:rPr>
                      <w:rFonts w:hint="eastAsia"/>
                    </w:rPr>
                    <w:t>项目东</w:t>
                  </w:r>
                  <w:r>
                    <w:t>北侧场界外</w:t>
                  </w:r>
                  <w:r>
                    <w:rPr>
                      <w:rFonts w:hint="eastAsia"/>
                    </w:rPr>
                    <w:t>1m处</w:t>
                  </w:r>
                </w:p>
              </w:tc>
              <w:tc>
                <w:tcPr>
                  <w:tcW w:w="1019" w:type="pct"/>
                  <w:tcBorders>
                    <w:tl2br w:val="nil"/>
                    <w:tr2bl w:val="nil"/>
                  </w:tcBorders>
                  <w:vAlign w:val="center"/>
                </w:tcPr>
                <w:p w14:paraId="2AC8389D">
                  <w:pPr>
                    <w:pStyle w:val="29"/>
                  </w:pPr>
                  <w:r>
                    <w:rPr>
                      <w:rFonts w:hint="eastAsia"/>
                    </w:rPr>
                    <w:t>55</w:t>
                  </w:r>
                </w:p>
              </w:tc>
              <w:tc>
                <w:tcPr>
                  <w:tcW w:w="1332" w:type="pct"/>
                  <w:tcBorders>
                    <w:tl2br w:val="nil"/>
                    <w:tr2bl w:val="nil"/>
                  </w:tcBorders>
                  <w:vAlign w:val="center"/>
                </w:tcPr>
                <w:p w14:paraId="0C5BBFE2">
                  <w:pPr>
                    <w:pStyle w:val="29"/>
                  </w:pPr>
                  <w:r>
                    <w:rPr>
                      <w:rFonts w:hint="eastAsia"/>
                    </w:rPr>
                    <w:t>70</w:t>
                  </w:r>
                </w:p>
              </w:tc>
              <w:tc>
                <w:tcPr>
                  <w:tcW w:w="620" w:type="pct"/>
                  <w:tcBorders>
                    <w:tl2br w:val="nil"/>
                    <w:tr2bl w:val="nil"/>
                  </w:tcBorders>
                  <w:vAlign w:val="center"/>
                </w:tcPr>
                <w:p w14:paraId="36DCEA8A">
                  <w:pPr>
                    <w:pStyle w:val="29"/>
                  </w:pPr>
                  <w:r>
                    <w:rPr>
                      <w:rFonts w:hint="eastAsia"/>
                    </w:rPr>
                    <w:t>达标</w:t>
                  </w:r>
                </w:p>
              </w:tc>
            </w:tr>
            <w:tr w14:paraId="186B8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l2br w:val="nil"/>
                    <w:tr2bl w:val="nil"/>
                  </w:tcBorders>
                  <w:vAlign w:val="center"/>
                </w:tcPr>
                <w:p w14:paraId="2F726BBB">
                  <w:pPr>
                    <w:pStyle w:val="29"/>
                  </w:pPr>
                  <w:r>
                    <w:rPr>
                      <w:rFonts w:hint="eastAsia"/>
                    </w:rPr>
                    <w:t>2</w:t>
                  </w:r>
                  <w:r>
                    <w:t>#</w:t>
                  </w:r>
                </w:p>
              </w:tc>
              <w:tc>
                <w:tcPr>
                  <w:tcW w:w="1453" w:type="pct"/>
                  <w:tcBorders>
                    <w:tl2br w:val="nil"/>
                    <w:tr2bl w:val="nil"/>
                  </w:tcBorders>
                  <w:shd w:val="clear" w:color="auto" w:fill="auto"/>
                  <w:vAlign w:val="center"/>
                </w:tcPr>
                <w:p w14:paraId="156ECC15">
                  <w:pPr>
                    <w:spacing w:line="300" w:lineRule="exact"/>
                    <w:jc w:val="center"/>
                    <w:rPr>
                      <w:szCs w:val="24"/>
                    </w:rPr>
                  </w:pPr>
                  <w:r>
                    <w:rPr>
                      <w:rFonts w:hint="eastAsia"/>
                    </w:rPr>
                    <w:t>项目东南</w:t>
                  </w:r>
                  <w:r>
                    <w:t>侧场界外</w:t>
                  </w:r>
                  <w:r>
                    <w:rPr>
                      <w:rFonts w:hint="eastAsia"/>
                    </w:rPr>
                    <w:t>1m处</w:t>
                  </w:r>
                </w:p>
              </w:tc>
              <w:tc>
                <w:tcPr>
                  <w:tcW w:w="1019" w:type="pct"/>
                  <w:tcBorders>
                    <w:tl2br w:val="nil"/>
                    <w:tr2bl w:val="nil"/>
                  </w:tcBorders>
                  <w:vAlign w:val="center"/>
                </w:tcPr>
                <w:p w14:paraId="56980C8E">
                  <w:pPr>
                    <w:pStyle w:val="29"/>
                  </w:pPr>
                  <w:r>
                    <w:rPr>
                      <w:rFonts w:hint="eastAsia"/>
                    </w:rPr>
                    <w:t>52</w:t>
                  </w:r>
                </w:p>
              </w:tc>
              <w:tc>
                <w:tcPr>
                  <w:tcW w:w="1332" w:type="pct"/>
                  <w:tcBorders>
                    <w:tl2br w:val="nil"/>
                    <w:tr2bl w:val="nil"/>
                  </w:tcBorders>
                  <w:vAlign w:val="center"/>
                </w:tcPr>
                <w:p w14:paraId="10312C99">
                  <w:pPr>
                    <w:pStyle w:val="29"/>
                  </w:pPr>
                  <w:r>
                    <w:rPr>
                      <w:rFonts w:hint="eastAsia"/>
                    </w:rPr>
                    <w:t>70</w:t>
                  </w:r>
                </w:p>
              </w:tc>
              <w:tc>
                <w:tcPr>
                  <w:tcW w:w="620" w:type="pct"/>
                  <w:tcBorders>
                    <w:tl2br w:val="nil"/>
                    <w:tr2bl w:val="nil"/>
                  </w:tcBorders>
                  <w:vAlign w:val="center"/>
                </w:tcPr>
                <w:p w14:paraId="4988993C">
                  <w:pPr>
                    <w:pStyle w:val="29"/>
                  </w:pPr>
                  <w:r>
                    <w:rPr>
                      <w:rFonts w:hint="eastAsia"/>
                    </w:rPr>
                    <w:t>达标</w:t>
                  </w:r>
                </w:p>
              </w:tc>
            </w:tr>
            <w:tr w14:paraId="20EEF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l2br w:val="nil"/>
                    <w:tr2bl w:val="nil"/>
                  </w:tcBorders>
                  <w:vAlign w:val="center"/>
                </w:tcPr>
                <w:p w14:paraId="6F35D83A">
                  <w:pPr>
                    <w:pStyle w:val="29"/>
                  </w:pPr>
                  <w:r>
                    <w:rPr>
                      <w:rFonts w:hint="eastAsia"/>
                    </w:rPr>
                    <w:t>3#</w:t>
                  </w:r>
                </w:p>
              </w:tc>
              <w:tc>
                <w:tcPr>
                  <w:tcW w:w="1453" w:type="pct"/>
                  <w:tcBorders>
                    <w:tl2br w:val="nil"/>
                    <w:tr2bl w:val="nil"/>
                  </w:tcBorders>
                  <w:shd w:val="clear" w:color="auto" w:fill="auto"/>
                  <w:vAlign w:val="center"/>
                </w:tcPr>
                <w:p w14:paraId="5F62A933">
                  <w:pPr>
                    <w:spacing w:line="300" w:lineRule="exact"/>
                    <w:jc w:val="center"/>
                    <w:rPr>
                      <w:szCs w:val="24"/>
                    </w:rPr>
                  </w:pPr>
                  <w:r>
                    <w:rPr>
                      <w:rFonts w:hint="eastAsia"/>
                    </w:rPr>
                    <w:t>项目南</w:t>
                  </w:r>
                  <w:r>
                    <w:t>侧场界外</w:t>
                  </w:r>
                  <w:r>
                    <w:rPr>
                      <w:rFonts w:hint="eastAsia"/>
                    </w:rPr>
                    <w:t>1m处</w:t>
                  </w:r>
                </w:p>
              </w:tc>
              <w:tc>
                <w:tcPr>
                  <w:tcW w:w="1019" w:type="pct"/>
                  <w:tcBorders>
                    <w:tl2br w:val="nil"/>
                    <w:tr2bl w:val="nil"/>
                  </w:tcBorders>
                  <w:vAlign w:val="center"/>
                </w:tcPr>
                <w:p w14:paraId="6701EB9B">
                  <w:pPr>
                    <w:pStyle w:val="29"/>
                  </w:pPr>
                  <w:r>
                    <w:rPr>
                      <w:rFonts w:hint="eastAsia"/>
                    </w:rPr>
                    <w:t>52</w:t>
                  </w:r>
                </w:p>
              </w:tc>
              <w:tc>
                <w:tcPr>
                  <w:tcW w:w="1332" w:type="pct"/>
                  <w:tcBorders>
                    <w:tl2br w:val="nil"/>
                    <w:tr2bl w:val="nil"/>
                  </w:tcBorders>
                  <w:vAlign w:val="center"/>
                </w:tcPr>
                <w:p w14:paraId="0C1C92BE">
                  <w:pPr>
                    <w:pStyle w:val="29"/>
                  </w:pPr>
                  <w:r>
                    <w:rPr>
                      <w:rFonts w:hint="eastAsia"/>
                    </w:rPr>
                    <w:t>70</w:t>
                  </w:r>
                </w:p>
              </w:tc>
              <w:tc>
                <w:tcPr>
                  <w:tcW w:w="620" w:type="pct"/>
                  <w:tcBorders>
                    <w:tl2br w:val="nil"/>
                    <w:tr2bl w:val="nil"/>
                  </w:tcBorders>
                  <w:vAlign w:val="center"/>
                </w:tcPr>
                <w:p w14:paraId="3F364B2E">
                  <w:pPr>
                    <w:pStyle w:val="29"/>
                  </w:pPr>
                  <w:r>
                    <w:rPr>
                      <w:rFonts w:hint="eastAsia"/>
                    </w:rPr>
                    <w:t>达标</w:t>
                  </w:r>
                </w:p>
              </w:tc>
            </w:tr>
            <w:tr w14:paraId="1C6B6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tcBorders>
                    <w:tl2br w:val="nil"/>
                    <w:tr2bl w:val="nil"/>
                  </w:tcBorders>
                  <w:vAlign w:val="center"/>
                </w:tcPr>
                <w:p w14:paraId="0B0C0133">
                  <w:pPr>
                    <w:pStyle w:val="29"/>
                  </w:pPr>
                  <w:r>
                    <w:rPr>
                      <w:rFonts w:hint="eastAsia"/>
                    </w:rPr>
                    <w:t>4</w:t>
                  </w:r>
                  <w:r>
                    <w:t>#</w:t>
                  </w:r>
                </w:p>
              </w:tc>
              <w:tc>
                <w:tcPr>
                  <w:tcW w:w="1453" w:type="pct"/>
                  <w:tcBorders>
                    <w:tl2br w:val="nil"/>
                    <w:tr2bl w:val="nil"/>
                  </w:tcBorders>
                  <w:shd w:val="clear" w:color="auto" w:fill="auto"/>
                  <w:vAlign w:val="center"/>
                </w:tcPr>
                <w:p w14:paraId="6696C410">
                  <w:pPr>
                    <w:spacing w:line="300" w:lineRule="exact"/>
                    <w:jc w:val="center"/>
                  </w:pPr>
                  <w:r>
                    <w:rPr>
                      <w:rFonts w:hint="eastAsia"/>
                    </w:rPr>
                    <w:t>项目西南侧</w:t>
                  </w:r>
                  <w:r>
                    <w:t>场界外</w:t>
                  </w:r>
                  <w:r>
                    <w:rPr>
                      <w:rFonts w:hint="eastAsia"/>
                    </w:rPr>
                    <w:t>1m处</w:t>
                  </w:r>
                </w:p>
              </w:tc>
              <w:tc>
                <w:tcPr>
                  <w:tcW w:w="1019" w:type="pct"/>
                  <w:tcBorders>
                    <w:tl2br w:val="nil"/>
                    <w:tr2bl w:val="nil"/>
                  </w:tcBorders>
                  <w:vAlign w:val="center"/>
                </w:tcPr>
                <w:p w14:paraId="40EC7F0A">
                  <w:pPr>
                    <w:pStyle w:val="29"/>
                  </w:pPr>
                  <w:r>
                    <w:rPr>
                      <w:rFonts w:hint="eastAsia"/>
                    </w:rPr>
                    <w:t>53</w:t>
                  </w:r>
                </w:p>
              </w:tc>
              <w:tc>
                <w:tcPr>
                  <w:tcW w:w="1332" w:type="pct"/>
                  <w:tcBorders>
                    <w:tl2br w:val="nil"/>
                    <w:tr2bl w:val="nil"/>
                  </w:tcBorders>
                  <w:vAlign w:val="center"/>
                </w:tcPr>
                <w:p w14:paraId="711A94AE">
                  <w:pPr>
                    <w:pStyle w:val="29"/>
                  </w:pPr>
                  <w:r>
                    <w:rPr>
                      <w:rFonts w:hint="eastAsia"/>
                    </w:rPr>
                    <w:t>70</w:t>
                  </w:r>
                </w:p>
              </w:tc>
              <w:tc>
                <w:tcPr>
                  <w:tcW w:w="620" w:type="pct"/>
                  <w:tcBorders>
                    <w:tl2br w:val="nil"/>
                    <w:tr2bl w:val="nil"/>
                  </w:tcBorders>
                  <w:vAlign w:val="center"/>
                </w:tcPr>
                <w:p w14:paraId="23C6CB21">
                  <w:pPr>
                    <w:pStyle w:val="29"/>
                  </w:pPr>
                  <w:r>
                    <w:rPr>
                      <w:rFonts w:hint="eastAsia"/>
                    </w:rPr>
                    <w:t>达标</w:t>
                  </w:r>
                </w:p>
              </w:tc>
            </w:tr>
            <w:tr w14:paraId="1D452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pct"/>
                  <w:vAlign w:val="center"/>
                </w:tcPr>
                <w:p w14:paraId="5EF9FAE7">
                  <w:pPr>
                    <w:pStyle w:val="29"/>
                  </w:pPr>
                  <w:r>
                    <w:rPr>
                      <w:rFonts w:hint="eastAsia"/>
                    </w:rPr>
                    <w:t>5#</w:t>
                  </w:r>
                </w:p>
              </w:tc>
              <w:tc>
                <w:tcPr>
                  <w:tcW w:w="1453" w:type="pct"/>
                  <w:shd w:val="clear" w:color="auto" w:fill="auto"/>
                  <w:vAlign w:val="center"/>
                </w:tcPr>
                <w:p w14:paraId="371B494F">
                  <w:pPr>
                    <w:spacing w:line="300" w:lineRule="exact"/>
                    <w:jc w:val="center"/>
                    <w:rPr>
                      <w:szCs w:val="24"/>
                    </w:rPr>
                  </w:pPr>
                  <w:r>
                    <w:rPr>
                      <w:rFonts w:hint="eastAsia"/>
                    </w:rPr>
                    <w:t>项目西北</w:t>
                  </w:r>
                  <w:r>
                    <w:t>侧场界外</w:t>
                  </w:r>
                  <w:r>
                    <w:rPr>
                      <w:rFonts w:hint="eastAsia"/>
                    </w:rPr>
                    <w:t>1m处</w:t>
                  </w:r>
                </w:p>
              </w:tc>
              <w:tc>
                <w:tcPr>
                  <w:tcW w:w="1019" w:type="pct"/>
                  <w:vAlign w:val="center"/>
                </w:tcPr>
                <w:p w14:paraId="2CD829ED">
                  <w:pPr>
                    <w:pStyle w:val="29"/>
                  </w:pPr>
                  <w:r>
                    <w:rPr>
                      <w:rFonts w:hint="eastAsia"/>
                    </w:rPr>
                    <w:t>53</w:t>
                  </w:r>
                </w:p>
              </w:tc>
              <w:tc>
                <w:tcPr>
                  <w:tcW w:w="1332" w:type="pct"/>
                  <w:vAlign w:val="center"/>
                </w:tcPr>
                <w:p w14:paraId="39C38804">
                  <w:pPr>
                    <w:pStyle w:val="29"/>
                  </w:pPr>
                  <w:r>
                    <w:rPr>
                      <w:rFonts w:hint="eastAsia"/>
                    </w:rPr>
                    <w:t>70</w:t>
                  </w:r>
                </w:p>
              </w:tc>
              <w:tc>
                <w:tcPr>
                  <w:tcW w:w="620" w:type="pct"/>
                  <w:vAlign w:val="center"/>
                </w:tcPr>
                <w:p w14:paraId="1D45E3E9">
                  <w:pPr>
                    <w:pStyle w:val="29"/>
                  </w:pPr>
                  <w:r>
                    <w:rPr>
                      <w:rFonts w:hint="eastAsia"/>
                    </w:rPr>
                    <w:t>达标</w:t>
                  </w:r>
                </w:p>
              </w:tc>
            </w:tr>
          </w:tbl>
          <w:p w14:paraId="7F9BAE33">
            <w:pPr>
              <w:pStyle w:val="57"/>
            </w:pPr>
          </w:p>
          <w:p w14:paraId="71A021F0">
            <w:pPr>
              <w:pStyle w:val="57"/>
              <w:rPr>
                <w:rFonts w:hint="default" w:ascii="Times New Roman" w:hAnsi="Times New Roman" w:eastAsia="宋体" w:cs="Times New Roman"/>
                <w:b/>
                <w:bCs/>
                <w:kern w:val="0"/>
                <w:sz w:val="24"/>
                <w:szCs w:val="24"/>
              </w:rPr>
            </w:pPr>
          </w:p>
          <w:p w14:paraId="0933E223">
            <w:pPr>
              <w:pStyle w:val="57"/>
              <w:rPr>
                <w:rFonts w:hint="default" w:ascii="Times New Roman" w:hAnsi="Times New Roman" w:eastAsia="宋体" w:cs="Times New Roman"/>
                <w:b/>
                <w:bCs/>
                <w:kern w:val="0"/>
                <w:sz w:val="24"/>
                <w:szCs w:val="24"/>
              </w:rPr>
            </w:pPr>
          </w:p>
          <w:p w14:paraId="5DC36A55">
            <w:pPr>
              <w:pStyle w:val="57"/>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表4-</w:t>
            </w:r>
            <w:r>
              <w:rPr>
                <w:rFonts w:hint="eastAsia" w:ascii="Times New Roman" w:hAnsi="Times New Roman" w:eastAsia="宋体" w:cs="Times New Roman"/>
                <w:b/>
                <w:bCs/>
                <w:kern w:val="0"/>
                <w:sz w:val="24"/>
                <w:szCs w:val="24"/>
                <w:lang w:val="en-US" w:eastAsia="zh-CN"/>
              </w:rPr>
              <w:t>3</w:t>
            </w:r>
            <w:r>
              <w:rPr>
                <w:rFonts w:hint="default" w:ascii="Times New Roman" w:hAnsi="Times New Roman" w:eastAsia="宋体" w:cs="Times New Roman"/>
                <w:b/>
                <w:bCs/>
                <w:kern w:val="0"/>
                <w:sz w:val="24"/>
                <w:szCs w:val="24"/>
              </w:rPr>
              <w:t xml:space="preserve">  施工期昼间敏感点噪声预测结果</w:t>
            </w:r>
          </w:p>
          <w:tbl>
            <w:tblPr>
              <w:tblStyle w:val="23"/>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665"/>
              <w:gridCol w:w="1514"/>
              <w:gridCol w:w="1168"/>
              <w:gridCol w:w="1511"/>
              <w:gridCol w:w="1166"/>
              <w:gridCol w:w="1001"/>
            </w:tblGrid>
            <w:tr w14:paraId="0F0D56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364" w:type="pct"/>
                  <w:vMerge w:val="restart"/>
                  <w:tcBorders>
                    <w:tl2br w:val="nil"/>
                    <w:tr2bl w:val="nil"/>
                  </w:tcBorders>
                  <w:vAlign w:val="center"/>
                </w:tcPr>
                <w:p w14:paraId="7C1C3775">
                  <w:pPr>
                    <w:pStyle w:val="4"/>
                    <w:rPr>
                      <w:b/>
                      <w:bCs/>
                      <w:color w:val="auto"/>
                    </w:rPr>
                  </w:pPr>
                  <w:r>
                    <w:rPr>
                      <w:b/>
                      <w:bCs/>
                      <w:color w:val="auto"/>
                    </w:rPr>
                    <w:t>编号</w:t>
                  </w:r>
                </w:p>
              </w:tc>
              <w:tc>
                <w:tcPr>
                  <w:tcW w:w="961" w:type="pct"/>
                  <w:vMerge w:val="restart"/>
                  <w:tcBorders>
                    <w:tl2br w:val="nil"/>
                    <w:tr2bl w:val="nil"/>
                  </w:tcBorders>
                  <w:vAlign w:val="center"/>
                </w:tcPr>
                <w:p w14:paraId="4A1F1D44">
                  <w:pPr>
                    <w:pStyle w:val="4"/>
                    <w:rPr>
                      <w:b/>
                      <w:bCs/>
                      <w:color w:val="auto"/>
                    </w:rPr>
                  </w:pPr>
                  <w:r>
                    <w:rPr>
                      <w:b/>
                      <w:bCs/>
                      <w:color w:val="auto"/>
                    </w:rPr>
                    <w:t>预测点位置</w:t>
                  </w:r>
                </w:p>
              </w:tc>
              <w:tc>
                <w:tcPr>
                  <w:tcW w:w="874" w:type="pct"/>
                  <w:tcBorders>
                    <w:tl2br w:val="nil"/>
                    <w:tr2bl w:val="nil"/>
                  </w:tcBorders>
                  <w:vAlign w:val="center"/>
                </w:tcPr>
                <w:p w14:paraId="168F4CAC">
                  <w:pPr>
                    <w:pStyle w:val="4"/>
                    <w:rPr>
                      <w:b/>
                      <w:bCs/>
                      <w:color w:val="auto"/>
                    </w:rPr>
                  </w:pPr>
                  <w:r>
                    <w:rPr>
                      <w:b/>
                      <w:bCs/>
                      <w:color w:val="auto"/>
                    </w:rPr>
                    <w:t>贡献值</w:t>
                  </w:r>
                </w:p>
                <w:p w14:paraId="0660AB6B">
                  <w:pPr>
                    <w:pStyle w:val="4"/>
                    <w:rPr>
                      <w:b/>
                      <w:bCs/>
                      <w:color w:val="auto"/>
                    </w:rPr>
                  </w:pPr>
                  <w:r>
                    <w:rPr>
                      <w:b/>
                      <w:bCs/>
                      <w:color w:val="auto"/>
                    </w:rPr>
                    <w:t>[</w:t>
                  </w:r>
                  <w:r>
                    <w:rPr>
                      <w:rFonts w:ascii="Times New Roman" w:hAnsi="Times New Roman"/>
                      <w:b/>
                      <w:bCs/>
                      <w:color w:val="auto"/>
                    </w:rPr>
                    <w:t>dB</w:t>
                  </w:r>
                  <w:r>
                    <w:rPr>
                      <w:b/>
                      <w:bCs/>
                      <w:color w:val="auto"/>
                    </w:rPr>
                    <w:t>（</w:t>
                  </w:r>
                  <w:r>
                    <w:rPr>
                      <w:rFonts w:ascii="Times New Roman" w:hAnsi="Times New Roman"/>
                      <w:b/>
                      <w:bCs/>
                      <w:color w:val="auto"/>
                    </w:rPr>
                    <w:t>A</w:t>
                  </w:r>
                  <w:r>
                    <w:rPr>
                      <w:b/>
                      <w:bCs/>
                      <w:color w:val="auto"/>
                    </w:rPr>
                    <w:t>）]</w:t>
                  </w:r>
                </w:p>
              </w:tc>
              <w:tc>
                <w:tcPr>
                  <w:tcW w:w="674" w:type="pct"/>
                  <w:tcBorders>
                    <w:tl2br w:val="nil"/>
                    <w:tr2bl w:val="nil"/>
                  </w:tcBorders>
                  <w:vAlign w:val="center"/>
                </w:tcPr>
                <w:p w14:paraId="35A64116">
                  <w:pPr>
                    <w:pStyle w:val="4"/>
                    <w:rPr>
                      <w:b/>
                      <w:bCs/>
                      <w:color w:val="auto"/>
                    </w:rPr>
                  </w:pPr>
                  <w:r>
                    <w:rPr>
                      <w:b/>
                      <w:bCs/>
                      <w:color w:val="auto"/>
                    </w:rPr>
                    <w:t>背景值</w:t>
                  </w:r>
                </w:p>
                <w:p w14:paraId="2AE199D6">
                  <w:pPr>
                    <w:pStyle w:val="4"/>
                    <w:rPr>
                      <w:b/>
                      <w:bCs/>
                      <w:color w:val="auto"/>
                    </w:rPr>
                  </w:pPr>
                  <w:r>
                    <w:rPr>
                      <w:b/>
                      <w:bCs/>
                      <w:color w:val="auto"/>
                    </w:rPr>
                    <w:t>[</w:t>
                  </w:r>
                  <w:r>
                    <w:rPr>
                      <w:rFonts w:ascii="Times New Roman" w:hAnsi="Times New Roman"/>
                      <w:b/>
                      <w:bCs/>
                      <w:color w:val="auto"/>
                    </w:rPr>
                    <w:t>dB</w:t>
                  </w:r>
                  <w:r>
                    <w:rPr>
                      <w:b/>
                      <w:bCs/>
                      <w:color w:val="auto"/>
                    </w:rPr>
                    <w:t>（</w:t>
                  </w:r>
                  <w:r>
                    <w:rPr>
                      <w:rFonts w:ascii="Times New Roman" w:hAnsi="Times New Roman"/>
                      <w:b/>
                      <w:bCs/>
                      <w:color w:val="auto"/>
                    </w:rPr>
                    <w:t>A</w:t>
                  </w:r>
                  <w:r>
                    <w:rPr>
                      <w:b/>
                      <w:bCs/>
                      <w:color w:val="auto"/>
                    </w:rPr>
                    <w:t>）]</w:t>
                  </w:r>
                </w:p>
              </w:tc>
              <w:tc>
                <w:tcPr>
                  <w:tcW w:w="872" w:type="pct"/>
                  <w:tcBorders>
                    <w:tl2br w:val="nil"/>
                    <w:tr2bl w:val="nil"/>
                  </w:tcBorders>
                  <w:vAlign w:val="center"/>
                </w:tcPr>
                <w:p w14:paraId="344EB4F1">
                  <w:pPr>
                    <w:pStyle w:val="4"/>
                    <w:rPr>
                      <w:b/>
                      <w:bCs/>
                      <w:color w:val="auto"/>
                    </w:rPr>
                  </w:pPr>
                  <w:r>
                    <w:rPr>
                      <w:b/>
                      <w:bCs/>
                      <w:color w:val="auto"/>
                    </w:rPr>
                    <w:t>预测值</w:t>
                  </w:r>
                </w:p>
                <w:p w14:paraId="5EF4BB6A">
                  <w:pPr>
                    <w:pStyle w:val="4"/>
                    <w:rPr>
                      <w:b/>
                      <w:bCs/>
                      <w:color w:val="auto"/>
                    </w:rPr>
                  </w:pPr>
                  <w:r>
                    <w:rPr>
                      <w:b/>
                      <w:bCs/>
                      <w:color w:val="auto"/>
                    </w:rPr>
                    <w:t>[</w:t>
                  </w:r>
                  <w:r>
                    <w:rPr>
                      <w:rFonts w:ascii="Times New Roman" w:hAnsi="Times New Roman"/>
                      <w:b/>
                      <w:bCs/>
                      <w:color w:val="auto"/>
                    </w:rPr>
                    <w:t>dB</w:t>
                  </w:r>
                  <w:r>
                    <w:rPr>
                      <w:b/>
                      <w:bCs/>
                      <w:color w:val="auto"/>
                    </w:rPr>
                    <w:t>（</w:t>
                  </w:r>
                  <w:r>
                    <w:rPr>
                      <w:rFonts w:ascii="Times New Roman" w:hAnsi="Times New Roman"/>
                      <w:b/>
                      <w:bCs/>
                      <w:color w:val="auto"/>
                    </w:rPr>
                    <w:t>A</w:t>
                  </w:r>
                  <w:r>
                    <w:rPr>
                      <w:b/>
                      <w:bCs/>
                      <w:color w:val="auto"/>
                    </w:rPr>
                    <w:t>）]</w:t>
                  </w:r>
                </w:p>
              </w:tc>
              <w:tc>
                <w:tcPr>
                  <w:tcW w:w="673" w:type="pct"/>
                  <w:tcBorders>
                    <w:tl2br w:val="nil"/>
                    <w:tr2bl w:val="nil"/>
                  </w:tcBorders>
                  <w:vAlign w:val="center"/>
                </w:tcPr>
                <w:p w14:paraId="172247BE">
                  <w:pPr>
                    <w:pStyle w:val="4"/>
                    <w:rPr>
                      <w:b/>
                      <w:bCs/>
                      <w:color w:val="auto"/>
                    </w:rPr>
                  </w:pPr>
                  <w:r>
                    <w:rPr>
                      <w:b/>
                      <w:bCs/>
                      <w:color w:val="auto"/>
                    </w:rPr>
                    <w:t>标准值</w:t>
                  </w:r>
                </w:p>
                <w:p w14:paraId="6A4E3EB6">
                  <w:pPr>
                    <w:pStyle w:val="4"/>
                    <w:rPr>
                      <w:b/>
                      <w:bCs/>
                      <w:color w:val="auto"/>
                    </w:rPr>
                  </w:pPr>
                  <w:r>
                    <w:rPr>
                      <w:b/>
                      <w:bCs/>
                      <w:color w:val="auto"/>
                    </w:rPr>
                    <w:t>[</w:t>
                  </w:r>
                  <w:r>
                    <w:rPr>
                      <w:rFonts w:ascii="Times New Roman" w:hAnsi="Times New Roman"/>
                      <w:b/>
                      <w:bCs/>
                      <w:color w:val="auto"/>
                    </w:rPr>
                    <w:t>dB</w:t>
                  </w:r>
                  <w:r>
                    <w:rPr>
                      <w:b/>
                      <w:bCs/>
                      <w:color w:val="auto"/>
                    </w:rPr>
                    <w:t>（</w:t>
                  </w:r>
                  <w:r>
                    <w:rPr>
                      <w:rFonts w:ascii="Times New Roman" w:hAnsi="Times New Roman"/>
                      <w:b/>
                      <w:bCs/>
                      <w:color w:val="auto"/>
                    </w:rPr>
                    <w:t>A</w:t>
                  </w:r>
                  <w:r>
                    <w:rPr>
                      <w:b/>
                      <w:bCs/>
                      <w:color w:val="auto"/>
                    </w:rPr>
                    <w:t>）]</w:t>
                  </w:r>
                </w:p>
              </w:tc>
              <w:tc>
                <w:tcPr>
                  <w:tcW w:w="578" w:type="pct"/>
                  <w:vMerge w:val="restart"/>
                  <w:tcBorders>
                    <w:tl2br w:val="nil"/>
                    <w:tr2bl w:val="nil"/>
                  </w:tcBorders>
                  <w:vAlign w:val="center"/>
                </w:tcPr>
                <w:p w14:paraId="14CEE452">
                  <w:pPr>
                    <w:pStyle w:val="4"/>
                    <w:rPr>
                      <w:color w:val="auto"/>
                    </w:rPr>
                  </w:pPr>
                  <w:r>
                    <w:rPr>
                      <w:b/>
                      <w:bCs/>
                      <w:color w:val="auto"/>
                    </w:rPr>
                    <w:t>预测结果</w:t>
                  </w:r>
                </w:p>
              </w:tc>
            </w:tr>
            <w:tr w14:paraId="7C230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364" w:type="pct"/>
                  <w:vMerge w:val="continue"/>
                  <w:tcBorders>
                    <w:tl2br w:val="nil"/>
                    <w:tr2bl w:val="nil"/>
                  </w:tcBorders>
                  <w:vAlign w:val="center"/>
                </w:tcPr>
                <w:p w14:paraId="2467F2EF">
                  <w:pPr>
                    <w:pStyle w:val="4"/>
                  </w:pPr>
                </w:p>
              </w:tc>
              <w:tc>
                <w:tcPr>
                  <w:tcW w:w="961" w:type="pct"/>
                  <w:vMerge w:val="continue"/>
                  <w:tcBorders>
                    <w:tl2br w:val="nil"/>
                    <w:tr2bl w:val="nil"/>
                  </w:tcBorders>
                  <w:vAlign w:val="center"/>
                </w:tcPr>
                <w:p w14:paraId="0B5FF010">
                  <w:pPr>
                    <w:pStyle w:val="4"/>
                  </w:pPr>
                </w:p>
              </w:tc>
              <w:tc>
                <w:tcPr>
                  <w:tcW w:w="874" w:type="pct"/>
                  <w:tcBorders>
                    <w:tl2br w:val="nil"/>
                    <w:tr2bl w:val="nil"/>
                  </w:tcBorders>
                  <w:shd w:val="clear" w:color="000000" w:themeColor="text1" w:fill="auto"/>
                  <w:vAlign w:val="center"/>
                </w:tcPr>
                <w:p w14:paraId="5F331F83">
                  <w:pPr>
                    <w:pStyle w:val="29"/>
                    <w:rPr>
                      <w:rFonts w:ascii="Times New Roman" w:hAnsi="Times New Roman" w:eastAsia="Times New Roman" w:cs="Times New Roman"/>
                      <w:b/>
                      <w:bCs/>
                      <w:kern w:val="2"/>
                      <w:sz w:val="21"/>
                      <w:szCs w:val="21"/>
                      <w:lang w:val="en-US" w:eastAsia="zh-CN" w:bidi="ar-SA"/>
                    </w:rPr>
                  </w:pPr>
                  <w:r>
                    <w:rPr>
                      <w:rFonts w:hint="eastAsia"/>
                      <w:b/>
                      <w:bCs/>
                    </w:rPr>
                    <w:t>昼间</w:t>
                  </w:r>
                </w:p>
              </w:tc>
              <w:tc>
                <w:tcPr>
                  <w:tcW w:w="674" w:type="pct"/>
                  <w:tcBorders>
                    <w:tl2br w:val="nil"/>
                    <w:tr2bl w:val="nil"/>
                  </w:tcBorders>
                  <w:shd w:val="clear" w:color="000000" w:themeColor="text1" w:fill="auto"/>
                  <w:vAlign w:val="center"/>
                </w:tcPr>
                <w:p w14:paraId="0F6FE83D">
                  <w:pPr>
                    <w:pStyle w:val="29"/>
                    <w:rPr>
                      <w:rFonts w:ascii="Times New Roman" w:hAnsi="Times New Roman" w:eastAsia="Times New Roman" w:cs="Times New Roman"/>
                      <w:b/>
                      <w:bCs/>
                      <w:kern w:val="2"/>
                      <w:sz w:val="21"/>
                      <w:szCs w:val="21"/>
                      <w:lang w:val="en-US" w:eastAsia="zh-CN" w:bidi="ar-SA"/>
                    </w:rPr>
                  </w:pPr>
                  <w:r>
                    <w:rPr>
                      <w:rFonts w:hint="eastAsia"/>
                      <w:b/>
                      <w:bCs/>
                    </w:rPr>
                    <w:t>昼间</w:t>
                  </w:r>
                </w:p>
              </w:tc>
              <w:tc>
                <w:tcPr>
                  <w:tcW w:w="872" w:type="pct"/>
                  <w:tcBorders>
                    <w:tl2br w:val="nil"/>
                    <w:tr2bl w:val="nil"/>
                  </w:tcBorders>
                  <w:shd w:val="clear" w:color="000000" w:themeColor="text1" w:fill="auto"/>
                  <w:vAlign w:val="center"/>
                </w:tcPr>
                <w:p w14:paraId="11F105E2">
                  <w:pPr>
                    <w:pStyle w:val="29"/>
                    <w:rPr>
                      <w:rFonts w:ascii="Times New Roman" w:hAnsi="Times New Roman" w:eastAsia="Times New Roman" w:cs="Times New Roman"/>
                      <w:b/>
                      <w:bCs/>
                      <w:kern w:val="2"/>
                      <w:sz w:val="21"/>
                      <w:szCs w:val="21"/>
                      <w:lang w:val="en-US" w:eastAsia="zh-CN" w:bidi="ar-SA"/>
                    </w:rPr>
                  </w:pPr>
                  <w:r>
                    <w:rPr>
                      <w:rFonts w:hint="eastAsia"/>
                      <w:b/>
                      <w:bCs/>
                    </w:rPr>
                    <w:t>昼间</w:t>
                  </w:r>
                </w:p>
              </w:tc>
              <w:tc>
                <w:tcPr>
                  <w:tcW w:w="673" w:type="pct"/>
                  <w:tcBorders>
                    <w:tl2br w:val="nil"/>
                    <w:tr2bl w:val="nil"/>
                  </w:tcBorders>
                  <w:vAlign w:val="center"/>
                </w:tcPr>
                <w:p w14:paraId="03AB40C8">
                  <w:pPr>
                    <w:pStyle w:val="4"/>
                    <w:rPr>
                      <w:color w:val="auto"/>
                    </w:rPr>
                  </w:pPr>
                  <w:r>
                    <w:rPr>
                      <w:rFonts w:hint="eastAsia"/>
                      <w:b/>
                      <w:bCs/>
                    </w:rPr>
                    <w:t>昼间</w:t>
                  </w:r>
                </w:p>
              </w:tc>
              <w:tc>
                <w:tcPr>
                  <w:tcW w:w="578" w:type="pct"/>
                  <w:vMerge w:val="continue"/>
                  <w:tcBorders>
                    <w:tl2br w:val="nil"/>
                    <w:tr2bl w:val="nil"/>
                  </w:tcBorders>
                  <w:vAlign w:val="center"/>
                </w:tcPr>
                <w:p w14:paraId="67279F0D">
                  <w:pPr>
                    <w:pStyle w:val="4"/>
                    <w:rPr>
                      <w:color w:val="auto"/>
                    </w:rPr>
                  </w:pPr>
                </w:p>
              </w:tc>
            </w:tr>
            <w:tr w14:paraId="2A3C8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4" w:type="pct"/>
                  <w:tcBorders>
                    <w:tl2br w:val="nil"/>
                    <w:tr2bl w:val="nil"/>
                  </w:tcBorders>
                  <w:vAlign w:val="center"/>
                </w:tcPr>
                <w:p w14:paraId="4F6831A2">
                  <w:pPr>
                    <w:pStyle w:val="4"/>
                    <w:rPr>
                      <w:color w:val="auto"/>
                    </w:rPr>
                  </w:pPr>
                  <w:r>
                    <w:rPr>
                      <w:rFonts w:hint="eastAsia" w:ascii="Times New Roman" w:hAnsi="Times New Roman"/>
                      <w:color w:val="auto"/>
                    </w:rPr>
                    <w:t>1</w:t>
                  </w:r>
                  <w:r>
                    <w:rPr>
                      <w:rFonts w:hint="eastAsia"/>
                      <w:color w:val="auto"/>
                    </w:rPr>
                    <w:t>#</w:t>
                  </w:r>
                </w:p>
              </w:tc>
              <w:tc>
                <w:tcPr>
                  <w:tcW w:w="961" w:type="pct"/>
                  <w:tcBorders>
                    <w:tl2br w:val="nil"/>
                    <w:tr2bl w:val="nil"/>
                  </w:tcBorders>
                  <w:shd w:val="clear" w:color="auto" w:fill="auto"/>
                  <w:vAlign w:val="center"/>
                </w:tcPr>
                <w:p w14:paraId="7BFF7794">
                  <w:pPr>
                    <w:spacing w:line="300" w:lineRule="exact"/>
                    <w:jc w:val="center"/>
                    <w:rPr>
                      <w:rFonts w:ascii="Times New Roman" w:hAnsi="Times New Roman" w:eastAsia="宋体" w:cs="Times New Roman"/>
                      <w:kern w:val="2"/>
                      <w:sz w:val="21"/>
                      <w:szCs w:val="24"/>
                      <w:lang w:val="en-US" w:eastAsia="zh-CN" w:bidi="ar-SA"/>
                    </w:rPr>
                  </w:pPr>
                  <w:r>
                    <w:rPr>
                      <w:rFonts w:hint="eastAsia"/>
                    </w:rPr>
                    <w:t>项目东南</w:t>
                  </w:r>
                  <w:r>
                    <w:t>侧</w:t>
                  </w:r>
                  <w:r>
                    <w:rPr>
                      <w:rFonts w:hint="eastAsia"/>
                    </w:rPr>
                    <w:t>居民处</w:t>
                  </w:r>
                </w:p>
              </w:tc>
              <w:tc>
                <w:tcPr>
                  <w:tcW w:w="874" w:type="pct"/>
                  <w:tcBorders>
                    <w:tl2br w:val="nil"/>
                    <w:tr2bl w:val="nil"/>
                  </w:tcBorders>
                  <w:shd w:val="clear" w:color="auto" w:fill="auto"/>
                  <w:vAlign w:val="center"/>
                </w:tcPr>
                <w:p w14:paraId="186705B7">
                  <w:pPr>
                    <w:pStyle w:val="4"/>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52</w:t>
                  </w:r>
                </w:p>
              </w:tc>
              <w:tc>
                <w:tcPr>
                  <w:tcW w:w="674" w:type="pct"/>
                  <w:tcBorders>
                    <w:tl2br w:val="nil"/>
                    <w:tr2bl w:val="nil"/>
                  </w:tcBorders>
                  <w:vAlign w:val="center"/>
                </w:tcPr>
                <w:p w14:paraId="468AA248">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56</w:t>
                  </w:r>
                </w:p>
              </w:tc>
              <w:tc>
                <w:tcPr>
                  <w:tcW w:w="872" w:type="pct"/>
                  <w:tcBorders>
                    <w:tl2br w:val="nil"/>
                    <w:tr2bl w:val="nil"/>
                  </w:tcBorders>
                  <w:vAlign w:val="center"/>
                </w:tcPr>
                <w:p w14:paraId="149711C0">
                  <w:pPr>
                    <w:pStyle w:val="4"/>
                    <w:rPr>
                      <w:rFonts w:hint="default" w:eastAsia="宋体"/>
                      <w:color w:val="auto"/>
                      <w:lang w:val="en-US" w:eastAsia="zh-CN"/>
                    </w:rPr>
                  </w:pPr>
                  <w:r>
                    <w:rPr>
                      <w:rFonts w:hint="eastAsia"/>
                      <w:color w:val="auto"/>
                      <w:lang w:val="en-US" w:eastAsia="zh-CN"/>
                    </w:rPr>
                    <w:t>57</w:t>
                  </w:r>
                </w:p>
              </w:tc>
              <w:tc>
                <w:tcPr>
                  <w:tcW w:w="673" w:type="pct"/>
                  <w:tcBorders>
                    <w:tl2br w:val="nil"/>
                    <w:tr2bl w:val="nil"/>
                  </w:tcBorders>
                  <w:vAlign w:val="center"/>
                </w:tcPr>
                <w:p w14:paraId="2045D45D">
                  <w:pPr>
                    <w:pStyle w:val="4"/>
                    <w:rPr>
                      <w:color w:val="auto"/>
                    </w:rPr>
                  </w:pPr>
                  <w:r>
                    <w:rPr>
                      <w:rFonts w:hint="eastAsia" w:ascii="Times New Roman" w:hAnsi="Times New Roman"/>
                      <w:color w:val="auto"/>
                    </w:rPr>
                    <w:t>60</w:t>
                  </w:r>
                </w:p>
              </w:tc>
              <w:tc>
                <w:tcPr>
                  <w:tcW w:w="578" w:type="pct"/>
                  <w:tcBorders>
                    <w:tl2br w:val="nil"/>
                    <w:tr2bl w:val="nil"/>
                  </w:tcBorders>
                  <w:vAlign w:val="center"/>
                </w:tcPr>
                <w:p w14:paraId="1BDFA07C">
                  <w:pPr>
                    <w:pStyle w:val="4"/>
                    <w:rPr>
                      <w:color w:val="auto"/>
                    </w:rPr>
                  </w:pPr>
                  <w:r>
                    <w:rPr>
                      <w:color w:val="auto"/>
                    </w:rPr>
                    <w:t>达标</w:t>
                  </w:r>
                </w:p>
              </w:tc>
            </w:tr>
            <w:tr w14:paraId="7C737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4" w:type="pct"/>
                  <w:tcBorders>
                    <w:tl2br w:val="nil"/>
                    <w:tr2bl w:val="nil"/>
                  </w:tcBorders>
                  <w:vAlign w:val="center"/>
                </w:tcPr>
                <w:p w14:paraId="653956CD">
                  <w:pPr>
                    <w:pStyle w:val="4"/>
                    <w:rPr>
                      <w:color w:val="auto"/>
                    </w:rPr>
                  </w:pPr>
                  <w:r>
                    <w:rPr>
                      <w:rFonts w:hint="eastAsia" w:ascii="Times New Roman" w:hAnsi="Times New Roman"/>
                      <w:color w:val="auto"/>
                    </w:rPr>
                    <w:t>2</w:t>
                  </w:r>
                  <w:r>
                    <w:rPr>
                      <w:rFonts w:hint="eastAsia"/>
                      <w:color w:val="auto"/>
                    </w:rPr>
                    <w:t>#</w:t>
                  </w:r>
                </w:p>
              </w:tc>
              <w:tc>
                <w:tcPr>
                  <w:tcW w:w="961" w:type="pct"/>
                  <w:tcBorders>
                    <w:tl2br w:val="nil"/>
                    <w:tr2bl w:val="nil"/>
                  </w:tcBorders>
                  <w:shd w:val="clear" w:color="auto" w:fill="auto"/>
                  <w:vAlign w:val="center"/>
                </w:tcPr>
                <w:p w14:paraId="510E3896">
                  <w:pPr>
                    <w:spacing w:line="300" w:lineRule="exact"/>
                    <w:jc w:val="center"/>
                    <w:rPr>
                      <w:rFonts w:ascii="Times New Roman" w:hAnsi="Times New Roman" w:eastAsia="宋体" w:cs="Times New Roman"/>
                      <w:kern w:val="2"/>
                      <w:sz w:val="21"/>
                      <w:szCs w:val="24"/>
                      <w:lang w:val="en-US" w:eastAsia="zh-CN" w:bidi="ar-SA"/>
                    </w:rPr>
                  </w:pPr>
                  <w:r>
                    <w:rPr>
                      <w:rFonts w:hint="eastAsia"/>
                    </w:rPr>
                    <w:t>项目南</w:t>
                  </w:r>
                  <w:r>
                    <w:t>侧</w:t>
                  </w:r>
                  <w:r>
                    <w:rPr>
                      <w:rFonts w:hint="eastAsia"/>
                    </w:rPr>
                    <w:t>居民</w:t>
                  </w:r>
                  <w:r>
                    <w:t>处</w:t>
                  </w:r>
                </w:p>
              </w:tc>
              <w:tc>
                <w:tcPr>
                  <w:tcW w:w="874" w:type="pct"/>
                  <w:tcBorders>
                    <w:tl2br w:val="nil"/>
                    <w:tr2bl w:val="nil"/>
                  </w:tcBorders>
                  <w:shd w:val="clear" w:color="auto" w:fill="auto"/>
                  <w:vAlign w:val="center"/>
                </w:tcPr>
                <w:p w14:paraId="0862C8E6">
                  <w:pPr>
                    <w:pStyle w:val="4"/>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52</w:t>
                  </w:r>
                </w:p>
              </w:tc>
              <w:tc>
                <w:tcPr>
                  <w:tcW w:w="674" w:type="pct"/>
                  <w:tcBorders>
                    <w:tl2br w:val="nil"/>
                    <w:tr2bl w:val="nil"/>
                  </w:tcBorders>
                  <w:vAlign w:val="center"/>
                </w:tcPr>
                <w:p w14:paraId="72E2C371">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54</w:t>
                  </w:r>
                </w:p>
              </w:tc>
              <w:tc>
                <w:tcPr>
                  <w:tcW w:w="872" w:type="pct"/>
                  <w:tcBorders>
                    <w:tl2br w:val="nil"/>
                    <w:tr2bl w:val="nil"/>
                  </w:tcBorders>
                  <w:vAlign w:val="center"/>
                </w:tcPr>
                <w:p w14:paraId="69711D59">
                  <w:pPr>
                    <w:pStyle w:val="4"/>
                    <w:rPr>
                      <w:rFonts w:hint="default" w:eastAsia="宋体"/>
                      <w:color w:val="auto"/>
                      <w:lang w:val="en-US" w:eastAsia="zh-CN"/>
                    </w:rPr>
                  </w:pPr>
                  <w:r>
                    <w:rPr>
                      <w:rFonts w:hint="eastAsia"/>
                      <w:color w:val="auto"/>
                      <w:lang w:val="en-US" w:eastAsia="zh-CN"/>
                    </w:rPr>
                    <w:t>56</w:t>
                  </w:r>
                </w:p>
              </w:tc>
              <w:tc>
                <w:tcPr>
                  <w:tcW w:w="673" w:type="pct"/>
                  <w:tcBorders>
                    <w:tl2br w:val="nil"/>
                    <w:tr2bl w:val="nil"/>
                  </w:tcBorders>
                  <w:vAlign w:val="center"/>
                </w:tcPr>
                <w:p w14:paraId="6504F489">
                  <w:pPr>
                    <w:pStyle w:val="4"/>
                    <w:rPr>
                      <w:color w:val="auto"/>
                    </w:rPr>
                  </w:pPr>
                  <w:r>
                    <w:rPr>
                      <w:rFonts w:hint="eastAsia" w:ascii="Times New Roman" w:hAnsi="Times New Roman"/>
                      <w:color w:val="auto"/>
                    </w:rPr>
                    <w:t>60</w:t>
                  </w:r>
                </w:p>
              </w:tc>
              <w:tc>
                <w:tcPr>
                  <w:tcW w:w="578" w:type="pct"/>
                  <w:tcBorders>
                    <w:tl2br w:val="nil"/>
                    <w:tr2bl w:val="nil"/>
                  </w:tcBorders>
                  <w:vAlign w:val="center"/>
                </w:tcPr>
                <w:p w14:paraId="6AB1479F">
                  <w:pPr>
                    <w:pStyle w:val="4"/>
                    <w:rPr>
                      <w:color w:val="auto"/>
                    </w:rPr>
                  </w:pPr>
                  <w:r>
                    <w:rPr>
                      <w:color w:val="auto"/>
                    </w:rPr>
                    <w:t>达标</w:t>
                  </w:r>
                </w:p>
              </w:tc>
            </w:tr>
          </w:tbl>
          <w:p w14:paraId="7AB4A67F">
            <w:pPr>
              <w:pStyle w:val="8"/>
              <w:spacing w:after="0" w:line="360" w:lineRule="auto"/>
              <w:ind w:firstLine="480" w:firstLineChars="200"/>
            </w:pPr>
            <w:r>
              <w:rPr>
                <w:sz w:val="24"/>
              </w:rPr>
              <w:t>由预测结果可知，</w:t>
            </w:r>
            <w:r>
              <w:rPr>
                <w:rFonts w:hint="eastAsia"/>
                <w:sz w:val="24"/>
                <w:lang w:val="en-US" w:eastAsia="zh-CN"/>
              </w:rPr>
              <w:t>施工期</w:t>
            </w:r>
            <w:r>
              <w:rPr>
                <w:sz w:val="24"/>
              </w:rPr>
              <w:t>厂界四周预测点噪声</w:t>
            </w:r>
            <w:r>
              <w:rPr>
                <w:rFonts w:hint="eastAsia"/>
                <w:sz w:val="24"/>
                <w:lang w:val="en-US" w:eastAsia="zh-CN"/>
              </w:rPr>
              <w:t>贡献值</w:t>
            </w:r>
            <w:r>
              <w:rPr>
                <w:sz w:val="24"/>
              </w:rPr>
              <w:t>均满足</w:t>
            </w:r>
            <w:r>
              <w:rPr>
                <w:sz w:val="24"/>
                <w:szCs w:val="24"/>
              </w:rPr>
              <w:t>《建筑施工场界环境噪声排放标准》（GB12523-2011）</w:t>
            </w:r>
            <w:r>
              <w:rPr>
                <w:sz w:val="24"/>
              </w:rPr>
              <w:t>标准，敏感点噪声预测</w:t>
            </w:r>
            <w:r>
              <w:rPr>
                <w:rFonts w:hint="eastAsia"/>
                <w:sz w:val="24"/>
                <w:lang w:val="en-US" w:eastAsia="zh-CN"/>
              </w:rPr>
              <w:t>值</w:t>
            </w:r>
            <w:r>
              <w:rPr>
                <w:sz w:val="24"/>
              </w:rPr>
              <w:t>均满足</w:t>
            </w:r>
            <w:r>
              <w:rPr>
                <w:sz w:val="24"/>
                <w:lang w:val="zh-CN"/>
              </w:rPr>
              <w:t>《声环境质量标准》（GB3096-2008）2类标准</w:t>
            </w:r>
            <w:r>
              <w:rPr>
                <w:rFonts w:hint="eastAsia"/>
                <w:sz w:val="24"/>
                <w:lang w:val="zh-CN"/>
              </w:rPr>
              <w:t>，</w:t>
            </w:r>
            <w:r>
              <w:rPr>
                <w:sz w:val="24"/>
              </w:rPr>
              <w:t>可实现达标排放。因此，本项目</w:t>
            </w:r>
            <w:r>
              <w:rPr>
                <w:rFonts w:hint="eastAsia"/>
                <w:sz w:val="24"/>
                <w:lang w:val="en-US" w:eastAsia="zh-CN"/>
              </w:rPr>
              <w:t>施工期</w:t>
            </w:r>
            <w:r>
              <w:rPr>
                <w:sz w:val="24"/>
              </w:rPr>
              <w:t>噪声不会对区域声环境和敏感点造成影响。</w:t>
            </w:r>
          </w:p>
          <w:p w14:paraId="39F62362">
            <w:pPr>
              <w:spacing w:line="360" w:lineRule="auto"/>
              <w:ind w:firstLine="480"/>
              <w:rPr>
                <w:b/>
                <w:bCs/>
                <w:sz w:val="24"/>
                <w:szCs w:val="24"/>
              </w:rPr>
            </w:pPr>
            <w:r>
              <w:rPr>
                <w:rFonts w:hint="eastAsia"/>
                <w:b/>
                <w:bCs/>
                <w:sz w:val="24"/>
                <w:szCs w:val="24"/>
              </w:rPr>
              <w:t>5、固体废物</w:t>
            </w:r>
          </w:p>
          <w:p w14:paraId="32B8435E">
            <w:pPr>
              <w:spacing w:line="360" w:lineRule="auto"/>
              <w:ind w:firstLine="480"/>
              <w:rPr>
                <w:sz w:val="24"/>
                <w:szCs w:val="24"/>
              </w:rPr>
            </w:pPr>
            <w:r>
              <w:rPr>
                <w:rFonts w:hint="eastAsia"/>
                <w:sz w:val="24"/>
                <w:szCs w:val="24"/>
              </w:rPr>
              <w:t>（1）土石方</w:t>
            </w:r>
          </w:p>
          <w:p w14:paraId="61FD32AE">
            <w:pPr>
              <w:spacing w:line="360" w:lineRule="auto"/>
              <w:ind w:firstLine="480"/>
              <w:rPr>
                <w:sz w:val="24"/>
                <w:szCs w:val="24"/>
              </w:rPr>
            </w:pPr>
            <w:r>
              <w:rPr>
                <w:rFonts w:hint="eastAsia"/>
                <w:sz w:val="24"/>
                <w:szCs w:val="24"/>
              </w:rPr>
              <w:t>本项目施工期开挖土石方全部用于场地回填、调整场平，无弃土产生。为防止施工期土石方处置不当对周围环境的影响，环评要求：施工期禁止大风天气和雨天进行土石方开挖作业，开挖的土石方应及时回填，回填后应及时夯实覆土；施工完成后，应尽快进行绿化建设，优先选用固沙植物，覆盖的泥土应不超出绿化边界。</w:t>
            </w:r>
          </w:p>
          <w:p w14:paraId="498E2CA1">
            <w:pPr>
              <w:spacing w:line="360" w:lineRule="auto"/>
              <w:ind w:firstLine="480"/>
              <w:rPr>
                <w:sz w:val="24"/>
                <w:szCs w:val="24"/>
              </w:rPr>
            </w:pPr>
            <w:r>
              <w:rPr>
                <w:rFonts w:hint="eastAsia"/>
                <w:sz w:val="24"/>
                <w:szCs w:val="24"/>
              </w:rPr>
              <w:t>（2）建筑废物</w:t>
            </w:r>
          </w:p>
          <w:p w14:paraId="6E52FA25">
            <w:pPr>
              <w:spacing w:line="360" w:lineRule="auto"/>
              <w:ind w:firstLine="480"/>
              <w:rPr>
                <w:sz w:val="24"/>
                <w:szCs w:val="24"/>
              </w:rPr>
            </w:pPr>
            <w:r>
              <w:rPr>
                <w:rFonts w:hint="eastAsia"/>
                <w:sz w:val="24"/>
                <w:szCs w:val="24"/>
              </w:rPr>
              <w:t>施工期建筑废物主要包括建筑垃圾和装修垃圾，预计产生量约2t，环评要求：施工现场应设置建筑垃圾临时堆场并树立标识牌，采取进行防雨、防泄漏处理。对于施工期间产生的可回收利用的废料（如钢筋、钢板、木材等下脚料）通过分类收集后交废物收购站处理；对不能回收的建筑废物不能随意倾倒，而应用编织袋包装后清运到建筑垃圾处置场；装修中用到的废弃涂料容器、环氧树脂等属于危险废物，应单独设置收集并做好防护措施，待施工完成后统一交由具有资质的单位进行处置。</w:t>
            </w:r>
          </w:p>
          <w:p w14:paraId="00535F99">
            <w:pPr>
              <w:spacing w:line="360" w:lineRule="auto"/>
              <w:ind w:firstLine="480"/>
              <w:rPr>
                <w:sz w:val="24"/>
                <w:szCs w:val="24"/>
              </w:rPr>
            </w:pPr>
            <w:r>
              <w:rPr>
                <w:rFonts w:hint="eastAsia"/>
                <w:sz w:val="24"/>
                <w:szCs w:val="24"/>
              </w:rPr>
              <w:t>（3）生活垃圾</w:t>
            </w:r>
          </w:p>
          <w:p w14:paraId="19871154">
            <w:pPr>
              <w:spacing w:line="360" w:lineRule="auto"/>
              <w:ind w:firstLine="480"/>
              <w:rPr>
                <w:sz w:val="24"/>
                <w:szCs w:val="24"/>
              </w:rPr>
            </w:pPr>
            <w:r>
              <w:rPr>
                <w:rFonts w:hint="eastAsia"/>
                <w:sz w:val="24"/>
                <w:szCs w:val="24"/>
              </w:rPr>
              <w:t>项目施工人员约10人，生活垃圾产生量按0.5kg/人·d计，预计产生量为5.0kg/d，生活垃圾经袋装收集后，由环卫部门统一运送到垃圾处理场集中处理。</w:t>
            </w:r>
          </w:p>
        </w:tc>
      </w:tr>
      <w:tr w14:paraId="3C00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27FC955B">
            <w:pPr>
              <w:adjustRightInd w:val="0"/>
              <w:snapToGrid w:val="0"/>
              <w:spacing w:line="360" w:lineRule="auto"/>
              <w:jc w:val="center"/>
              <w:rPr>
                <w:bCs/>
                <w:sz w:val="24"/>
              </w:rPr>
            </w:pPr>
            <w:r>
              <w:rPr>
                <w:bCs/>
                <w:sz w:val="24"/>
              </w:rPr>
              <w:t>运营</w:t>
            </w:r>
          </w:p>
          <w:p w14:paraId="1FFA846D">
            <w:pPr>
              <w:adjustRightInd w:val="0"/>
              <w:snapToGrid w:val="0"/>
              <w:spacing w:line="360" w:lineRule="auto"/>
              <w:jc w:val="center"/>
              <w:rPr>
                <w:bCs/>
                <w:sz w:val="24"/>
              </w:rPr>
            </w:pPr>
            <w:r>
              <w:rPr>
                <w:bCs/>
                <w:sz w:val="24"/>
              </w:rPr>
              <w:t>期环</w:t>
            </w:r>
          </w:p>
          <w:p w14:paraId="68B6FE32">
            <w:pPr>
              <w:adjustRightInd w:val="0"/>
              <w:snapToGrid w:val="0"/>
              <w:spacing w:line="360" w:lineRule="auto"/>
              <w:jc w:val="center"/>
              <w:rPr>
                <w:bCs/>
                <w:sz w:val="24"/>
              </w:rPr>
            </w:pPr>
            <w:r>
              <w:rPr>
                <w:bCs/>
                <w:sz w:val="24"/>
              </w:rPr>
              <w:t>境影</w:t>
            </w:r>
          </w:p>
          <w:p w14:paraId="4F42B1A2">
            <w:pPr>
              <w:adjustRightInd w:val="0"/>
              <w:snapToGrid w:val="0"/>
              <w:spacing w:line="360" w:lineRule="auto"/>
              <w:jc w:val="center"/>
              <w:rPr>
                <w:bCs/>
                <w:sz w:val="24"/>
              </w:rPr>
            </w:pPr>
            <w:r>
              <w:rPr>
                <w:bCs/>
                <w:sz w:val="24"/>
              </w:rPr>
              <w:t>响和</w:t>
            </w:r>
          </w:p>
          <w:p w14:paraId="4CA57C27">
            <w:pPr>
              <w:adjustRightInd w:val="0"/>
              <w:snapToGrid w:val="0"/>
              <w:spacing w:line="360" w:lineRule="auto"/>
              <w:jc w:val="center"/>
              <w:rPr>
                <w:bCs/>
                <w:sz w:val="24"/>
              </w:rPr>
            </w:pPr>
            <w:r>
              <w:rPr>
                <w:bCs/>
                <w:sz w:val="24"/>
              </w:rPr>
              <w:t>保护</w:t>
            </w:r>
          </w:p>
          <w:p w14:paraId="0398B804">
            <w:pPr>
              <w:pStyle w:val="8"/>
              <w:spacing w:after="0" w:line="360" w:lineRule="auto"/>
              <w:jc w:val="center"/>
              <w:rPr>
                <w:kern w:val="2"/>
                <w:sz w:val="24"/>
              </w:rPr>
            </w:pPr>
            <w:r>
              <w:rPr>
                <w:bCs/>
                <w:sz w:val="24"/>
              </w:rPr>
              <w:t>措施</w:t>
            </w:r>
          </w:p>
        </w:tc>
        <w:tc>
          <w:tcPr>
            <w:tcW w:w="4634" w:type="pct"/>
            <w:vAlign w:val="center"/>
          </w:tcPr>
          <w:p w14:paraId="14D82EBF">
            <w:pPr>
              <w:autoSpaceDE w:val="0"/>
              <w:autoSpaceDN w:val="0"/>
              <w:adjustRightInd w:val="0"/>
              <w:spacing w:line="360" w:lineRule="auto"/>
              <w:ind w:firstLine="482" w:firstLineChars="200"/>
              <w:rPr>
                <w:b/>
                <w:bCs/>
                <w:sz w:val="24"/>
                <w:szCs w:val="24"/>
              </w:rPr>
            </w:pPr>
            <w:r>
              <w:rPr>
                <w:rFonts w:hint="eastAsia"/>
                <w:b/>
                <w:bCs/>
                <w:sz w:val="24"/>
                <w:szCs w:val="24"/>
              </w:rPr>
              <w:t>一、</w:t>
            </w:r>
            <w:r>
              <w:rPr>
                <w:b/>
                <w:bCs/>
                <w:sz w:val="24"/>
                <w:szCs w:val="24"/>
              </w:rPr>
              <w:t>废气</w:t>
            </w:r>
          </w:p>
          <w:p w14:paraId="44861F31">
            <w:pPr>
              <w:spacing w:line="360" w:lineRule="auto"/>
              <w:ind w:firstLine="480" w:firstLineChars="200"/>
              <w:rPr>
                <w:sz w:val="24"/>
                <w:szCs w:val="24"/>
              </w:rPr>
            </w:pPr>
            <w:r>
              <w:rPr>
                <w:sz w:val="24"/>
                <w:szCs w:val="24"/>
              </w:rPr>
              <w:t>本项目营运期废气主要为病区含菌空气、污水处理站恶臭、医疗废物间恶臭、</w:t>
            </w:r>
            <w:r>
              <w:rPr>
                <w:rFonts w:hint="eastAsia"/>
                <w:sz w:val="24"/>
                <w:szCs w:val="24"/>
              </w:rPr>
              <w:t>食堂油烟、柴油发电机</w:t>
            </w:r>
            <w:r>
              <w:rPr>
                <w:sz w:val="24"/>
                <w:szCs w:val="24"/>
              </w:rPr>
              <w:t>废气、汽车尾气。</w:t>
            </w:r>
          </w:p>
          <w:p w14:paraId="6867716A">
            <w:pPr>
              <w:spacing w:line="360" w:lineRule="auto"/>
              <w:ind w:firstLine="482" w:firstLineChars="200"/>
              <w:rPr>
                <w:b/>
                <w:bCs/>
                <w:sz w:val="24"/>
                <w:szCs w:val="24"/>
              </w:rPr>
            </w:pPr>
            <w:r>
              <w:rPr>
                <w:rFonts w:hint="eastAsia"/>
                <w:b/>
                <w:bCs/>
                <w:sz w:val="24"/>
                <w:szCs w:val="24"/>
              </w:rPr>
              <w:t>1、</w:t>
            </w:r>
            <w:r>
              <w:rPr>
                <w:b/>
                <w:bCs/>
                <w:sz w:val="24"/>
                <w:szCs w:val="24"/>
              </w:rPr>
              <w:t>产排污环节、污染物种类、产生量核算</w:t>
            </w:r>
            <w:r>
              <w:rPr>
                <w:rFonts w:hint="eastAsia"/>
                <w:b/>
                <w:bCs/>
                <w:sz w:val="24"/>
                <w:szCs w:val="24"/>
              </w:rPr>
              <w:t>及采取措施</w:t>
            </w:r>
          </w:p>
          <w:p w14:paraId="6376EECF">
            <w:pPr>
              <w:spacing w:line="360" w:lineRule="auto"/>
              <w:ind w:firstLine="482" w:firstLineChars="200"/>
              <w:rPr>
                <w:b/>
                <w:bCs/>
                <w:sz w:val="24"/>
                <w:szCs w:val="24"/>
              </w:rPr>
            </w:pPr>
            <w:r>
              <w:rPr>
                <w:b/>
                <w:bCs/>
                <w:sz w:val="24"/>
                <w:szCs w:val="24"/>
              </w:rPr>
              <w:t>（1）病区含菌空气</w:t>
            </w:r>
          </w:p>
          <w:p w14:paraId="64B46C57">
            <w:pPr>
              <w:spacing w:line="360" w:lineRule="auto"/>
              <w:ind w:firstLine="480" w:firstLineChars="200"/>
              <w:rPr>
                <w:sz w:val="24"/>
                <w:szCs w:val="24"/>
              </w:rPr>
            </w:pPr>
            <w:r>
              <w:rPr>
                <w:sz w:val="24"/>
                <w:szCs w:val="24"/>
              </w:rPr>
              <w:t>医院内空气中含有病人携带的致病菌，若通风措施不好，使医院的空气经常被污染，对病人及医护人员存在较大的染病风险。</w:t>
            </w:r>
          </w:p>
          <w:p w14:paraId="78AD2A15">
            <w:pPr>
              <w:spacing w:line="360" w:lineRule="auto"/>
              <w:ind w:firstLine="480" w:firstLineChars="200"/>
              <w:rPr>
                <w:sz w:val="24"/>
                <w:szCs w:val="24"/>
              </w:rPr>
            </w:pPr>
            <w:r>
              <w:rPr>
                <w:sz w:val="24"/>
                <w:szCs w:val="24"/>
              </w:rPr>
              <w:t>拟采取的措施：采用常规消毒措施，利用紫外线、移动式臭氧消毒机对地面及物品表面和室内外空气进行消毒，减少带病原微生物气溶胶数量，降低空气中的含菌量。同时加强自然通风或机械通风，保证给病人与医护人员一个清新卫生的环境。经消毒后的空气对外环境空气质量影响较小。</w:t>
            </w:r>
          </w:p>
          <w:p w14:paraId="263457B9">
            <w:pPr>
              <w:spacing w:line="360" w:lineRule="auto"/>
              <w:ind w:firstLine="482" w:firstLineChars="200"/>
              <w:rPr>
                <w:b/>
                <w:bCs/>
                <w:sz w:val="24"/>
                <w:szCs w:val="24"/>
              </w:rPr>
            </w:pPr>
            <w:r>
              <w:rPr>
                <w:b/>
                <w:bCs/>
                <w:sz w:val="24"/>
                <w:szCs w:val="24"/>
              </w:rPr>
              <w:t>（2）污水处理站恶臭</w:t>
            </w:r>
          </w:p>
          <w:p w14:paraId="411623DB">
            <w:pPr>
              <w:spacing w:line="360" w:lineRule="auto"/>
              <w:ind w:firstLine="480" w:firstLineChars="200"/>
              <w:rPr>
                <w:sz w:val="24"/>
                <w:szCs w:val="24"/>
              </w:rPr>
            </w:pPr>
            <w:r>
              <w:rPr>
                <w:sz w:val="24"/>
                <w:szCs w:val="24"/>
              </w:rPr>
              <w:t>污水处理站恶臭主要来源于污水、污泥中有机物的分解、发酵过程中散发的化学物质，其主要成分为硫化氢、氨、硫醇类等物质。根据美国EPA对城市污水处理厂恶臭污染物产生情况的研究，每去除1g的BOD</w:t>
            </w:r>
            <w:r>
              <w:rPr>
                <w:sz w:val="24"/>
                <w:szCs w:val="24"/>
                <w:vertAlign w:val="subscript"/>
              </w:rPr>
              <w:t>5</w:t>
            </w:r>
            <w:r>
              <w:rPr>
                <w:sz w:val="24"/>
                <w:szCs w:val="24"/>
              </w:rPr>
              <w:t>可产生0.0031g的NH</w:t>
            </w:r>
            <w:r>
              <w:rPr>
                <w:sz w:val="24"/>
                <w:szCs w:val="24"/>
                <w:vertAlign w:val="subscript"/>
              </w:rPr>
              <w:t>3</w:t>
            </w:r>
            <w:r>
              <w:rPr>
                <w:sz w:val="24"/>
                <w:szCs w:val="24"/>
              </w:rPr>
              <w:t>和0.00012g的H</w:t>
            </w:r>
            <w:r>
              <w:rPr>
                <w:sz w:val="24"/>
                <w:szCs w:val="24"/>
                <w:vertAlign w:val="subscript"/>
              </w:rPr>
              <w:t>2</w:t>
            </w:r>
            <w:r>
              <w:rPr>
                <w:sz w:val="24"/>
                <w:szCs w:val="24"/>
              </w:rPr>
              <w:t>S。本项目进入污水处理站的废水量为</w:t>
            </w:r>
            <w:r>
              <w:rPr>
                <w:rFonts w:hint="eastAsia"/>
                <w:sz w:val="24"/>
                <w:szCs w:val="36"/>
                <w:lang w:eastAsia="zh-CN"/>
              </w:rPr>
              <w:t>15421.25</w:t>
            </w:r>
            <w:r>
              <w:rPr>
                <w:sz w:val="24"/>
                <w:szCs w:val="24"/>
              </w:rPr>
              <w:t>m</w:t>
            </w:r>
            <w:r>
              <w:rPr>
                <w:sz w:val="24"/>
                <w:szCs w:val="24"/>
                <w:vertAlign w:val="superscript"/>
              </w:rPr>
              <w:t>3</w:t>
            </w:r>
            <w:r>
              <w:rPr>
                <w:sz w:val="24"/>
                <w:szCs w:val="24"/>
              </w:rPr>
              <w:t>/a，参照《医院污水处理技术指南》环发〔2003〕197号中“表2-2医院污水水质”可知BOD</w:t>
            </w:r>
            <w:r>
              <w:rPr>
                <w:sz w:val="24"/>
                <w:szCs w:val="24"/>
                <w:vertAlign w:val="subscript"/>
              </w:rPr>
              <w:t>5</w:t>
            </w:r>
            <w:r>
              <w:rPr>
                <w:sz w:val="24"/>
                <w:szCs w:val="24"/>
              </w:rPr>
              <w:t>浓度范围为80mg/L~150mg/L，本次评价以最大值150mg/L进行估算BOD</w:t>
            </w:r>
            <w:r>
              <w:rPr>
                <w:sz w:val="24"/>
                <w:szCs w:val="24"/>
                <w:vertAlign w:val="subscript"/>
              </w:rPr>
              <w:t>5</w:t>
            </w:r>
            <w:r>
              <w:rPr>
                <w:sz w:val="24"/>
                <w:szCs w:val="24"/>
              </w:rPr>
              <w:t>产生量</w:t>
            </w:r>
            <w:r>
              <w:rPr>
                <w:rFonts w:hint="eastAsia"/>
                <w:sz w:val="24"/>
                <w:szCs w:val="24"/>
              </w:rPr>
              <w:t>，</w:t>
            </w:r>
            <w:r>
              <w:rPr>
                <w:sz w:val="24"/>
                <w:szCs w:val="24"/>
              </w:rPr>
              <w:t>根据《医疗机构水污染物排放标准》（GB18466-2005）的预处理标准中BOD</w:t>
            </w:r>
            <w:r>
              <w:rPr>
                <w:sz w:val="24"/>
                <w:szCs w:val="24"/>
                <w:vertAlign w:val="subscript"/>
              </w:rPr>
              <w:t>5</w:t>
            </w:r>
            <w:r>
              <w:rPr>
                <w:sz w:val="24"/>
                <w:szCs w:val="24"/>
              </w:rPr>
              <w:t>预处理排放浓度为100mg/L进行估算BOD</w:t>
            </w:r>
            <w:r>
              <w:rPr>
                <w:sz w:val="24"/>
                <w:szCs w:val="24"/>
                <w:vertAlign w:val="subscript"/>
              </w:rPr>
              <w:t>5</w:t>
            </w:r>
            <w:r>
              <w:rPr>
                <w:sz w:val="24"/>
                <w:szCs w:val="24"/>
              </w:rPr>
              <w:t>排放量经计算，故经计算BOD</w:t>
            </w:r>
            <w:r>
              <w:rPr>
                <w:sz w:val="24"/>
                <w:szCs w:val="24"/>
                <w:vertAlign w:val="subscript"/>
              </w:rPr>
              <w:t>5</w:t>
            </w:r>
            <w:r>
              <w:rPr>
                <w:sz w:val="24"/>
                <w:szCs w:val="24"/>
              </w:rPr>
              <w:t>去除量为0.</w:t>
            </w:r>
            <w:r>
              <w:rPr>
                <w:rFonts w:hint="eastAsia"/>
                <w:sz w:val="24"/>
                <w:szCs w:val="24"/>
                <w:lang w:val="en-US" w:eastAsia="zh-CN"/>
              </w:rPr>
              <w:t>771</w:t>
            </w:r>
            <w:r>
              <w:rPr>
                <w:sz w:val="24"/>
                <w:szCs w:val="24"/>
              </w:rPr>
              <w:t>t/a。本项目污水处理站恶臭中NH</w:t>
            </w:r>
            <w:r>
              <w:rPr>
                <w:sz w:val="24"/>
                <w:szCs w:val="24"/>
                <w:vertAlign w:val="subscript"/>
              </w:rPr>
              <w:t>3</w:t>
            </w:r>
            <w:r>
              <w:rPr>
                <w:sz w:val="24"/>
                <w:szCs w:val="24"/>
              </w:rPr>
              <w:t>、H</w:t>
            </w:r>
            <w:r>
              <w:rPr>
                <w:sz w:val="24"/>
                <w:szCs w:val="24"/>
                <w:vertAlign w:val="subscript"/>
              </w:rPr>
              <w:t>2</w:t>
            </w:r>
            <w:r>
              <w:rPr>
                <w:sz w:val="24"/>
                <w:szCs w:val="24"/>
              </w:rPr>
              <w:t>S产生总量分别为</w:t>
            </w:r>
            <w:r>
              <w:rPr>
                <w:rFonts w:hint="eastAsia"/>
                <w:sz w:val="24"/>
                <w:szCs w:val="24"/>
                <w:lang w:eastAsia="zh-CN"/>
              </w:rPr>
              <w:t>2.390</w:t>
            </w:r>
            <w:r>
              <w:rPr>
                <w:sz w:val="24"/>
                <w:szCs w:val="24"/>
              </w:rPr>
              <w:t>kg/a、</w:t>
            </w:r>
            <w:r>
              <w:rPr>
                <w:rFonts w:hint="eastAsia"/>
                <w:sz w:val="24"/>
                <w:szCs w:val="24"/>
                <w:lang w:eastAsia="zh-CN"/>
              </w:rPr>
              <w:t>0.093</w:t>
            </w:r>
            <w:r>
              <w:rPr>
                <w:sz w:val="24"/>
                <w:szCs w:val="24"/>
              </w:rPr>
              <w:t>kg/a。</w:t>
            </w:r>
          </w:p>
          <w:p w14:paraId="096A65A0">
            <w:pPr>
              <w:spacing w:line="360" w:lineRule="auto"/>
              <w:ind w:firstLine="480" w:firstLineChars="200"/>
              <w:rPr>
                <w:sz w:val="24"/>
                <w:szCs w:val="24"/>
              </w:rPr>
            </w:pPr>
            <w:r>
              <w:rPr>
                <w:rFonts w:hint="eastAsia"/>
                <w:sz w:val="24"/>
                <w:szCs w:val="24"/>
              </w:rPr>
              <w:t>拟采取的措施：污水处理设施采用地埋式，医疗废水处理设施各处理构筑物均设密封盖板，盖板上预留进、出气口，在各个处理池内设置废气收集管道，废气由管道收集后经紫外线消毒+活性炭吸附装置处理后引致污水处理站设备间屋顶排放（高度约5m），属于无组织排放。</w:t>
            </w:r>
            <w:r>
              <w:rPr>
                <w:rFonts w:hint="eastAsia"/>
                <w:sz w:val="24"/>
              </w:rPr>
              <w:t>同时产生的恶臭气体通过在设施周边投加除臭剂、加强院区周边绿化等措施来降低恶臭对周边环境影响。恶臭处理效率按80%计</w:t>
            </w:r>
            <w:r>
              <w:rPr>
                <w:rFonts w:hint="eastAsia"/>
                <w:sz w:val="24"/>
                <w:szCs w:val="24"/>
              </w:rPr>
              <w:t>，则NH</w:t>
            </w:r>
            <w:r>
              <w:rPr>
                <w:rFonts w:hint="eastAsia"/>
                <w:sz w:val="24"/>
                <w:szCs w:val="24"/>
                <w:vertAlign w:val="subscript"/>
              </w:rPr>
              <w:t>3</w:t>
            </w:r>
            <w:r>
              <w:rPr>
                <w:rFonts w:hint="eastAsia"/>
                <w:sz w:val="24"/>
                <w:szCs w:val="24"/>
              </w:rPr>
              <w:t>无组织排放量为</w:t>
            </w:r>
            <w:r>
              <w:rPr>
                <w:rFonts w:hint="eastAsia"/>
                <w:sz w:val="24"/>
                <w:szCs w:val="24"/>
                <w:lang w:eastAsia="zh-CN"/>
              </w:rPr>
              <w:t>0.478</w:t>
            </w:r>
            <w:r>
              <w:rPr>
                <w:rFonts w:hint="eastAsia"/>
                <w:sz w:val="24"/>
                <w:szCs w:val="24"/>
              </w:rPr>
              <w:t>kg/a，H</w:t>
            </w:r>
            <w:r>
              <w:rPr>
                <w:rFonts w:hint="eastAsia"/>
                <w:sz w:val="24"/>
                <w:szCs w:val="24"/>
                <w:vertAlign w:val="subscript"/>
              </w:rPr>
              <w:t>2</w:t>
            </w:r>
            <w:r>
              <w:rPr>
                <w:rFonts w:hint="eastAsia"/>
                <w:sz w:val="24"/>
                <w:szCs w:val="24"/>
              </w:rPr>
              <w:t>S产生量为</w:t>
            </w:r>
            <w:r>
              <w:rPr>
                <w:rFonts w:hint="eastAsia"/>
                <w:sz w:val="24"/>
                <w:szCs w:val="24"/>
                <w:lang w:eastAsia="zh-CN"/>
              </w:rPr>
              <w:t>0.019</w:t>
            </w:r>
            <w:r>
              <w:rPr>
                <w:rFonts w:hint="eastAsia"/>
                <w:sz w:val="24"/>
                <w:szCs w:val="24"/>
              </w:rPr>
              <w:t>kg/a。排放量较少，能够满足《医疗机构水污染物排放标准》（GB18466-2005）“表3污水处理站周边大气污染物最高允许浓度”中相关限值要求。</w:t>
            </w:r>
          </w:p>
          <w:p w14:paraId="51C94F2A">
            <w:pPr>
              <w:spacing w:line="360" w:lineRule="auto"/>
              <w:ind w:firstLine="482" w:firstLineChars="200"/>
              <w:rPr>
                <w:b/>
                <w:bCs/>
                <w:sz w:val="24"/>
                <w:szCs w:val="24"/>
                <w:u w:val="single"/>
              </w:rPr>
            </w:pPr>
            <w:r>
              <w:rPr>
                <w:rFonts w:hint="eastAsia"/>
                <w:b/>
                <w:bCs/>
                <w:sz w:val="24"/>
                <w:szCs w:val="24"/>
                <w:u w:val="single"/>
              </w:rPr>
              <w:t>活性炭每半年更换一次，单次填充量约0.1t，年使用量为0.2t。同时，设置专人负责活性炭的更换、废活性炭转移，并制作记录台账（包括出入医疗废物暂存间时间、转入及转出量、管理责任人等）</w:t>
            </w:r>
          </w:p>
          <w:p w14:paraId="32EEE642">
            <w:pPr>
              <w:spacing w:line="360" w:lineRule="auto"/>
              <w:ind w:firstLine="482" w:firstLineChars="200"/>
              <w:rPr>
                <w:b/>
                <w:bCs/>
                <w:sz w:val="24"/>
                <w:szCs w:val="24"/>
              </w:rPr>
            </w:pPr>
            <w:r>
              <w:rPr>
                <w:rFonts w:hint="eastAsia"/>
                <w:b/>
                <w:bCs/>
                <w:sz w:val="24"/>
                <w:szCs w:val="24"/>
              </w:rPr>
              <w:t>（3）</w:t>
            </w:r>
            <w:r>
              <w:rPr>
                <w:b/>
                <w:bCs/>
                <w:sz w:val="24"/>
                <w:szCs w:val="24"/>
              </w:rPr>
              <w:t>医疗废物间恶臭</w:t>
            </w:r>
          </w:p>
          <w:p w14:paraId="12045050">
            <w:pPr>
              <w:pStyle w:val="8"/>
              <w:spacing w:after="0" w:line="360" w:lineRule="auto"/>
              <w:ind w:firstLine="480" w:firstLineChars="200"/>
              <w:rPr>
                <w:sz w:val="24"/>
              </w:rPr>
            </w:pPr>
            <w:r>
              <w:rPr>
                <w:sz w:val="24"/>
              </w:rPr>
              <w:t>恶臭是指一切刺激嗅觉器官引起人们不愉快及损害生活环境的气体物质。在生活垃圾和医疗废物暂存过程中，部分易腐败的垃圾由于其分解会发出异味，对环境的影响主要表现为恶臭。由于恶臭是一个感官性指标，难以定量，故本次环评进行定性分析</w:t>
            </w:r>
            <w:r>
              <w:rPr>
                <w:rFonts w:hint="eastAsia"/>
                <w:sz w:val="24"/>
              </w:rPr>
              <w:t>。</w:t>
            </w:r>
          </w:p>
          <w:p w14:paraId="4A89DAD6">
            <w:pPr>
              <w:pStyle w:val="8"/>
              <w:spacing w:after="0" w:line="360" w:lineRule="auto"/>
              <w:ind w:firstLine="480" w:firstLineChars="200"/>
              <w:rPr>
                <w:sz w:val="24"/>
              </w:rPr>
            </w:pPr>
            <w:r>
              <w:rPr>
                <w:rFonts w:hint="eastAsia"/>
                <w:sz w:val="24"/>
              </w:rPr>
              <w:t>拟采取的措施：</w:t>
            </w:r>
            <w:r>
              <w:rPr>
                <w:sz w:val="24"/>
              </w:rPr>
              <w:t>项目医疗废物暂存间为独立密闭房间，并按照国家有关医疗废物暂存的有关规定进行建设和管理。医疗废物暂存间地面通过每天清洁和消毒，室内加强空气消毒，医疗废物通过专用容器及防漏胶袋密封，恶臭溢出极少，定期送医疗废物处理单位集中收集处置。因此，项目通过暂存间封闭、定期清洗消毒，确保医疗废物日产日清等措施控制后，能够有效减少恶臭的产生</w:t>
            </w:r>
            <w:r>
              <w:rPr>
                <w:rFonts w:hint="eastAsia"/>
                <w:sz w:val="24"/>
              </w:rPr>
              <w:t>，</w:t>
            </w:r>
            <w:r>
              <w:rPr>
                <w:sz w:val="24"/>
              </w:rPr>
              <w:t>可实现达标排放。</w:t>
            </w:r>
          </w:p>
          <w:p w14:paraId="259D326A">
            <w:pPr>
              <w:spacing w:line="360" w:lineRule="auto"/>
              <w:ind w:firstLine="482" w:firstLineChars="200"/>
              <w:rPr>
                <w:b/>
                <w:bCs/>
                <w:sz w:val="24"/>
                <w:szCs w:val="24"/>
              </w:rPr>
            </w:pPr>
            <w:r>
              <w:rPr>
                <w:rFonts w:hint="eastAsia"/>
                <w:b/>
                <w:bCs/>
                <w:sz w:val="24"/>
                <w:szCs w:val="24"/>
              </w:rPr>
              <w:t>（4）食堂油烟</w:t>
            </w:r>
          </w:p>
          <w:p w14:paraId="1AA3CADA">
            <w:pPr>
              <w:spacing w:line="360" w:lineRule="auto"/>
              <w:ind w:firstLine="480" w:firstLineChars="200"/>
              <w:rPr>
                <w:sz w:val="24"/>
                <w:szCs w:val="24"/>
              </w:rPr>
            </w:pPr>
            <w:r>
              <w:rPr>
                <w:rFonts w:hint="eastAsia"/>
                <w:sz w:val="24"/>
                <w:szCs w:val="24"/>
              </w:rPr>
              <w:t>项目内设食堂，职工在院内就餐，食堂烹饪过程会产生食堂油烟。就餐人数按1</w:t>
            </w:r>
            <w:r>
              <w:rPr>
                <w:rFonts w:hint="eastAsia"/>
                <w:sz w:val="24"/>
                <w:szCs w:val="24"/>
                <w:lang w:val="en-US" w:eastAsia="zh-CN"/>
              </w:rPr>
              <w:t>7</w:t>
            </w:r>
            <w:r>
              <w:rPr>
                <w:rFonts w:hint="eastAsia"/>
                <w:sz w:val="24"/>
                <w:szCs w:val="24"/>
              </w:rPr>
              <w:t>0人核算，人均食用油日用量约30g/人•d，一般油烟挥发量占总耗油量的2～4%，平均为2.83%人，则项目食堂日油烟产生量约为</w:t>
            </w:r>
            <w:r>
              <w:rPr>
                <w:rFonts w:hint="eastAsia"/>
                <w:sz w:val="24"/>
                <w:szCs w:val="24"/>
                <w:lang w:eastAsia="zh-CN"/>
              </w:rPr>
              <w:t>0.053</w:t>
            </w:r>
            <w:r>
              <w:rPr>
                <w:rFonts w:hint="eastAsia"/>
                <w:sz w:val="24"/>
                <w:szCs w:val="24"/>
              </w:rPr>
              <w:t>t/a。</w:t>
            </w:r>
          </w:p>
          <w:p w14:paraId="18A9C578">
            <w:pPr>
              <w:snapToGrid w:val="0"/>
              <w:spacing w:line="360" w:lineRule="auto"/>
              <w:ind w:firstLine="480" w:firstLineChars="200"/>
              <w:rPr>
                <w:bCs/>
                <w:sz w:val="24"/>
              </w:rPr>
            </w:pPr>
            <w:r>
              <w:rPr>
                <w:rFonts w:hint="eastAsia"/>
                <w:sz w:val="24"/>
                <w:szCs w:val="24"/>
              </w:rPr>
              <w:t>拟采取的措施：</w:t>
            </w:r>
            <w:r>
              <w:rPr>
                <w:bCs/>
                <w:sz w:val="24"/>
              </w:rPr>
              <w:t>食堂安装1套油烟净化器（</w:t>
            </w:r>
            <w:r>
              <w:rPr>
                <w:rFonts w:hint="eastAsia"/>
                <w:bCs/>
                <w:sz w:val="24"/>
              </w:rPr>
              <w:t>收集效率90%，</w:t>
            </w:r>
            <w:r>
              <w:rPr>
                <w:bCs/>
                <w:sz w:val="24"/>
              </w:rPr>
              <w:t>净化效率85%，风量为</w:t>
            </w:r>
            <w:r>
              <w:rPr>
                <w:rFonts w:hint="eastAsia"/>
                <w:bCs/>
                <w:sz w:val="24"/>
              </w:rPr>
              <w:t>5</w:t>
            </w:r>
            <w:r>
              <w:rPr>
                <w:bCs/>
                <w:sz w:val="24"/>
              </w:rPr>
              <w:t>000m</w:t>
            </w:r>
            <w:r>
              <w:rPr>
                <w:bCs/>
                <w:sz w:val="24"/>
                <w:vertAlign w:val="superscript"/>
              </w:rPr>
              <w:t>3</w:t>
            </w:r>
            <w:r>
              <w:rPr>
                <w:bCs/>
                <w:sz w:val="24"/>
              </w:rPr>
              <w:t>/h</w:t>
            </w:r>
            <w:r>
              <w:rPr>
                <w:rFonts w:hint="eastAsia"/>
                <w:bCs/>
                <w:sz w:val="24"/>
              </w:rPr>
              <w:t>，3h/d，1095h/a</w:t>
            </w:r>
            <w:r>
              <w:rPr>
                <w:bCs/>
                <w:sz w:val="24"/>
              </w:rPr>
              <w:t>），食堂油烟经处理后通过油烟管道</w:t>
            </w:r>
            <w:r>
              <w:rPr>
                <w:rFonts w:hint="eastAsia"/>
                <w:bCs/>
                <w:sz w:val="24"/>
              </w:rPr>
              <w:t>外排，油烟排放量为</w:t>
            </w:r>
            <w:r>
              <w:rPr>
                <w:rFonts w:hint="eastAsia"/>
                <w:bCs/>
                <w:sz w:val="24"/>
                <w:lang w:eastAsia="zh-CN"/>
              </w:rPr>
              <w:t>0.007</w:t>
            </w:r>
            <w:r>
              <w:rPr>
                <w:rFonts w:hint="eastAsia"/>
                <w:bCs/>
                <w:sz w:val="24"/>
              </w:rPr>
              <w:t>t/a，排放速率为0.00</w:t>
            </w:r>
            <w:r>
              <w:rPr>
                <w:rFonts w:hint="eastAsia"/>
                <w:bCs/>
                <w:sz w:val="24"/>
                <w:lang w:val="en-US" w:eastAsia="zh-CN"/>
              </w:rPr>
              <w:t>6</w:t>
            </w:r>
            <w:r>
              <w:rPr>
                <w:rFonts w:hint="eastAsia"/>
                <w:bCs/>
                <w:sz w:val="24"/>
              </w:rPr>
              <w:t>kg/h，排放浓度为1.</w:t>
            </w:r>
            <w:r>
              <w:rPr>
                <w:rFonts w:hint="eastAsia"/>
                <w:bCs/>
                <w:sz w:val="24"/>
                <w:lang w:val="en-US" w:eastAsia="zh-CN"/>
              </w:rPr>
              <w:t>2</w:t>
            </w:r>
            <w:r>
              <w:rPr>
                <w:rFonts w:hint="eastAsia"/>
                <w:bCs/>
                <w:sz w:val="24"/>
              </w:rPr>
              <w:t>mg/m</w:t>
            </w:r>
            <w:r>
              <w:rPr>
                <w:rFonts w:hint="eastAsia"/>
                <w:bCs/>
                <w:sz w:val="24"/>
                <w:vertAlign w:val="superscript"/>
              </w:rPr>
              <w:t>3</w:t>
            </w:r>
            <w:r>
              <w:rPr>
                <w:rFonts w:hint="eastAsia"/>
                <w:bCs/>
                <w:sz w:val="24"/>
              </w:rPr>
              <w:t>，能够满足《饮食业油烟排放标准（试行）》（GB18483-2001）中2.0mg/m</w:t>
            </w:r>
            <w:r>
              <w:rPr>
                <w:rFonts w:hint="eastAsia"/>
                <w:bCs/>
                <w:sz w:val="24"/>
                <w:vertAlign w:val="superscript"/>
              </w:rPr>
              <w:t>3</w:t>
            </w:r>
            <w:r>
              <w:rPr>
                <w:rFonts w:hint="eastAsia"/>
                <w:bCs/>
                <w:sz w:val="24"/>
              </w:rPr>
              <w:t>的标准限值要求，实现达标排放</w:t>
            </w:r>
            <w:r>
              <w:rPr>
                <w:bCs/>
                <w:sz w:val="24"/>
              </w:rPr>
              <w:t>。油烟排放口距离周边最近敏感点（</w:t>
            </w:r>
            <w:r>
              <w:rPr>
                <w:rFonts w:hint="eastAsia"/>
                <w:bCs/>
                <w:sz w:val="24"/>
              </w:rPr>
              <w:t>东南侧居民</w:t>
            </w:r>
            <w:r>
              <w:rPr>
                <w:bCs/>
                <w:sz w:val="24"/>
              </w:rPr>
              <w:t>）约</w:t>
            </w:r>
            <w:r>
              <w:rPr>
                <w:rFonts w:hint="eastAsia"/>
                <w:bCs/>
                <w:sz w:val="24"/>
              </w:rPr>
              <w:t>25</w:t>
            </w:r>
            <w:r>
              <w:rPr>
                <w:bCs/>
                <w:sz w:val="24"/>
              </w:rPr>
              <w:t>m，满足《饮食业环境保护技术规范》（HJ554-2010）中“经油烟净化后的油烟排放口与周边环境敏感目标距离不应小于20m”的相关要求，食堂排放口设置合理可行。</w:t>
            </w:r>
          </w:p>
          <w:p w14:paraId="44094FE1">
            <w:pPr>
              <w:spacing w:line="360" w:lineRule="auto"/>
              <w:ind w:firstLine="482" w:firstLineChars="200"/>
              <w:rPr>
                <w:b/>
                <w:bCs/>
                <w:sz w:val="24"/>
                <w:szCs w:val="24"/>
              </w:rPr>
            </w:pPr>
            <w:r>
              <w:rPr>
                <w:b/>
                <w:bCs/>
                <w:sz w:val="24"/>
                <w:szCs w:val="24"/>
              </w:rPr>
              <w:t>（</w:t>
            </w:r>
            <w:r>
              <w:rPr>
                <w:rFonts w:hint="eastAsia"/>
                <w:b/>
                <w:bCs/>
                <w:sz w:val="24"/>
                <w:szCs w:val="24"/>
              </w:rPr>
              <w:t>5</w:t>
            </w:r>
            <w:r>
              <w:rPr>
                <w:b/>
                <w:bCs/>
                <w:sz w:val="24"/>
                <w:szCs w:val="24"/>
              </w:rPr>
              <w:t>）</w:t>
            </w:r>
            <w:r>
              <w:rPr>
                <w:rFonts w:hint="eastAsia"/>
                <w:b/>
                <w:bCs/>
                <w:sz w:val="24"/>
                <w:szCs w:val="24"/>
              </w:rPr>
              <w:t>柴油发电机</w:t>
            </w:r>
            <w:r>
              <w:rPr>
                <w:b/>
                <w:bCs/>
                <w:sz w:val="24"/>
                <w:szCs w:val="24"/>
              </w:rPr>
              <w:t>废气</w:t>
            </w:r>
          </w:p>
          <w:p w14:paraId="344A48ED">
            <w:pPr>
              <w:spacing w:line="360" w:lineRule="auto"/>
              <w:ind w:firstLine="480" w:firstLineChars="200"/>
              <w:rPr>
                <w:sz w:val="24"/>
              </w:rPr>
            </w:pPr>
            <w:r>
              <w:rPr>
                <w:sz w:val="24"/>
                <w:szCs w:val="24"/>
              </w:rPr>
              <w:t>项目</w:t>
            </w:r>
            <w:r>
              <w:rPr>
                <w:rFonts w:hint="eastAsia"/>
                <w:sz w:val="24"/>
                <w:szCs w:val="24"/>
              </w:rPr>
              <w:t>-1F</w:t>
            </w:r>
            <w:r>
              <w:rPr>
                <w:sz w:val="24"/>
                <w:szCs w:val="24"/>
              </w:rPr>
              <w:t>拟设有备用发电机一台，能源采用0#柴油，备用发电机仅在断电时临时使用。</w:t>
            </w:r>
            <w:r>
              <w:rPr>
                <w:sz w:val="24"/>
              </w:rPr>
              <w:t>柴油</w:t>
            </w:r>
            <w:r>
              <w:rPr>
                <w:sz w:val="24"/>
                <w:szCs w:val="24"/>
              </w:rPr>
              <w:t>发电机</w:t>
            </w:r>
            <w:r>
              <w:rPr>
                <w:rFonts w:hint="eastAsia"/>
                <w:sz w:val="24"/>
                <w:szCs w:val="24"/>
              </w:rPr>
              <w:t>废气</w:t>
            </w:r>
            <w:r>
              <w:rPr>
                <w:sz w:val="24"/>
              </w:rPr>
              <w:t>主要污染物为烟尘、CO</w:t>
            </w:r>
            <w:r>
              <w:rPr>
                <w:sz w:val="24"/>
                <w:vertAlign w:val="subscript"/>
              </w:rPr>
              <w:t>2</w:t>
            </w:r>
            <w:r>
              <w:rPr>
                <w:sz w:val="24"/>
              </w:rPr>
              <w:t>、CO、NOx、SO</w:t>
            </w:r>
            <w:r>
              <w:rPr>
                <w:sz w:val="24"/>
                <w:vertAlign w:val="subscript"/>
              </w:rPr>
              <w:t>2</w:t>
            </w:r>
            <w:r>
              <w:rPr>
                <w:sz w:val="24"/>
              </w:rPr>
              <w:t>等。</w:t>
            </w:r>
          </w:p>
          <w:p w14:paraId="20DC6BF0">
            <w:pPr>
              <w:spacing w:line="360" w:lineRule="auto"/>
              <w:ind w:firstLine="480" w:firstLineChars="200"/>
              <w:rPr>
                <w:sz w:val="24"/>
              </w:rPr>
            </w:pPr>
            <w:r>
              <w:rPr>
                <w:sz w:val="24"/>
                <w:szCs w:val="24"/>
              </w:rPr>
              <w:t>拟采取的措施：发电设备极少使用，发电机废气</w:t>
            </w:r>
            <w:r>
              <w:rPr>
                <w:bCs/>
                <w:sz w:val="24"/>
                <w:szCs w:val="24"/>
              </w:rPr>
              <w:t>经自带烟气净化装置处理后外排</w:t>
            </w:r>
            <w:r>
              <w:rPr>
                <w:sz w:val="24"/>
                <w:szCs w:val="24"/>
              </w:rPr>
              <w:t>。柴油机选用0#柴油作为燃料，选用清洁能源，可降低尾气排放浓度，发电废气对环境影响较小。</w:t>
            </w:r>
          </w:p>
          <w:p w14:paraId="4325A6BC">
            <w:pPr>
              <w:spacing w:line="360" w:lineRule="auto"/>
              <w:ind w:firstLine="482" w:firstLineChars="200"/>
              <w:rPr>
                <w:b/>
                <w:bCs/>
                <w:sz w:val="24"/>
                <w:szCs w:val="24"/>
              </w:rPr>
            </w:pPr>
            <w:r>
              <w:rPr>
                <w:b/>
                <w:bCs/>
                <w:sz w:val="24"/>
                <w:szCs w:val="24"/>
              </w:rPr>
              <w:t>（</w:t>
            </w:r>
            <w:r>
              <w:rPr>
                <w:rFonts w:hint="eastAsia"/>
                <w:b/>
                <w:bCs/>
                <w:sz w:val="24"/>
                <w:szCs w:val="24"/>
              </w:rPr>
              <w:t>6</w:t>
            </w:r>
            <w:r>
              <w:rPr>
                <w:b/>
                <w:bCs/>
                <w:sz w:val="24"/>
                <w:szCs w:val="24"/>
              </w:rPr>
              <w:t>）汽车尾气</w:t>
            </w:r>
          </w:p>
          <w:p w14:paraId="167A5E41">
            <w:pPr>
              <w:spacing w:line="360" w:lineRule="auto"/>
              <w:ind w:firstLine="480" w:firstLineChars="200"/>
              <w:rPr>
                <w:sz w:val="24"/>
              </w:rPr>
            </w:pPr>
            <w:r>
              <w:rPr>
                <w:sz w:val="24"/>
                <w:szCs w:val="24"/>
              </w:rPr>
              <w:t>进出车辆的汽车尾气是项目大气污染源之一，尾气主要含有CO、NOx、TSP和未完全</w:t>
            </w:r>
            <w:r>
              <w:rPr>
                <w:sz w:val="24"/>
              </w:rPr>
              <w:t>燃烧的碳氢化合物THC。本项目建成后，进出医院的机动车辆在进出时产生汽车车辆尾气。</w:t>
            </w:r>
          </w:p>
          <w:p w14:paraId="6F7EA2ED">
            <w:pPr>
              <w:spacing w:line="360" w:lineRule="auto"/>
              <w:ind w:firstLine="480"/>
              <w:rPr>
                <w:sz w:val="24"/>
                <w:szCs w:val="24"/>
              </w:rPr>
            </w:pPr>
            <w:r>
              <w:rPr>
                <w:sz w:val="24"/>
                <w:szCs w:val="24"/>
              </w:rPr>
              <w:t>拟采取的措施：汽车尾气产生量较小，通过自然扩散，对环境影响较小。</w:t>
            </w:r>
          </w:p>
          <w:p w14:paraId="683D4A97">
            <w:pPr>
              <w:pStyle w:val="8"/>
              <w:spacing w:after="0" w:line="360" w:lineRule="auto"/>
              <w:ind w:firstLine="480" w:firstLineChars="200"/>
              <w:rPr>
                <w:sz w:val="24"/>
              </w:rPr>
            </w:pPr>
            <w:r>
              <w:rPr>
                <w:sz w:val="24"/>
              </w:rPr>
              <w:t>本项目废气治理措施和排放情况如下表4-</w:t>
            </w:r>
            <w:r>
              <w:rPr>
                <w:rFonts w:hint="eastAsia"/>
                <w:sz w:val="24"/>
                <w:lang w:val="en-US" w:eastAsia="zh-CN"/>
              </w:rPr>
              <w:t>4</w:t>
            </w:r>
            <w:r>
              <w:rPr>
                <w:sz w:val="24"/>
              </w:rPr>
              <w:t>。</w:t>
            </w:r>
          </w:p>
          <w:p w14:paraId="44420484">
            <w:pPr>
              <w:pStyle w:val="8"/>
              <w:spacing w:after="0" w:line="360" w:lineRule="auto"/>
              <w:jc w:val="center"/>
              <w:rPr>
                <w:b/>
                <w:bCs/>
                <w:sz w:val="24"/>
              </w:rPr>
            </w:pPr>
            <w:r>
              <w:rPr>
                <w:b/>
                <w:bCs/>
                <w:sz w:val="24"/>
              </w:rPr>
              <w:t>表4-</w:t>
            </w:r>
            <w:r>
              <w:rPr>
                <w:rFonts w:hint="eastAsia"/>
                <w:b/>
                <w:bCs/>
                <w:sz w:val="24"/>
                <w:lang w:val="en-US" w:eastAsia="zh-CN"/>
              </w:rPr>
              <w:t>4</w:t>
            </w:r>
            <w:r>
              <w:rPr>
                <w:b/>
                <w:bCs/>
                <w:sz w:val="24"/>
              </w:rPr>
              <w:t xml:space="preserve"> 废气治理措施、排放形式一览表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14"/>
              <w:gridCol w:w="1179"/>
              <w:gridCol w:w="817"/>
              <w:gridCol w:w="2984"/>
              <w:gridCol w:w="813"/>
              <w:gridCol w:w="817"/>
              <w:gridCol w:w="827"/>
            </w:tblGrid>
            <w:tr w14:paraId="21499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vMerge w:val="restart"/>
                  <w:tcBorders>
                    <w:tl2br w:val="nil"/>
                    <w:tr2bl w:val="nil"/>
                  </w:tcBorders>
                  <w:vAlign w:val="center"/>
                </w:tcPr>
                <w:p w14:paraId="33B411E6">
                  <w:pPr>
                    <w:jc w:val="center"/>
                    <w:rPr>
                      <w:b/>
                      <w:bCs/>
                    </w:rPr>
                  </w:pPr>
                  <w:r>
                    <w:rPr>
                      <w:b/>
                      <w:bCs/>
                    </w:rPr>
                    <w:t>废气类型</w:t>
                  </w:r>
                </w:p>
              </w:tc>
              <w:tc>
                <w:tcPr>
                  <w:tcW w:w="681" w:type="pct"/>
                  <w:vMerge w:val="restart"/>
                  <w:tcBorders>
                    <w:tl2br w:val="nil"/>
                    <w:tr2bl w:val="nil"/>
                  </w:tcBorders>
                  <w:vAlign w:val="center"/>
                </w:tcPr>
                <w:p w14:paraId="1E1F6525">
                  <w:pPr>
                    <w:jc w:val="center"/>
                    <w:rPr>
                      <w:b/>
                      <w:bCs/>
                    </w:rPr>
                  </w:pPr>
                  <w:r>
                    <w:rPr>
                      <w:b/>
                      <w:bCs/>
                    </w:rPr>
                    <w:t>污染物种类</w:t>
                  </w:r>
                </w:p>
              </w:tc>
              <w:tc>
                <w:tcPr>
                  <w:tcW w:w="472" w:type="pct"/>
                  <w:vMerge w:val="restart"/>
                  <w:tcBorders>
                    <w:tl2br w:val="nil"/>
                    <w:tr2bl w:val="nil"/>
                  </w:tcBorders>
                  <w:vAlign w:val="center"/>
                </w:tcPr>
                <w:p w14:paraId="357805F2">
                  <w:pPr>
                    <w:jc w:val="center"/>
                    <w:rPr>
                      <w:b/>
                      <w:bCs/>
                    </w:rPr>
                  </w:pPr>
                  <w:r>
                    <w:rPr>
                      <w:b/>
                      <w:bCs/>
                    </w:rPr>
                    <w:t>排放</w:t>
                  </w:r>
                </w:p>
                <w:p w14:paraId="5888F605">
                  <w:pPr>
                    <w:jc w:val="center"/>
                    <w:rPr>
                      <w:b/>
                      <w:bCs/>
                    </w:rPr>
                  </w:pPr>
                  <w:r>
                    <w:rPr>
                      <w:b/>
                      <w:bCs/>
                    </w:rPr>
                    <w:t>形式</w:t>
                  </w:r>
                </w:p>
              </w:tc>
              <w:tc>
                <w:tcPr>
                  <w:tcW w:w="3144" w:type="pct"/>
                  <w:gridSpan w:val="4"/>
                  <w:tcBorders>
                    <w:tl2br w:val="nil"/>
                    <w:tr2bl w:val="nil"/>
                  </w:tcBorders>
                  <w:vAlign w:val="center"/>
                </w:tcPr>
                <w:p w14:paraId="1953073E">
                  <w:pPr>
                    <w:jc w:val="center"/>
                    <w:rPr>
                      <w:b/>
                      <w:bCs/>
                    </w:rPr>
                  </w:pPr>
                  <w:r>
                    <w:rPr>
                      <w:b/>
                      <w:bCs/>
                    </w:rPr>
                    <w:t>污染物治理设施</w:t>
                  </w:r>
                </w:p>
              </w:tc>
            </w:tr>
            <w:tr w14:paraId="3B7B2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vMerge w:val="continue"/>
                  <w:tcBorders>
                    <w:tl2br w:val="nil"/>
                    <w:tr2bl w:val="nil"/>
                  </w:tcBorders>
                  <w:vAlign w:val="center"/>
                </w:tcPr>
                <w:p w14:paraId="205E110A">
                  <w:pPr>
                    <w:jc w:val="center"/>
                    <w:rPr>
                      <w:b/>
                      <w:bCs/>
                    </w:rPr>
                  </w:pPr>
                </w:p>
              </w:tc>
              <w:tc>
                <w:tcPr>
                  <w:tcW w:w="681" w:type="pct"/>
                  <w:vMerge w:val="continue"/>
                  <w:tcBorders>
                    <w:tl2br w:val="nil"/>
                    <w:tr2bl w:val="nil"/>
                  </w:tcBorders>
                  <w:vAlign w:val="center"/>
                </w:tcPr>
                <w:p w14:paraId="53C07C0E">
                  <w:pPr>
                    <w:jc w:val="center"/>
                    <w:rPr>
                      <w:b/>
                      <w:bCs/>
                    </w:rPr>
                  </w:pPr>
                </w:p>
              </w:tc>
              <w:tc>
                <w:tcPr>
                  <w:tcW w:w="472" w:type="pct"/>
                  <w:vMerge w:val="continue"/>
                  <w:tcBorders>
                    <w:tl2br w:val="nil"/>
                    <w:tr2bl w:val="nil"/>
                  </w:tcBorders>
                  <w:vAlign w:val="center"/>
                </w:tcPr>
                <w:p w14:paraId="1A64139C">
                  <w:pPr>
                    <w:jc w:val="center"/>
                    <w:rPr>
                      <w:b/>
                      <w:bCs/>
                    </w:rPr>
                  </w:pPr>
                </w:p>
              </w:tc>
              <w:tc>
                <w:tcPr>
                  <w:tcW w:w="1724" w:type="pct"/>
                  <w:tcBorders>
                    <w:tl2br w:val="nil"/>
                    <w:tr2bl w:val="nil"/>
                  </w:tcBorders>
                  <w:vAlign w:val="center"/>
                </w:tcPr>
                <w:p w14:paraId="0C50F814">
                  <w:pPr>
                    <w:jc w:val="center"/>
                    <w:rPr>
                      <w:b/>
                      <w:bCs/>
                    </w:rPr>
                  </w:pPr>
                  <w:r>
                    <w:rPr>
                      <w:b/>
                      <w:bCs/>
                    </w:rPr>
                    <w:t>治理设施名称及工艺</w:t>
                  </w:r>
                </w:p>
              </w:tc>
              <w:tc>
                <w:tcPr>
                  <w:tcW w:w="470" w:type="pct"/>
                  <w:tcBorders>
                    <w:tl2br w:val="nil"/>
                    <w:tr2bl w:val="nil"/>
                  </w:tcBorders>
                  <w:vAlign w:val="center"/>
                </w:tcPr>
                <w:p w14:paraId="1949D7C8">
                  <w:pPr>
                    <w:jc w:val="center"/>
                    <w:rPr>
                      <w:b/>
                      <w:bCs/>
                    </w:rPr>
                  </w:pPr>
                  <w:r>
                    <w:rPr>
                      <w:b/>
                      <w:bCs/>
                    </w:rPr>
                    <w:t>收集效率（%）</w:t>
                  </w:r>
                </w:p>
              </w:tc>
              <w:tc>
                <w:tcPr>
                  <w:tcW w:w="472" w:type="pct"/>
                  <w:tcBorders>
                    <w:tl2br w:val="nil"/>
                    <w:tr2bl w:val="nil"/>
                  </w:tcBorders>
                  <w:vAlign w:val="center"/>
                </w:tcPr>
                <w:p w14:paraId="40E7D631">
                  <w:pPr>
                    <w:jc w:val="center"/>
                    <w:rPr>
                      <w:b/>
                      <w:bCs/>
                    </w:rPr>
                  </w:pPr>
                  <w:r>
                    <w:rPr>
                      <w:b/>
                      <w:bCs/>
                    </w:rPr>
                    <w:t>去除率（%）</w:t>
                  </w:r>
                </w:p>
              </w:tc>
              <w:tc>
                <w:tcPr>
                  <w:tcW w:w="477" w:type="pct"/>
                  <w:tcBorders>
                    <w:tl2br w:val="nil"/>
                    <w:tr2bl w:val="nil"/>
                  </w:tcBorders>
                  <w:vAlign w:val="center"/>
                </w:tcPr>
                <w:p w14:paraId="1910FB08">
                  <w:pPr>
                    <w:jc w:val="center"/>
                    <w:rPr>
                      <w:b/>
                      <w:bCs/>
                    </w:rPr>
                  </w:pPr>
                  <w:r>
                    <w:rPr>
                      <w:b/>
                      <w:bCs/>
                    </w:rPr>
                    <w:t>是否为可行性技术</w:t>
                  </w:r>
                </w:p>
              </w:tc>
            </w:tr>
            <w:tr w14:paraId="55D2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7E37A804">
                  <w:pPr>
                    <w:jc w:val="center"/>
                  </w:pPr>
                  <w:r>
                    <w:t>病区含菌空气</w:t>
                  </w:r>
                </w:p>
              </w:tc>
              <w:tc>
                <w:tcPr>
                  <w:tcW w:w="681" w:type="pct"/>
                  <w:tcBorders>
                    <w:tl2br w:val="nil"/>
                    <w:tr2bl w:val="nil"/>
                  </w:tcBorders>
                  <w:vAlign w:val="center"/>
                </w:tcPr>
                <w:p w14:paraId="3835A8A0">
                  <w:pPr>
                    <w:jc w:val="center"/>
                  </w:pPr>
                  <w:r>
                    <w:t>含菌空气</w:t>
                  </w:r>
                </w:p>
              </w:tc>
              <w:tc>
                <w:tcPr>
                  <w:tcW w:w="472" w:type="pct"/>
                  <w:tcBorders>
                    <w:tl2br w:val="nil"/>
                    <w:tr2bl w:val="nil"/>
                  </w:tcBorders>
                  <w:vAlign w:val="center"/>
                </w:tcPr>
                <w:p w14:paraId="7D92CFAC">
                  <w:pPr>
                    <w:jc w:val="center"/>
                  </w:pPr>
                  <w:r>
                    <w:t>无组织</w:t>
                  </w:r>
                </w:p>
              </w:tc>
              <w:tc>
                <w:tcPr>
                  <w:tcW w:w="1724" w:type="pct"/>
                  <w:tcBorders>
                    <w:tl2br w:val="nil"/>
                    <w:tr2bl w:val="nil"/>
                  </w:tcBorders>
                  <w:vAlign w:val="center"/>
                </w:tcPr>
                <w:p w14:paraId="0435F99E">
                  <w:pPr>
                    <w:jc w:val="center"/>
                  </w:pPr>
                  <w:r>
                    <w:t>采用常规消毒措施定期消毒，利用紫外线、移动式臭氧消毒机等进行室内外消毒，同时加强自然通风和机械通风</w:t>
                  </w:r>
                </w:p>
              </w:tc>
              <w:tc>
                <w:tcPr>
                  <w:tcW w:w="470" w:type="pct"/>
                  <w:tcBorders>
                    <w:tl2br w:val="nil"/>
                    <w:tr2bl w:val="nil"/>
                  </w:tcBorders>
                  <w:vAlign w:val="center"/>
                </w:tcPr>
                <w:p w14:paraId="25B5C6E4">
                  <w:pPr>
                    <w:jc w:val="center"/>
                  </w:pPr>
                  <w:r>
                    <w:t>/</w:t>
                  </w:r>
                </w:p>
              </w:tc>
              <w:tc>
                <w:tcPr>
                  <w:tcW w:w="472" w:type="pct"/>
                  <w:tcBorders>
                    <w:tl2br w:val="nil"/>
                    <w:tr2bl w:val="nil"/>
                  </w:tcBorders>
                  <w:vAlign w:val="center"/>
                </w:tcPr>
                <w:p w14:paraId="499BDDE9">
                  <w:pPr>
                    <w:jc w:val="center"/>
                  </w:pPr>
                  <w:r>
                    <w:t>/</w:t>
                  </w:r>
                </w:p>
              </w:tc>
              <w:tc>
                <w:tcPr>
                  <w:tcW w:w="477" w:type="pct"/>
                  <w:tcBorders>
                    <w:tl2br w:val="nil"/>
                    <w:tr2bl w:val="nil"/>
                  </w:tcBorders>
                  <w:vAlign w:val="center"/>
                </w:tcPr>
                <w:p w14:paraId="7B9D1F9D">
                  <w:pPr>
                    <w:jc w:val="center"/>
                  </w:pPr>
                  <w:r>
                    <w:t>是</w:t>
                  </w:r>
                </w:p>
              </w:tc>
            </w:tr>
            <w:tr w14:paraId="038BA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112CC8C7">
                  <w:pPr>
                    <w:jc w:val="center"/>
                  </w:pPr>
                  <w:r>
                    <w:t>污水处理站恶臭</w:t>
                  </w:r>
                </w:p>
              </w:tc>
              <w:tc>
                <w:tcPr>
                  <w:tcW w:w="681" w:type="pct"/>
                  <w:tcBorders>
                    <w:tl2br w:val="nil"/>
                    <w:tr2bl w:val="nil"/>
                  </w:tcBorders>
                  <w:vAlign w:val="center"/>
                </w:tcPr>
                <w:p w14:paraId="7E1F3017">
                  <w:pPr>
                    <w:jc w:val="center"/>
                  </w:pPr>
                  <w:r>
                    <w:t>H</w:t>
                  </w:r>
                  <w:r>
                    <w:rPr>
                      <w:vertAlign w:val="subscript"/>
                    </w:rPr>
                    <w:t>2</w:t>
                  </w:r>
                  <w:r>
                    <w:t>S、NH</w:t>
                  </w:r>
                  <w:r>
                    <w:rPr>
                      <w:vertAlign w:val="subscript"/>
                    </w:rPr>
                    <w:t>3</w:t>
                  </w:r>
                </w:p>
              </w:tc>
              <w:tc>
                <w:tcPr>
                  <w:tcW w:w="472" w:type="pct"/>
                  <w:tcBorders>
                    <w:tl2br w:val="nil"/>
                    <w:tr2bl w:val="nil"/>
                  </w:tcBorders>
                  <w:vAlign w:val="center"/>
                </w:tcPr>
                <w:p w14:paraId="0D84CC3C">
                  <w:pPr>
                    <w:jc w:val="center"/>
                  </w:pPr>
                  <w:r>
                    <w:t>无组织</w:t>
                  </w:r>
                </w:p>
              </w:tc>
              <w:tc>
                <w:tcPr>
                  <w:tcW w:w="1724" w:type="pct"/>
                  <w:tcBorders>
                    <w:tl2br w:val="nil"/>
                    <w:tr2bl w:val="nil"/>
                  </w:tcBorders>
                  <w:vAlign w:val="center"/>
                </w:tcPr>
                <w:p w14:paraId="3A9BC03C">
                  <w:pPr>
                    <w:jc w:val="center"/>
                  </w:pPr>
                  <w:r>
                    <w:t>地埋式封闭运行、紫外线消毒</w:t>
                  </w:r>
                  <w:r>
                    <w:rPr>
                      <w:rFonts w:hint="eastAsia"/>
                    </w:rPr>
                    <w:t>、</w:t>
                  </w:r>
                  <w:r>
                    <w:t>活性炭吸附</w:t>
                  </w:r>
                  <w:r>
                    <w:rPr>
                      <w:rFonts w:hint="eastAsia"/>
                    </w:rPr>
                    <w:t>、</w:t>
                  </w:r>
                  <w:r>
                    <w:t>投加除臭剂、加强院区绿化</w:t>
                  </w:r>
                </w:p>
              </w:tc>
              <w:tc>
                <w:tcPr>
                  <w:tcW w:w="470" w:type="pct"/>
                  <w:tcBorders>
                    <w:tl2br w:val="nil"/>
                    <w:tr2bl w:val="nil"/>
                  </w:tcBorders>
                  <w:vAlign w:val="center"/>
                </w:tcPr>
                <w:p w14:paraId="042A9E9C">
                  <w:pPr>
                    <w:jc w:val="center"/>
                  </w:pPr>
                  <w:r>
                    <w:rPr>
                      <w:rFonts w:hint="eastAsia"/>
                    </w:rPr>
                    <w:t>90</w:t>
                  </w:r>
                </w:p>
              </w:tc>
              <w:tc>
                <w:tcPr>
                  <w:tcW w:w="472" w:type="pct"/>
                  <w:tcBorders>
                    <w:tl2br w:val="nil"/>
                    <w:tr2bl w:val="nil"/>
                  </w:tcBorders>
                  <w:vAlign w:val="center"/>
                </w:tcPr>
                <w:p w14:paraId="72136DDB">
                  <w:pPr>
                    <w:jc w:val="center"/>
                  </w:pPr>
                  <w:r>
                    <w:rPr>
                      <w:rFonts w:hint="eastAsia"/>
                    </w:rPr>
                    <w:t>8</w:t>
                  </w:r>
                  <w:r>
                    <w:t>0</w:t>
                  </w:r>
                </w:p>
              </w:tc>
              <w:tc>
                <w:tcPr>
                  <w:tcW w:w="477" w:type="pct"/>
                  <w:tcBorders>
                    <w:tl2br w:val="nil"/>
                    <w:tr2bl w:val="nil"/>
                  </w:tcBorders>
                  <w:vAlign w:val="center"/>
                </w:tcPr>
                <w:p w14:paraId="6E6A6AAF">
                  <w:pPr>
                    <w:jc w:val="center"/>
                  </w:pPr>
                  <w:r>
                    <w:t>是</w:t>
                  </w:r>
                </w:p>
              </w:tc>
            </w:tr>
            <w:tr w14:paraId="3306E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2070ACE8">
                  <w:pPr>
                    <w:jc w:val="center"/>
                  </w:pPr>
                  <w:r>
                    <w:t>医疗废物暂存间恶臭</w:t>
                  </w:r>
                </w:p>
              </w:tc>
              <w:tc>
                <w:tcPr>
                  <w:tcW w:w="681" w:type="pct"/>
                  <w:tcBorders>
                    <w:tl2br w:val="nil"/>
                    <w:tr2bl w:val="nil"/>
                  </w:tcBorders>
                  <w:vAlign w:val="center"/>
                </w:tcPr>
                <w:p w14:paraId="1DA60CDC">
                  <w:pPr>
                    <w:jc w:val="center"/>
                  </w:pPr>
                  <w:r>
                    <w:t>恶臭</w:t>
                  </w:r>
                </w:p>
              </w:tc>
              <w:tc>
                <w:tcPr>
                  <w:tcW w:w="472" w:type="pct"/>
                  <w:tcBorders>
                    <w:tl2br w:val="nil"/>
                    <w:tr2bl w:val="nil"/>
                  </w:tcBorders>
                  <w:vAlign w:val="center"/>
                </w:tcPr>
                <w:p w14:paraId="06481FD4">
                  <w:pPr>
                    <w:jc w:val="center"/>
                  </w:pPr>
                  <w:r>
                    <w:t>无组织</w:t>
                  </w:r>
                </w:p>
              </w:tc>
              <w:tc>
                <w:tcPr>
                  <w:tcW w:w="1724" w:type="pct"/>
                  <w:tcBorders>
                    <w:tl2br w:val="nil"/>
                    <w:tr2bl w:val="nil"/>
                  </w:tcBorders>
                  <w:vAlign w:val="center"/>
                </w:tcPr>
                <w:p w14:paraId="17F9BB92">
                  <w:pPr>
                    <w:jc w:val="center"/>
                  </w:pPr>
                  <w:r>
                    <w:t>医疗废物密封储存，加强管理，定期消毒，日产日清</w:t>
                  </w:r>
                </w:p>
              </w:tc>
              <w:tc>
                <w:tcPr>
                  <w:tcW w:w="470" w:type="pct"/>
                  <w:tcBorders>
                    <w:tl2br w:val="nil"/>
                    <w:tr2bl w:val="nil"/>
                  </w:tcBorders>
                  <w:vAlign w:val="center"/>
                </w:tcPr>
                <w:p w14:paraId="629D8250">
                  <w:pPr>
                    <w:jc w:val="center"/>
                  </w:pPr>
                  <w:r>
                    <w:t>/</w:t>
                  </w:r>
                </w:p>
              </w:tc>
              <w:tc>
                <w:tcPr>
                  <w:tcW w:w="472" w:type="pct"/>
                  <w:tcBorders>
                    <w:tl2br w:val="nil"/>
                    <w:tr2bl w:val="nil"/>
                  </w:tcBorders>
                  <w:vAlign w:val="center"/>
                </w:tcPr>
                <w:p w14:paraId="4F9D32B2">
                  <w:pPr>
                    <w:jc w:val="center"/>
                  </w:pPr>
                  <w:r>
                    <w:t>/</w:t>
                  </w:r>
                </w:p>
              </w:tc>
              <w:tc>
                <w:tcPr>
                  <w:tcW w:w="477" w:type="pct"/>
                  <w:tcBorders>
                    <w:tl2br w:val="nil"/>
                    <w:tr2bl w:val="nil"/>
                  </w:tcBorders>
                  <w:vAlign w:val="center"/>
                </w:tcPr>
                <w:p w14:paraId="5CAEA543">
                  <w:pPr>
                    <w:jc w:val="center"/>
                  </w:pPr>
                  <w:r>
                    <w:t>是</w:t>
                  </w:r>
                </w:p>
              </w:tc>
            </w:tr>
            <w:tr w14:paraId="54B8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2B495390">
                  <w:pPr>
                    <w:jc w:val="center"/>
                  </w:pPr>
                  <w:r>
                    <w:rPr>
                      <w:rFonts w:hint="eastAsia"/>
                    </w:rPr>
                    <w:t>食堂油烟</w:t>
                  </w:r>
                </w:p>
              </w:tc>
              <w:tc>
                <w:tcPr>
                  <w:tcW w:w="681" w:type="pct"/>
                  <w:tcBorders>
                    <w:tl2br w:val="nil"/>
                    <w:tr2bl w:val="nil"/>
                  </w:tcBorders>
                  <w:vAlign w:val="center"/>
                </w:tcPr>
                <w:p w14:paraId="371777B5">
                  <w:pPr>
                    <w:jc w:val="center"/>
                  </w:pPr>
                  <w:r>
                    <w:rPr>
                      <w:rFonts w:hint="eastAsia"/>
                    </w:rPr>
                    <w:t>油烟</w:t>
                  </w:r>
                </w:p>
              </w:tc>
              <w:tc>
                <w:tcPr>
                  <w:tcW w:w="472" w:type="pct"/>
                  <w:tcBorders>
                    <w:tl2br w:val="nil"/>
                    <w:tr2bl w:val="nil"/>
                  </w:tcBorders>
                  <w:vAlign w:val="center"/>
                </w:tcPr>
                <w:p w14:paraId="1A581DAB">
                  <w:pPr>
                    <w:jc w:val="center"/>
                  </w:pPr>
                  <w:r>
                    <w:rPr>
                      <w:rFonts w:hint="eastAsia"/>
                    </w:rPr>
                    <w:t>无</w:t>
                  </w:r>
                  <w:r>
                    <w:t>组织</w:t>
                  </w:r>
                </w:p>
              </w:tc>
              <w:tc>
                <w:tcPr>
                  <w:tcW w:w="1724" w:type="pct"/>
                  <w:tcBorders>
                    <w:tl2br w:val="nil"/>
                    <w:tr2bl w:val="nil"/>
                  </w:tcBorders>
                  <w:vAlign w:val="center"/>
                </w:tcPr>
                <w:p w14:paraId="4176E477">
                  <w:pPr>
                    <w:jc w:val="center"/>
                  </w:pPr>
                  <w:r>
                    <w:rPr>
                      <w:rFonts w:hint="eastAsia"/>
                    </w:rPr>
                    <w:t>经</w:t>
                  </w:r>
                  <w:r>
                    <w:t>油烟净化器</w:t>
                  </w:r>
                  <w:r>
                    <w:rPr>
                      <w:rFonts w:hint="eastAsia"/>
                    </w:rPr>
                    <w:t>处理后通过专用</w:t>
                  </w:r>
                  <w:r>
                    <w:t>烟道</w:t>
                  </w:r>
                  <w:r>
                    <w:rPr>
                      <w:rFonts w:hint="eastAsia"/>
                    </w:rPr>
                    <w:t>外排</w:t>
                  </w:r>
                </w:p>
              </w:tc>
              <w:tc>
                <w:tcPr>
                  <w:tcW w:w="470" w:type="pct"/>
                  <w:tcBorders>
                    <w:tl2br w:val="nil"/>
                    <w:tr2bl w:val="nil"/>
                  </w:tcBorders>
                  <w:vAlign w:val="center"/>
                </w:tcPr>
                <w:p w14:paraId="09277DAE">
                  <w:pPr>
                    <w:jc w:val="center"/>
                  </w:pPr>
                  <w:r>
                    <w:rPr>
                      <w:rFonts w:hint="eastAsia"/>
                    </w:rPr>
                    <w:t>90</w:t>
                  </w:r>
                </w:p>
              </w:tc>
              <w:tc>
                <w:tcPr>
                  <w:tcW w:w="472" w:type="pct"/>
                  <w:tcBorders>
                    <w:tl2br w:val="nil"/>
                    <w:tr2bl w:val="nil"/>
                  </w:tcBorders>
                  <w:vAlign w:val="center"/>
                </w:tcPr>
                <w:p w14:paraId="4B0D2486">
                  <w:pPr>
                    <w:jc w:val="center"/>
                  </w:pPr>
                  <w:r>
                    <w:rPr>
                      <w:rFonts w:hint="eastAsia"/>
                    </w:rPr>
                    <w:t>85</w:t>
                  </w:r>
                </w:p>
              </w:tc>
              <w:tc>
                <w:tcPr>
                  <w:tcW w:w="477" w:type="pct"/>
                  <w:tcBorders>
                    <w:tl2br w:val="nil"/>
                    <w:tr2bl w:val="nil"/>
                  </w:tcBorders>
                  <w:vAlign w:val="center"/>
                </w:tcPr>
                <w:p w14:paraId="523EF7E1">
                  <w:pPr>
                    <w:jc w:val="center"/>
                  </w:pPr>
                  <w:r>
                    <w:t>是</w:t>
                  </w:r>
                </w:p>
              </w:tc>
            </w:tr>
            <w:tr w14:paraId="78F2D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3D55FBD3">
                  <w:pPr>
                    <w:jc w:val="center"/>
                  </w:pPr>
                  <w:r>
                    <w:rPr>
                      <w:rFonts w:hint="eastAsia"/>
                    </w:rPr>
                    <w:t>柴油发电机</w:t>
                  </w:r>
                  <w:r>
                    <w:t>废气</w:t>
                  </w:r>
                </w:p>
              </w:tc>
              <w:tc>
                <w:tcPr>
                  <w:tcW w:w="681" w:type="pct"/>
                  <w:tcBorders>
                    <w:tl2br w:val="nil"/>
                    <w:tr2bl w:val="nil"/>
                  </w:tcBorders>
                  <w:vAlign w:val="center"/>
                </w:tcPr>
                <w:p w14:paraId="26AAB368">
                  <w:pPr>
                    <w:jc w:val="center"/>
                  </w:pPr>
                  <w:r>
                    <w:t>烟尘、CO</w:t>
                  </w:r>
                  <w:r>
                    <w:rPr>
                      <w:vertAlign w:val="subscript"/>
                    </w:rPr>
                    <w:t>2</w:t>
                  </w:r>
                  <w:r>
                    <w:t>、CO、NOx、SO</w:t>
                  </w:r>
                  <w:r>
                    <w:rPr>
                      <w:vertAlign w:val="subscript"/>
                    </w:rPr>
                    <w:t>2</w:t>
                  </w:r>
                  <w:r>
                    <w:t>等</w:t>
                  </w:r>
                </w:p>
              </w:tc>
              <w:tc>
                <w:tcPr>
                  <w:tcW w:w="472" w:type="pct"/>
                  <w:tcBorders>
                    <w:tl2br w:val="nil"/>
                    <w:tr2bl w:val="nil"/>
                  </w:tcBorders>
                  <w:vAlign w:val="center"/>
                </w:tcPr>
                <w:p w14:paraId="7DB169E1">
                  <w:pPr>
                    <w:jc w:val="center"/>
                  </w:pPr>
                  <w:r>
                    <w:t>无组织</w:t>
                  </w:r>
                </w:p>
              </w:tc>
              <w:tc>
                <w:tcPr>
                  <w:tcW w:w="1724" w:type="pct"/>
                  <w:tcBorders>
                    <w:tl2br w:val="nil"/>
                    <w:tr2bl w:val="nil"/>
                  </w:tcBorders>
                  <w:vAlign w:val="center"/>
                </w:tcPr>
                <w:p w14:paraId="1A37D96C">
                  <w:pPr>
                    <w:jc w:val="center"/>
                  </w:pPr>
                  <w:r>
                    <w:rPr>
                      <w:bCs/>
                    </w:rPr>
                    <w:t>经自带烟气净化装置处理后外排</w:t>
                  </w:r>
                </w:p>
              </w:tc>
              <w:tc>
                <w:tcPr>
                  <w:tcW w:w="470" w:type="pct"/>
                  <w:tcBorders>
                    <w:tl2br w:val="nil"/>
                    <w:tr2bl w:val="nil"/>
                  </w:tcBorders>
                  <w:vAlign w:val="center"/>
                </w:tcPr>
                <w:p w14:paraId="6B9CC14C">
                  <w:pPr>
                    <w:jc w:val="center"/>
                  </w:pPr>
                  <w:r>
                    <w:t>/</w:t>
                  </w:r>
                </w:p>
              </w:tc>
              <w:tc>
                <w:tcPr>
                  <w:tcW w:w="472" w:type="pct"/>
                  <w:tcBorders>
                    <w:tl2br w:val="nil"/>
                    <w:tr2bl w:val="nil"/>
                  </w:tcBorders>
                  <w:vAlign w:val="center"/>
                </w:tcPr>
                <w:p w14:paraId="77B0823B">
                  <w:pPr>
                    <w:jc w:val="center"/>
                  </w:pPr>
                  <w:r>
                    <w:t>/</w:t>
                  </w:r>
                </w:p>
              </w:tc>
              <w:tc>
                <w:tcPr>
                  <w:tcW w:w="477" w:type="pct"/>
                  <w:tcBorders>
                    <w:tl2br w:val="nil"/>
                    <w:tr2bl w:val="nil"/>
                  </w:tcBorders>
                  <w:vAlign w:val="center"/>
                </w:tcPr>
                <w:p w14:paraId="49811AED">
                  <w:pPr>
                    <w:jc w:val="center"/>
                  </w:pPr>
                  <w:r>
                    <w:t>是</w:t>
                  </w:r>
                </w:p>
              </w:tc>
            </w:tr>
            <w:tr w14:paraId="68DB2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2" w:type="pct"/>
                  <w:tcBorders>
                    <w:tl2br w:val="nil"/>
                    <w:tr2bl w:val="nil"/>
                  </w:tcBorders>
                  <w:vAlign w:val="center"/>
                </w:tcPr>
                <w:p w14:paraId="17EBE72C">
                  <w:pPr>
                    <w:jc w:val="center"/>
                  </w:pPr>
                  <w:r>
                    <w:t>汽车尾气</w:t>
                  </w:r>
                </w:p>
              </w:tc>
              <w:tc>
                <w:tcPr>
                  <w:tcW w:w="681" w:type="pct"/>
                  <w:tcBorders>
                    <w:tl2br w:val="nil"/>
                    <w:tr2bl w:val="nil"/>
                  </w:tcBorders>
                  <w:vAlign w:val="center"/>
                </w:tcPr>
                <w:p w14:paraId="50102EF7">
                  <w:pPr>
                    <w:jc w:val="center"/>
                  </w:pPr>
                  <w:r>
                    <w:t xml:space="preserve">HC、CO等 </w:t>
                  </w:r>
                </w:p>
              </w:tc>
              <w:tc>
                <w:tcPr>
                  <w:tcW w:w="472" w:type="pct"/>
                  <w:tcBorders>
                    <w:tl2br w:val="nil"/>
                    <w:tr2bl w:val="nil"/>
                  </w:tcBorders>
                  <w:vAlign w:val="center"/>
                </w:tcPr>
                <w:p w14:paraId="17E6AB79">
                  <w:pPr>
                    <w:jc w:val="center"/>
                  </w:pPr>
                  <w:r>
                    <w:t>无组织</w:t>
                  </w:r>
                </w:p>
              </w:tc>
              <w:tc>
                <w:tcPr>
                  <w:tcW w:w="1724" w:type="pct"/>
                  <w:tcBorders>
                    <w:tl2br w:val="nil"/>
                    <w:tr2bl w:val="nil"/>
                  </w:tcBorders>
                  <w:vAlign w:val="center"/>
                </w:tcPr>
                <w:p w14:paraId="074D1076">
                  <w:pPr>
                    <w:jc w:val="center"/>
                  </w:pPr>
                  <w:r>
                    <w:t>产生量较小，自然扩散</w:t>
                  </w:r>
                </w:p>
              </w:tc>
              <w:tc>
                <w:tcPr>
                  <w:tcW w:w="470" w:type="pct"/>
                  <w:tcBorders>
                    <w:tl2br w:val="nil"/>
                    <w:tr2bl w:val="nil"/>
                  </w:tcBorders>
                  <w:vAlign w:val="center"/>
                </w:tcPr>
                <w:p w14:paraId="327D27A1">
                  <w:pPr>
                    <w:jc w:val="center"/>
                  </w:pPr>
                  <w:r>
                    <w:t>/</w:t>
                  </w:r>
                </w:p>
              </w:tc>
              <w:tc>
                <w:tcPr>
                  <w:tcW w:w="472" w:type="pct"/>
                  <w:tcBorders>
                    <w:tl2br w:val="nil"/>
                    <w:tr2bl w:val="nil"/>
                  </w:tcBorders>
                  <w:vAlign w:val="center"/>
                </w:tcPr>
                <w:p w14:paraId="06661E23">
                  <w:pPr>
                    <w:jc w:val="center"/>
                  </w:pPr>
                  <w:r>
                    <w:t>/</w:t>
                  </w:r>
                </w:p>
              </w:tc>
              <w:tc>
                <w:tcPr>
                  <w:tcW w:w="477" w:type="pct"/>
                  <w:tcBorders>
                    <w:tl2br w:val="nil"/>
                    <w:tr2bl w:val="nil"/>
                  </w:tcBorders>
                  <w:vAlign w:val="center"/>
                </w:tcPr>
                <w:p w14:paraId="169EE59B">
                  <w:pPr>
                    <w:jc w:val="center"/>
                  </w:pPr>
                  <w:r>
                    <w:t>是</w:t>
                  </w:r>
                </w:p>
              </w:tc>
            </w:tr>
          </w:tbl>
          <w:p w14:paraId="3AF382C7">
            <w:pPr>
              <w:pStyle w:val="8"/>
              <w:spacing w:after="0" w:line="360" w:lineRule="auto"/>
              <w:ind w:firstLine="482" w:firstLineChars="200"/>
              <w:rPr>
                <w:b/>
                <w:bCs/>
                <w:sz w:val="24"/>
              </w:rPr>
            </w:pPr>
            <w:r>
              <w:rPr>
                <w:b/>
                <w:bCs/>
                <w:sz w:val="24"/>
              </w:rPr>
              <w:t>3、污染物排放信息</w:t>
            </w:r>
          </w:p>
          <w:p w14:paraId="2AECD0DB">
            <w:pPr>
              <w:spacing w:line="360" w:lineRule="auto"/>
              <w:ind w:firstLine="480" w:firstLineChars="200"/>
              <w:rPr>
                <w:sz w:val="24"/>
              </w:rPr>
            </w:pPr>
            <w:r>
              <w:rPr>
                <w:sz w:val="24"/>
              </w:rPr>
              <w:t>本项目污染物排放信息如下表所示。</w:t>
            </w:r>
          </w:p>
          <w:p w14:paraId="5A151CC0">
            <w:pPr>
              <w:pStyle w:val="8"/>
              <w:spacing w:after="0" w:line="360" w:lineRule="auto"/>
              <w:jc w:val="center"/>
              <w:rPr>
                <w:b/>
                <w:bCs/>
                <w:sz w:val="24"/>
              </w:rPr>
            </w:pPr>
            <w:r>
              <w:rPr>
                <w:b/>
                <w:bCs/>
                <w:sz w:val="24"/>
              </w:rPr>
              <w:t>表4-</w:t>
            </w:r>
            <w:r>
              <w:rPr>
                <w:rFonts w:hint="eastAsia"/>
                <w:b/>
                <w:bCs/>
                <w:sz w:val="24"/>
                <w:lang w:val="en-US" w:eastAsia="zh-CN"/>
              </w:rPr>
              <w:t>5</w:t>
            </w:r>
            <w:r>
              <w:rPr>
                <w:b/>
                <w:bCs/>
                <w:sz w:val="24"/>
              </w:rPr>
              <w:t xml:space="preserve"> 废气污染物排放信息</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03"/>
              <w:gridCol w:w="547"/>
              <w:gridCol w:w="700"/>
              <w:gridCol w:w="712"/>
              <w:gridCol w:w="1619"/>
              <w:gridCol w:w="675"/>
              <w:gridCol w:w="753"/>
              <w:gridCol w:w="700"/>
              <w:gridCol w:w="803"/>
              <w:gridCol w:w="655"/>
              <w:gridCol w:w="784"/>
            </w:tblGrid>
            <w:tr w14:paraId="138E0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vMerge w:val="restart"/>
                  <w:tcBorders>
                    <w:tl2br w:val="nil"/>
                    <w:tr2bl w:val="nil"/>
                  </w:tcBorders>
                  <w:vAlign w:val="center"/>
                </w:tcPr>
                <w:p w14:paraId="76FCDE9E">
                  <w:pPr>
                    <w:jc w:val="center"/>
                    <w:rPr>
                      <w:b/>
                      <w:bCs/>
                    </w:rPr>
                  </w:pPr>
                  <w:r>
                    <w:rPr>
                      <w:b/>
                      <w:bCs/>
                    </w:rPr>
                    <w:t>污染源</w:t>
                  </w:r>
                </w:p>
              </w:tc>
              <w:tc>
                <w:tcPr>
                  <w:tcW w:w="316" w:type="pct"/>
                  <w:vMerge w:val="restart"/>
                  <w:tcBorders>
                    <w:tl2br w:val="nil"/>
                    <w:tr2bl w:val="nil"/>
                  </w:tcBorders>
                  <w:vAlign w:val="center"/>
                </w:tcPr>
                <w:p w14:paraId="5DF550AD">
                  <w:pPr>
                    <w:jc w:val="center"/>
                    <w:rPr>
                      <w:b/>
                      <w:bCs/>
                    </w:rPr>
                  </w:pPr>
                  <w:r>
                    <w:rPr>
                      <w:b/>
                      <w:bCs/>
                    </w:rPr>
                    <w:t>污染物</w:t>
                  </w:r>
                </w:p>
              </w:tc>
              <w:tc>
                <w:tcPr>
                  <w:tcW w:w="404" w:type="pct"/>
                  <w:vMerge w:val="restart"/>
                  <w:tcBorders>
                    <w:tl2br w:val="nil"/>
                    <w:tr2bl w:val="nil"/>
                  </w:tcBorders>
                  <w:vAlign w:val="center"/>
                </w:tcPr>
                <w:p w14:paraId="2724F1AA">
                  <w:pPr>
                    <w:jc w:val="center"/>
                    <w:rPr>
                      <w:b/>
                      <w:bCs/>
                    </w:rPr>
                  </w:pPr>
                  <w:r>
                    <w:rPr>
                      <w:b/>
                      <w:bCs/>
                    </w:rPr>
                    <w:t>产生量kg/a</w:t>
                  </w:r>
                </w:p>
              </w:tc>
              <w:tc>
                <w:tcPr>
                  <w:tcW w:w="1736" w:type="pct"/>
                  <w:gridSpan w:val="3"/>
                  <w:tcBorders>
                    <w:tl2br w:val="nil"/>
                    <w:tr2bl w:val="nil"/>
                  </w:tcBorders>
                  <w:vAlign w:val="center"/>
                </w:tcPr>
                <w:p w14:paraId="4F57C10D">
                  <w:pPr>
                    <w:jc w:val="center"/>
                    <w:rPr>
                      <w:b/>
                      <w:bCs/>
                    </w:rPr>
                  </w:pPr>
                  <w:r>
                    <w:rPr>
                      <w:b/>
                      <w:bCs/>
                    </w:rPr>
                    <w:t>治理措施</w:t>
                  </w:r>
                </w:p>
              </w:tc>
              <w:tc>
                <w:tcPr>
                  <w:tcW w:w="1303" w:type="pct"/>
                  <w:gridSpan w:val="3"/>
                  <w:tcBorders>
                    <w:tl2br w:val="nil"/>
                    <w:tr2bl w:val="nil"/>
                  </w:tcBorders>
                  <w:vAlign w:val="center"/>
                </w:tcPr>
                <w:p w14:paraId="7495F5B2">
                  <w:pPr>
                    <w:jc w:val="center"/>
                    <w:rPr>
                      <w:b/>
                      <w:bCs/>
                    </w:rPr>
                  </w:pPr>
                  <w:r>
                    <w:rPr>
                      <w:b/>
                      <w:bCs/>
                    </w:rPr>
                    <w:t>污染物排放</w:t>
                  </w:r>
                </w:p>
              </w:tc>
              <w:tc>
                <w:tcPr>
                  <w:tcW w:w="378" w:type="pct"/>
                  <w:vMerge w:val="restart"/>
                  <w:tcBorders>
                    <w:tl2br w:val="nil"/>
                    <w:tr2bl w:val="nil"/>
                  </w:tcBorders>
                  <w:vAlign w:val="center"/>
                </w:tcPr>
                <w:p w14:paraId="37FFB609">
                  <w:pPr>
                    <w:jc w:val="center"/>
                    <w:rPr>
                      <w:b/>
                      <w:bCs/>
                    </w:rPr>
                  </w:pPr>
                  <w:r>
                    <w:rPr>
                      <w:b/>
                      <w:bCs/>
                    </w:rPr>
                    <w:t>排放方式</w:t>
                  </w:r>
                </w:p>
              </w:tc>
              <w:tc>
                <w:tcPr>
                  <w:tcW w:w="453" w:type="pct"/>
                  <w:vMerge w:val="restart"/>
                  <w:tcBorders>
                    <w:tl2br w:val="nil"/>
                    <w:tr2bl w:val="nil"/>
                  </w:tcBorders>
                  <w:vAlign w:val="center"/>
                </w:tcPr>
                <w:p w14:paraId="67F74139">
                  <w:pPr>
                    <w:jc w:val="center"/>
                    <w:rPr>
                      <w:b/>
                      <w:bCs/>
                    </w:rPr>
                  </w:pPr>
                  <w:r>
                    <w:rPr>
                      <w:b/>
                      <w:bCs/>
                    </w:rPr>
                    <w:t>排放标准</w:t>
                  </w:r>
                </w:p>
              </w:tc>
            </w:tr>
            <w:tr w14:paraId="06266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vMerge w:val="continue"/>
                  <w:tcBorders>
                    <w:tl2br w:val="nil"/>
                    <w:tr2bl w:val="nil"/>
                  </w:tcBorders>
                  <w:vAlign w:val="center"/>
                </w:tcPr>
                <w:p w14:paraId="4B79370A">
                  <w:pPr>
                    <w:jc w:val="center"/>
                  </w:pPr>
                </w:p>
              </w:tc>
              <w:tc>
                <w:tcPr>
                  <w:tcW w:w="316" w:type="pct"/>
                  <w:vMerge w:val="continue"/>
                  <w:tcBorders>
                    <w:tl2br w:val="nil"/>
                    <w:tr2bl w:val="nil"/>
                  </w:tcBorders>
                  <w:vAlign w:val="center"/>
                </w:tcPr>
                <w:p w14:paraId="0441462A">
                  <w:pPr>
                    <w:jc w:val="center"/>
                  </w:pPr>
                </w:p>
              </w:tc>
              <w:tc>
                <w:tcPr>
                  <w:tcW w:w="404" w:type="pct"/>
                  <w:vMerge w:val="continue"/>
                  <w:tcBorders>
                    <w:tl2br w:val="nil"/>
                    <w:tr2bl w:val="nil"/>
                  </w:tcBorders>
                  <w:vAlign w:val="center"/>
                </w:tcPr>
                <w:p w14:paraId="572D7054">
                  <w:pPr>
                    <w:jc w:val="center"/>
                  </w:pPr>
                </w:p>
              </w:tc>
              <w:tc>
                <w:tcPr>
                  <w:tcW w:w="411" w:type="pct"/>
                  <w:tcBorders>
                    <w:tl2br w:val="nil"/>
                    <w:tr2bl w:val="nil"/>
                  </w:tcBorders>
                  <w:vAlign w:val="center"/>
                </w:tcPr>
                <w:p w14:paraId="053B33C4">
                  <w:pPr>
                    <w:jc w:val="center"/>
                  </w:pPr>
                  <w:r>
                    <w:rPr>
                      <w:b/>
                      <w:bCs/>
                    </w:rPr>
                    <w:t>收集效率</w:t>
                  </w:r>
                </w:p>
              </w:tc>
              <w:tc>
                <w:tcPr>
                  <w:tcW w:w="935" w:type="pct"/>
                  <w:tcBorders>
                    <w:tl2br w:val="nil"/>
                    <w:tr2bl w:val="nil"/>
                  </w:tcBorders>
                  <w:vAlign w:val="center"/>
                </w:tcPr>
                <w:p w14:paraId="4B3D933C">
                  <w:pPr>
                    <w:jc w:val="center"/>
                    <w:rPr>
                      <w:b/>
                      <w:bCs/>
                    </w:rPr>
                  </w:pPr>
                  <w:r>
                    <w:rPr>
                      <w:b/>
                      <w:bCs/>
                    </w:rPr>
                    <w:t>处理措施</w:t>
                  </w:r>
                </w:p>
              </w:tc>
              <w:tc>
                <w:tcPr>
                  <w:tcW w:w="390" w:type="pct"/>
                  <w:tcBorders>
                    <w:tl2br w:val="nil"/>
                    <w:tr2bl w:val="nil"/>
                  </w:tcBorders>
                  <w:vAlign w:val="center"/>
                </w:tcPr>
                <w:p w14:paraId="14464502">
                  <w:pPr>
                    <w:jc w:val="center"/>
                    <w:rPr>
                      <w:b/>
                      <w:bCs/>
                    </w:rPr>
                  </w:pPr>
                  <w:r>
                    <w:rPr>
                      <w:b/>
                      <w:bCs/>
                    </w:rPr>
                    <w:t>处理效率</w:t>
                  </w:r>
                </w:p>
              </w:tc>
              <w:tc>
                <w:tcPr>
                  <w:tcW w:w="435" w:type="pct"/>
                  <w:tcBorders>
                    <w:tl2br w:val="nil"/>
                    <w:tr2bl w:val="nil"/>
                  </w:tcBorders>
                  <w:vAlign w:val="center"/>
                </w:tcPr>
                <w:p w14:paraId="66D219E4">
                  <w:pPr>
                    <w:jc w:val="center"/>
                    <w:rPr>
                      <w:b/>
                      <w:bCs/>
                    </w:rPr>
                  </w:pPr>
                  <w:r>
                    <w:rPr>
                      <w:b/>
                      <w:bCs/>
                    </w:rPr>
                    <w:t>排放量kg/a</w:t>
                  </w:r>
                </w:p>
              </w:tc>
              <w:tc>
                <w:tcPr>
                  <w:tcW w:w="404" w:type="pct"/>
                  <w:tcBorders>
                    <w:tl2br w:val="nil"/>
                    <w:tr2bl w:val="nil"/>
                  </w:tcBorders>
                  <w:vAlign w:val="center"/>
                </w:tcPr>
                <w:p w14:paraId="25383A90">
                  <w:pPr>
                    <w:jc w:val="center"/>
                    <w:rPr>
                      <w:b/>
                      <w:bCs/>
                    </w:rPr>
                  </w:pPr>
                  <w:r>
                    <w:rPr>
                      <w:b/>
                      <w:bCs/>
                    </w:rPr>
                    <w:t>排放速率kg/h</w:t>
                  </w:r>
                </w:p>
              </w:tc>
              <w:tc>
                <w:tcPr>
                  <w:tcW w:w="463" w:type="pct"/>
                  <w:tcBorders>
                    <w:tl2br w:val="nil"/>
                    <w:tr2bl w:val="nil"/>
                  </w:tcBorders>
                  <w:vAlign w:val="center"/>
                </w:tcPr>
                <w:p w14:paraId="792B6E04">
                  <w:pPr>
                    <w:jc w:val="center"/>
                    <w:rPr>
                      <w:b/>
                      <w:bCs/>
                    </w:rPr>
                  </w:pPr>
                  <w:r>
                    <w:rPr>
                      <w:b/>
                      <w:bCs/>
                    </w:rPr>
                    <w:t>排放浓度mg/m</w:t>
                  </w:r>
                  <w:r>
                    <w:rPr>
                      <w:b/>
                      <w:bCs/>
                      <w:vertAlign w:val="superscript"/>
                    </w:rPr>
                    <w:t>3</w:t>
                  </w:r>
                </w:p>
              </w:tc>
              <w:tc>
                <w:tcPr>
                  <w:tcW w:w="378" w:type="pct"/>
                  <w:vMerge w:val="continue"/>
                  <w:tcBorders>
                    <w:tl2br w:val="nil"/>
                    <w:tr2bl w:val="nil"/>
                  </w:tcBorders>
                  <w:vAlign w:val="center"/>
                </w:tcPr>
                <w:p w14:paraId="12288924">
                  <w:pPr>
                    <w:jc w:val="center"/>
                  </w:pPr>
                </w:p>
              </w:tc>
              <w:tc>
                <w:tcPr>
                  <w:tcW w:w="453" w:type="pct"/>
                  <w:vMerge w:val="continue"/>
                  <w:tcBorders>
                    <w:tl2br w:val="nil"/>
                    <w:tr2bl w:val="nil"/>
                  </w:tcBorders>
                  <w:vAlign w:val="center"/>
                </w:tcPr>
                <w:p w14:paraId="3821DCF5">
                  <w:pPr>
                    <w:jc w:val="center"/>
                  </w:pPr>
                </w:p>
              </w:tc>
            </w:tr>
            <w:tr w14:paraId="5F9CD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tcBorders>
                    <w:tl2br w:val="nil"/>
                    <w:tr2bl w:val="nil"/>
                  </w:tcBorders>
                  <w:vAlign w:val="center"/>
                </w:tcPr>
                <w:p w14:paraId="09BC083F">
                  <w:pPr>
                    <w:jc w:val="center"/>
                  </w:pPr>
                  <w:r>
                    <w:t>病区含菌废气</w:t>
                  </w:r>
                </w:p>
              </w:tc>
              <w:tc>
                <w:tcPr>
                  <w:tcW w:w="316" w:type="pct"/>
                  <w:tcBorders>
                    <w:tl2br w:val="nil"/>
                    <w:tr2bl w:val="nil"/>
                  </w:tcBorders>
                  <w:vAlign w:val="center"/>
                </w:tcPr>
                <w:p w14:paraId="0D94FDC1">
                  <w:pPr>
                    <w:jc w:val="center"/>
                  </w:pPr>
                  <w:r>
                    <w:t>带菌空气</w:t>
                  </w:r>
                </w:p>
              </w:tc>
              <w:tc>
                <w:tcPr>
                  <w:tcW w:w="404" w:type="pct"/>
                  <w:tcBorders>
                    <w:tl2br w:val="nil"/>
                    <w:tr2bl w:val="nil"/>
                  </w:tcBorders>
                  <w:vAlign w:val="center"/>
                </w:tcPr>
                <w:p w14:paraId="27D796AD">
                  <w:pPr>
                    <w:jc w:val="center"/>
                  </w:pPr>
                  <w:r>
                    <w:t>/</w:t>
                  </w:r>
                </w:p>
              </w:tc>
              <w:tc>
                <w:tcPr>
                  <w:tcW w:w="411" w:type="pct"/>
                  <w:tcBorders>
                    <w:tl2br w:val="nil"/>
                    <w:tr2bl w:val="nil"/>
                  </w:tcBorders>
                  <w:vAlign w:val="center"/>
                </w:tcPr>
                <w:p w14:paraId="14BC4238">
                  <w:pPr>
                    <w:jc w:val="center"/>
                  </w:pPr>
                  <w:r>
                    <w:t>/</w:t>
                  </w:r>
                </w:p>
              </w:tc>
              <w:tc>
                <w:tcPr>
                  <w:tcW w:w="935" w:type="pct"/>
                  <w:tcBorders>
                    <w:tl2br w:val="nil"/>
                    <w:tr2bl w:val="nil"/>
                  </w:tcBorders>
                  <w:vAlign w:val="center"/>
                </w:tcPr>
                <w:p w14:paraId="154509E1">
                  <w:pPr>
                    <w:jc w:val="center"/>
                  </w:pPr>
                  <w:r>
                    <w:t>采用常规消毒措施定期消毒，利用紫外线、移动式臭氧消毒机等进行室内外消毒，同时加强自然通风和机械通风</w:t>
                  </w:r>
                </w:p>
              </w:tc>
              <w:tc>
                <w:tcPr>
                  <w:tcW w:w="390" w:type="pct"/>
                  <w:tcBorders>
                    <w:tl2br w:val="nil"/>
                    <w:tr2bl w:val="nil"/>
                  </w:tcBorders>
                  <w:vAlign w:val="center"/>
                </w:tcPr>
                <w:p w14:paraId="1498C4AC">
                  <w:pPr>
                    <w:jc w:val="center"/>
                  </w:pPr>
                  <w:r>
                    <w:t>/</w:t>
                  </w:r>
                </w:p>
              </w:tc>
              <w:tc>
                <w:tcPr>
                  <w:tcW w:w="435" w:type="pct"/>
                  <w:tcBorders>
                    <w:tl2br w:val="nil"/>
                    <w:tr2bl w:val="nil"/>
                  </w:tcBorders>
                  <w:vAlign w:val="center"/>
                </w:tcPr>
                <w:p w14:paraId="43BDBC59">
                  <w:pPr>
                    <w:jc w:val="center"/>
                  </w:pPr>
                  <w:r>
                    <w:t>/</w:t>
                  </w:r>
                </w:p>
              </w:tc>
              <w:tc>
                <w:tcPr>
                  <w:tcW w:w="404" w:type="pct"/>
                  <w:tcBorders>
                    <w:tl2br w:val="nil"/>
                    <w:tr2bl w:val="nil"/>
                  </w:tcBorders>
                  <w:vAlign w:val="center"/>
                </w:tcPr>
                <w:p w14:paraId="60EF6F35">
                  <w:pPr>
                    <w:jc w:val="center"/>
                  </w:pPr>
                  <w:r>
                    <w:t>/</w:t>
                  </w:r>
                </w:p>
              </w:tc>
              <w:tc>
                <w:tcPr>
                  <w:tcW w:w="463" w:type="pct"/>
                  <w:tcBorders>
                    <w:tl2br w:val="nil"/>
                    <w:tr2bl w:val="nil"/>
                  </w:tcBorders>
                  <w:vAlign w:val="center"/>
                </w:tcPr>
                <w:p w14:paraId="5C8A2C07">
                  <w:pPr>
                    <w:jc w:val="center"/>
                  </w:pPr>
                  <w:r>
                    <w:t>/</w:t>
                  </w:r>
                </w:p>
              </w:tc>
              <w:tc>
                <w:tcPr>
                  <w:tcW w:w="378" w:type="pct"/>
                  <w:tcBorders>
                    <w:tl2br w:val="nil"/>
                    <w:tr2bl w:val="nil"/>
                  </w:tcBorders>
                  <w:vAlign w:val="center"/>
                </w:tcPr>
                <w:p w14:paraId="3BC7F856">
                  <w:pPr>
                    <w:jc w:val="center"/>
                  </w:pPr>
                  <w:r>
                    <w:t>/</w:t>
                  </w:r>
                </w:p>
              </w:tc>
              <w:tc>
                <w:tcPr>
                  <w:tcW w:w="453" w:type="pct"/>
                  <w:tcBorders>
                    <w:tl2br w:val="nil"/>
                    <w:tr2bl w:val="nil"/>
                  </w:tcBorders>
                  <w:vAlign w:val="center"/>
                </w:tcPr>
                <w:p w14:paraId="018ED563">
                  <w:pPr>
                    <w:jc w:val="center"/>
                  </w:pPr>
                  <w:r>
                    <w:t>/</w:t>
                  </w:r>
                </w:p>
              </w:tc>
            </w:tr>
            <w:tr w14:paraId="1664A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vMerge w:val="restart"/>
                  <w:tcBorders>
                    <w:tl2br w:val="nil"/>
                    <w:tr2bl w:val="nil"/>
                  </w:tcBorders>
                  <w:vAlign w:val="center"/>
                </w:tcPr>
                <w:p w14:paraId="1F0F02EE">
                  <w:pPr>
                    <w:jc w:val="center"/>
                  </w:pPr>
                  <w:r>
                    <w:t>污水处理站</w:t>
                  </w:r>
                </w:p>
              </w:tc>
              <w:tc>
                <w:tcPr>
                  <w:tcW w:w="316" w:type="pct"/>
                  <w:tcBorders>
                    <w:tl2br w:val="nil"/>
                    <w:tr2bl w:val="nil"/>
                  </w:tcBorders>
                  <w:vAlign w:val="center"/>
                </w:tcPr>
                <w:p w14:paraId="1DF0194A">
                  <w:pPr>
                    <w:jc w:val="center"/>
                  </w:pPr>
                  <w:r>
                    <w:t>NH</w:t>
                  </w:r>
                  <w:r>
                    <w:rPr>
                      <w:vertAlign w:val="subscript"/>
                    </w:rPr>
                    <w:t>3</w:t>
                  </w:r>
                </w:p>
              </w:tc>
              <w:tc>
                <w:tcPr>
                  <w:tcW w:w="404" w:type="pct"/>
                  <w:tcBorders>
                    <w:tl2br w:val="nil"/>
                    <w:tr2bl w:val="nil"/>
                  </w:tcBorders>
                  <w:vAlign w:val="center"/>
                </w:tcPr>
                <w:p w14:paraId="1F06E189">
                  <w:pPr>
                    <w:jc w:val="center"/>
                    <w:rPr>
                      <w:rFonts w:hint="eastAsia" w:eastAsia="宋体"/>
                      <w:lang w:eastAsia="zh-CN"/>
                    </w:rPr>
                  </w:pPr>
                  <w:r>
                    <w:rPr>
                      <w:rFonts w:hint="eastAsia"/>
                      <w:lang w:eastAsia="zh-CN"/>
                    </w:rPr>
                    <w:t>2.390</w:t>
                  </w:r>
                </w:p>
              </w:tc>
              <w:tc>
                <w:tcPr>
                  <w:tcW w:w="411" w:type="pct"/>
                  <w:vMerge w:val="restart"/>
                  <w:tcBorders>
                    <w:tl2br w:val="nil"/>
                    <w:tr2bl w:val="nil"/>
                  </w:tcBorders>
                  <w:vAlign w:val="center"/>
                </w:tcPr>
                <w:p w14:paraId="6606FA57">
                  <w:pPr>
                    <w:jc w:val="center"/>
                  </w:pPr>
                  <w:r>
                    <w:t>/</w:t>
                  </w:r>
                </w:p>
              </w:tc>
              <w:tc>
                <w:tcPr>
                  <w:tcW w:w="935" w:type="pct"/>
                  <w:vMerge w:val="restart"/>
                  <w:tcBorders>
                    <w:tl2br w:val="nil"/>
                    <w:tr2bl w:val="nil"/>
                  </w:tcBorders>
                  <w:vAlign w:val="center"/>
                </w:tcPr>
                <w:p w14:paraId="34BED6F0">
                  <w:pPr>
                    <w:jc w:val="center"/>
                  </w:pPr>
                  <w:r>
                    <w:t>地埋式封闭运行、紫外线消毒</w:t>
                  </w:r>
                  <w:r>
                    <w:rPr>
                      <w:rFonts w:hint="eastAsia"/>
                    </w:rPr>
                    <w:t>、</w:t>
                  </w:r>
                  <w:r>
                    <w:t>活性炭吸附</w:t>
                  </w:r>
                  <w:r>
                    <w:rPr>
                      <w:rFonts w:hint="eastAsia"/>
                    </w:rPr>
                    <w:t>、</w:t>
                  </w:r>
                  <w:r>
                    <w:t>投加除臭剂、加强院区绿化</w:t>
                  </w:r>
                </w:p>
              </w:tc>
              <w:tc>
                <w:tcPr>
                  <w:tcW w:w="390" w:type="pct"/>
                  <w:vMerge w:val="restart"/>
                  <w:tcBorders>
                    <w:tl2br w:val="nil"/>
                    <w:tr2bl w:val="nil"/>
                  </w:tcBorders>
                  <w:vAlign w:val="center"/>
                </w:tcPr>
                <w:p w14:paraId="18488E48">
                  <w:pPr>
                    <w:jc w:val="center"/>
                  </w:pPr>
                  <w:r>
                    <w:rPr>
                      <w:rFonts w:hint="eastAsia"/>
                    </w:rPr>
                    <w:t>8</w:t>
                  </w:r>
                  <w:r>
                    <w:t>0%</w:t>
                  </w:r>
                </w:p>
              </w:tc>
              <w:tc>
                <w:tcPr>
                  <w:tcW w:w="435" w:type="pct"/>
                  <w:tcBorders>
                    <w:tl2br w:val="nil"/>
                    <w:tr2bl w:val="nil"/>
                  </w:tcBorders>
                  <w:vAlign w:val="center"/>
                </w:tcPr>
                <w:p w14:paraId="32871282">
                  <w:pPr>
                    <w:jc w:val="center"/>
                    <w:rPr>
                      <w:rFonts w:hint="eastAsia" w:eastAsia="宋体"/>
                      <w:lang w:eastAsia="zh-CN"/>
                    </w:rPr>
                  </w:pPr>
                  <w:r>
                    <w:rPr>
                      <w:rFonts w:hint="eastAsia"/>
                      <w:lang w:eastAsia="zh-CN"/>
                    </w:rPr>
                    <w:t>0.478</w:t>
                  </w:r>
                </w:p>
              </w:tc>
              <w:tc>
                <w:tcPr>
                  <w:tcW w:w="404" w:type="pct"/>
                  <w:tcBorders>
                    <w:tl2br w:val="nil"/>
                    <w:tr2bl w:val="nil"/>
                  </w:tcBorders>
                  <w:vAlign w:val="center"/>
                </w:tcPr>
                <w:p w14:paraId="02DDE178">
                  <w:pPr>
                    <w:jc w:val="center"/>
                  </w:pPr>
                  <w:r>
                    <w:t>/</w:t>
                  </w:r>
                </w:p>
              </w:tc>
              <w:tc>
                <w:tcPr>
                  <w:tcW w:w="463" w:type="pct"/>
                  <w:tcBorders>
                    <w:tl2br w:val="nil"/>
                    <w:tr2bl w:val="nil"/>
                  </w:tcBorders>
                  <w:vAlign w:val="center"/>
                </w:tcPr>
                <w:p w14:paraId="151F5CB6">
                  <w:pPr>
                    <w:jc w:val="center"/>
                  </w:pPr>
                  <w:r>
                    <w:t>/</w:t>
                  </w:r>
                </w:p>
              </w:tc>
              <w:tc>
                <w:tcPr>
                  <w:tcW w:w="378" w:type="pct"/>
                  <w:vMerge w:val="restart"/>
                  <w:tcBorders>
                    <w:tl2br w:val="nil"/>
                    <w:tr2bl w:val="nil"/>
                  </w:tcBorders>
                  <w:vAlign w:val="center"/>
                </w:tcPr>
                <w:p w14:paraId="6F347AB9">
                  <w:pPr>
                    <w:jc w:val="center"/>
                  </w:pPr>
                  <w:r>
                    <w:t>无组织排放</w:t>
                  </w:r>
                </w:p>
              </w:tc>
              <w:tc>
                <w:tcPr>
                  <w:tcW w:w="453" w:type="pct"/>
                  <w:tcBorders>
                    <w:tl2br w:val="nil"/>
                    <w:tr2bl w:val="nil"/>
                  </w:tcBorders>
                  <w:vAlign w:val="center"/>
                </w:tcPr>
                <w:p w14:paraId="4B54FC6C">
                  <w:pPr>
                    <w:jc w:val="center"/>
                  </w:pPr>
                  <w:r>
                    <w:t>0.03 mg/m</w:t>
                  </w:r>
                  <w:r>
                    <w:rPr>
                      <w:vertAlign w:val="superscript"/>
                    </w:rPr>
                    <w:t>3</w:t>
                  </w:r>
                </w:p>
              </w:tc>
            </w:tr>
            <w:tr w14:paraId="49278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vMerge w:val="continue"/>
                  <w:tcBorders>
                    <w:tl2br w:val="nil"/>
                    <w:tr2bl w:val="nil"/>
                  </w:tcBorders>
                  <w:vAlign w:val="center"/>
                </w:tcPr>
                <w:p w14:paraId="2E5E2D0E">
                  <w:pPr>
                    <w:jc w:val="center"/>
                  </w:pPr>
                </w:p>
              </w:tc>
              <w:tc>
                <w:tcPr>
                  <w:tcW w:w="316" w:type="pct"/>
                  <w:tcBorders>
                    <w:tl2br w:val="nil"/>
                    <w:tr2bl w:val="nil"/>
                  </w:tcBorders>
                  <w:vAlign w:val="center"/>
                </w:tcPr>
                <w:p w14:paraId="6DF33DFC">
                  <w:pPr>
                    <w:jc w:val="center"/>
                  </w:pPr>
                  <w:r>
                    <w:t>H</w:t>
                  </w:r>
                  <w:r>
                    <w:rPr>
                      <w:vertAlign w:val="subscript"/>
                    </w:rPr>
                    <w:t>2</w:t>
                  </w:r>
                  <w:r>
                    <w:t>S</w:t>
                  </w:r>
                </w:p>
              </w:tc>
              <w:tc>
                <w:tcPr>
                  <w:tcW w:w="404" w:type="pct"/>
                  <w:tcBorders>
                    <w:tl2br w:val="nil"/>
                    <w:tr2bl w:val="nil"/>
                  </w:tcBorders>
                  <w:vAlign w:val="center"/>
                </w:tcPr>
                <w:p w14:paraId="279DECD3">
                  <w:pPr>
                    <w:jc w:val="center"/>
                    <w:rPr>
                      <w:rFonts w:hint="eastAsia" w:eastAsia="宋体"/>
                      <w:lang w:eastAsia="zh-CN"/>
                    </w:rPr>
                  </w:pPr>
                  <w:r>
                    <w:rPr>
                      <w:rFonts w:hint="eastAsia"/>
                      <w:lang w:eastAsia="zh-CN"/>
                    </w:rPr>
                    <w:t>0.093</w:t>
                  </w:r>
                </w:p>
              </w:tc>
              <w:tc>
                <w:tcPr>
                  <w:tcW w:w="411" w:type="pct"/>
                  <w:vMerge w:val="continue"/>
                  <w:tcBorders>
                    <w:tl2br w:val="nil"/>
                    <w:tr2bl w:val="nil"/>
                  </w:tcBorders>
                  <w:vAlign w:val="center"/>
                </w:tcPr>
                <w:p w14:paraId="7093334A">
                  <w:pPr>
                    <w:jc w:val="center"/>
                  </w:pPr>
                </w:p>
              </w:tc>
              <w:tc>
                <w:tcPr>
                  <w:tcW w:w="935" w:type="pct"/>
                  <w:vMerge w:val="continue"/>
                  <w:tcBorders>
                    <w:tl2br w:val="nil"/>
                    <w:tr2bl w:val="nil"/>
                  </w:tcBorders>
                  <w:vAlign w:val="center"/>
                </w:tcPr>
                <w:p w14:paraId="5A239983">
                  <w:pPr>
                    <w:jc w:val="center"/>
                  </w:pPr>
                </w:p>
              </w:tc>
              <w:tc>
                <w:tcPr>
                  <w:tcW w:w="390" w:type="pct"/>
                  <w:vMerge w:val="continue"/>
                  <w:tcBorders>
                    <w:tl2br w:val="nil"/>
                    <w:tr2bl w:val="nil"/>
                  </w:tcBorders>
                  <w:vAlign w:val="center"/>
                </w:tcPr>
                <w:p w14:paraId="22C52BB4">
                  <w:pPr>
                    <w:jc w:val="center"/>
                  </w:pPr>
                </w:p>
              </w:tc>
              <w:tc>
                <w:tcPr>
                  <w:tcW w:w="435" w:type="pct"/>
                  <w:tcBorders>
                    <w:tl2br w:val="nil"/>
                    <w:tr2bl w:val="nil"/>
                  </w:tcBorders>
                  <w:vAlign w:val="center"/>
                </w:tcPr>
                <w:p w14:paraId="012A6E90">
                  <w:pPr>
                    <w:jc w:val="center"/>
                    <w:rPr>
                      <w:rFonts w:hint="eastAsia" w:eastAsia="宋体"/>
                      <w:lang w:eastAsia="zh-CN"/>
                    </w:rPr>
                  </w:pPr>
                  <w:r>
                    <w:rPr>
                      <w:rFonts w:hint="eastAsia"/>
                      <w:lang w:eastAsia="zh-CN"/>
                    </w:rPr>
                    <w:t>0.019</w:t>
                  </w:r>
                </w:p>
              </w:tc>
              <w:tc>
                <w:tcPr>
                  <w:tcW w:w="404" w:type="pct"/>
                  <w:tcBorders>
                    <w:tl2br w:val="nil"/>
                    <w:tr2bl w:val="nil"/>
                  </w:tcBorders>
                  <w:vAlign w:val="center"/>
                </w:tcPr>
                <w:p w14:paraId="53E03971">
                  <w:pPr>
                    <w:jc w:val="center"/>
                  </w:pPr>
                  <w:r>
                    <w:t>/</w:t>
                  </w:r>
                </w:p>
              </w:tc>
              <w:tc>
                <w:tcPr>
                  <w:tcW w:w="463" w:type="pct"/>
                  <w:tcBorders>
                    <w:tl2br w:val="nil"/>
                    <w:tr2bl w:val="nil"/>
                  </w:tcBorders>
                  <w:vAlign w:val="center"/>
                </w:tcPr>
                <w:p w14:paraId="5C08878E">
                  <w:pPr>
                    <w:jc w:val="center"/>
                  </w:pPr>
                  <w:r>
                    <w:t>/</w:t>
                  </w:r>
                </w:p>
              </w:tc>
              <w:tc>
                <w:tcPr>
                  <w:tcW w:w="378" w:type="pct"/>
                  <w:vMerge w:val="continue"/>
                  <w:tcBorders>
                    <w:tl2br w:val="nil"/>
                    <w:tr2bl w:val="nil"/>
                  </w:tcBorders>
                  <w:vAlign w:val="center"/>
                </w:tcPr>
                <w:p w14:paraId="4E454048">
                  <w:pPr>
                    <w:jc w:val="center"/>
                  </w:pPr>
                </w:p>
              </w:tc>
              <w:tc>
                <w:tcPr>
                  <w:tcW w:w="453" w:type="pct"/>
                  <w:tcBorders>
                    <w:tl2br w:val="nil"/>
                    <w:tr2bl w:val="nil"/>
                  </w:tcBorders>
                  <w:vAlign w:val="center"/>
                </w:tcPr>
                <w:p w14:paraId="51BFE0FF">
                  <w:pPr>
                    <w:jc w:val="center"/>
                  </w:pPr>
                  <w:r>
                    <w:t>1.0 mg/m</w:t>
                  </w:r>
                  <w:r>
                    <w:rPr>
                      <w:vertAlign w:val="superscript"/>
                    </w:rPr>
                    <w:t>3</w:t>
                  </w:r>
                </w:p>
              </w:tc>
            </w:tr>
            <w:tr w14:paraId="11E64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tcBorders>
                    <w:tl2br w:val="nil"/>
                    <w:tr2bl w:val="nil"/>
                  </w:tcBorders>
                  <w:vAlign w:val="center"/>
                </w:tcPr>
                <w:p w14:paraId="0C124777">
                  <w:pPr>
                    <w:jc w:val="center"/>
                  </w:pPr>
                  <w:r>
                    <w:t>医疗废物暂存间</w:t>
                  </w:r>
                </w:p>
              </w:tc>
              <w:tc>
                <w:tcPr>
                  <w:tcW w:w="316" w:type="pct"/>
                  <w:tcBorders>
                    <w:tl2br w:val="nil"/>
                    <w:tr2bl w:val="nil"/>
                  </w:tcBorders>
                  <w:vAlign w:val="center"/>
                </w:tcPr>
                <w:p w14:paraId="344C5F79">
                  <w:pPr>
                    <w:jc w:val="center"/>
                  </w:pPr>
                  <w:r>
                    <w:t>恶臭</w:t>
                  </w:r>
                </w:p>
              </w:tc>
              <w:tc>
                <w:tcPr>
                  <w:tcW w:w="404" w:type="pct"/>
                  <w:tcBorders>
                    <w:tl2br w:val="nil"/>
                    <w:tr2bl w:val="nil"/>
                  </w:tcBorders>
                  <w:vAlign w:val="center"/>
                </w:tcPr>
                <w:p w14:paraId="70F7641E">
                  <w:pPr>
                    <w:jc w:val="center"/>
                  </w:pPr>
                  <w:r>
                    <w:t>/</w:t>
                  </w:r>
                </w:p>
              </w:tc>
              <w:tc>
                <w:tcPr>
                  <w:tcW w:w="411" w:type="pct"/>
                  <w:tcBorders>
                    <w:tl2br w:val="nil"/>
                    <w:tr2bl w:val="nil"/>
                  </w:tcBorders>
                  <w:vAlign w:val="center"/>
                </w:tcPr>
                <w:p w14:paraId="5DC8D7D2">
                  <w:pPr>
                    <w:jc w:val="center"/>
                  </w:pPr>
                  <w:r>
                    <w:t>/</w:t>
                  </w:r>
                </w:p>
              </w:tc>
              <w:tc>
                <w:tcPr>
                  <w:tcW w:w="935" w:type="pct"/>
                  <w:tcBorders>
                    <w:tl2br w:val="nil"/>
                    <w:tr2bl w:val="nil"/>
                  </w:tcBorders>
                  <w:vAlign w:val="center"/>
                </w:tcPr>
                <w:p w14:paraId="7D0C761E">
                  <w:pPr>
                    <w:jc w:val="center"/>
                  </w:pPr>
                  <w:r>
                    <w:t>医疗废物密封储存，加强管理，定期消毒，日产日清</w:t>
                  </w:r>
                </w:p>
              </w:tc>
              <w:tc>
                <w:tcPr>
                  <w:tcW w:w="390" w:type="pct"/>
                  <w:tcBorders>
                    <w:tl2br w:val="nil"/>
                    <w:tr2bl w:val="nil"/>
                  </w:tcBorders>
                  <w:vAlign w:val="center"/>
                </w:tcPr>
                <w:p w14:paraId="621C4D24">
                  <w:pPr>
                    <w:jc w:val="center"/>
                  </w:pPr>
                  <w:r>
                    <w:t>/</w:t>
                  </w:r>
                </w:p>
              </w:tc>
              <w:tc>
                <w:tcPr>
                  <w:tcW w:w="435" w:type="pct"/>
                  <w:tcBorders>
                    <w:tl2br w:val="nil"/>
                    <w:tr2bl w:val="nil"/>
                  </w:tcBorders>
                  <w:vAlign w:val="center"/>
                </w:tcPr>
                <w:p w14:paraId="72C83BD0">
                  <w:pPr>
                    <w:jc w:val="center"/>
                  </w:pPr>
                  <w:r>
                    <w:t>/</w:t>
                  </w:r>
                </w:p>
              </w:tc>
              <w:tc>
                <w:tcPr>
                  <w:tcW w:w="404" w:type="pct"/>
                  <w:tcBorders>
                    <w:tl2br w:val="nil"/>
                    <w:tr2bl w:val="nil"/>
                  </w:tcBorders>
                  <w:vAlign w:val="center"/>
                </w:tcPr>
                <w:p w14:paraId="06AB7D52">
                  <w:pPr>
                    <w:jc w:val="center"/>
                  </w:pPr>
                  <w:r>
                    <w:t>/</w:t>
                  </w:r>
                </w:p>
              </w:tc>
              <w:tc>
                <w:tcPr>
                  <w:tcW w:w="463" w:type="pct"/>
                  <w:tcBorders>
                    <w:tl2br w:val="nil"/>
                    <w:tr2bl w:val="nil"/>
                  </w:tcBorders>
                  <w:vAlign w:val="center"/>
                </w:tcPr>
                <w:p w14:paraId="7BF375D9">
                  <w:pPr>
                    <w:jc w:val="center"/>
                  </w:pPr>
                  <w:r>
                    <w:t>/</w:t>
                  </w:r>
                </w:p>
              </w:tc>
              <w:tc>
                <w:tcPr>
                  <w:tcW w:w="378" w:type="pct"/>
                  <w:tcBorders>
                    <w:tl2br w:val="nil"/>
                    <w:tr2bl w:val="nil"/>
                  </w:tcBorders>
                  <w:vAlign w:val="center"/>
                </w:tcPr>
                <w:p w14:paraId="45FCF57A">
                  <w:pPr>
                    <w:jc w:val="center"/>
                  </w:pPr>
                  <w:r>
                    <w:t>/</w:t>
                  </w:r>
                </w:p>
              </w:tc>
              <w:tc>
                <w:tcPr>
                  <w:tcW w:w="453" w:type="pct"/>
                  <w:tcBorders>
                    <w:tl2br w:val="nil"/>
                    <w:tr2bl w:val="nil"/>
                  </w:tcBorders>
                  <w:vAlign w:val="center"/>
                </w:tcPr>
                <w:p w14:paraId="146215AD">
                  <w:pPr>
                    <w:jc w:val="center"/>
                  </w:pPr>
                  <w:r>
                    <w:t>/</w:t>
                  </w:r>
                </w:p>
              </w:tc>
            </w:tr>
            <w:tr w14:paraId="0B500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tcBorders>
                    <w:tl2br w:val="nil"/>
                    <w:tr2bl w:val="nil"/>
                  </w:tcBorders>
                  <w:vAlign w:val="center"/>
                </w:tcPr>
                <w:p w14:paraId="49EBF8BF">
                  <w:pPr>
                    <w:jc w:val="center"/>
                  </w:pPr>
                  <w:r>
                    <w:rPr>
                      <w:rFonts w:hint="eastAsia"/>
                    </w:rPr>
                    <w:t>食堂</w:t>
                  </w:r>
                </w:p>
              </w:tc>
              <w:tc>
                <w:tcPr>
                  <w:tcW w:w="316" w:type="pct"/>
                  <w:tcBorders>
                    <w:tl2br w:val="nil"/>
                    <w:tr2bl w:val="nil"/>
                  </w:tcBorders>
                  <w:vAlign w:val="center"/>
                </w:tcPr>
                <w:p w14:paraId="7CB28EE6">
                  <w:pPr>
                    <w:jc w:val="center"/>
                  </w:pPr>
                  <w:r>
                    <w:rPr>
                      <w:rFonts w:hint="eastAsia"/>
                    </w:rPr>
                    <w:t>油烟</w:t>
                  </w:r>
                </w:p>
              </w:tc>
              <w:tc>
                <w:tcPr>
                  <w:tcW w:w="404" w:type="pct"/>
                  <w:tcBorders>
                    <w:tl2br w:val="nil"/>
                    <w:tr2bl w:val="nil"/>
                  </w:tcBorders>
                  <w:vAlign w:val="center"/>
                </w:tcPr>
                <w:p w14:paraId="692113C0">
                  <w:pPr>
                    <w:jc w:val="center"/>
                  </w:pPr>
                  <w:r>
                    <w:t>/</w:t>
                  </w:r>
                </w:p>
              </w:tc>
              <w:tc>
                <w:tcPr>
                  <w:tcW w:w="411" w:type="pct"/>
                  <w:tcBorders>
                    <w:tl2br w:val="nil"/>
                    <w:tr2bl w:val="nil"/>
                  </w:tcBorders>
                  <w:vAlign w:val="center"/>
                </w:tcPr>
                <w:p w14:paraId="34FF92E1">
                  <w:pPr>
                    <w:jc w:val="center"/>
                  </w:pPr>
                  <w:r>
                    <w:t>/</w:t>
                  </w:r>
                </w:p>
              </w:tc>
              <w:tc>
                <w:tcPr>
                  <w:tcW w:w="935" w:type="pct"/>
                  <w:tcBorders>
                    <w:tl2br w:val="nil"/>
                    <w:tr2bl w:val="nil"/>
                  </w:tcBorders>
                  <w:vAlign w:val="center"/>
                </w:tcPr>
                <w:p w14:paraId="4BB28B51">
                  <w:pPr>
                    <w:jc w:val="center"/>
                  </w:pPr>
                  <w:r>
                    <w:rPr>
                      <w:rFonts w:hint="eastAsia"/>
                    </w:rPr>
                    <w:t>经</w:t>
                  </w:r>
                  <w:r>
                    <w:t>油烟净化器</w:t>
                  </w:r>
                  <w:r>
                    <w:rPr>
                      <w:rFonts w:hint="eastAsia"/>
                    </w:rPr>
                    <w:t>处理后通过专用</w:t>
                  </w:r>
                  <w:r>
                    <w:t>烟道</w:t>
                  </w:r>
                  <w:r>
                    <w:rPr>
                      <w:rFonts w:hint="eastAsia"/>
                    </w:rPr>
                    <w:t>外排</w:t>
                  </w:r>
                </w:p>
              </w:tc>
              <w:tc>
                <w:tcPr>
                  <w:tcW w:w="390" w:type="pct"/>
                  <w:tcBorders>
                    <w:tl2br w:val="nil"/>
                    <w:tr2bl w:val="nil"/>
                  </w:tcBorders>
                  <w:vAlign w:val="center"/>
                </w:tcPr>
                <w:p w14:paraId="1B978A81">
                  <w:pPr>
                    <w:jc w:val="center"/>
                  </w:pPr>
                  <w:r>
                    <w:rPr>
                      <w:rFonts w:hint="eastAsia"/>
                    </w:rPr>
                    <w:t>85%</w:t>
                  </w:r>
                </w:p>
              </w:tc>
              <w:tc>
                <w:tcPr>
                  <w:tcW w:w="435" w:type="pct"/>
                  <w:tcBorders>
                    <w:tl2br w:val="nil"/>
                    <w:tr2bl w:val="nil"/>
                  </w:tcBorders>
                  <w:vAlign w:val="center"/>
                </w:tcPr>
                <w:p w14:paraId="1FA935CE">
                  <w:pPr>
                    <w:jc w:val="center"/>
                  </w:pPr>
                  <w:r>
                    <w:t>/</w:t>
                  </w:r>
                </w:p>
              </w:tc>
              <w:tc>
                <w:tcPr>
                  <w:tcW w:w="404" w:type="pct"/>
                  <w:tcBorders>
                    <w:tl2br w:val="nil"/>
                    <w:tr2bl w:val="nil"/>
                  </w:tcBorders>
                  <w:vAlign w:val="center"/>
                </w:tcPr>
                <w:p w14:paraId="3981E97E">
                  <w:pPr>
                    <w:jc w:val="center"/>
                  </w:pPr>
                  <w:r>
                    <w:t>/</w:t>
                  </w:r>
                </w:p>
              </w:tc>
              <w:tc>
                <w:tcPr>
                  <w:tcW w:w="463" w:type="pct"/>
                  <w:tcBorders>
                    <w:tl2br w:val="nil"/>
                    <w:tr2bl w:val="nil"/>
                  </w:tcBorders>
                  <w:vAlign w:val="center"/>
                </w:tcPr>
                <w:p w14:paraId="47E74F74">
                  <w:pPr>
                    <w:jc w:val="center"/>
                  </w:pPr>
                  <w:r>
                    <w:t>/</w:t>
                  </w:r>
                </w:p>
              </w:tc>
              <w:tc>
                <w:tcPr>
                  <w:tcW w:w="378" w:type="pct"/>
                  <w:tcBorders>
                    <w:tl2br w:val="nil"/>
                    <w:tr2bl w:val="nil"/>
                  </w:tcBorders>
                  <w:vAlign w:val="center"/>
                </w:tcPr>
                <w:p w14:paraId="0FDFF653">
                  <w:pPr>
                    <w:jc w:val="center"/>
                  </w:pPr>
                  <w:r>
                    <w:rPr>
                      <w:rFonts w:hint="eastAsia"/>
                    </w:rPr>
                    <w:t>/</w:t>
                  </w:r>
                </w:p>
              </w:tc>
              <w:tc>
                <w:tcPr>
                  <w:tcW w:w="453" w:type="pct"/>
                  <w:tcBorders>
                    <w:tl2br w:val="nil"/>
                    <w:tr2bl w:val="nil"/>
                  </w:tcBorders>
                  <w:vAlign w:val="center"/>
                </w:tcPr>
                <w:p w14:paraId="1DF9982F">
                  <w:pPr>
                    <w:jc w:val="center"/>
                  </w:pPr>
                  <w:r>
                    <w:t>/</w:t>
                  </w:r>
                </w:p>
              </w:tc>
            </w:tr>
            <w:tr w14:paraId="3F4C7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tcBorders>
                    <w:tl2br w:val="nil"/>
                    <w:tr2bl w:val="nil"/>
                  </w:tcBorders>
                  <w:vAlign w:val="center"/>
                </w:tcPr>
                <w:p w14:paraId="1858B260">
                  <w:pPr>
                    <w:jc w:val="center"/>
                  </w:pPr>
                  <w:r>
                    <w:rPr>
                      <w:rFonts w:hint="eastAsia"/>
                    </w:rPr>
                    <w:t>柴油发电机</w:t>
                  </w:r>
                  <w:r>
                    <w:t>废气</w:t>
                  </w:r>
                </w:p>
              </w:tc>
              <w:tc>
                <w:tcPr>
                  <w:tcW w:w="316" w:type="pct"/>
                  <w:tcBorders>
                    <w:tl2br w:val="nil"/>
                    <w:tr2bl w:val="nil"/>
                  </w:tcBorders>
                  <w:vAlign w:val="center"/>
                </w:tcPr>
                <w:p w14:paraId="1DBFD8C8">
                  <w:pPr>
                    <w:jc w:val="center"/>
                  </w:pPr>
                  <w:r>
                    <w:t>废气</w:t>
                  </w:r>
                </w:p>
              </w:tc>
              <w:tc>
                <w:tcPr>
                  <w:tcW w:w="404" w:type="pct"/>
                  <w:tcBorders>
                    <w:tl2br w:val="nil"/>
                    <w:tr2bl w:val="nil"/>
                  </w:tcBorders>
                  <w:vAlign w:val="center"/>
                </w:tcPr>
                <w:p w14:paraId="63EC2434">
                  <w:pPr>
                    <w:jc w:val="center"/>
                  </w:pPr>
                  <w:r>
                    <w:t>/</w:t>
                  </w:r>
                </w:p>
              </w:tc>
              <w:tc>
                <w:tcPr>
                  <w:tcW w:w="411" w:type="pct"/>
                  <w:tcBorders>
                    <w:tl2br w:val="nil"/>
                    <w:tr2bl w:val="nil"/>
                  </w:tcBorders>
                  <w:vAlign w:val="center"/>
                </w:tcPr>
                <w:p w14:paraId="7535DDE4">
                  <w:pPr>
                    <w:jc w:val="center"/>
                  </w:pPr>
                  <w:r>
                    <w:t>/</w:t>
                  </w:r>
                </w:p>
              </w:tc>
              <w:tc>
                <w:tcPr>
                  <w:tcW w:w="935" w:type="pct"/>
                  <w:tcBorders>
                    <w:tl2br w:val="nil"/>
                    <w:tr2bl w:val="nil"/>
                  </w:tcBorders>
                  <w:vAlign w:val="center"/>
                </w:tcPr>
                <w:p w14:paraId="2E8E6F76">
                  <w:pPr>
                    <w:jc w:val="center"/>
                  </w:pPr>
                  <w:r>
                    <w:rPr>
                      <w:bCs/>
                    </w:rPr>
                    <w:t>经自带烟气净化装置处理后外排</w:t>
                  </w:r>
                </w:p>
              </w:tc>
              <w:tc>
                <w:tcPr>
                  <w:tcW w:w="390" w:type="pct"/>
                  <w:tcBorders>
                    <w:tl2br w:val="nil"/>
                    <w:tr2bl w:val="nil"/>
                  </w:tcBorders>
                  <w:vAlign w:val="center"/>
                </w:tcPr>
                <w:p w14:paraId="2956D09E">
                  <w:pPr>
                    <w:jc w:val="center"/>
                  </w:pPr>
                  <w:r>
                    <w:t>/</w:t>
                  </w:r>
                </w:p>
              </w:tc>
              <w:tc>
                <w:tcPr>
                  <w:tcW w:w="435" w:type="pct"/>
                  <w:tcBorders>
                    <w:tl2br w:val="nil"/>
                    <w:tr2bl w:val="nil"/>
                  </w:tcBorders>
                  <w:vAlign w:val="center"/>
                </w:tcPr>
                <w:p w14:paraId="028E1392">
                  <w:pPr>
                    <w:jc w:val="center"/>
                  </w:pPr>
                  <w:r>
                    <w:t>/</w:t>
                  </w:r>
                </w:p>
              </w:tc>
              <w:tc>
                <w:tcPr>
                  <w:tcW w:w="404" w:type="pct"/>
                  <w:tcBorders>
                    <w:tl2br w:val="nil"/>
                    <w:tr2bl w:val="nil"/>
                  </w:tcBorders>
                  <w:vAlign w:val="center"/>
                </w:tcPr>
                <w:p w14:paraId="1F91772C">
                  <w:pPr>
                    <w:jc w:val="center"/>
                  </w:pPr>
                  <w:r>
                    <w:t>/</w:t>
                  </w:r>
                </w:p>
              </w:tc>
              <w:tc>
                <w:tcPr>
                  <w:tcW w:w="463" w:type="pct"/>
                  <w:tcBorders>
                    <w:tl2br w:val="nil"/>
                    <w:tr2bl w:val="nil"/>
                  </w:tcBorders>
                  <w:vAlign w:val="center"/>
                </w:tcPr>
                <w:p w14:paraId="2A959021">
                  <w:pPr>
                    <w:jc w:val="center"/>
                  </w:pPr>
                  <w:r>
                    <w:t>/</w:t>
                  </w:r>
                </w:p>
              </w:tc>
              <w:tc>
                <w:tcPr>
                  <w:tcW w:w="378" w:type="pct"/>
                  <w:tcBorders>
                    <w:tl2br w:val="nil"/>
                    <w:tr2bl w:val="nil"/>
                  </w:tcBorders>
                  <w:vAlign w:val="center"/>
                </w:tcPr>
                <w:p w14:paraId="46C714DC">
                  <w:pPr>
                    <w:jc w:val="center"/>
                  </w:pPr>
                  <w:r>
                    <w:t>/</w:t>
                  </w:r>
                </w:p>
              </w:tc>
              <w:tc>
                <w:tcPr>
                  <w:tcW w:w="453" w:type="pct"/>
                  <w:tcBorders>
                    <w:tl2br w:val="nil"/>
                    <w:tr2bl w:val="nil"/>
                  </w:tcBorders>
                  <w:vAlign w:val="center"/>
                </w:tcPr>
                <w:p w14:paraId="5E7811B7">
                  <w:pPr>
                    <w:jc w:val="center"/>
                  </w:pPr>
                  <w:r>
                    <w:t>/</w:t>
                  </w:r>
                </w:p>
              </w:tc>
            </w:tr>
            <w:tr w14:paraId="1C51D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6" w:type="pct"/>
                  <w:tcBorders>
                    <w:tl2br w:val="nil"/>
                    <w:tr2bl w:val="nil"/>
                  </w:tcBorders>
                  <w:vAlign w:val="center"/>
                </w:tcPr>
                <w:p w14:paraId="72D143E1">
                  <w:pPr>
                    <w:jc w:val="center"/>
                  </w:pPr>
                  <w:r>
                    <w:t>汽车尾气</w:t>
                  </w:r>
                </w:p>
              </w:tc>
              <w:tc>
                <w:tcPr>
                  <w:tcW w:w="316" w:type="pct"/>
                  <w:tcBorders>
                    <w:tl2br w:val="nil"/>
                    <w:tr2bl w:val="nil"/>
                  </w:tcBorders>
                  <w:vAlign w:val="center"/>
                </w:tcPr>
                <w:p w14:paraId="61261575">
                  <w:pPr>
                    <w:jc w:val="center"/>
                  </w:pPr>
                  <w:r>
                    <w:t>废气</w:t>
                  </w:r>
                </w:p>
              </w:tc>
              <w:tc>
                <w:tcPr>
                  <w:tcW w:w="404" w:type="pct"/>
                  <w:tcBorders>
                    <w:tl2br w:val="nil"/>
                    <w:tr2bl w:val="nil"/>
                  </w:tcBorders>
                  <w:vAlign w:val="center"/>
                </w:tcPr>
                <w:p w14:paraId="0D121A20">
                  <w:pPr>
                    <w:jc w:val="center"/>
                  </w:pPr>
                  <w:r>
                    <w:t>/</w:t>
                  </w:r>
                </w:p>
              </w:tc>
              <w:tc>
                <w:tcPr>
                  <w:tcW w:w="411" w:type="pct"/>
                  <w:tcBorders>
                    <w:tl2br w:val="nil"/>
                    <w:tr2bl w:val="nil"/>
                  </w:tcBorders>
                  <w:vAlign w:val="center"/>
                </w:tcPr>
                <w:p w14:paraId="0A80F154">
                  <w:pPr>
                    <w:jc w:val="center"/>
                  </w:pPr>
                  <w:r>
                    <w:t>/</w:t>
                  </w:r>
                </w:p>
              </w:tc>
              <w:tc>
                <w:tcPr>
                  <w:tcW w:w="935" w:type="pct"/>
                  <w:tcBorders>
                    <w:tl2br w:val="nil"/>
                    <w:tr2bl w:val="nil"/>
                  </w:tcBorders>
                  <w:vAlign w:val="center"/>
                </w:tcPr>
                <w:p w14:paraId="0FB6E3BC">
                  <w:pPr>
                    <w:jc w:val="center"/>
                  </w:pPr>
                  <w:r>
                    <w:t>产生量较小，自然扩散</w:t>
                  </w:r>
                </w:p>
              </w:tc>
              <w:tc>
                <w:tcPr>
                  <w:tcW w:w="390" w:type="pct"/>
                  <w:tcBorders>
                    <w:tl2br w:val="nil"/>
                    <w:tr2bl w:val="nil"/>
                  </w:tcBorders>
                  <w:vAlign w:val="center"/>
                </w:tcPr>
                <w:p w14:paraId="764B49F5">
                  <w:pPr>
                    <w:jc w:val="center"/>
                  </w:pPr>
                  <w:r>
                    <w:t>/</w:t>
                  </w:r>
                </w:p>
              </w:tc>
              <w:tc>
                <w:tcPr>
                  <w:tcW w:w="435" w:type="pct"/>
                  <w:tcBorders>
                    <w:tl2br w:val="nil"/>
                    <w:tr2bl w:val="nil"/>
                  </w:tcBorders>
                  <w:vAlign w:val="center"/>
                </w:tcPr>
                <w:p w14:paraId="416131B7">
                  <w:pPr>
                    <w:jc w:val="center"/>
                  </w:pPr>
                  <w:r>
                    <w:t>/</w:t>
                  </w:r>
                </w:p>
              </w:tc>
              <w:tc>
                <w:tcPr>
                  <w:tcW w:w="404" w:type="pct"/>
                  <w:tcBorders>
                    <w:tl2br w:val="nil"/>
                    <w:tr2bl w:val="nil"/>
                  </w:tcBorders>
                  <w:vAlign w:val="center"/>
                </w:tcPr>
                <w:p w14:paraId="48BD211B">
                  <w:pPr>
                    <w:jc w:val="center"/>
                  </w:pPr>
                  <w:r>
                    <w:t>/</w:t>
                  </w:r>
                </w:p>
              </w:tc>
              <w:tc>
                <w:tcPr>
                  <w:tcW w:w="463" w:type="pct"/>
                  <w:tcBorders>
                    <w:tl2br w:val="nil"/>
                    <w:tr2bl w:val="nil"/>
                  </w:tcBorders>
                  <w:vAlign w:val="center"/>
                </w:tcPr>
                <w:p w14:paraId="1AABEAAB">
                  <w:pPr>
                    <w:jc w:val="center"/>
                  </w:pPr>
                  <w:r>
                    <w:t>/</w:t>
                  </w:r>
                </w:p>
              </w:tc>
              <w:tc>
                <w:tcPr>
                  <w:tcW w:w="378" w:type="pct"/>
                  <w:tcBorders>
                    <w:tl2br w:val="nil"/>
                    <w:tr2bl w:val="nil"/>
                  </w:tcBorders>
                  <w:vAlign w:val="center"/>
                </w:tcPr>
                <w:p w14:paraId="50565E23">
                  <w:pPr>
                    <w:jc w:val="center"/>
                  </w:pPr>
                  <w:r>
                    <w:t>/</w:t>
                  </w:r>
                </w:p>
              </w:tc>
              <w:tc>
                <w:tcPr>
                  <w:tcW w:w="453" w:type="pct"/>
                  <w:tcBorders>
                    <w:tl2br w:val="nil"/>
                    <w:tr2bl w:val="nil"/>
                  </w:tcBorders>
                  <w:vAlign w:val="center"/>
                </w:tcPr>
                <w:p w14:paraId="1C665183">
                  <w:pPr>
                    <w:jc w:val="center"/>
                  </w:pPr>
                  <w:r>
                    <w:t>/</w:t>
                  </w:r>
                </w:p>
              </w:tc>
            </w:tr>
          </w:tbl>
          <w:p w14:paraId="0BD326B5">
            <w:pPr>
              <w:spacing w:line="360" w:lineRule="auto"/>
              <w:ind w:firstLine="482" w:firstLineChars="200"/>
              <w:rPr>
                <w:b/>
                <w:bCs/>
                <w:sz w:val="24"/>
              </w:rPr>
            </w:pPr>
            <w:r>
              <w:rPr>
                <w:b/>
                <w:bCs/>
                <w:sz w:val="24"/>
              </w:rPr>
              <w:t>4、监测要求</w:t>
            </w:r>
          </w:p>
          <w:p w14:paraId="3E80A7AD">
            <w:pPr>
              <w:pStyle w:val="8"/>
              <w:spacing w:after="0" w:line="360" w:lineRule="auto"/>
              <w:ind w:firstLine="480" w:firstLineChars="200"/>
              <w:rPr>
                <w:sz w:val="24"/>
              </w:rPr>
            </w:pPr>
            <w:r>
              <w:rPr>
                <w:sz w:val="24"/>
              </w:rPr>
              <w:t>污水处理站废气排口监测计划按照《排污许可证申请与核发技术规范 医疗机构》（HJ1105-2020）制定。</w:t>
            </w:r>
          </w:p>
          <w:p w14:paraId="68AD5AFB">
            <w:pPr>
              <w:spacing w:line="360" w:lineRule="auto"/>
              <w:jc w:val="center"/>
              <w:rPr>
                <w:b/>
                <w:bCs/>
                <w:sz w:val="24"/>
                <w:szCs w:val="24"/>
              </w:rPr>
            </w:pPr>
            <w:r>
              <w:rPr>
                <w:b/>
                <w:bCs/>
                <w:sz w:val="24"/>
                <w:szCs w:val="24"/>
              </w:rPr>
              <w:t>表4-</w:t>
            </w:r>
            <w:r>
              <w:rPr>
                <w:rFonts w:hint="eastAsia"/>
                <w:b/>
                <w:bCs/>
                <w:sz w:val="24"/>
                <w:szCs w:val="24"/>
                <w:lang w:val="en-US" w:eastAsia="zh-CN"/>
              </w:rPr>
              <w:t>6</w:t>
            </w:r>
            <w:r>
              <w:rPr>
                <w:b/>
                <w:bCs/>
                <w:sz w:val="24"/>
                <w:szCs w:val="24"/>
              </w:rPr>
              <w:t xml:space="preserve">  污水处理站废气监测方案</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414"/>
              <w:gridCol w:w="1148"/>
              <w:gridCol w:w="4159"/>
            </w:tblGrid>
            <w:tr w14:paraId="6A024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pct"/>
                  <w:tcBorders>
                    <w:tl2br w:val="nil"/>
                    <w:tr2bl w:val="nil"/>
                  </w:tcBorders>
                  <w:vAlign w:val="center"/>
                </w:tcPr>
                <w:p w14:paraId="5D8845CB">
                  <w:pPr>
                    <w:jc w:val="center"/>
                    <w:rPr>
                      <w:b/>
                      <w:bCs/>
                    </w:rPr>
                  </w:pPr>
                  <w:r>
                    <w:rPr>
                      <w:b/>
                      <w:bCs/>
                    </w:rPr>
                    <w:t>监测点位</w:t>
                  </w:r>
                </w:p>
              </w:tc>
              <w:tc>
                <w:tcPr>
                  <w:tcW w:w="817" w:type="pct"/>
                  <w:tcBorders>
                    <w:tl2br w:val="nil"/>
                    <w:tr2bl w:val="nil"/>
                  </w:tcBorders>
                  <w:vAlign w:val="center"/>
                </w:tcPr>
                <w:p w14:paraId="4FEA6B31">
                  <w:pPr>
                    <w:jc w:val="center"/>
                    <w:rPr>
                      <w:b/>
                      <w:bCs/>
                    </w:rPr>
                  </w:pPr>
                  <w:r>
                    <w:rPr>
                      <w:b/>
                      <w:bCs/>
                    </w:rPr>
                    <w:t>监测指标</w:t>
                  </w:r>
                </w:p>
              </w:tc>
              <w:tc>
                <w:tcPr>
                  <w:tcW w:w="663" w:type="pct"/>
                  <w:tcBorders>
                    <w:tl2br w:val="nil"/>
                    <w:tr2bl w:val="nil"/>
                  </w:tcBorders>
                  <w:vAlign w:val="center"/>
                </w:tcPr>
                <w:p w14:paraId="6F1F0699">
                  <w:pPr>
                    <w:jc w:val="center"/>
                    <w:rPr>
                      <w:b/>
                      <w:bCs/>
                    </w:rPr>
                  </w:pPr>
                  <w:r>
                    <w:rPr>
                      <w:b/>
                      <w:bCs/>
                    </w:rPr>
                    <w:t>监测频次</w:t>
                  </w:r>
                </w:p>
              </w:tc>
              <w:tc>
                <w:tcPr>
                  <w:tcW w:w="2402" w:type="pct"/>
                  <w:tcBorders>
                    <w:tl2br w:val="nil"/>
                    <w:tr2bl w:val="nil"/>
                  </w:tcBorders>
                </w:tcPr>
                <w:p w14:paraId="144D0695">
                  <w:pPr>
                    <w:jc w:val="center"/>
                    <w:rPr>
                      <w:b/>
                      <w:bCs/>
                    </w:rPr>
                  </w:pPr>
                  <w:r>
                    <w:rPr>
                      <w:b/>
                      <w:bCs/>
                    </w:rPr>
                    <w:t>执行排放标准</w:t>
                  </w:r>
                </w:p>
              </w:tc>
            </w:tr>
            <w:tr w14:paraId="47B10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pct"/>
                  <w:tcBorders>
                    <w:tl2br w:val="nil"/>
                    <w:tr2bl w:val="nil"/>
                  </w:tcBorders>
                  <w:vAlign w:val="center"/>
                </w:tcPr>
                <w:p w14:paraId="7402B3A1">
                  <w:pPr>
                    <w:pStyle w:val="6"/>
                    <w:jc w:val="left"/>
                  </w:pPr>
                  <w:r>
                    <w:t>上风向</w:t>
                  </w:r>
                  <w:r>
                    <w:rPr>
                      <w:rFonts w:hint="eastAsia"/>
                    </w:rPr>
                    <w:t>1</w:t>
                  </w:r>
                  <w:r>
                    <w:t>点位，下风向</w:t>
                  </w:r>
                  <w:r>
                    <w:rPr>
                      <w:rFonts w:hint="eastAsia"/>
                    </w:rPr>
                    <w:t>3</w:t>
                  </w:r>
                  <w:r>
                    <w:t>点位</w:t>
                  </w:r>
                </w:p>
              </w:tc>
              <w:tc>
                <w:tcPr>
                  <w:tcW w:w="817" w:type="pct"/>
                  <w:tcBorders>
                    <w:tl2br w:val="nil"/>
                    <w:tr2bl w:val="nil"/>
                  </w:tcBorders>
                  <w:vAlign w:val="center"/>
                </w:tcPr>
                <w:p w14:paraId="26B22525">
                  <w:pPr>
                    <w:jc w:val="center"/>
                  </w:pPr>
                  <w:r>
                    <w:t>NH</w:t>
                  </w:r>
                  <w:r>
                    <w:rPr>
                      <w:vertAlign w:val="subscript"/>
                    </w:rPr>
                    <w:t>3</w:t>
                  </w:r>
                  <w:r>
                    <w:t>、H</w:t>
                  </w:r>
                  <w:r>
                    <w:rPr>
                      <w:vertAlign w:val="subscript"/>
                    </w:rPr>
                    <w:t>2</w:t>
                  </w:r>
                  <w:r>
                    <w:t>S、臭气浓度、甲烷</w:t>
                  </w:r>
                </w:p>
              </w:tc>
              <w:tc>
                <w:tcPr>
                  <w:tcW w:w="663" w:type="pct"/>
                  <w:tcBorders>
                    <w:tl2br w:val="nil"/>
                    <w:tr2bl w:val="nil"/>
                  </w:tcBorders>
                  <w:vAlign w:val="center"/>
                </w:tcPr>
                <w:p w14:paraId="1B47C772">
                  <w:pPr>
                    <w:jc w:val="center"/>
                  </w:pPr>
                  <w:r>
                    <w:t>1季度/次</w:t>
                  </w:r>
                </w:p>
              </w:tc>
              <w:tc>
                <w:tcPr>
                  <w:tcW w:w="2402" w:type="pct"/>
                  <w:tcBorders>
                    <w:tl2br w:val="nil"/>
                    <w:tr2bl w:val="nil"/>
                  </w:tcBorders>
                  <w:vAlign w:val="center"/>
                </w:tcPr>
                <w:p w14:paraId="2BBB3370">
                  <w:pPr>
                    <w:jc w:val="center"/>
                  </w:pPr>
                  <w:r>
                    <w:t>《医疗机构水污染物排放标准》（GB18466-2005）表3限值要求</w:t>
                  </w:r>
                </w:p>
              </w:tc>
            </w:tr>
          </w:tbl>
          <w:p w14:paraId="6E4EA2DB">
            <w:pPr>
              <w:spacing w:line="360" w:lineRule="auto"/>
              <w:ind w:firstLine="482" w:firstLineChars="200"/>
              <w:rPr>
                <w:b/>
                <w:bCs/>
                <w:sz w:val="24"/>
              </w:rPr>
            </w:pPr>
            <w:r>
              <w:rPr>
                <w:b/>
                <w:bCs/>
                <w:sz w:val="24"/>
              </w:rPr>
              <w:t>5、环境影响评价结论</w:t>
            </w:r>
          </w:p>
          <w:p w14:paraId="59CAA46B">
            <w:pPr>
              <w:spacing w:line="360" w:lineRule="auto"/>
              <w:ind w:firstLine="480" w:firstLineChars="200"/>
              <w:rPr>
                <w:sz w:val="24"/>
              </w:rPr>
            </w:pPr>
            <w:r>
              <w:rPr>
                <w:sz w:val="24"/>
              </w:rPr>
              <w:t>本项目区域属于空气质量达标区，项目选址边界500m范围内的环境保护目标主要为项目周边</w:t>
            </w:r>
            <w:r>
              <w:rPr>
                <w:rFonts w:hint="eastAsia"/>
                <w:sz w:val="24"/>
              </w:rPr>
              <w:t>住户</w:t>
            </w:r>
            <w:r>
              <w:rPr>
                <w:sz w:val="24"/>
              </w:rPr>
              <w:t>。本项目为</w:t>
            </w:r>
            <w:r>
              <w:rPr>
                <w:rFonts w:hint="eastAsia"/>
                <w:sz w:val="24"/>
              </w:rPr>
              <w:t>专科医院</w:t>
            </w:r>
            <w:r>
              <w:rPr>
                <w:sz w:val="24"/>
              </w:rPr>
              <w:t>项目，运营期废气主要是</w:t>
            </w:r>
            <w:r>
              <w:rPr>
                <w:sz w:val="24"/>
                <w:szCs w:val="24"/>
              </w:rPr>
              <w:t>病区含菌空气、污水处理站恶臭、医疗废物间恶臭、</w:t>
            </w:r>
            <w:r>
              <w:rPr>
                <w:rFonts w:hint="eastAsia"/>
                <w:sz w:val="24"/>
                <w:szCs w:val="24"/>
              </w:rPr>
              <w:t>食堂油烟、柴油发电机</w:t>
            </w:r>
            <w:r>
              <w:rPr>
                <w:sz w:val="24"/>
                <w:szCs w:val="24"/>
              </w:rPr>
              <w:t>废气、汽车尾气</w:t>
            </w:r>
            <w:r>
              <w:rPr>
                <w:sz w:val="24"/>
              </w:rPr>
              <w:t>等，环评要求上述废气均需采取污染防治措施处理后排放，不会对区域大气环境造成不利影响。</w:t>
            </w:r>
          </w:p>
          <w:p w14:paraId="4E127643">
            <w:pPr>
              <w:pStyle w:val="8"/>
              <w:spacing w:after="0" w:line="360" w:lineRule="auto"/>
              <w:ind w:firstLine="482" w:firstLineChars="200"/>
              <w:rPr>
                <w:b/>
                <w:bCs/>
                <w:sz w:val="24"/>
                <w:highlight w:val="yellow"/>
              </w:rPr>
            </w:pPr>
            <w:r>
              <w:rPr>
                <w:b/>
                <w:bCs/>
                <w:sz w:val="24"/>
              </w:rPr>
              <w:t>二、废水</w:t>
            </w:r>
          </w:p>
          <w:p w14:paraId="354FB691">
            <w:pPr>
              <w:pStyle w:val="8"/>
              <w:spacing w:after="0" w:line="360" w:lineRule="auto"/>
              <w:ind w:firstLine="482" w:firstLineChars="200"/>
              <w:rPr>
                <w:b/>
                <w:bCs/>
                <w:sz w:val="24"/>
              </w:rPr>
            </w:pPr>
            <w:r>
              <w:rPr>
                <w:b/>
                <w:bCs/>
                <w:sz w:val="24"/>
              </w:rPr>
              <w:t>1、产排污环节、污染物种类和产生量核算</w:t>
            </w:r>
          </w:p>
          <w:p w14:paraId="4E1BA46E">
            <w:pPr>
              <w:pStyle w:val="8"/>
              <w:spacing w:after="0" w:line="360" w:lineRule="auto"/>
              <w:ind w:firstLine="480" w:firstLineChars="200"/>
              <w:rPr>
                <w:sz w:val="24"/>
              </w:rPr>
            </w:pPr>
            <w:r>
              <w:rPr>
                <w:sz w:val="24"/>
              </w:rPr>
              <w:t>本项目采用雨、污分流制。雨水采用重力流雨水系统排放，本项目外排废水主要包括医疗废水、医护人员生活污水和其他废水，其中医疗废水由住院病人废水（含病服、床单清洗）、门诊病人废水</w:t>
            </w:r>
            <w:r>
              <w:rPr>
                <w:rFonts w:hint="eastAsia"/>
                <w:sz w:val="24"/>
              </w:rPr>
              <w:t>、纯水制备浓水、反冲洗废水</w:t>
            </w:r>
            <w:r>
              <w:rPr>
                <w:sz w:val="24"/>
              </w:rPr>
              <w:t>等组成，生活污水</w:t>
            </w:r>
            <w:r>
              <w:rPr>
                <w:rFonts w:hint="eastAsia"/>
                <w:sz w:val="24"/>
              </w:rPr>
              <w:t>主要为医护人员</w:t>
            </w:r>
            <w:r>
              <w:rPr>
                <w:sz w:val="24"/>
              </w:rPr>
              <w:t>生活污水</w:t>
            </w:r>
            <w:r>
              <w:rPr>
                <w:rFonts w:hint="eastAsia"/>
                <w:sz w:val="24"/>
              </w:rPr>
              <w:t>、食堂废水</w:t>
            </w:r>
            <w:r>
              <w:rPr>
                <w:sz w:val="24"/>
              </w:rPr>
              <w:t>；其他废水</w:t>
            </w:r>
            <w:r>
              <w:rPr>
                <w:rFonts w:hint="eastAsia"/>
                <w:sz w:val="24"/>
              </w:rPr>
              <w:t>主要为</w:t>
            </w:r>
            <w:r>
              <w:rPr>
                <w:sz w:val="24"/>
              </w:rPr>
              <w:t>地面清洁废水。</w:t>
            </w:r>
          </w:p>
          <w:p w14:paraId="157FDBF1">
            <w:pPr>
              <w:spacing w:line="360" w:lineRule="auto"/>
              <w:ind w:firstLine="480"/>
              <w:rPr>
                <w:sz w:val="24"/>
              </w:rPr>
            </w:pPr>
            <w:r>
              <w:rPr>
                <w:b/>
                <w:bCs/>
                <w:sz w:val="24"/>
                <w:u w:val="single"/>
              </w:rPr>
              <w:t>本项目建成运营后，特殊废水</w:t>
            </w:r>
            <w:r>
              <w:rPr>
                <w:rFonts w:hint="eastAsia"/>
                <w:b/>
                <w:bCs/>
                <w:sz w:val="24"/>
                <w:u w:val="single"/>
              </w:rPr>
              <w:t>（检验废液）</w:t>
            </w:r>
            <w:r>
              <w:rPr>
                <w:b/>
                <w:bCs/>
                <w:sz w:val="24"/>
                <w:u w:val="single"/>
              </w:rPr>
              <w:t>经专用容器盛装，产生量约0.0</w:t>
            </w:r>
            <w:r>
              <w:rPr>
                <w:rFonts w:hint="eastAsia"/>
                <w:b/>
                <w:bCs/>
                <w:sz w:val="24"/>
                <w:u w:val="single"/>
              </w:rPr>
              <w:t>02</w:t>
            </w:r>
            <w:r>
              <w:rPr>
                <w:b/>
                <w:bCs/>
                <w:sz w:val="24"/>
                <w:u w:val="single"/>
              </w:rPr>
              <w:t>m</w:t>
            </w:r>
            <w:r>
              <w:rPr>
                <w:b/>
                <w:bCs/>
                <w:sz w:val="24"/>
                <w:u w:val="single"/>
                <w:vertAlign w:val="superscript"/>
              </w:rPr>
              <w:t>3</w:t>
            </w:r>
            <w:r>
              <w:rPr>
                <w:b/>
                <w:bCs/>
                <w:sz w:val="24"/>
                <w:u w:val="single"/>
              </w:rPr>
              <w:t>/d。</w:t>
            </w:r>
            <w:r>
              <w:rPr>
                <w:sz w:val="24"/>
                <w:u w:val="single"/>
              </w:rPr>
              <w:t>需要说明的是，①本项目不设传染病及结核病等相关诊疗科室和病房，若发现有传染性病人，立即送至</w:t>
            </w:r>
            <w:r>
              <w:rPr>
                <w:rFonts w:hint="eastAsia"/>
                <w:sz w:val="24"/>
                <w:u w:val="single"/>
              </w:rPr>
              <w:t>达州市中心</w:t>
            </w:r>
            <w:r>
              <w:rPr>
                <w:sz w:val="24"/>
                <w:u w:val="single"/>
              </w:rPr>
              <w:t>医院传染科就诊，故医院不会产生具有强传染性的废水</w:t>
            </w:r>
            <w:r>
              <w:rPr>
                <w:spacing w:val="4"/>
                <w:sz w:val="24"/>
                <w:u w:val="single"/>
              </w:rPr>
              <w:t>。②本项目设置有口腔科，根据业主介绍，已明确医院口腔科不使用含汞材料，不会产生汞等重金属。③</w:t>
            </w:r>
            <w:r>
              <w:rPr>
                <w:sz w:val="24"/>
                <w:u w:val="single"/>
              </w:rPr>
              <w:t>本项目</w:t>
            </w:r>
            <w:r>
              <w:rPr>
                <w:spacing w:val="4"/>
                <w:sz w:val="24"/>
                <w:u w:val="single"/>
              </w:rPr>
              <w:t>采用医学影像照片采用数码打印，无洗印废水产生</w:t>
            </w:r>
            <w:r>
              <w:rPr>
                <w:sz w:val="24"/>
                <w:u w:val="single"/>
              </w:rPr>
              <w:t>。④医院血液、血清化学检查，采用溶血素、试纸带等替代氰化钠、氰化钾，未使用氰化物试剂，因此不会产生含氰废水。⑤项目检验科血液、血清的化学检查和病理、血液化验等分析均使用外购的成品一次性专用检测试剂，不会自配检验试剂，因此，项目不涉及酸碱废水及重金属废水；根据《四川省试验室危险废物污染防治技术指南》（试行）要求，项目检验、病理分析采用外购成品一次性专用检测试剂，检验科产生的废弃标本、废试剂、废试纸等废弃物作为危险废物处置，在检验科分类采用专用容器收集后，并在容器外粘贴标签，用中文全称标示内部危险废物种类和主要成分信息，定期交由有资质单位</w:t>
            </w:r>
            <w:r>
              <w:rPr>
                <w:rFonts w:hint="eastAsia"/>
                <w:sz w:val="24"/>
                <w:u w:val="single"/>
              </w:rPr>
              <w:t>进行</w:t>
            </w:r>
            <w:r>
              <w:rPr>
                <w:sz w:val="24"/>
                <w:u w:val="single"/>
              </w:rPr>
              <w:t>处理。</w:t>
            </w:r>
          </w:p>
          <w:p w14:paraId="65256711">
            <w:pPr>
              <w:adjustRightInd w:val="0"/>
              <w:snapToGrid w:val="0"/>
              <w:spacing w:line="360" w:lineRule="auto"/>
              <w:ind w:firstLine="482" w:firstLineChars="200"/>
              <w:rPr>
                <w:b/>
                <w:bCs/>
                <w:sz w:val="24"/>
              </w:rPr>
            </w:pPr>
            <w:r>
              <w:rPr>
                <w:b/>
                <w:bCs/>
                <w:sz w:val="24"/>
              </w:rPr>
              <w:t>（1）医疗废水</w:t>
            </w:r>
          </w:p>
          <w:p w14:paraId="66EFF20E">
            <w:pPr>
              <w:adjustRightInd w:val="0"/>
              <w:snapToGrid w:val="0"/>
              <w:spacing w:line="360" w:lineRule="auto"/>
              <w:ind w:firstLine="480" w:firstLineChars="200"/>
              <w:rPr>
                <w:b/>
                <w:sz w:val="32"/>
                <w:szCs w:val="32"/>
              </w:rPr>
            </w:pPr>
            <w:r>
              <w:rPr>
                <w:sz w:val="24"/>
              </w:rPr>
              <w:t>住院病人废水（含病服、床单清洗）、门诊病人废水</w:t>
            </w:r>
            <w:r>
              <w:rPr>
                <w:rFonts w:hint="eastAsia"/>
                <w:sz w:val="24"/>
              </w:rPr>
              <w:t>、纯水制备浓水、反冲洗废水</w:t>
            </w:r>
            <w:r>
              <w:rPr>
                <w:sz w:val="24"/>
              </w:rPr>
              <w:t>排放量为</w:t>
            </w:r>
            <w:r>
              <w:rPr>
                <w:rFonts w:hint="eastAsia"/>
                <w:sz w:val="24"/>
              </w:rPr>
              <w:t>24.228</w:t>
            </w:r>
            <w:r>
              <w:rPr>
                <w:sz w:val="24"/>
              </w:rPr>
              <w:t>m</w:t>
            </w:r>
            <w:r>
              <w:rPr>
                <w:sz w:val="24"/>
                <w:vertAlign w:val="superscript"/>
              </w:rPr>
              <w:t>3</w:t>
            </w:r>
            <w:r>
              <w:rPr>
                <w:sz w:val="24"/>
              </w:rPr>
              <w:t>/d；根据《医院污水处理技术指南》和同类型医院的相关数据，医院污水污染物浓度分别为COD：300mg/L、BOD</w:t>
            </w:r>
            <w:r>
              <w:rPr>
                <w:sz w:val="24"/>
                <w:vertAlign w:val="subscript"/>
              </w:rPr>
              <w:t>5</w:t>
            </w:r>
            <w:r>
              <w:rPr>
                <w:sz w:val="24"/>
              </w:rPr>
              <w:t>：150mg/L、SS：120mg/L、NH</w:t>
            </w:r>
            <w:r>
              <w:rPr>
                <w:sz w:val="24"/>
                <w:vertAlign w:val="subscript"/>
              </w:rPr>
              <w:t>3</w:t>
            </w:r>
            <w:r>
              <w:rPr>
                <w:sz w:val="24"/>
              </w:rPr>
              <w:t>-N：50mg/L、TP：9mg/L、动植物油：25mg/L、粪大肠菌群：1.6×10</w:t>
            </w:r>
            <w:r>
              <w:rPr>
                <w:sz w:val="24"/>
                <w:vertAlign w:val="superscript"/>
              </w:rPr>
              <w:t>8</w:t>
            </w:r>
            <w:r>
              <w:rPr>
                <w:sz w:val="24"/>
              </w:rPr>
              <w:t>个/L。</w:t>
            </w:r>
          </w:p>
          <w:p w14:paraId="1E25FF18">
            <w:pPr>
              <w:adjustRightInd w:val="0"/>
              <w:snapToGrid w:val="0"/>
              <w:spacing w:line="360" w:lineRule="auto"/>
              <w:ind w:firstLine="482" w:firstLineChars="200"/>
              <w:rPr>
                <w:b/>
                <w:bCs/>
                <w:sz w:val="24"/>
              </w:rPr>
            </w:pPr>
            <w:r>
              <w:rPr>
                <w:b/>
                <w:bCs/>
                <w:sz w:val="24"/>
              </w:rPr>
              <w:t>（2）生活污水</w:t>
            </w:r>
          </w:p>
          <w:p w14:paraId="32B806CC">
            <w:pPr>
              <w:adjustRightInd w:val="0"/>
              <w:snapToGrid w:val="0"/>
              <w:spacing w:line="360" w:lineRule="auto"/>
              <w:ind w:firstLine="435"/>
              <w:rPr>
                <w:sz w:val="24"/>
              </w:rPr>
            </w:pPr>
            <w:r>
              <w:rPr>
                <w:rFonts w:hint="eastAsia"/>
                <w:sz w:val="24"/>
              </w:rPr>
              <w:t>医护人员</w:t>
            </w:r>
            <w:r>
              <w:rPr>
                <w:sz w:val="24"/>
              </w:rPr>
              <w:t>生活污水</w:t>
            </w:r>
            <w:r>
              <w:rPr>
                <w:rFonts w:hint="eastAsia"/>
                <w:sz w:val="24"/>
              </w:rPr>
              <w:t>（含工作服清洗）</w:t>
            </w:r>
            <w:r>
              <w:rPr>
                <w:sz w:val="24"/>
              </w:rPr>
              <w:t>、</w:t>
            </w:r>
            <w:r>
              <w:rPr>
                <w:rFonts w:hint="eastAsia"/>
                <w:sz w:val="24"/>
              </w:rPr>
              <w:t>食堂</w:t>
            </w:r>
            <w:r>
              <w:rPr>
                <w:sz w:val="24"/>
              </w:rPr>
              <w:t>废水</w:t>
            </w:r>
            <w:r>
              <w:rPr>
                <w:rFonts w:hint="eastAsia"/>
                <w:sz w:val="24"/>
              </w:rPr>
              <w:t>的</w:t>
            </w:r>
            <w:r>
              <w:rPr>
                <w:sz w:val="24"/>
              </w:rPr>
              <w:t>排放量为</w:t>
            </w:r>
            <w:r>
              <w:rPr>
                <w:rFonts w:hint="eastAsia"/>
                <w:sz w:val="24"/>
                <w:lang w:val="en-US" w:eastAsia="zh-CN"/>
              </w:rPr>
              <w:t>16.36</w:t>
            </w:r>
            <w:r>
              <w:rPr>
                <w:sz w:val="24"/>
              </w:rPr>
              <w:t>m</w:t>
            </w:r>
            <w:r>
              <w:rPr>
                <w:sz w:val="24"/>
                <w:vertAlign w:val="superscript"/>
              </w:rPr>
              <w:t>3</w:t>
            </w:r>
            <w:r>
              <w:rPr>
                <w:sz w:val="24"/>
              </w:rPr>
              <w:t>/d，根据《医院污水处理技术指南》确定医院废水的主要污染物为 COD：300mg/L、BOD</w:t>
            </w:r>
            <w:r>
              <w:rPr>
                <w:sz w:val="24"/>
                <w:vertAlign w:val="subscript"/>
              </w:rPr>
              <w:t>5</w:t>
            </w:r>
            <w:r>
              <w:rPr>
                <w:sz w:val="24"/>
              </w:rPr>
              <w:t>：150mg/L、SS：120mg/L、NH</w:t>
            </w:r>
            <w:r>
              <w:rPr>
                <w:sz w:val="24"/>
                <w:vertAlign w:val="subscript"/>
              </w:rPr>
              <w:t>3</w:t>
            </w:r>
            <w:r>
              <w:rPr>
                <w:sz w:val="24"/>
              </w:rPr>
              <w:t>-N：50mg/L、TP：9mg/L。</w:t>
            </w:r>
          </w:p>
          <w:p w14:paraId="58E99A19">
            <w:pPr>
              <w:adjustRightInd w:val="0"/>
              <w:snapToGrid w:val="0"/>
              <w:spacing w:line="360" w:lineRule="auto"/>
              <w:ind w:firstLine="482" w:firstLineChars="200"/>
              <w:rPr>
                <w:b/>
                <w:bCs/>
                <w:sz w:val="24"/>
              </w:rPr>
            </w:pPr>
            <w:r>
              <w:rPr>
                <w:b/>
                <w:bCs/>
                <w:sz w:val="24"/>
              </w:rPr>
              <w:t>（3）其他废水</w:t>
            </w:r>
          </w:p>
          <w:p w14:paraId="14C990B2">
            <w:pPr>
              <w:adjustRightInd w:val="0"/>
              <w:snapToGrid w:val="0"/>
              <w:spacing w:line="360" w:lineRule="auto"/>
              <w:ind w:firstLine="435"/>
              <w:rPr>
                <w:sz w:val="24"/>
              </w:rPr>
            </w:pPr>
            <w:r>
              <w:rPr>
                <w:sz w:val="24"/>
              </w:rPr>
              <w:t>主要为地面清洁废水，废水排放量为</w:t>
            </w:r>
            <w:r>
              <w:rPr>
                <w:rFonts w:hint="eastAsia"/>
                <w:sz w:val="24"/>
              </w:rPr>
              <w:t>1.862</w:t>
            </w:r>
            <w:r>
              <w:rPr>
                <w:sz w:val="24"/>
              </w:rPr>
              <w:t>m</w:t>
            </w:r>
            <w:r>
              <w:rPr>
                <w:sz w:val="24"/>
                <w:vertAlign w:val="superscript"/>
              </w:rPr>
              <w:t>3</w:t>
            </w:r>
            <w:r>
              <w:rPr>
                <w:sz w:val="24"/>
              </w:rPr>
              <w:t>/d，根据《医院污水处理技术指南》确定医院废水的主要污染物为 COD：300mg/L、BOD</w:t>
            </w:r>
            <w:r>
              <w:rPr>
                <w:sz w:val="24"/>
                <w:vertAlign w:val="subscript"/>
              </w:rPr>
              <w:t>5</w:t>
            </w:r>
            <w:r>
              <w:rPr>
                <w:sz w:val="24"/>
              </w:rPr>
              <w:t>：150mg/L、SS：120mg/L、NH</w:t>
            </w:r>
            <w:r>
              <w:rPr>
                <w:sz w:val="24"/>
                <w:vertAlign w:val="subscript"/>
              </w:rPr>
              <w:t>3</w:t>
            </w:r>
            <w:r>
              <w:rPr>
                <w:sz w:val="24"/>
              </w:rPr>
              <w:t>-N：50mg/L、TP：9mg/L。</w:t>
            </w:r>
          </w:p>
          <w:p w14:paraId="13C0A773">
            <w:pPr>
              <w:adjustRightInd w:val="0"/>
              <w:snapToGrid w:val="0"/>
              <w:spacing w:line="360" w:lineRule="auto"/>
              <w:ind w:firstLine="435"/>
              <w:rPr>
                <w:sz w:val="24"/>
                <w:szCs w:val="24"/>
              </w:rPr>
            </w:pPr>
            <w:r>
              <w:rPr>
                <w:sz w:val="24"/>
              </w:rPr>
              <w:t>综上，本项目废水总量为</w:t>
            </w:r>
            <w:r>
              <w:rPr>
                <w:rFonts w:hint="eastAsia"/>
                <w:sz w:val="24"/>
                <w:lang w:eastAsia="zh-CN"/>
              </w:rPr>
              <w:t>42.25</w:t>
            </w:r>
            <w:r>
              <w:rPr>
                <w:sz w:val="24"/>
              </w:rPr>
              <w:t>m</w:t>
            </w:r>
            <w:r>
              <w:rPr>
                <w:sz w:val="24"/>
                <w:vertAlign w:val="superscript"/>
              </w:rPr>
              <w:t>3</w:t>
            </w:r>
            <w:r>
              <w:rPr>
                <w:sz w:val="24"/>
              </w:rPr>
              <w:t>/d，合计</w:t>
            </w:r>
            <w:r>
              <w:rPr>
                <w:rFonts w:hint="eastAsia"/>
                <w:sz w:val="24"/>
                <w:szCs w:val="36"/>
                <w:lang w:eastAsia="zh-CN"/>
              </w:rPr>
              <w:t>15421.25</w:t>
            </w:r>
            <w:r>
              <w:rPr>
                <w:sz w:val="24"/>
              </w:rPr>
              <w:t>m</w:t>
            </w:r>
            <w:r>
              <w:rPr>
                <w:sz w:val="24"/>
                <w:vertAlign w:val="superscript"/>
              </w:rPr>
              <w:t>3</w:t>
            </w:r>
            <w:r>
              <w:rPr>
                <w:sz w:val="24"/>
              </w:rPr>
              <w:t>/a。</w:t>
            </w:r>
          </w:p>
          <w:p w14:paraId="60E4B5C0">
            <w:pPr>
              <w:adjustRightInd w:val="0"/>
              <w:snapToGrid w:val="0"/>
              <w:spacing w:line="360" w:lineRule="auto"/>
              <w:ind w:firstLine="442" w:firstLineChars="200"/>
              <w:rPr>
                <w:sz w:val="24"/>
              </w:rPr>
            </w:pPr>
            <w:r>
              <w:rPr>
                <w:rFonts w:hint="eastAsia"/>
                <w:b/>
                <w:spacing w:val="-10"/>
                <w:sz w:val="24"/>
              </w:rPr>
              <w:t>2、治理设施、排放方式、排放口基本信息</w:t>
            </w:r>
          </w:p>
          <w:p w14:paraId="411D71D3">
            <w:pPr>
              <w:adjustRightInd w:val="0"/>
              <w:snapToGrid w:val="0"/>
              <w:spacing w:line="360" w:lineRule="auto"/>
              <w:ind w:firstLine="482" w:firstLineChars="200"/>
              <w:rPr>
                <w:b/>
                <w:bCs/>
                <w:sz w:val="24"/>
              </w:rPr>
            </w:pPr>
            <w:r>
              <w:rPr>
                <w:rFonts w:hint="eastAsia"/>
                <w:b/>
                <w:bCs/>
                <w:sz w:val="24"/>
              </w:rPr>
              <w:t>（1）治理措施</w:t>
            </w:r>
          </w:p>
          <w:p w14:paraId="21A474C9">
            <w:pPr>
              <w:adjustRightInd w:val="0"/>
              <w:snapToGrid w:val="0"/>
              <w:spacing w:line="360" w:lineRule="auto"/>
              <w:ind w:firstLine="480" w:firstLineChars="200"/>
              <w:rPr>
                <w:b/>
                <w:bCs/>
                <w:sz w:val="24"/>
              </w:rPr>
            </w:pPr>
            <w:r>
              <w:rPr>
                <w:rFonts w:hint="eastAsia"/>
                <w:sz w:val="24"/>
              </w:rPr>
              <w:t>根据《医院污水处理工程技术规范》（HJ2029-2013）：“4.1.2 新（改、扩）建医院，在设计医院污水处理系统时应考虑将医院病区、非病区、传染病房、非传染病房污水分别收集。”、“4.1.3特殊性质污水应单独收集，经预处理后与医院污水合并处理，不得将特殊性质污水随意排入下水道。”、“6.1.2传染病医院污水应在预消毒后采用二级处理+消毒工艺或二级处理+深度处理+消毒工艺。”、</w:t>
            </w:r>
            <w:r>
              <w:rPr>
                <w:rFonts w:hint="eastAsia"/>
                <w:b/>
                <w:bCs/>
                <w:sz w:val="24"/>
              </w:rPr>
              <w:t>“6.1.3非传染病医院污水，若处理出水排入终端已建有正常运行的二级污水处理厂的城市污水管网时，可采用一级强化处理+消毒工艺。”</w:t>
            </w:r>
            <w:r>
              <w:rPr>
                <w:rFonts w:hint="eastAsia"/>
                <w:sz w:val="24"/>
              </w:rPr>
              <w:t>本项目不涉及传染性废水，</w:t>
            </w:r>
            <w:r>
              <w:rPr>
                <w:rFonts w:hint="eastAsia"/>
                <w:b/>
                <w:bCs/>
                <w:sz w:val="24"/>
              </w:rPr>
              <w:t>项目废水经一体化污水处理设施处理后排入市政污水管网，后进入罗江镇污水处理厂处理，处理达到《城镇污水处理厂污染物排放标准》（GB18918-2002）中一级A标后排入州河。</w:t>
            </w:r>
          </w:p>
          <w:p w14:paraId="3D210149">
            <w:pPr>
              <w:adjustRightInd w:val="0"/>
              <w:snapToGrid w:val="0"/>
              <w:spacing w:line="360" w:lineRule="auto"/>
              <w:ind w:firstLine="482" w:firstLineChars="200"/>
              <w:rPr>
                <w:b/>
                <w:bCs/>
                <w:sz w:val="24"/>
              </w:rPr>
            </w:pPr>
            <w:r>
              <w:rPr>
                <w:rFonts w:hint="eastAsia"/>
                <w:b/>
                <w:bCs/>
                <w:sz w:val="24"/>
              </w:rPr>
              <w:t>①一体化污水处理设施处理工艺</w:t>
            </w:r>
          </w:p>
          <w:p w14:paraId="363B2530">
            <w:pPr>
              <w:adjustRightInd w:val="0"/>
              <w:snapToGrid w:val="0"/>
              <w:spacing w:line="360" w:lineRule="auto"/>
              <w:ind w:firstLine="480" w:firstLineChars="200"/>
              <w:rPr>
                <w:sz w:val="24"/>
              </w:rPr>
            </w:pPr>
            <w:r>
              <w:rPr>
                <w:rFonts w:hint="eastAsia"/>
                <w:sz w:val="24"/>
              </w:rPr>
              <w:t>本项目设置1套处理能力为</w:t>
            </w:r>
            <w:r>
              <w:rPr>
                <w:rFonts w:hint="eastAsia"/>
                <w:sz w:val="24"/>
                <w:lang w:val="en-US" w:eastAsia="zh-CN"/>
              </w:rPr>
              <w:t>7</w:t>
            </w:r>
            <w:r>
              <w:rPr>
                <w:rFonts w:hint="eastAsia"/>
                <w:sz w:val="24"/>
              </w:rPr>
              <w:t>0m</w:t>
            </w:r>
            <w:r>
              <w:rPr>
                <w:rFonts w:hint="eastAsia"/>
                <w:sz w:val="24"/>
                <w:vertAlign w:val="superscript"/>
              </w:rPr>
              <w:t>3</w:t>
            </w:r>
            <w:r>
              <w:rPr>
                <w:rFonts w:hint="eastAsia"/>
                <w:sz w:val="24"/>
              </w:rPr>
              <w:t>/d的一体化污水处理设施对院区废水进行处理，</w:t>
            </w:r>
            <w:r>
              <w:rPr>
                <w:sz w:val="24"/>
              </w:rPr>
              <w:t>项目</w:t>
            </w:r>
            <w:r>
              <w:rPr>
                <w:rFonts w:hint="eastAsia"/>
                <w:sz w:val="24"/>
              </w:rPr>
              <w:t>废水</w:t>
            </w:r>
            <w:r>
              <w:rPr>
                <w:sz w:val="24"/>
              </w:rPr>
              <w:t>具体的处理流程为：医院废水—格栅</w:t>
            </w:r>
            <w:r>
              <w:rPr>
                <w:rFonts w:hint="eastAsia"/>
                <w:sz w:val="24"/>
              </w:rPr>
              <w:t>池</w:t>
            </w:r>
            <w:r>
              <w:rPr>
                <w:sz w:val="24"/>
              </w:rPr>
              <w:t>—</w:t>
            </w:r>
            <w:r>
              <w:rPr>
                <w:rFonts w:hint="eastAsia"/>
                <w:sz w:val="24"/>
              </w:rPr>
              <w:t>化粪池</w:t>
            </w:r>
            <w:r>
              <w:rPr>
                <w:sz w:val="24"/>
              </w:rPr>
              <w:t>—调节池—</w:t>
            </w:r>
            <w:r>
              <w:rPr>
                <w:rFonts w:hint="eastAsia"/>
                <w:sz w:val="24"/>
              </w:rPr>
              <w:t>地埋式一体化污水处理设施（</w:t>
            </w:r>
            <w:r>
              <w:rPr>
                <w:sz w:val="24"/>
              </w:rPr>
              <w:t>采用“</w:t>
            </w:r>
            <w:r>
              <w:rPr>
                <w:rFonts w:hint="eastAsia"/>
                <w:sz w:val="24"/>
                <w:lang w:val="en-US" w:eastAsia="zh-CN"/>
              </w:rPr>
              <w:t>预处理</w:t>
            </w:r>
            <w:r>
              <w:rPr>
                <w:rFonts w:cs="Arial"/>
                <w:sz w:val="24"/>
              </w:rPr>
              <w:t>→</w:t>
            </w:r>
            <w:r>
              <w:rPr>
                <w:rFonts w:hint="eastAsia"/>
                <w:sz w:val="24"/>
                <w:lang w:val="en-US" w:eastAsia="zh-CN"/>
              </w:rPr>
              <w:t>A2O</w:t>
            </w:r>
            <w:r>
              <w:rPr>
                <w:rFonts w:cs="Arial"/>
                <w:sz w:val="24"/>
              </w:rPr>
              <w:t>→</w:t>
            </w:r>
            <w:r>
              <w:rPr>
                <w:rFonts w:hint="eastAsia"/>
                <w:sz w:val="24"/>
              </w:rPr>
              <w:t>沉淀</w:t>
            </w:r>
            <w:r>
              <w:rPr>
                <w:rFonts w:cs="Arial"/>
                <w:sz w:val="24"/>
              </w:rPr>
              <w:t>→</w:t>
            </w:r>
            <w:r>
              <w:rPr>
                <w:rFonts w:hint="eastAsia"/>
                <w:sz w:val="24"/>
              </w:rPr>
              <w:t>消毒</w:t>
            </w:r>
            <w:r>
              <w:rPr>
                <w:sz w:val="24"/>
              </w:rPr>
              <w:t>”工艺）</w:t>
            </w:r>
            <w:r>
              <w:rPr>
                <w:rFonts w:hint="eastAsia"/>
                <w:sz w:val="24"/>
              </w:rPr>
              <w:t>处理</w:t>
            </w:r>
            <w:r>
              <w:rPr>
                <w:sz w:val="24"/>
              </w:rPr>
              <w:t>，可以满足根据《医院污水处理工程技术规范》（HJ2029-2013）、《排污许可证申请与核发技术规范 医疗机构》（HJ 1105-2020）中相关要求。</w:t>
            </w:r>
          </w:p>
          <w:p w14:paraId="160E69D9">
            <w:pPr>
              <w:spacing w:line="360" w:lineRule="auto"/>
              <w:ind w:firstLine="482" w:firstLineChars="200"/>
              <w:rPr>
                <w:b/>
                <w:bCs/>
                <w:sz w:val="24"/>
              </w:rPr>
            </w:pPr>
            <w:r>
              <w:rPr>
                <w:rFonts w:hint="eastAsia"/>
                <w:b/>
                <w:bCs/>
                <w:sz w:val="24"/>
              </w:rPr>
              <w:t>工艺简介：</w:t>
            </w:r>
          </w:p>
          <w:p w14:paraId="41FF6147">
            <w:pPr>
              <w:spacing w:line="360" w:lineRule="auto"/>
              <w:ind w:firstLine="482" w:firstLineChars="200"/>
              <w:rPr>
                <w:rFonts w:cs="宋体"/>
                <w:sz w:val="24"/>
                <w:szCs w:val="24"/>
                <w:lang w:val="zh-TW" w:eastAsia="zh-TW"/>
              </w:rPr>
            </w:pPr>
            <w:r>
              <w:rPr>
                <w:rFonts w:hint="eastAsia"/>
                <w:b/>
                <w:bCs/>
                <w:sz w:val="24"/>
              </w:rPr>
              <w:t>格栅：</w:t>
            </w:r>
            <w:r>
              <w:rPr>
                <w:rFonts w:hint="eastAsia"/>
                <w:sz w:val="24"/>
              </w:rPr>
              <w:t>医院食堂废水通过油水分离器隔油后与生活污水、医疗废水等一起进入格栅，</w:t>
            </w:r>
            <w:r>
              <w:rPr>
                <w:rFonts w:cs="宋体"/>
                <w:sz w:val="24"/>
                <w:szCs w:val="24"/>
                <w:lang w:val="zh-TW" w:eastAsia="zh-TW"/>
              </w:rPr>
              <w:t>用以去除</w:t>
            </w:r>
            <w:r>
              <w:rPr>
                <w:rFonts w:hint="eastAsia"/>
                <w:sz w:val="24"/>
              </w:rPr>
              <w:t>废水</w:t>
            </w:r>
            <w:r>
              <w:rPr>
                <w:rFonts w:cs="宋体"/>
                <w:sz w:val="24"/>
                <w:szCs w:val="24"/>
                <w:lang w:val="zh-TW" w:eastAsia="zh-TW"/>
              </w:rPr>
              <w:t>中的软性缠绕物、较大固颗粒杂物及</w:t>
            </w:r>
            <w:r>
              <w:rPr>
                <w:rFonts w:hint="eastAsia" w:cs="宋体"/>
                <w:sz w:val="24"/>
                <w:szCs w:val="24"/>
                <w:lang w:val="zh-TW"/>
              </w:rPr>
              <w:t>漂浮物</w:t>
            </w:r>
            <w:r>
              <w:rPr>
                <w:rFonts w:cs="宋体"/>
                <w:sz w:val="24"/>
                <w:szCs w:val="24"/>
                <w:lang w:val="zh-TW" w:eastAsia="zh-TW"/>
              </w:rPr>
              <w:t>，从而保护后续工作水泵使用寿命并降低系统处理工作负荷。</w:t>
            </w:r>
          </w:p>
          <w:p w14:paraId="7D43CA83">
            <w:pPr>
              <w:spacing w:line="360" w:lineRule="auto"/>
              <w:ind w:firstLine="482" w:firstLineChars="200"/>
              <w:rPr>
                <w:b/>
                <w:bCs/>
                <w:sz w:val="24"/>
              </w:rPr>
            </w:pPr>
            <w:r>
              <w:rPr>
                <w:rFonts w:hint="eastAsia"/>
                <w:b/>
                <w:bCs/>
                <w:sz w:val="24"/>
              </w:rPr>
              <w:t>化粪池：</w:t>
            </w:r>
            <w:r>
              <w:rPr>
                <w:rFonts w:hint="eastAsia"/>
                <w:sz w:val="24"/>
              </w:rPr>
              <w:t>废水经格栅处理后进入化粪池，化粪池属于预处理（一级处理），有沉淀杂质，并使大分子有机物水解，成为酸、醇等小分子有机物，改善后续污水处理的作用。</w:t>
            </w:r>
          </w:p>
          <w:p w14:paraId="2CBD0F1C">
            <w:pPr>
              <w:adjustRightInd w:val="0"/>
              <w:snapToGrid w:val="0"/>
              <w:spacing w:line="360" w:lineRule="auto"/>
              <w:ind w:firstLine="482" w:firstLineChars="200"/>
              <w:rPr>
                <w:sz w:val="24"/>
              </w:rPr>
            </w:pPr>
            <w:r>
              <w:rPr>
                <w:rFonts w:hint="eastAsia"/>
                <w:b/>
                <w:bCs/>
                <w:sz w:val="24"/>
              </w:rPr>
              <w:t>调节池：</w:t>
            </w:r>
            <w:r>
              <w:rPr>
                <w:rFonts w:hint="eastAsia"/>
                <w:sz w:val="24"/>
              </w:rPr>
              <w:t>设置调节池的目的是使废水的水质、水量得到一定程度的缓冲和均衡，为后续处理工艺创造一个相对稳定的工作环境，减轻后续处理负担。均质的污水提升至后续处理。</w:t>
            </w:r>
          </w:p>
          <w:p w14:paraId="2576591F">
            <w:pPr>
              <w:adjustRightInd w:val="0"/>
              <w:snapToGrid w:val="0"/>
              <w:spacing w:line="360" w:lineRule="auto"/>
              <w:ind w:firstLine="482" w:firstLineChars="200"/>
              <w:rPr>
                <w:rFonts w:hint="default"/>
                <w:b w:val="0"/>
                <w:bCs w:val="0"/>
                <w:sz w:val="21"/>
              </w:rPr>
            </w:pPr>
            <w:r>
              <w:rPr>
                <w:rFonts w:hint="eastAsia"/>
                <w:b/>
                <w:bCs/>
                <w:sz w:val="24"/>
              </w:rPr>
              <w:t>A池（</w:t>
            </w:r>
            <w:r>
              <w:rPr>
                <w:rFonts w:hint="eastAsia"/>
                <w:b/>
                <w:bCs/>
                <w:sz w:val="24"/>
                <w:lang w:val="en-US" w:eastAsia="zh-CN"/>
              </w:rPr>
              <w:t>厌</w:t>
            </w:r>
            <w:r>
              <w:rPr>
                <w:rFonts w:hint="eastAsia"/>
                <w:b/>
                <w:bCs/>
                <w:sz w:val="24"/>
              </w:rPr>
              <w:t>氧池）：</w:t>
            </w:r>
            <w:r>
              <w:rPr>
                <w:rFonts w:hint="eastAsia"/>
                <w:b w:val="0"/>
                <w:bCs w:val="0"/>
                <w:sz w:val="24"/>
                <w:lang w:val="en-US" w:eastAsia="zh-CN"/>
              </w:rPr>
              <w:t>废</w:t>
            </w:r>
            <w:r>
              <w:rPr>
                <w:rFonts w:hint="eastAsia" w:ascii="Times New Roman" w:hAnsi="Times New Roman" w:eastAsia="宋体" w:cs="Times New Roman"/>
                <w:i w:val="0"/>
                <w:iCs w:val="0"/>
                <w:caps w:val="0"/>
                <w:spacing w:val="0"/>
                <w:sz w:val="24"/>
                <w:szCs w:val="21"/>
                <w:shd w:val="clear"/>
              </w:rPr>
              <w:t>水与</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"https://baike.baidu.com/item/%E5%9B%9E%E6%B5%81%E6%B1%A1%E6%B3%A5/10863748?fromModule=lemma_inlink"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回流污泥</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先进入厌氧池（DO&lt;0.2mg/L）完全混合，经一定时间（1~2h）的</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"https://baike.baidu.com/item/%E5%8E%8C%E6%B0%A7%E5%88%86%E8%A7%A3/53432551?fromModule=lemma_inlink"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厌氧分解</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，去除部分</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"https://baike.baidu.com/item/BOD/1791?fromModule=lemma_inlink"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BOD</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，使部分</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"https://baike.baidu.com/item/%E5%90%AB%E6%B0%AE%E5%8C%96%E5%90%88%E7%89%A9/271632?fromModule=lemma_inlink"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含氮化合物</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转化成N</w:t>
            </w:r>
            <w:r>
              <w:rPr>
                <w:rFonts w:hint="eastAsia" w:ascii="Times New Roman" w:hAnsi="Times New Roman" w:eastAsia="宋体" w:cs="Times New Roman"/>
                <w:i w:val="0"/>
                <w:iCs w:val="0"/>
                <w:caps w:val="0"/>
                <w:spacing w:val="0"/>
                <w:sz w:val="24"/>
                <w:szCs w:val="21"/>
                <w:shd w:val="clear"/>
                <w:vertAlign w:val="subscript"/>
              </w:rPr>
              <w:t>2</w:t>
            </w:r>
            <w:r>
              <w:rPr>
                <w:rFonts w:hint="eastAsia" w:ascii="Times New Roman" w:hAnsi="Times New Roman" w:eastAsia="宋体" w:cs="Times New Roman"/>
                <w:i w:val="0"/>
                <w:iCs w:val="0"/>
                <w:caps w:val="0"/>
                <w:spacing w:val="0"/>
                <w:sz w:val="24"/>
                <w:szCs w:val="21"/>
                <w:shd w:val="clear"/>
              </w:rPr>
              <w:t>（</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"https://baike.baidu.com/item/%E5%8F%8D%E7%A1%9D%E5%8C%96%E4%BD%9C%E7%94%A8/6264362?fromModule=lemma_inlink"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反硝化作用</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）而释放，回流污泥中的</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"https://baike.baidu.com/item/%E8%81%9A%E7%A3%B7%E5%BE%AE%E7%94%9F%E7%89%A9/22158216?fromModule=lemma_inlink"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聚磷微生物</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（聚磷菌等）释放出磷，满足细菌对磷的需求。</w:t>
            </w:r>
          </w:p>
          <w:p w14:paraId="6BF9610A">
            <w:pPr>
              <w:adjustRightInd w:val="0"/>
              <w:snapToGrid w:val="0"/>
              <w:spacing w:line="360" w:lineRule="auto"/>
              <w:ind w:firstLine="482" w:firstLineChars="200"/>
              <w:rPr>
                <w:sz w:val="24"/>
              </w:rPr>
            </w:pPr>
            <w:r>
              <w:rPr>
                <w:rFonts w:hint="eastAsia"/>
                <w:b/>
                <w:bCs/>
                <w:sz w:val="24"/>
              </w:rPr>
              <w:t>A池（缺氧池）：</w:t>
            </w:r>
            <w:r>
              <w:rPr>
                <w:rFonts w:hint="eastAsia"/>
                <w:b w:val="0"/>
                <w:bCs w:val="0"/>
                <w:sz w:val="24"/>
                <w:lang w:val="en-US" w:eastAsia="zh-CN"/>
              </w:rPr>
              <w:t>废</w:t>
            </w:r>
            <w:r>
              <w:rPr>
                <w:rFonts w:hint="eastAsia" w:ascii="Times New Roman" w:hAnsi="Times New Roman" w:eastAsia="宋体" w:cs="Times New Roman"/>
                <w:i w:val="0"/>
                <w:iCs w:val="0"/>
                <w:caps w:val="0"/>
                <w:spacing w:val="0"/>
                <w:sz w:val="24"/>
                <w:szCs w:val="21"/>
                <w:shd w:val="clear"/>
              </w:rPr>
              <w:t>水流入</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"https://baike.baidu.com/item/%E7%BC%BA%E6%B0%A7%E6%B1%A0/7199631?fromModule=lemma_inlink"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缺氧池</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（DO&lt;=0.5mg/L），池中的</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"https://baike.baidu.com/item/%E5%8F%8D%E7%A1%9D%E5%8C%96%E7%BB%86%E8%8F%8C/4132504?fromModule=lemma_inlink"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反硝化细菌</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以污水中未分解的含碳</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"https://baike.baidu.com/item/%E6%9C%89%E6%9C%BA%E7%89%A9/300787?fromModule=lemma_inlink"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有机物</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为</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"https://baike.baidu.com/item/%E7%A2%B3%E6%BA%90/62016929?fromModule=lemma_inlink"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碳源</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，将好氧池内通过内</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"https://baike.baidu.com/item/%E5%BE%AA%E7%8E%AF%E5%9B%9E%E6%B5%81/56419451?fromModule=lemma_inlink"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循环回流</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进来的</w:t>
            </w:r>
            <w:r>
              <w:rPr>
                <w:rFonts w:hint="eastAsia" w:ascii="Times New Roman" w:hAnsi="Times New Roman" w:eastAsia="宋体" w:cs="Times New Roman"/>
                <w:i w:val="0"/>
                <w:iCs w:val="0"/>
                <w:caps w:val="0"/>
                <w:spacing w:val="0"/>
                <w:sz w:val="24"/>
                <w:szCs w:val="21"/>
                <w:u w:val="none"/>
                <w:shd w:val="clear"/>
              </w:rPr>
              <w:fldChar w:fldCharType="begin"/>
            </w:r>
            <w:r>
              <w:rPr>
                <w:rFonts w:hint="eastAsia" w:ascii="Times New Roman" w:hAnsi="Times New Roman" w:eastAsia="宋体" w:cs="Times New Roman"/>
                <w:i w:val="0"/>
                <w:iCs w:val="0"/>
                <w:caps w:val="0"/>
                <w:spacing w:val="0"/>
                <w:sz w:val="24"/>
                <w:szCs w:val="21"/>
                <w:u w:val="none"/>
                <w:shd w:val="clear"/>
              </w:rPr>
              <w:instrText xml:space="preserve"> HYPERLINK "https://baike.baidu.com/item/%E7%A1%9D%E9%85%B8%E6%A0%B9/9799674?fromModule=lemma_inlink" \t "https://baike.baidu.com/item/A2O/_blank" </w:instrText>
            </w:r>
            <w:r>
              <w:rPr>
                <w:rFonts w:hint="eastAsia" w:ascii="Times New Roman" w:hAnsi="Times New Roman" w:eastAsia="宋体" w:cs="Times New Roman"/>
                <w:i w:val="0"/>
                <w:iCs w:val="0"/>
                <w:caps w:val="0"/>
                <w:spacing w:val="0"/>
                <w:sz w:val="24"/>
                <w:szCs w:val="21"/>
                <w:u w:val="none"/>
                <w:shd w:val="clear"/>
              </w:rPr>
              <w:fldChar w:fldCharType="separate"/>
            </w:r>
            <w:r>
              <w:rPr>
                <w:rFonts w:hint="eastAsia" w:ascii="Times New Roman" w:hAnsi="Times New Roman" w:eastAsia="宋体" w:cs="Times New Roman"/>
                <w:i w:val="0"/>
                <w:iCs w:val="0"/>
                <w:caps w:val="0"/>
                <w:spacing w:val="0"/>
                <w:sz w:val="24"/>
                <w:szCs w:val="21"/>
                <w:u w:val="none"/>
                <w:shd w:val="clear"/>
              </w:rPr>
              <w:t>硝酸根</w:t>
            </w:r>
            <w:r>
              <w:rPr>
                <w:rFonts w:hint="eastAsia" w:ascii="Times New Roman" w:hAnsi="Times New Roman" w:eastAsia="宋体" w:cs="Times New Roman"/>
                <w:i w:val="0"/>
                <w:iCs w:val="0"/>
                <w:caps w:val="0"/>
                <w:spacing w:val="0"/>
                <w:sz w:val="24"/>
                <w:szCs w:val="21"/>
                <w:u w:val="none"/>
                <w:shd w:val="clear"/>
              </w:rPr>
              <w:fldChar w:fldCharType="end"/>
            </w:r>
            <w:r>
              <w:rPr>
                <w:rFonts w:hint="eastAsia" w:ascii="Times New Roman" w:hAnsi="Times New Roman" w:eastAsia="宋体" w:cs="Times New Roman"/>
                <w:i w:val="0"/>
                <w:iCs w:val="0"/>
                <w:caps w:val="0"/>
                <w:spacing w:val="0"/>
                <w:sz w:val="24"/>
                <w:szCs w:val="21"/>
                <w:shd w:val="clear"/>
              </w:rPr>
              <w:t>还原为N</w:t>
            </w:r>
            <w:r>
              <w:rPr>
                <w:rFonts w:hint="eastAsia" w:ascii="Times New Roman" w:hAnsi="Times New Roman" w:eastAsia="宋体" w:cs="Times New Roman"/>
                <w:i w:val="0"/>
                <w:iCs w:val="0"/>
                <w:caps w:val="0"/>
                <w:spacing w:val="0"/>
                <w:sz w:val="24"/>
                <w:szCs w:val="21"/>
                <w:shd w:val="clear"/>
                <w:vertAlign w:val="subscript"/>
              </w:rPr>
              <w:t>2</w:t>
            </w:r>
            <w:r>
              <w:rPr>
                <w:rFonts w:hint="eastAsia" w:ascii="Times New Roman" w:hAnsi="Times New Roman" w:eastAsia="宋体" w:cs="Times New Roman"/>
                <w:i w:val="0"/>
                <w:iCs w:val="0"/>
                <w:caps w:val="0"/>
                <w:spacing w:val="0"/>
                <w:sz w:val="24"/>
                <w:szCs w:val="21"/>
                <w:shd w:val="clear"/>
              </w:rPr>
              <w:t>而释放。</w:t>
            </w:r>
          </w:p>
          <w:p w14:paraId="590C9B7E">
            <w:pPr>
              <w:adjustRightInd w:val="0"/>
              <w:snapToGrid w:val="0"/>
              <w:spacing w:line="360" w:lineRule="auto"/>
              <w:ind w:firstLine="482" w:firstLineChars="200"/>
              <w:rPr>
                <w:sz w:val="24"/>
              </w:rPr>
            </w:pPr>
            <w:r>
              <w:rPr>
                <w:rFonts w:hint="eastAsia"/>
                <w:b/>
                <w:bCs/>
                <w:sz w:val="24"/>
              </w:rPr>
              <w:t>O池（好氧池）：</w:t>
            </w:r>
            <w:r>
              <w:rPr>
                <w:rFonts w:hint="eastAsia"/>
                <w:b w:val="0"/>
                <w:bCs w:val="0"/>
                <w:sz w:val="24"/>
                <w:lang w:val="en-US" w:eastAsia="zh-CN"/>
              </w:rPr>
              <w:t>废</w:t>
            </w:r>
            <w:r>
              <w:rPr>
                <w:rFonts w:hint="eastAsia" w:ascii="Times New Roman" w:hAnsi="Times New Roman" w:eastAsia="宋体" w:cs="Times New Roman"/>
                <w:i w:val="0"/>
                <w:iCs w:val="0"/>
                <w:caps w:val="0"/>
                <w:spacing w:val="0"/>
                <w:sz w:val="24"/>
                <w:szCs w:val="21"/>
                <w:shd w:val="clear"/>
              </w:rPr>
              <w:t>水流入好氧池（DO，2-4mg/L），水中的NH</w:t>
            </w:r>
            <w:r>
              <w:rPr>
                <w:rFonts w:hint="eastAsia" w:ascii="Times New Roman" w:hAnsi="Times New Roman" w:eastAsia="宋体" w:cs="Times New Roman"/>
                <w:i w:val="0"/>
                <w:iCs w:val="0"/>
                <w:caps w:val="0"/>
                <w:spacing w:val="0"/>
                <w:sz w:val="24"/>
                <w:szCs w:val="21"/>
                <w:shd w:val="clear"/>
                <w:vertAlign w:val="subscript"/>
              </w:rPr>
              <w:t>3</w:t>
            </w:r>
            <w:r>
              <w:rPr>
                <w:rFonts w:hint="eastAsia" w:ascii="Times New Roman" w:hAnsi="Times New Roman" w:eastAsia="宋体" w:cs="Times New Roman"/>
                <w:i w:val="0"/>
                <w:iCs w:val="0"/>
                <w:caps w:val="0"/>
                <w:spacing w:val="0"/>
                <w:sz w:val="24"/>
                <w:szCs w:val="21"/>
                <w:shd w:val="clear"/>
              </w:rPr>
              <w:t>-N（氨氮）进行硝化反应生成硝酸根，同时水中的有机物氧化分解供给吸磷微生物以能量，微生物从水中吸收磷，磷进入细胞组织，富集在微生物内，经沉淀分离后以富磷污泥的形式从系统中排出。</w:t>
            </w:r>
          </w:p>
          <w:p w14:paraId="53B6091D">
            <w:pPr>
              <w:adjustRightInd w:val="0"/>
              <w:snapToGrid w:val="0"/>
              <w:spacing w:line="360" w:lineRule="auto"/>
              <w:ind w:firstLine="482" w:firstLineChars="200"/>
              <w:rPr>
                <w:sz w:val="24"/>
              </w:rPr>
            </w:pPr>
            <w:r>
              <w:rPr>
                <w:rFonts w:hint="eastAsia"/>
                <w:b/>
                <w:bCs/>
                <w:sz w:val="24"/>
              </w:rPr>
              <w:t>沉淀池：</w:t>
            </w:r>
            <w:r>
              <w:rPr>
                <w:rFonts w:hint="eastAsia"/>
                <w:sz w:val="24"/>
              </w:rPr>
              <w:t>好氧池废水进入沉淀池，将好氧细菌形成的好氧菌体及死亡脱落的SS予以去除，沉淀下来的污泥外排至污泥池，完成P的去除。</w:t>
            </w:r>
          </w:p>
          <w:p w14:paraId="09887D4C">
            <w:pPr>
              <w:adjustRightInd w:val="0"/>
              <w:snapToGrid w:val="0"/>
              <w:spacing w:line="360" w:lineRule="auto"/>
              <w:ind w:firstLine="482" w:firstLineChars="200"/>
              <w:rPr>
                <w:sz w:val="24"/>
              </w:rPr>
            </w:pPr>
            <w:r>
              <w:rPr>
                <w:rFonts w:hint="eastAsia"/>
                <w:b/>
                <w:bCs/>
                <w:sz w:val="24"/>
              </w:rPr>
              <w:t>接触消毒池：</w:t>
            </w:r>
            <w:r>
              <w:rPr>
                <w:sz w:val="24"/>
              </w:rPr>
              <w:t>废水中含有许多细菌、病毒微生物等，在经过前段的生化处理后，微生物指标可能达不到排放要求，因此，必须在末端</w:t>
            </w:r>
            <w:r>
              <w:rPr>
                <w:rFonts w:hint="eastAsia"/>
                <w:sz w:val="24"/>
              </w:rPr>
              <w:t>接触</w:t>
            </w:r>
            <w:r>
              <w:rPr>
                <w:sz w:val="24"/>
              </w:rPr>
              <w:t>消毒池中进行消毒，去除水中的大肠菌群等病菌，同时进一步氧化废水中有机污染物，更稳妥保障污水达标排放。</w:t>
            </w:r>
            <w:r>
              <w:rPr>
                <w:rFonts w:hint="eastAsia"/>
                <w:sz w:val="24"/>
              </w:rPr>
              <w:t>本项目一体化污水处理设施消毒采用</w:t>
            </w:r>
            <w:r>
              <w:rPr>
                <w:rFonts w:hint="eastAsia"/>
                <w:sz w:val="24"/>
                <w:lang w:val="zh-CN"/>
              </w:rPr>
              <w:t>次氯酸钠</w:t>
            </w:r>
            <w:r>
              <w:rPr>
                <w:rFonts w:hint="eastAsia"/>
                <w:sz w:val="24"/>
              </w:rPr>
              <w:t>进行消毒，次氯酸钠溶液制备后采用全自动投加装置以确保精准投加，避免投加过少导致消毒效果不佳或投加过多导致出水余氯超标，为保证足够的消毒剂投加量，建设单位应安排专人每天记录排水量和药剂消耗情况，做好台账。同时，采用次氯酸钠进行消毒时，应注意使用药剂的有效氯含量，参考的有效氯投加量为5</w:t>
            </w:r>
            <w:r>
              <w:rPr>
                <w:sz w:val="24"/>
              </w:rPr>
              <w:t>0</w:t>
            </w:r>
            <w:r>
              <w:rPr>
                <w:rFonts w:hint="eastAsia"/>
                <w:sz w:val="24"/>
              </w:rPr>
              <w:t>mg/</w:t>
            </w:r>
            <w:r>
              <w:rPr>
                <w:sz w:val="24"/>
              </w:rPr>
              <w:t>L</w:t>
            </w:r>
            <w:r>
              <w:rPr>
                <w:rFonts w:hint="eastAsia"/>
                <w:sz w:val="24"/>
              </w:rPr>
              <w:t>，消毒接触池的接触时间≥</w:t>
            </w:r>
            <w:r>
              <w:rPr>
                <w:sz w:val="24"/>
              </w:rPr>
              <w:t>1.5</w:t>
            </w:r>
            <w:r>
              <w:rPr>
                <w:rFonts w:hint="eastAsia"/>
                <w:sz w:val="24"/>
              </w:rPr>
              <w:t>h，余氯量大于6</w:t>
            </w:r>
            <w:r>
              <w:rPr>
                <w:sz w:val="24"/>
              </w:rPr>
              <w:t>.5</w:t>
            </w:r>
            <w:r>
              <w:rPr>
                <w:rFonts w:hint="eastAsia"/>
                <w:sz w:val="24"/>
              </w:rPr>
              <w:t>mg</w:t>
            </w:r>
            <w:r>
              <w:rPr>
                <w:sz w:val="24"/>
              </w:rPr>
              <w:t>/L</w:t>
            </w:r>
            <w:r>
              <w:rPr>
                <w:rFonts w:hint="eastAsia"/>
                <w:sz w:val="24"/>
              </w:rPr>
              <w:t>（以游离氯计）。</w:t>
            </w:r>
          </w:p>
          <w:p w14:paraId="543B8554">
            <w:pPr>
              <w:adjustRightInd w:val="0"/>
              <w:snapToGrid w:val="0"/>
              <w:spacing w:line="360" w:lineRule="auto"/>
              <w:ind w:firstLine="482" w:firstLineChars="200"/>
              <w:rPr>
                <w:sz w:val="24"/>
              </w:rPr>
            </w:pPr>
            <w:r>
              <w:rPr>
                <w:rFonts w:hint="eastAsia"/>
                <w:b/>
                <w:bCs/>
                <w:sz w:val="24"/>
              </w:rPr>
              <w:t>次氯酸钠消毒原理：</w:t>
            </w:r>
            <w:r>
              <w:rPr>
                <w:rFonts w:hint="eastAsia"/>
                <w:sz w:val="24"/>
              </w:rPr>
              <w:t>次氯酸钠属于高效的含氯消毒剂，反应过程包括次氯酸的作用、新生氧作用和氯化作用，次氯酸的氧化作用是含氯消毒剂的最主要的杀菌机理，含氯消毒剂在水中形成次氯酸，作用于菌体蛋白质，次氯酸不仅可与细胞壁发生作用，且因分子小，不带电荷，故侵入细胞内与蛋白质发生氧化作用或破坏其磷酸脱氢酶，使糖代谢失调而致细胞死亡。</w:t>
            </w:r>
          </w:p>
          <w:p w14:paraId="0A76D49D">
            <w:pPr>
              <w:adjustRightInd w:val="0"/>
              <w:snapToGrid w:val="0"/>
              <w:spacing w:line="360" w:lineRule="auto"/>
              <w:ind w:firstLine="480" w:firstLineChars="200"/>
              <w:rPr>
                <w:sz w:val="24"/>
              </w:rPr>
            </w:pPr>
            <w:r>
              <w:rPr>
                <w:sz w:val="24"/>
              </w:rPr>
              <w:t>本项目污水</w:t>
            </w:r>
            <w:r>
              <w:rPr>
                <w:rFonts w:hint="eastAsia"/>
                <w:sz w:val="24"/>
              </w:rPr>
              <w:t>处理</w:t>
            </w:r>
            <w:r>
              <w:rPr>
                <w:sz w:val="24"/>
              </w:rPr>
              <w:t>工艺流程见图4-</w:t>
            </w:r>
            <w:r>
              <w:rPr>
                <w:rFonts w:hint="eastAsia"/>
                <w:sz w:val="24"/>
              </w:rPr>
              <w:t>1</w:t>
            </w:r>
            <w:r>
              <w:rPr>
                <w:sz w:val="24"/>
              </w:rPr>
              <w:t>所示。</w:t>
            </w:r>
          </w:p>
          <w:p w14:paraId="0BC7507F">
            <w:pPr>
              <w:adjustRightInd w:val="0"/>
              <w:snapToGrid w:val="0"/>
              <w:spacing w:line="360" w:lineRule="auto"/>
              <w:jc w:val="center"/>
              <w:rPr>
                <w:sz w:val="24"/>
              </w:rPr>
            </w:pPr>
            <w:r>
              <w:rPr>
                <w:rFonts w:hint="eastAsia"/>
                <w:sz w:val="24"/>
              </w:rPr>
              <w:object>
                <v:shape id="_x0000_i1028" o:spt="75" type="#_x0000_t75" style="height:363.75pt;width:346.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7867DA38">
            <w:pPr>
              <w:spacing w:line="360" w:lineRule="auto"/>
              <w:jc w:val="center"/>
              <w:rPr>
                <w:b/>
                <w:bCs/>
                <w:sz w:val="24"/>
                <w:szCs w:val="24"/>
              </w:rPr>
            </w:pPr>
            <w:r>
              <w:rPr>
                <w:rFonts w:hint="eastAsia"/>
                <w:b/>
                <w:bCs/>
                <w:sz w:val="24"/>
                <w:szCs w:val="24"/>
              </w:rPr>
              <w:t>图4-1 项目污水处理工艺流程图</w:t>
            </w:r>
          </w:p>
          <w:p w14:paraId="432B9E7D">
            <w:pPr>
              <w:adjustRightInd w:val="0"/>
              <w:snapToGrid w:val="0"/>
              <w:spacing w:line="360" w:lineRule="auto"/>
              <w:ind w:firstLine="482" w:firstLineChars="200"/>
              <w:rPr>
                <w:b/>
                <w:bCs/>
                <w:sz w:val="24"/>
              </w:rPr>
            </w:pPr>
            <w:r>
              <w:rPr>
                <w:rFonts w:hint="eastAsia"/>
                <w:b/>
                <w:sz w:val="24"/>
              </w:rPr>
              <w:t>②</w:t>
            </w:r>
            <w:r>
              <w:rPr>
                <w:rFonts w:hint="eastAsia"/>
                <w:b/>
                <w:bCs/>
                <w:sz w:val="24"/>
              </w:rPr>
              <w:t>一体化污水处理设施运行环境管理要求</w:t>
            </w:r>
          </w:p>
          <w:p w14:paraId="7B6BFCE5">
            <w:pPr>
              <w:adjustRightInd w:val="0"/>
              <w:snapToGrid w:val="0"/>
              <w:spacing w:line="360" w:lineRule="auto"/>
              <w:ind w:firstLine="480" w:firstLineChars="200"/>
              <w:rPr>
                <w:sz w:val="24"/>
              </w:rPr>
            </w:pPr>
            <w:r>
              <w:rPr>
                <w:rFonts w:hint="eastAsia"/>
                <w:sz w:val="24"/>
              </w:rPr>
              <w:t>运行管理人员必须熟识本站处理工艺和设施、设备的运行要求与技术指标，应当经常巡查检查构筑物、设备、电器、仪表的运行状况；一体化污水处理设施必须加强水质和污泥管理；运行管理人员发觉运行不正常时，应准时处理或反映；每天做好巡查台账，定期送样进行水质检测。</w:t>
            </w:r>
          </w:p>
          <w:p w14:paraId="78D1D513">
            <w:pPr>
              <w:spacing w:line="360" w:lineRule="auto"/>
              <w:ind w:firstLine="482" w:firstLineChars="200"/>
              <w:rPr>
                <w:rFonts w:eastAsiaTheme="minorEastAsia"/>
                <w:sz w:val="24"/>
                <w:szCs w:val="24"/>
              </w:rPr>
            </w:pPr>
            <w:r>
              <w:rPr>
                <w:rFonts w:hint="eastAsia" w:eastAsiaTheme="minorEastAsia"/>
                <w:b/>
                <w:sz w:val="24"/>
                <w:szCs w:val="24"/>
              </w:rPr>
              <w:t>（2）</w:t>
            </w:r>
            <w:r>
              <w:rPr>
                <w:rFonts w:eastAsiaTheme="minorEastAsia"/>
                <w:b/>
                <w:sz w:val="24"/>
                <w:szCs w:val="24"/>
              </w:rPr>
              <w:t>废水治理设施、排放口基本信息表</w:t>
            </w:r>
          </w:p>
          <w:p w14:paraId="24E82BB8">
            <w:pPr>
              <w:spacing w:line="360" w:lineRule="auto"/>
              <w:ind w:firstLine="480" w:firstLineChars="200"/>
              <w:rPr>
                <w:rFonts w:eastAsiaTheme="minorEastAsia"/>
                <w:sz w:val="24"/>
                <w:szCs w:val="24"/>
              </w:rPr>
            </w:pPr>
            <w:r>
              <w:rPr>
                <w:rFonts w:eastAsiaTheme="minorEastAsia"/>
                <w:sz w:val="24"/>
                <w:szCs w:val="24"/>
              </w:rPr>
              <w:t>本项目废水治理设施、排放口基本信息见下表：</w:t>
            </w:r>
          </w:p>
          <w:p w14:paraId="79E20862">
            <w:pPr>
              <w:spacing w:line="360" w:lineRule="auto"/>
              <w:jc w:val="center"/>
              <w:rPr>
                <w:b/>
                <w:bCs/>
                <w:sz w:val="24"/>
                <w:szCs w:val="24"/>
              </w:rPr>
            </w:pPr>
            <w:r>
              <w:rPr>
                <w:b/>
                <w:bCs/>
                <w:sz w:val="24"/>
                <w:szCs w:val="24"/>
              </w:rPr>
              <w:t>表4-</w:t>
            </w:r>
            <w:r>
              <w:rPr>
                <w:rFonts w:hint="eastAsia"/>
                <w:b/>
                <w:bCs/>
                <w:sz w:val="24"/>
                <w:szCs w:val="24"/>
                <w:lang w:val="en-US" w:eastAsia="zh-CN"/>
              </w:rPr>
              <w:t>7</w:t>
            </w:r>
            <w:r>
              <w:rPr>
                <w:b/>
                <w:bCs/>
                <w:sz w:val="24"/>
                <w:szCs w:val="24"/>
              </w:rPr>
              <w:t xml:space="preserve"> 废水治理措施一览表</w:t>
            </w:r>
          </w:p>
          <w:tbl>
            <w:tblPr>
              <w:tblStyle w:val="22"/>
              <w:tblW w:w="4970"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135"/>
              <w:gridCol w:w="1247"/>
              <w:gridCol w:w="2149"/>
              <w:gridCol w:w="1094"/>
              <w:gridCol w:w="867"/>
              <w:gridCol w:w="440"/>
              <w:gridCol w:w="612"/>
            </w:tblGrid>
            <w:tr w14:paraId="2A51DF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14:paraId="6F688FEF">
                  <w:pPr>
                    <w:jc w:val="center"/>
                    <w:rPr>
                      <w:b/>
                      <w:bCs/>
                    </w:rPr>
                  </w:pPr>
                  <w:r>
                    <w:rPr>
                      <w:b/>
                      <w:bCs/>
                    </w:rPr>
                    <w:t>废水类别</w:t>
                  </w:r>
                </w:p>
              </w:tc>
              <w:tc>
                <w:tcPr>
                  <w:tcW w:w="660" w:type="pct"/>
                  <w:vMerge w:val="restart"/>
                  <w:vAlign w:val="center"/>
                </w:tcPr>
                <w:p w14:paraId="1966B93D">
                  <w:pPr>
                    <w:jc w:val="center"/>
                    <w:rPr>
                      <w:b/>
                      <w:bCs/>
                    </w:rPr>
                  </w:pPr>
                  <w:r>
                    <w:rPr>
                      <w:b/>
                      <w:bCs/>
                    </w:rPr>
                    <w:t>污染物种类</w:t>
                  </w:r>
                </w:p>
              </w:tc>
              <w:tc>
                <w:tcPr>
                  <w:tcW w:w="3114" w:type="pct"/>
                  <w:gridSpan w:val="4"/>
                  <w:vAlign w:val="center"/>
                </w:tcPr>
                <w:p w14:paraId="14DD24EA">
                  <w:pPr>
                    <w:jc w:val="center"/>
                    <w:rPr>
                      <w:b/>
                      <w:bCs/>
                    </w:rPr>
                  </w:pPr>
                  <w:r>
                    <w:rPr>
                      <w:b/>
                      <w:bCs/>
                    </w:rPr>
                    <w:t>污染治理设施</w:t>
                  </w:r>
                </w:p>
              </w:tc>
              <w:tc>
                <w:tcPr>
                  <w:tcW w:w="256" w:type="pct"/>
                  <w:vMerge w:val="restart"/>
                  <w:vAlign w:val="center"/>
                </w:tcPr>
                <w:p w14:paraId="02DDF0FD">
                  <w:pPr>
                    <w:jc w:val="center"/>
                    <w:rPr>
                      <w:b/>
                      <w:bCs/>
                    </w:rPr>
                  </w:pPr>
                  <w:r>
                    <w:rPr>
                      <w:b/>
                      <w:bCs/>
                    </w:rPr>
                    <w:t>排放方式</w:t>
                  </w:r>
                </w:p>
              </w:tc>
              <w:tc>
                <w:tcPr>
                  <w:tcW w:w="355" w:type="pct"/>
                  <w:vMerge w:val="restart"/>
                  <w:vAlign w:val="center"/>
                </w:tcPr>
                <w:p w14:paraId="1772D46F">
                  <w:pPr>
                    <w:jc w:val="center"/>
                    <w:rPr>
                      <w:b/>
                      <w:bCs/>
                    </w:rPr>
                  </w:pPr>
                  <w:r>
                    <w:rPr>
                      <w:b/>
                      <w:bCs/>
                    </w:rPr>
                    <w:t>排放</w:t>
                  </w:r>
                </w:p>
                <w:p w14:paraId="2B4C547C">
                  <w:pPr>
                    <w:jc w:val="center"/>
                    <w:rPr>
                      <w:b/>
                      <w:bCs/>
                    </w:rPr>
                  </w:pPr>
                  <w:r>
                    <w:rPr>
                      <w:b/>
                      <w:bCs/>
                    </w:rPr>
                    <w:t>去向</w:t>
                  </w:r>
                </w:p>
              </w:tc>
            </w:tr>
            <w:tr w14:paraId="198E8DA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14:paraId="21F181E5">
                  <w:pPr>
                    <w:jc w:val="center"/>
                  </w:pPr>
                </w:p>
              </w:tc>
              <w:tc>
                <w:tcPr>
                  <w:tcW w:w="660" w:type="pct"/>
                  <w:vMerge w:val="continue"/>
                  <w:vAlign w:val="center"/>
                </w:tcPr>
                <w:p w14:paraId="4910E2A4">
                  <w:pPr>
                    <w:jc w:val="center"/>
                  </w:pPr>
                </w:p>
              </w:tc>
              <w:tc>
                <w:tcPr>
                  <w:tcW w:w="725" w:type="pct"/>
                  <w:vAlign w:val="center"/>
                </w:tcPr>
                <w:p w14:paraId="27D38D1D">
                  <w:pPr>
                    <w:jc w:val="center"/>
                    <w:rPr>
                      <w:b/>
                      <w:bCs/>
                    </w:rPr>
                  </w:pPr>
                  <w:r>
                    <w:rPr>
                      <w:b/>
                      <w:bCs/>
                    </w:rPr>
                    <w:t>名称</w:t>
                  </w:r>
                </w:p>
              </w:tc>
              <w:tc>
                <w:tcPr>
                  <w:tcW w:w="1249" w:type="pct"/>
                  <w:vAlign w:val="center"/>
                </w:tcPr>
                <w:p w14:paraId="79D95BB6">
                  <w:pPr>
                    <w:jc w:val="center"/>
                    <w:rPr>
                      <w:b/>
                      <w:bCs/>
                    </w:rPr>
                  </w:pPr>
                  <w:r>
                    <w:rPr>
                      <w:b/>
                      <w:bCs/>
                    </w:rPr>
                    <w:t>处理能力</w:t>
                  </w:r>
                </w:p>
              </w:tc>
              <w:tc>
                <w:tcPr>
                  <w:tcW w:w="636" w:type="pct"/>
                  <w:vAlign w:val="center"/>
                </w:tcPr>
                <w:p w14:paraId="22A04E94">
                  <w:pPr>
                    <w:jc w:val="center"/>
                    <w:rPr>
                      <w:b/>
                      <w:bCs/>
                    </w:rPr>
                  </w:pPr>
                  <w:r>
                    <w:rPr>
                      <w:b/>
                      <w:bCs/>
                    </w:rPr>
                    <w:t>治理工艺</w:t>
                  </w:r>
                </w:p>
              </w:tc>
              <w:tc>
                <w:tcPr>
                  <w:tcW w:w="503" w:type="pct"/>
                  <w:vAlign w:val="center"/>
                </w:tcPr>
                <w:p w14:paraId="7AF3482C">
                  <w:pPr>
                    <w:jc w:val="center"/>
                    <w:rPr>
                      <w:b/>
                      <w:bCs/>
                    </w:rPr>
                  </w:pPr>
                  <w:r>
                    <w:rPr>
                      <w:b/>
                      <w:bCs/>
                    </w:rPr>
                    <w:t>是否为可行性技术</w:t>
                  </w:r>
                </w:p>
              </w:tc>
              <w:tc>
                <w:tcPr>
                  <w:tcW w:w="256" w:type="pct"/>
                  <w:vMerge w:val="continue"/>
                  <w:vAlign w:val="center"/>
                </w:tcPr>
                <w:p w14:paraId="6224B9F7">
                  <w:pPr>
                    <w:jc w:val="center"/>
                  </w:pPr>
                </w:p>
              </w:tc>
              <w:tc>
                <w:tcPr>
                  <w:tcW w:w="355" w:type="pct"/>
                  <w:vMerge w:val="continue"/>
                  <w:vAlign w:val="center"/>
                </w:tcPr>
                <w:p w14:paraId="35FF2DD8">
                  <w:pPr>
                    <w:jc w:val="center"/>
                  </w:pPr>
                </w:p>
              </w:tc>
            </w:tr>
            <w:tr w14:paraId="7DAC58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14:paraId="0CDC7BB6">
                  <w:pPr>
                    <w:jc w:val="center"/>
                  </w:pPr>
                  <w:r>
                    <w:t>生活污水（含食堂废水）</w:t>
                  </w:r>
                </w:p>
              </w:tc>
              <w:tc>
                <w:tcPr>
                  <w:tcW w:w="660" w:type="pct"/>
                  <w:vAlign w:val="center"/>
                </w:tcPr>
                <w:p w14:paraId="0182B243">
                  <w:pPr>
                    <w:jc w:val="center"/>
                  </w:pPr>
                  <w:r>
                    <w:t>pH、COD、BOD</w:t>
                  </w:r>
                  <w:r>
                    <w:rPr>
                      <w:vertAlign w:val="subscript"/>
                    </w:rPr>
                    <w:t>5</w:t>
                  </w:r>
                  <w:r>
                    <w:t>、NH</w:t>
                  </w:r>
                  <w:r>
                    <w:rPr>
                      <w:vertAlign w:val="subscript"/>
                    </w:rPr>
                    <w:t>3</w:t>
                  </w:r>
                  <w:r>
                    <w:t>-N、动植物油、总磷等</w:t>
                  </w:r>
                </w:p>
              </w:tc>
              <w:tc>
                <w:tcPr>
                  <w:tcW w:w="725" w:type="pct"/>
                  <w:vAlign w:val="center"/>
                </w:tcPr>
                <w:p w14:paraId="0DFD7036">
                  <w:pPr>
                    <w:jc w:val="center"/>
                  </w:pPr>
                  <w:r>
                    <w:rPr>
                      <w:rFonts w:hint="eastAsia"/>
                    </w:rPr>
                    <w:t>油水分离器</w:t>
                  </w:r>
                  <w:r>
                    <w:t>+化粪池+</w:t>
                  </w:r>
                  <w:r>
                    <w:rPr>
                      <w:rFonts w:hint="eastAsia"/>
                    </w:rPr>
                    <w:t>一体化污水处理设施</w:t>
                  </w:r>
                </w:p>
              </w:tc>
              <w:tc>
                <w:tcPr>
                  <w:tcW w:w="1249" w:type="pct"/>
                  <w:vAlign w:val="center"/>
                </w:tcPr>
                <w:p w14:paraId="4EC6801D">
                  <w:pPr>
                    <w:jc w:val="center"/>
                  </w:pPr>
                  <w:r>
                    <w:rPr>
                      <w:rFonts w:hint="eastAsia"/>
                    </w:rPr>
                    <w:t>油水分离器</w:t>
                  </w:r>
                  <w:r>
                    <w:t>（1个，容积</w:t>
                  </w:r>
                  <w:r>
                    <w:rPr>
                      <w:rFonts w:hint="eastAsia"/>
                    </w:rPr>
                    <w:t>2</w:t>
                  </w:r>
                  <w:r>
                    <w:t>m</w:t>
                  </w:r>
                  <w:r>
                    <w:rPr>
                      <w:vertAlign w:val="superscript"/>
                    </w:rPr>
                    <w:t>3</w:t>
                  </w:r>
                  <w:r>
                    <w:t>）+化粪池（1个，容积</w:t>
                  </w:r>
                  <w:r>
                    <w:rPr>
                      <w:rFonts w:hint="eastAsia"/>
                    </w:rPr>
                    <w:t>200</w:t>
                  </w:r>
                  <w:r>
                    <w:t>m</w:t>
                  </w:r>
                  <w:r>
                    <w:rPr>
                      <w:vertAlign w:val="superscript"/>
                    </w:rPr>
                    <w:t>3</w:t>
                  </w:r>
                  <w:r>
                    <w:t>）+</w:t>
                  </w:r>
                  <w:r>
                    <w:rPr>
                      <w:rFonts w:hint="eastAsia"/>
                      <w:lang w:val="en-US" w:eastAsia="zh-CN"/>
                    </w:rPr>
                    <w:t>7</w:t>
                  </w:r>
                  <w:r>
                    <w:rPr>
                      <w:rFonts w:hint="eastAsia"/>
                    </w:rPr>
                    <w:t>0</w:t>
                  </w:r>
                  <w:r>
                    <w:t>m</w:t>
                  </w:r>
                  <w:r>
                    <w:rPr>
                      <w:vertAlign w:val="superscript"/>
                    </w:rPr>
                    <w:t>3</w:t>
                  </w:r>
                  <w:r>
                    <w:t>/d</w:t>
                  </w:r>
                  <w:r>
                    <w:rPr>
                      <w:rFonts w:hint="eastAsia"/>
                    </w:rPr>
                    <w:t>一体化污水处理设施</w:t>
                  </w:r>
                </w:p>
              </w:tc>
              <w:tc>
                <w:tcPr>
                  <w:tcW w:w="636" w:type="pct"/>
                  <w:vAlign w:val="center"/>
                </w:tcPr>
                <w:p w14:paraId="302DBC3B">
                  <w:pPr>
                    <w:jc w:val="center"/>
                  </w:pPr>
                  <w:r>
                    <w:t>预处理+A</w:t>
                  </w:r>
                  <w:r>
                    <w:rPr>
                      <w:rFonts w:hint="eastAsia"/>
                      <w:lang w:val="en-US" w:eastAsia="zh-CN"/>
                    </w:rPr>
                    <w:t>2</w:t>
                  </w:r>
                  <w:r>
                    <w:t>O+沉淀+消毒</w:t>
                  </w:r>
                </w:p>
              </w:tc>
              <w:tc>
                <w:tcPr>
                  <w:tcW w:w="503" w:type="pct"/>
                  <w:vAlign w:val="center"/>
                </w:tcPr>
                <w:p w14:paraId="659ADD93">
                  <w:pPr>
                    <w:jc w:val="center"/>
                  </w:pPr>
                  <w:r>
                    <w:t>是</w:t>
                  </w:r>
                </w:p>
              </w:tc>
              <w:tc>
                <w:tcPr>
                  <w:tcW w:w="256" w:type="pct"/>
                  <w:vMerge w:val="restart"/>
                  <w:vAlign w:val="center"/>
                </w:tcPr>
                <w:p w14:paraId="01334ECF">
                  <w:pPr>
                    <w:jc w:val="center"/>
                  </w:pPr>
                  <w:r>
                    <w:t>间接排放</w:t>
                  </w:r>
                </w:p>
              </w:tc>
              <w:tc>
                <w:tcPr>
                  <w:tcW w:w="355" w:type="pct"/>
                  <w:vMerge w:val="restart"/>
                  <w:vAlign w:val="center"/>
                </w:tcPr>
                <w:p w14:paraId="28631F16">
                  <w:pPr>
                    <w:jc w:val="center"/>
                  </w:pPr>
                  <w:r>
                    <w:rPr>
                      <w:rFonts w:hint="eastAsia"/>
                    </w:rPr>
                    <w:t>罗江镇污水处理厂</w:t>
                  </w:r>
                </w:p>
              </w:tc>
            </w:tr>
            <w:tr w14:paraId="60134B9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14:paraId="57C06D43">
                  <w:pPr>
                    <w:jc w:val="center"/>
                  </w:pPr>
                  <w:r>
                    <w:t>医疗废水</w:t>
                  </w:r>
                </w:p>
              </w:tc>
              <w:tc>
                <w:tcPr>
                  <w:tcW w:w="660" w:type="pct"/>
                  <w:vMerge w:val="restart"/>
                  <w:vAlign w:val="center"/>
                </w:tcPr>
                <w:p w14:paraId="0C2C8593">
                  <w:pPr>
                    <w:jc w:val="center"/>
                  </w:pPr>
                  <w:r>
                    <w:t>pH、COD、BOD</w:t>
                  </w:r>
                  <w:r>
                    <w:rPr>
                      <w:vertAlign w:val="subscript"/>
                    </w:rPr>
                    <w:t>5</w:t>
                  </w:r>
                  <w:r>
                    <w:t>、NH</w:t>
                  </w:r>
                  <w:r>
                    <w:rPr>
                      <w:vertAlign w:val="subscript"/>
                    </w:rPr>
                    <w:t>3</w:t>
                  </w:r>
                  <w:r>
                    <w:t>-N、总磷、粪大肠菌群等</w:t>
                  </w:r>
                </w:p>
              </w:tc>
              <w:tc>
                <w:tcPr>
                  <w:tcW w:w="725" w:type="pct"/>
                  <w:vAlign w:val="center"/>
                </w:tcPr>
                <w:p w14:paraId="230D10E6">
                  <w:pPr>
                    <w:jc w:val="center"/>
                  </w:pPr>
                  <w:r>
                    <w:t>化粪池+</w:t>
                  </w:r>
                  <w:r>
                    <w:rPr>
                      <w:rFonts w:hint="eastAsia"/>
                    </w:rPr>
                    <w:t>一体化污水处理设施</w:t>
                  </w:r>
                </w:p>
              </w:tc>
              <w:tc>
                <w:tcPr>
                  <w:tcW w:w="1249" w:type="pct"/>
                  <w:vAlign w:val="center"/>
                </w:tcPr>
                <w:p w14:paraId="474E1FBF">
                  <w:pPr>
                    <w:jc w:val="center"/>
                  </w:pPr>
                  <w:r>
                    <w:t>化粪池（1个，容积</w:t>
                  </w:r>
                  <w:r>
                    <w:rPr>
                      <w:rFonts w:hint="eastAsia"/>
                    </w:rPr>
                    <w:t>200</w:t>
                  </w:r>
                  <w:r>
                    <w:t>m</w:t>
                  </w:r>
                  <w:r>
                    <w:rPr>
                      <w:vertAlign w:val="superscript"/>
                    </w:rPr>
                    <w:t>3</w:t>
                  </w:r>
                  <w:r>
                    <w:t>）+</w:t>
                  </w:r>
                  <w:r>
                    <w:rPr>
                      <w:rFonts w:hint="eastAsia"/>
                      <w:lang w:val="en-US" w:eastAsia="zh-CN"/>
                    </w:rPr>
                    <w:t>7</w:t>
                  </w:r>
                  <w:r>
                    <w:rPr>
                      <w:rFonts w:hint="eastAsia"/>
                    </w:rPr>
                    <w:t>0</w:t>
                  </w:r>
                  <w:r>
                    <w:t>m</w:t>
                  </w:r>
                  <w:r>
                    <w:rPr>
                      <w:vertAlign w:val="superscript"/>
                    </w:rPr>
                    <w:t>3</w:t>
                  </w:r>
                  <w:r>
                    <w:t>/d</w:t>
                  </w:r>
                  <w:r>
                    <w:rPr>
                      <w:rFonts w:hint="eastAsia"/>
                    </w:rPr>
                    <w:t>一体化污水处理设施</w:t>
                  </w:r>
                </w:p>
              </w:tc>
              <w:tc>
                <w:tcPr>
                  <w:tcW w:w="636" w:type="pct"/>
                  <w:vAlign w:val="center"/>
                </w:tcPr>
                <w:p w14:paraId="1B24B436">
                  <w:pPr>
                    <w:jc w:val="center"/>
                  </w:pPr>
                  <w:r>
                    <w:t>预处理+A</w:t>
                  </w:r>
                  <w:r>
                    <w:rPr>
                      <w:rFonts w:hint="eastAsia"/>
                      <w:lang w:val="en-US" w:eastAsia="zh-CN"/>
                    </w:rPr>
                    <w:t>2</w:t>
                  </w:r>
                  <w:r>
                    <w:t>O+沉淀+消毒</w:t>
                  </w:r>
                </w:p>
              </w:tc>
              <w:tc>
                <w:tcPr>
                  <w:tcW w:w="503" w:type="pct"/>
                  <w:vAlign w:val="center"/>
                </w:tcPr>
                <w:p w14:paraId="6A223C94">
                  <w:pPr>
                    <w:jc w:val="center"/>
                  </w:pPr>
                  <w:r>
                    <w:t>是</w:t>
                  </w:r>
                </w:p>
              </w:tc>
              <w:tc>
                <w:tcPr>
                  <w:tcW w:w="256" w:type="pct"/>
                  <w:vMerge w:val="continue"/>
                  <w:vAlign w:val="center"/>
                </w:tcPr>
                <w:p w14:paraId="3E7AE61D">
                  <w:pPr>
                    <w:jc w:val="center"/>
                  </w:pPr>
                </w:p>
              </w:tc>
              <w:tc>
                <w:tcPr>
                  <w:tcW w:w="355" w:type="pct"/>
                  <w:vMerge w:val="continue"/>
                  <w:vAlign w:val="center"/>
                </w:tcPr>
                <w:p w14:paraId="0BDAB30A">
                  <w:pPr>
                    <w:jc w:val="center"/>
                  </w:pPr>
                </w:p>
              </w:tc>
            </w:tr>
            <w:tr w14:paraId="51D042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14:paraId="5F46D7B6">
                  <w:pPr>
                    <w:jc w:val="center"/>
                  </w:pPr>
                  <w:r>
                    <w:t>其他废水</w:t>
                  </w:r>
                </w:p>
              </w:tc>
              <w:tc>
                <w:tcPr>
                  <w:tcW w:w="660" w:type="pct"/>
                  <w:vMerge w:val="continue"/>
                  <w:vAlign w:val="center"/>
                </w:tcPr>
                <w:p w14:paraId="3BCE3962">
                  <w:pPr>
                    <w:jc w:val="center"/>
                  </w:pPr>
                </w:p>
              </w:tc>
              <w:tc>
                <w:tcPr>
                  <w:tcW w:w="725" w:type="pct"/>
                  <w:vAlign w:val="center"/>
                </w:tcPr>
                <w:p w14:paraId="717C3D64">
                  <w:pPr>
                    <w:jc w:val="center"/>
                  </w:pPr>
                  <w:r>
                    <w:t>化粪池+</w:t>
                  </w:r>
                  <w:r>
                    <w:rPr>
                      <w:rFonts w:hint="eastAsia"/>
                    </w:rPr>
                    <w:t>一体化污水处理设施</w:t>
                  </w:r>
                </w:p>
              </w:tc>
              <w:tc>
                <w:tcPr>
                  <w:tcW w:w="1249" w:type="pct"/>
                  <w:vAlign w:val="center"/>
                </w:tcPr>
                <w:p w14:paraId="464C0888">
                  <w:pPr>
                    <w:jc w:val="center"/>
                  </w:pPr>
                  <w:r>
                    <w:t>化粪池（1个，容积</w:t>
                  </w:r>
                  <w:r>
                    <w:rPr>
                      <w:rFonts w:hint="eastAsia"/>
                    </w:rPr>
                    <w:t>200</w:t>
                  </w:r>
                  <w:r>
                    <w:t>m</w:t>
                  </w:r>
                  <w:r>
                    <w:rPr>
                      <w:vertAlign w:val="superscript"/>
                    </w:rPr>
                    <w:t>3</w:t>
                  </w:r>
                  <w:r>
                    <w:t>）+</w:t>
                  </w:r>
                  <w:r>
                    <w:rPr>
                      <w:rFonts w:hint="eastAsia"/>
                      <w:lang w:val="en-US" w:eastAsia="zh-CN"/>
                    </w:rPr>
                    <w:t>7</w:t>
                  </w:r>
                  <w:r>
                    <w:rPr>
                      <w:rFonts w:hint="eastAsia"/>
                    </w:rPr>
                    <w:t>0</w:t>
                  </w:r>
                  <w:r>
                    <w:t>m</w:t>
                  </w:r>
                  <w:r>
                    <w:rPr>
                      <w:vertAlign w:val="superscript"/>
                    </w:rPr>
                    <w:t>3</w:t>
                  </w:r>
                  <w:r>
                    <w:t>/d</w:t>
                  </w:r>
                  <w:r>
                    <w:rPr>
                      <w:rFonts w:hint="eastAsia"/>
                    </w:rPr>
                    <w:t>一体化污水处理设施</w:t>
                  </w:r>
                </w:p>
              </w:tc>
              <w:tc>
                <w:tcPr>
                  <w:tcW w:w="636" w:type="pct"/>
                  <w:vAlign w:val="center"/>
                </w:tcPr>
                <w:p w14:paraId="6DF03620">
                  <w:pPr>
                    <w:jc w:val="center"/>
                  </w:pPr>
                  <w:r>
                    <w:t>预处理+A</w:t>
                  </w:r>
                  <w:r>
                    <w:rPr>
                      <w:rFonts w:hint="eastAsia"/>
                      <w:lang w:val="en-US" w:eastAsia="zh-CN"/>
                    </w:rPr>
                    <w:t>2</w:t>
                  </w:r>
                  <w:r>
                    <w:t>O+沉淀+消毒</w:t>
                  </w:r>
                </w:p>
              </w:tc>
              <w:tc>
                <w:tcPr>
                  <w:tcW w:w="503" w:type="pct"/>
                  <w:vAlign w:val="center"/>
                </w:tcPr>
                <w:p w14:paraId="335958F8">
                  <w:pPr>
                    <w:jc w:val="center"/>
                  </w:pPr>
                  <w:r>
                    <w:t>是</w:t>
                  </w:r>
                </w:p>
              </w:tc>
              <w:tc>
                <w:tcPr>
                  <w:tcW w:w="256" w:type="pct"/>
                  <w:vMerge w:val="continue"/>
                  <w:vAlign w:val="center"/>
                </w:tcPr>
                <w:p w14:paraId="05B6F8F1">
                  <w:pPr>
                    <w:jc w:val="center"/>
                  </w:pPr>
                </w:p>
              </w:tc>
              <w:tc>
                <w:tcPr>
                  <w:tcW w:w="355" w:type="pct"/>
                  <w:vMerge w:val="continue"/>
                  <w:vAlign w:val="center"/>
                </w:tcPr>
                <w:p w14:paraId="5778D6AB">
                  <w:pPr>
                    <w:jc w:val="center"/>
                  </w:pPr>
                </w:p>
              </w:tc>
            </w:tr>
          </w:tbl>
          <w:p w14:paraId="3DA35728">
            <w:pPr>
              <w:spacing w:line="360" w:lineRule="auto"/>
              <w:ind w:firstLine="480"/>
              <w:rPr>
                <w:b/>
                <w:bCs/>
                <w:sz w:val="24"/>
              </w:rPr>
            </w:pPr>
            <w:r>
              <w:rPr>
                <w:b/>
                <w:bCs/>
                <w:sz w:val="24"/>
              </w:rPr>
              <w:t>3、达标可行性分析</w:t>
            </w:r>
          </w:p>
          <w:p w14:paraId="3E537F0F">
            <w:pPr>
              <w:spacing w:line="360" w:lineRule="auto"/>
              <w:ind w:firstLine="482" w:firstLineChars="200"/>
              <w:rPr>
                <w:b/>
                <w:bCs/>
                <w:sz w:val="24"/>
              </w:rPr>
            </w:pPr>
            <w:r>
              <w:rPr>
                <w:rFonts w:hint="eastAsia"/>
                <w:b/>
                <w:bCs/>
                <w:sz w:val="24"/>
              </w:rPr>
              <w:t>（1）油水分离器</w:t>
            </w:r>
            <w:r>
              <w:rPr>
                <w:b/>
                <w:bCs/>
                <w:sz w:val="24"/>
              </w:rPr>
              <w:t>的环境可行性</w:t>
            </w:r>
          </w:p>
          <w:p w14:paraId="243E4103">
            <w:pPr>
              <w:spacing w:line="360" w:lineRule="auto"/>
              <w:ind w:firstLine="480" w:firstLineChars="200"/>
              <w:rPr>
                <w:sz w:val="24"/>
              </w:rPr>
            </w:pPr>
            <w:r>
              <w:rPr>
                <w:sz w:val="24"/>
              </w:rPr>
              <w:t>项目拟建设1个容积为</w:t>
            </w:r>
            <w:r>
              <w:rPr>
                <w:rFonts w:hint="eastAsia"/>
                <w:sz w:val="24"/>
              </w:rPr>
              <w:t>2</w:t>
            </w:r>
            <w:r>
              <w:rPr>
                <w:sz w:val="24"/>
              </w:rPr>
              <w:t>.0m</w:t>
            </w:r>
            <w:r>
              <w:rPr>
                <w:sz w:val="24"/>
                <w:vertAlign w:val="superscript"/>
              </w:rPr>
              <w:t>3</w:t>
            </w:r>
            <w:r>
              <w:rPr>
                <w:sz w:val="24"/>
              </w:rPr>
              <w:t>的</w:t>
            </w:r>
            <w:r>
              <w:rPr>
                <w:rFonts w:hint="eastAsia"/>
                <w:sz w:val="24"/>
              </w:rPr>
              <w:t>油水分离器</w:t>
            </w:r>
            <w:r>
              <w:rPr>
                <w:sz w:val="24"/>
              </w:rPr>
              <w:t>，用于食堂含油废水</w:t>
            </w:r>
            <w:r>
              <w:rPr>
                <w:rFonts w:hint="eastAsia"/>
                <w:sz w:val="24"/>
              </w:rPr>
              <w:t>处理</w:t>
            </w:r>
            <w:r>
              <w:rPr>
                <w:sz w:val="24"/>
              </w:rPr>
              <w:t>，废水在</w:t>
            </w:r>
            <w:r>
              <w:rPr>
                <w:rFonts w:hint="eastAsia"/>
                <w:sz w:val="24"/>
              </w:rPr>
              <w:t>油水分离器</w:t>
            </w:r>
            <w:r>
              <w:rPr>
                <w:sz w:val="24"/>
              </w:rPr>
              <w:t>中停留时间按0.5h计，则</w:t>
            </w:r>
            <w:r>
              <w:rPr>
                <w:rFonts w:hint="eastAsia"/>
                <w:sz w:val="24"/>
              </w:rPr>
              <w:t>油水分离器</w:t>
            </w:r>
            <w:r>
              <w:rPr>
                <w:sz w:val="24"/>
              </w:rPr>
              <w:t>最大接纳污水量为</w:t>
            </w:r>
            <w:r>
              <w:rPr>
                <w:rFonts w:hint="eastAsia"/>
                <w:sz w:val="24"/>
              </w:rPr>
              <w:t>4</w:t>
            </w:r>
            <w:r>
              <w:rPr>
                <w:sz w:val="24"/>
              </w:rPr>
              <w:t>.0m</w:t>
            </w:r>
            <w:r>
              <w:rPr>
                <w:sz w:val="24"/>
                <w:vertAlign w:val="superscript"/>
              </w:rPr>
              <w:t>3</w:t>
            </w:r>
            <w:r>
              <w:rPr>
                <w:sz w:val="24"/>
              </w:rPr>
              <w:t>/h，医院食堂废水产生量为</w:t>
            </w:r>
            <w:r>
              <w:rPr>
                <w:rFonts w:hint="eastAsia"/>
                <w:sz w:val="24"/>
                <w:lang w:val="en-US" w:eastAsia="zh-CN"/>
              </w:rPr>
              <w:t>3.61</w:t>
            </w:r>
            <w:r>
              <w:rPr>
                <w:sz w:val="24"/>
              </w:rPr>
              <w:t>m</w:t>
            </w:r>
            <w:r>
              <w:rPr>
                <w:sz w:val="24"/>
                <w:vertAlign w:val="superscript"/>
              </w:rPr>
              <w:t>3</w:t>
            </w:r>
            <w:r>
              <w:rPr>
                <w:sz w:val="24"/>
              </w:rPr>
              <w:t>/</w:t>
            </w:r>
            <w:r>
              <w:rPr>
                <w:rFonts w:hint="eastAsia"/>
                <w:sz w:val="24"/>
              </w:rPr>
              <w:t>d、</w:t>
            </w:r>
            <w:r>
              <w:rPr>
                <w:rFonts w:hint="eastAsia"/>
                <w:sz w:val="24"/>
                <w:lang w:val="en-US" w:eastAsia="zh-CN"/>
              </w:rPr>
              <w:t>1.20</w:t>
            </w:r>
            <w:r>
              <w:rPr>
                <w:sz w:val="24"/>
              </w:rPr>
              <w:t>m</w:t>
            </w:r>
            <w:r>
              <w:rPr>
                <w:sz w:val="24"/>
                <w:vertAlign w:val="superscript"/>
              </w:rPr>
              <w:t>3</w:t>
            </w:r>
            <w:r>
              <w:rPr>
                <w:sz w:val="24"/>
              </w:rPr>
              <w:t>/h，低于</w:t>
            </w:r>
            <w:r>
              <w:rPr>
                <w:rFonts w:hint="eastAsia"/>
                <w:sz w:val="24"/>
              </w:rPr>
              <w:t>油水分离器</w:t>
            </w:r>
            <w:r>
              <w:rPr>
                <w:sz w:val="24"/>
              </w:rPr>
              <w:t>的最大处理能力。同时，废水经隔油处理后，可有效去除废水中的油污，满足环境可行性要求。</w:t>
            </w:r>
          </w:p>
          <w:p w14:paraId="0350CC69">
            <w:pPr>
              <w:spacing w:line="360" w:lineRule="auto"/>
              <w:ind w:firstLine="482" w:firstLineChars="200"/>
              <w:rPr>
                <w:b/>
                <w:bCs/>
                <w:sz w:val="24"/>
              </w:rPr>
            </w:pPr>
            <w:r>
              <w:rPr>
                <w:rFonts w:hint="eastAsia"/>
                <w:b/>
                <w:bCs/>
                <w:sz w:val="24"/>
              </w:rPr>
              <w:t>（2）</w:t>
            </w:r>
            <w:r>
              <w:rPr>
                <w:b/>
                <w:bCs/>
                <w:sz w:val="24"/>
              </w:rPr>
              <w:t>化粪池的环境可行性</w:t>
            </w:r>
          </w:p>
          <w:p w14:paraId="4DBE9416">
            <w:pPr>
              <w:spacing w:line="360" w:lineRule="auto"/>
              <w:ind w:firstLine="480" w:firstLineChars="200"/>
              <w:rPr>
                <w:bCs/>
                <w:sz w:val="24"/>
              </w:rPr>
            </w:pPr>
            <w:r>
              <w:rPr>
                <w:sz w:val="24"/>
              </w:rPr>
              <w:t>项目</w:t>
            </w:r>
            <w:r>
              <w:rPr>
                <w:rFonts w:hint="eastAsia"/>
                <w:sz w:val="24"/>
              </w:rPr>
              <w:t>租赁的用房区域已建</w:t>
            </w:r>
            <w:r>
              <w:rPr>
                <w:sz w:val="24"/>
              </w:rPr>
              <w:t>1个容积为</w:t>
            </w:r>
            <w:r>
              <w:rPr>
                <w:rFonts w:hint="eastAsia"/>
                <w:sz w:val="24"/>
              </w:rPr>
              <w:t>200</w:t>
            </w:r>
            <w:r>
              <w:rPr>
                <w:sz w:val="24"/>
              </w:rPr>
              <w:t>m</w:t>
            </w:r>
            <w:r>
              <w:rPr>
                <w:sz w:val="24"/>
                <w:vertAlign w:val="superscript"/>
              </w:rPr>
              <w:t>3</w:t>
            </w:r>
            <w:r>
              <w:rPr>
                <w:sz w:val="24"/>
              </w:rPr>
              <w:t>的化粪池，用于处理医院生活污水、医疗废水</w:t>
            </w:r>
            <w:r>
              <w:rPr>
                <w:rFonts w:hint="eastAsia"/>
                <w:sz w:val="24"/>
              </w:rPr>
              <w:t>等预处理</w:t>
            </w:r>
            <w:r>
              <w:rPr>
                <w:sz w:val="24"/>
              </w:rPr>
              <w:t>。</w:t>
            </w:r>
            <w:r>
              <w:rPr>
                <w:bCs/>
                <w:sz w:val="24"/>
              </w:rPr>
              <w:t>废水在化粪池中停留时间按12h计，则化粪池最大接纳污水量为</w:t>
            </w:r>
            <w:r>
              <w:rPr>
                <w:rFonts w:hint="eastAsia"/>
                <w:bCs/>
                <w:sz w:val="24"/>
              </w:rPr>
              <w:t>40</w:t>
            </w:r>
            <w:r>
              <w:rPr>
                <w:rFonts w:hint="eastAsia"/>
                <w:sz w:val="24"/>
              </w:rPr>
              <w:t>0</w:t>
            </w:r>
            <w:r>
              <w:rPr>
                <w:bCs/>
                <w:sz w:val="24"/>
              </w:rPr>
              <w:t>m</w:t>
            </w:r>
            <w:r>
              <w:rPr>
                <w:bCs/>
                <w:sz w:val="24"/>
                <w:vertAlign w:val="superscript"/>
              </w:rPr>
              <w:t>3</w:t>
            </w:r>
            <w:r>
              <w:rPr>
                <w:sz w:val="24"/>
              </w:rPr>
              <w:t>/d</w:t>
            </w:r>
            <w:r>
              <w:rPr>
                <w:bCs/>
                <w:sz w:val="24"/>
              </w:rPr>
              <w:t>。</w:t>
            </w:r>
            <w:r>
              <w:rPr>
                <w:sz w:val="24"/>
              </w:rPr>
              <w:t>根据工程分析，全院</w:t>
            </w:r>
            <w:r>
              <w:rPr>
                <w:bCs/>
                <w:sz w:val="24"/>
              </w:rPr>
              <w:t>废水产生量为</w:t>
            </w:r>
            <w:r>
              <w:rPr>
                <w:rFonts w:hint="eastAsia"/>
                <w:bCs/>
                <w:sz w:val="24"/>
                <w:lang w:eastAsia="zh-CN"/>
              </w:rPr>
              <w:t>42.25</w:t>
            </w:r>
            <w:r>
              <w:rPr>
                <w:sz w:val="24"/>
              </w:rPr>
              <w:t>m</w:t>
            </w:r>
            <w:r>
              <w:rPr>
                <w:sz w:val="24"/>
                <w:vertAlign w:val="superscript"/>
              </w:rPr>
              <w:t>3</w:t>
            </w:r>
            <w:r>
              <w:rPr>
                <w:sz w:val="24"/>
              </w:rPr>
              <w:t>/d</w:t>
            </w:r>
            <w:r>
              <w:rPr>
                <w:bCs/>
                <w:sz w:val="24"/>
              </w:rPr>
              <w:t>，低于该化粪池最大处理能力。</w:t>
            </w:r>
            <w:r>
              <w:rPr>
                <w:sz w:val="24"/>
              </w:rPr>
              <w:t>同时，</w:t>
            </w:r>
            <w:r>
              <w:rPr>
                <w:bCs/>
                <w:sz w:val="24"/>
              </w:rPr>
              <w:t>污水经化粪池处理后，再进入</w:t>
            </w:r>
            <w:r>
              <w:rPr>
                <w:rFonts w:hint="eastAsia"/>
                <w:bCs/>
                <w:sz w:val="24"/>
              </w:rPr>
              <w:t>一体化污水处理设施</w:t>
            </w:r>
            <w:r>
              <w:rPr>
                <w:bCs/>
                <w:sz w:val="24"/>
              </w:rPr>
              <w:t>处理，可</w:t>
            </w:r>
            <w:r>
              <w:rPr>
                <w:sz w:val="24"/>
              </w:rPr>
              <w:t>满足环境可行性要求</w:t>
            </w:r>
            <w:r>
              <w:rPr>
                <w:bCs/>
                <w:sz w:val="24"/>
              </w:rPr>
              <w:t>。</w:t>
            </w:r>
          </w:p>
          <w:p w14:paraId="2343F5D3">
            <w:pPr>
              <w:spacing w:line="360" w:lineRule="auto"/>
              <w:ind w:firstLine="482" w:firstLineChars="200"/>
              <w:rPr>
                <w:b/>
                <w:bCs/>
                <w:sz w:val="24"/>
              </w:rPr>
            </w:pPr>
            <w:r>
              <w:rPr>
                <w:rFonts w:hint="eastAsia"/>
                <w:b/>
                <w:bCs/>
                <w:sz w:val="24"/>
              </w:rPr>
              <w:t>（3）一体化污水处理设施</w:t>
            </w:r>
            <w:r>
              <w:rPr>
                <w:b/>
                <w:bCs/>
                <w:sz w:val="24"/>
              </w:rPr>
              <w:t>的环境可行性</w:t>
            </w:r>
          </w:p>
          <w:p w14:paraId="013A645E">
            <w:pPr>
              <w:spacing w:line="360" w:lineRule="auto"/>
              <w:ind w:firstLine="480" w:firstLineChars="200"/>
              <w:rPr>
                <w:b/>
                <w:bCs/>
                <w:sz w:val="24"/>
                <w:szCs w:val="24"/>
              </w:rPr>
            </w:pPr>
            <w:r>
              <w:rPr>
                <w:sz w:val="24"/>
                <w:szCs w:val="24"/>
              </w:rPr>
              <w:t>根据《医院污水处理工程技术规范》（HJ2029-2013）：“4.1.2 新（改、扩）建医院，在设计医院污水处理系统时应考虑将医院病区、非病区、传染病房、非传染病房污水分别收集。”、“4.1.3特殊性质污水应单独收集，经预处理后与医院污水合并处理，不得将特殊性质污水随意排入下水道。”、“6.1.2传染病医院污水应在预消毒后采用二级处理+消毒工艺或二级处理+深度处理+消毒工艺。”、</w:t>
            </w:r>
            <w:r>
              <w:rPr>
                <w:b/>
                <w:bCs/>
                <w:sz w:val="24"/>
                <w:szCs w:val="24"/>
              </w:rPr>
              <w:t>“6.1.3非传染病医院污水，若处理出水排入终端已建有正常运行的二级污水处理厂的城市污水管网时，可采用一级强化处理+消毒工艺。”</w:t>
            </w:r>
          </w:p>
          <w:p w14:paraId="38290CEA">
            <w:pPr>
              <w:spacing w:line="360" w:lineRule="auto"/>
              <w:ind w:firstLine="480"/>
              <w:rPr>
                <w:sz w:val="24"/>
              </w:rPr>
            </w:pPr>
            <w:r>
              <w:rPr>
                <w:rFonts w:hint="eastAsia"/>
                <w:sz w:val="24"/>
              </w:rPr>
              <w:t>《</w:t>
            </w:r>
            <w:r>
              <w:rPr>
                <w:sz w:val="24"/>
              </w:rPr>
              <w:t>排污许可证申请与核发技术规范 医疗机构》（HJ1105-2020）附录A中废水治理可行技术参考如下表所示：</w:t>
            </w:r>
          </w:p>
          <w:p w14:paraId="19E151A4">
            <w:pPr>
              <w:spacing w:line="360" w:lineRule="auto"/>
              <w:jc w:val="center"/>
              <w:rPr>
                <w:b/>
                <w:bCs/>
                <w:sz w:val="24"/>
                <w:szCs w:val="24"/>
              </w:rPr>
            </w:pPr>
          </w:p>
          <w:p w14:paraId="7405BD58">
            <w:pPr>
              <w:spacing w:line="360" w:lineRule="auto"/>
              <w:jc w:val="center"/>
              <w:rPr>
                <w:b/>
                <w:bCs/>
                <w:sz w:val="24"/>
                <w:szCs w:val="24"/>
              </w:rPr>
            </w:pPr>
          </w:p>
          <w:p w14:paraId="1B3DBEB9">
            <w:pPr>
              <w:spacing w:line="360" w:lineRule="auto"/>
              <w:jc w:val="center"/>
              <w:rPr>
                <w:b/>
                <w:bCs/>
                <w:sz w:val="24"/>
                <w:szCs w:val="24"/>
              </w:rPr>
            </w:pPr>
            <w:r>
              <w:rPr>
                <w:b/>
                <w:bCs/>
                <w:sz w:val="24"/>
                <w:szCs w:val="24"/>
              </w:rPr>
              <w:t>表4-</w:t>
            </w:r>
            <w:r>
              <w:rPr>
                <w:rFonts w:hint="eastAsia"/>
                <w:b/>
                <w:bCs/>
                <w:sz w:val="24"/>
                <w:szCs w:val="24"/>
                <w:lang w:val="en-US" w:eastAsia="zh-CN"/>
              </w:rPr>
              <w:t>8</w:t>
            </w:r>
            <w:r>
              <w:rPr>
                <w:b/>
                <w:bCs/>
                <w:sz w:val="24"/>
                <w:szCs w:val="24"/>
              </w:rPr>
              <w:t xml:space="preserve"> 医疗机构排污单位污水治理可行技术参照表</w:t>
            </w:r>
          </w:p>
          <w:tbl>
            <w:tblPr>
              <w:tblStyle w:val="22"/>
              <w:tblW w:w="4973"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656"/>
              <w:gridCol w:w="1085"/>
              <w:gridCol w:w="4811"/>
            </w:tblGrid>
            <w:tr w14:paraId="0141BF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vAlign w:val="center"/>
                </w:tcPr>
                <w:p w14:paraId="2ACA8C76">
                  <w:pPr>
                    <w:jc w:val="center"/>
                    <w:rPr>
                      <w:b/>
                      <w:bCs/>
                    </w:rPr>
                  </w:pPr>
                  <w:r>
                    <w:rPr>
                      <w:b/>
                      <w:bCs/>
                    </w:rPr>
                    <w:t>污水类别</w:t>
                  </w:r>
                </w:p>
              </w:tc>
              <w:tc>
                <w:tcPr>
                  <w:tcW w:w="962" w:type="pct"/>
                  <w:vAlign w:val="center"/>
                </w:tcPr>
                <w:p w14:paraId="377B48C2">
                  <w:pPr>
                    <w:jc w:val="center"/>
                    <w:rPr>
                      <w:b/>
                      <w:bCs/>
                    </w:rPr>
                  </w:pPr>
                  <w:r>
                    <w:rPr>
                      <w:b/>
                      <w:bCs/>
                    </w:rPr>
                    <w:t>污染物种类</w:t>
                  </w:r>
                </w:p>
              </w:tc>
              <w:tc>
                <w:tcPr>
                  <w:tcW w:w="630" w:type="pct"/>
                  <w:vAlign w:val="center"/>
                </w:tcPr>
                <w:p w14:paraId="0FA315AB">
                  <w:pPr>
                    <w:jc w:val="center"/>
                    <w:rPr>
                      <w:b/>
                      <w:bCs/>
                    </w:rPr>
                  </w:pPr>
                  <w:r>
                    <w:rPr>
                      <w:b/>
                      <w:bCs/>
                    </w:rPr>
                    <w:t>排放去向</w:t>
                  </w:r>
                </w:p>
              </w:tc>
              <w:tc>
                <w:tcPr>
                  <w:tcW w:w="2794" w:type="pct"/>
                  <w:vAlign w:val="center"/>
                </w:tcPr>
                <w:p w14:paraId="7E82F6C4">
                  <w:pPr>
                    <w:jc w:val="center"/>
                    <w:rPr>
                      <w:b/>
                      <w:bCs/>
                    </w:rPr>
                  </w:pPr>
                  <w:r>
                    <w:rPr>
                      <w:b/>
                      <w:bCs/>
                    </w:rPr>
                    <w:t>可行技术</w:t>
                  </w:r>
                </w:p>
              </w:tc>
            </w:tr>
            <w:tr w14:paraId="4AE0D2C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vMerge w:val="restart"/>
                  <w:vAlign w:val="center"/>
                </w:tcPr>
                <w:p w14:paraId="525C8CE8">
                  <w:pPr>
                    <w:jc w:val="center"/>
                  </w:pPr>
                  <w:r>
                    <w:t>医疗污水</w:t>
                  </w:r>
                </w:p>
              </w:tc>
              <w:tc>
                <w:tcPr>
                  <w:tcW w:w="962" w:type="pct"/>
                  <w:vMerge w:val="restart"/>
                  <w:vAlign w:val="center"/>
                </w:tcPr>
                <w:p w14:paraId="43968057">
                  <w:pPr>
                    <w:jc w:val="center"/>
                  </w:pPr>
                  <w:r>
                    <w:t>粪大肠菌群数、肠道致病菌、肠道病毒、化学需氧量、氨氮、pH 值、悬浮物、五日生化需氧量、动植物油、石油类、阴离子表面活性剂、挥发酚、色度、总氰化物、总余氯</w:t>
                  </w:r>
                </w:p>
              </w:tc>
              <w:tc>
                <w:tcPr>
                  <w:tcW w:w="630" w:type="pct"/>
                  <w:vAlign w:val="center"/>
                </w:tcPr>
                <w:p w14:paraId="7FC669A9">
                  <w:pPr>
                    <w:jc w:val="center"/>
                  </w:pPr>
                  <w:r>
                    <w:t>进入海域、江、河、湖库等水体</w:t>
                  </w:r>
                </w:p>
              </w:tc>
              <w:tc>
                <w:tcPr>
                  <w:tcW w:w="2794" w:type="pct"/>
                  <w:vAlign w:val="center"/>
                </w:tcPr>
                <w:p w14:paraId="79D07359">
                  <w:pPr>
                    <w:jc w:val="left"/>
                  </w:pPr>
                  <w:r>
                    <w:t>二级处理/深度处理+消毒工艺。</w:t>
                  </w:r>
                </w:p>
                <w:p w14:paraId="4CE62062">
                  <w:pPr>
                    <w:jc w:val="left"/>
                  </w:pPr>
                  <w:r>
                    <w:t>二级处理包括：活性污泥法；生物膜法。</w:t>
                  </w:r>
                </w:p>
                <w:p w14:paraId="33751D9A">
                  <w:pPr>
                    <w:jc w:val="left"/>
                  </w:pPr>
                  <w:r>
                    <w:t>深度处理包括：絮凝沉淀法；砂滤法；活性炭法；</w:t>
                  </w:r>
                </w:p>
                <w:p w14:paraId="2EFD7A28">
                  <w:pPr>
                    <w:jc w:val="left"/>
                  </w:pPr>
                  <w:r>
                    <w:t>臭氧氧化法；膜分离法；生物脱氮除磷法。</w:t>
                  </w:r>
                </w:p>
                <w:p w14:paraId="4D4428DF">
                  <w:pPr>
                    <w:jc w:val="left"/>
                  </w:pPr>
                  <w:r>
                    <w:t>消毒工艺：加氯消毒，臭氧法消毒，次氯酸钠法、二氧化氯法消毒、紫外线消毒等。</w:t>
                  </w:r>
                </w:p>
              </w:tc>
            </w:tr>
            <w:tr w14:paraId="3CCDBC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11" w:type="pct"/>
                  <w:vMerge w:val="continue"/>
                  <w:vAlign w:val="center"/>
                </w:tcPr>
                <w:p w14:paraId="2E02AEA7">
                  <w:pPr>
                    <w:jc w:val="center"/>
                  </w:pPr>
                </w:p>
              </w:tc>
              <w:tc>
                <w:tcPr>
                  <w:tcW w:w="962" w:type="pct"/>
                  <w:vMerge w:val="continue"/>
                  <w:vAlign w:val="center"/>
                </w:tcPr>
                <w:p w14:paraId="37F30367">
                  <w:pPr>
                    <w:jc w:val="center"/>
                  </w:pPr>
                </w:p>
              </w:tc>
              <w:tc>
                <w:tcPr>
                  <w:tcW w:w="630" w:type="pct"/>
                  <w:vAlign w:val="center"/>
                </w:tcPr>
                <w:p w14:paraId="00D64BE1">
                  <w:pPr>
                    <w:jc w:val="center"/>
                  </w:pPr>
                  <w:r>
                    <w:t>排入城镇污水处理厂</w:t>
                  </w:r>
                </w:p>
              </w:tc>
              <w:tc>
                <w:tcPr>
                  <w:tcW w:w="2794" w:type="pct"/>
                  <w:vAlign w:val="center"/>
                </w:tcPr>
                <w:p w14:paraId="3829B8D3">
                  <w:pPr>
                    <w:jc w:val="left"/>
                  </w:pPr>
                  <w:r>
                    <w:t>一级处理/一级强化处理+消毒工艺。</w:t>
                  </w:r>
                </w:p>
                <w:p w14:paraId="33A45870">
                  <w:pPr>
                    <w:jc w:val="left"/>
                  </w:pPr>
                  <w:r>
                    <w:t>一级处理包括：筛滤法；沉淀法；气浮法；预曝气法。</w:t>
                  </w:r>
                </w:p>
                <w:p w14:paraId="42E18133">
                  <w:pPr>
                    <w:jc w:val="left"/>
                  </w:pPr>
                  <w:r>
                    <w:t>一级强化处理包括：化学混凝处理、机械过滤或不完全生物处理。</w:t>
                  </w:r>
                </w:p>
                <w:p w14:paraId="60266A6D">
                  <w:pPr>
                    <w:jc w:val="left"/>
                  </w:pPr>
                  <w:r>
                    <w:t>消毒工艺：加氯消毒，臭氧法消毒，次氯酸钠法、二氧化氯法消毒、紫外线消毒等。</w:t>
                  </w:r>
                </w:p>
              </w:tc>
            </w:tr>
          </w:tbl>
          <w:p w14:paraId="3BD1D3B4">
            <w:pPr>
              <w:spacing w:line="360" w:lineRule="auto"/>
              <w:ind w:firstLine="480"/>
              <w:rPr>
                <w:sz w:val="24"/>
              </w:rPr>
            </w:pPr>
            <w:r>
              <w:rPr>
                <w:sz w:val="24"/>
              </w:rPr>
              <w:t>本项目</w:t>
            </w:r>
            <w:r>
              <w:rPr>
                <w:rFonts w:hint="eastAsia"/>
                <w:sz w:val="24"/>
                <w:szCs w:val="24"/>
              </w:rPr>
              <w:t>一体化污水处理设施处理能力为</w:t>
            </w:r>
            <w:r>
              <w:rPr>
                <w:rFonts w:hint="eastAsia"/>
                <w:sz w:val="24"/>
                <w:szCs w:val="24"/>
                <w:lang w:val="en-US" w:eastAsia="zh-CN"/>
              </w:rPr>
              <w:t>7</w:t>
            </w:r>
            <w:r>
              <w:rPr>
                <w:rFonts w:hint="eastAsia"/>
                <w:sz w:val="24"/>
                <w:szCs w:val="24"/>
              </w:rPr>
              <w:t>0</w:t>
            </w:r>
            <w:r>
              <w:rPr>
                <w:sz w:val="24"/>
              </w:rPr>
              <w:t xml:space="preserve"> m</w:t>
            </w:r>
            <w:r>
              <w:rPr>
                <w:sz w:val="24"/>
                <w:vertAlign w:val="superscript"/>
              </w:rPr>
              <w:t>3</w:t>
            </w:r>
            <w:r>
              <w:rPr>
                <w:sz w:val="24"/>
              </w:rPr>
              <w:t>/d</w:t>
            </w:r>
            <w:r>
              <w:rPr>
                <w:rFonts w:hint="eastAsia"/>
                <w:sz w:val="24"/>
              </w:rPr>
              <w:t>，采用“A</w:t>
            </w:r>
            <w:r>
              <w:rPr>
                <w:sz w:val="24"/>
              </w:rPr>
              <w:t>/O</w:t>
            </w:r>
            <w:r>
              <w:rPr>
                <w:rFonts w:hint="eastAsia"/>
                <w:sz w:val="24"/>
              </w:rPr>
              <w:t>2</w:t>
            </w:r>
            <w:r>
              <w:rPr>
                <w:sz w:val="24"/>
              </w:rPr>
              <w:t>+</w:t>
            </w:r>
            <w:r>
              <w:rPr>
                <w:rFonts w:hint="eastAsia"/>
                <w:sz w:val="24"/>
              </w:rPr>
              <w:t>沉淀+消毒”工艺，属于</w:t>
            </w:r>
            <w:r>
              <w:rPr>
                <w:sz w:val="24"/>
              </w:rPr>
              <w:t>《排污许可证申请与核发技术规范 医疗机构》（HJ1105-2020）附录A</w:t>
            </w:r>
            <w:r>
              <w:rPr>
                <w:rFonts w:hint="eastAsia"/>
                <w:sz w:val="24"/>
              </w:rPr>
              <w:t>中二级强化处理+消毒工艺。同时，本项目院区废水总排放量为</w:t>
            </w:r>
            <w:r>
              <w:rPr>
                <w:rFonts w:hint="eastAsia"/>
                <w:sz w:val="24"/>
                <w:lang w:eastAsia="zh-CN"/>
              </w:rPr>
              <w:t>42.25</w:t>
            </w:r>
            <w:r>
              <w:rPr>
                <w:sz w:val="24"/>
              </w:rPr>
              <w:t>m</w:t>
            </w:r>
            <w:r>
              <w:rPr>
                <w:sz w:val="24"/>
                <w:vertAlign w:val="superscript"/>
              </w:rPr>
              <w:t>3</w:t>
            </w:r>
            <w:r>
              <w:rPr>
                <w:sz w:val="24"/>
              </w:rPr>
              <w:t>/d</w:t>
            </w:r>
            <w:r>
              <w:rPr>
                <w:rFonts w:hint="eastAsia"/>
                <w:sz w:val="24"/>
              </w:rPr>
              <w:t>，低于一体化污水处理设施处理能力，可满足医院日常废水处理要求。</w:t>
            </w:r>
          </w:p>
          <w:p w14:paraId="7BB36D30">
            <w:pPr>
              <w:spacing w:line="360" w:lineRule="auto"/>
              <w:ind w:firstLine="482" w:firstLineChars="200"/>
              <w:rPr>
                <w:b/>
                <w:bCs/>
                <w:sz w:val="24"/>
              </w:rPr>
            </w:pPr>
            <w:r>
              <w:rPr>
                <w:b/>
                <w:bCs/>
                <w:sz w:val="24"/>
              </w:rPr>
              <w:t>（</w:t>
            </w:r>
            <w:r>
              <w:rPr>
                <w:rFonts w:hint="eastAsia"/>
                <w:b/>
                <w:bCs/>
                <w:sz w:val="24"/>
              </w:rPr>
              <w:t>4</w:t>
            </w:r>
            <w:r>
              <w:rPr>
                <w:b/>
                <w:bCs/>
                <w:sz w:val="24"/>
              </w:rPr>
              <w:t>）</w:t>
            </w:r>
            <w:r>
              <w:rPr>
                <w:rFonts w:hint="eastAsia"/>
                <w:b/>
                <w:bCs/>
                <w:sz w:val="24"/>
              </w:rPr>
              <w:t>罗江镇</w:t>
            </w:r>
            <w:r>
              <w:rPr>
                <w:b/>
                <w:bCs/>
                <w:sz w:val="24"/>
              </w:rPr>
              <w:t>污水处理厂可行性分析</w:t>
            </w:r>
          </w:p>
          <w:p w14:paraId="2D70D19C">
            <w:pPr>
              <w:spacing w:line="360" w:lineRule="auto"/>
              <w:ind w:firstLine="480" w:firstLineChars="200"/>
              <w:rPr>
                <w:sz w:val="24"/>
              </w:rPr>
            </w:pPr>
            <w:r>
              <w:rPr>
                <w:rFonts w:hint="eastAsia"/>
                <w:sz w:val="24"/>
              </w:rPr>
              <w:t>罗江镇</w:t>
            </w:r>
            <w:r>
              <w:rPr>
                <w:sz w:val="24"/>
              </w:rPr>
              <w:t>污水处理厂位于</w:t>
            </w:r>
            <w:r>
              <w:rPr>
                <w:rFonts w:hint="eastAsia"/>
                <w:sz w:val="24"/>
              </w:rPr>
              <w:t>通川区罗江镇</w:t>
            </w:r>
            <w:r>
              <w:rPr>
                <w:sz w:val="24"/>
              </w:rPr>
              <w:t>，污水处理厂占地</w:t>
            </w:r>
            <w:r>
              <w:rPr>
                <w:rFonts w:hint="eastAsia"/>
                <w:sz w:val="24"/>
              </w:rPr>
              <w:t>6亩</w:t>
            </w:r>
            <w:r>
              <w:rPr>
                <w:sz w:val="24"/>
              </w:rPr>
              <w:t>，处理规模</w:t>
            </w:r>
            <w:r>
              <w:rPr>
                <w:rFonts w:hint="eastAsia"/>
                <w:sz w:val="24"/>
              </w:rPr>
              <w:t>2</w:t>
            </w:r>
            <w:r>
              <w:rPr>
                <w:sz w:val="24"/>
              </w:rPr>
              <w:t>500m</w:t>
            </w:r>
            <w:r>
              <w:rPr>
                <w:sz w:val="24"/>
                <w:vertAlign w:val="superscript"/>
              </w:rPr>
              <w:t>3</w:t>
            </w:r>
            <w:r>
              <w:rPr>
                <w:sz w:val="24"/>
              </w:rPr>
              <w:t>/d，出水水质达《城镇污水处理厂污染物排放标准》（GB18918-2002）一级A标</w:t>
            </w:r>
            <w:r>
              <w:rPr>
                <w:rFonts w:hint="eastAsia"/>
                <w:sz w:val="24"/>
              </w:rPr>
              <w:t>后采用暗管排放至州河</w:t>
            </w:r>
            <w:r>
              <w:rPr>
                <w:sz w:val="24"/>
              </w:rPr>
              <w:t>。</w:t>
            </w:r>
          </w:p>
          <w:p w14:paraId="5C261B39">
            <w:pPr>
              <w:pStyle w:val="8"/>
              <w:spacing w:after="0" w:line="360" w:lineRule="auto"/>
              <w:ind w:firstLine="480" w:firstLineChars="200"/>
              <w:rPr>
                <w:sz w:val="24"/>
              </w:rPr>
            </w:pPr>
            <w:r>
              <w:rPr>
                <w:sz w:val="24"/>
              </w:rPr>
              <w:t>本项目属于</w:t>
            </w:r>
            <w:r>
              <w:rPr>
                <w:rFonts w:hint="eastAsia"/>
                <w:sz w:val="24"/>
              </w:rPr>
              <w:t>罗江镇</w:t>
            </w:r>
            <w:r>
              <w:rPr>
                <w:sz w:val="24"/>
              </w:rPr>
              <w:t>污水处理厂的服务范围，目前项目所在区域的市政污水管网</w:t>
            </w:r>
            <w:r>
              <w:rPr>
                <w:rFonts w:hint="eastAsia"/>
                <w:sz w:val="24"/>
              </w:rPr>
              <w:t>已</w:t>
            </w:r>
            <w:r>
              <w:rPr>
                <w:sz w:val="24"/>
              </w:rPr>
              <w:t>建成，因此，本项目废水经污水处理站处理后通过管网进入</w:t>
            </w:r>
            <w:r>
              <w:rPr>
                <w:rFonts w:hint="eastAsia"/>
                <w:sz w:val="24"/>
              </w:rPr>
              <w:t>罗江镇</w:t>
            </w:r>
            <w:r>
              <w:rPr>
                <w:sz w:val="24"/>
              </w:rPr>
              <w:t>污水处理厂处理达标后排入</w:t>
            </w:r>
            <w:r>
              <w:rPr>
                <w:rFonts w:hint="eastAsia"/>
                <w:sz w:val="24"/>
              </w:rPr>
              <w:t>州河</w:t>
            </w:r>
            <w:r>
              <w:rPr>
                <w:sz w:val="24"/>
              </w:rPr>
              <w:t>。</w:t>
            </w:r>
          </w:p>
          <w:p w14:paraId="3CEF3379">
            <w:pPr>
              <w:spacing w:line="360" w:lineRule="auto"/>
              <w:ind w:firstLine="480"/>
              <w:rPr>
                <w:sz w:val="24"/>
              </w:rPr>
            </w:pPr>
            <w:r>
              <w:rPr>
                <w:sz w:val="24"/>
              </w:rPr>
              <w:t>项目废水量为</w:t>
            </w:r>
            <w:r>
              <w:rPr>
                <w:rFonts w:hint="eastAsia"/>
                <w:sz w:val="24"/>
                <w:lang w:eastAsia="zh-CN"/>
              </w:rPr>
              <w:t>42.25</w:t>
            </w:r>
            <w:r>
              <w:rPr>
                <w:sz w:val="24"/>
              </w:rPr>
              <w:t>m</w:t>
            </w:r>
            <w:r>
              <w:rPr>
                <w:sz w:val="24"/>
                <w:vertAlign w:val="superscript"/>
              </w:rPr>
              <w:t>3</w:t>
            </w:r>
            <w:r>
              <w:rPr>
                <w:sz w:val="24"/>
              </w:rPr>
              <w:t>/d，项目化粪池最大接纳污水量为</w:t>
            </w:r>
            <w:r>
              <w:rPr>
                <w:rFonts w:hint="eastAsia"/>
                <w:bCs/>
                <w:sz w:val="24"/>
              </w:rPr>
              <w:t>400</w:t>
            </w:r>
            <w:r>
              <w:rPr>
                <w:bCs/>
                <w:sz w:val="24"/>
              </w:rPr>
              <w:t>m</w:t>
            </w:r>
            <w:r>
              <w:rPr>
                <w:bCs/>
                <w:sz w:val="24"/>
                <w:vertAlign w:val="superscript"/>
              </w:rPr>
              <w:t>3</w:t>
            </w:r>
            <w:r>
              <w:rPr>
                <w:sz w:val="24"/>
              </w:rPr>
              <w:t>/d</w:t>
            </w:r>
            <w:r>
              <w:rPr>
                <w:rFonts w:hint="eastAsia"/>
                <w:sz w:val="24"/>
              </w:rPr>
              <w:t>（停留时间按12h计）</w:t>
            </w:r>
            <w:r>
              <w:rPr>
                <w:sz w:val="24"/>
              </w:rPr>
              <w:t>，污水处理站处理能力为</w:t>
            </w:r>
            <w:r>
              <w:rPr>
                <w:rFonts w:hint="eastAsia"/>
                <w:sz w:val="24"/>
                <w:lang w:val="en-US" w:eastAsia="zh-CN"/>
              </w:rPr>
              <w:t>7</w:t>
            </w:r>
            <w:r>
              <w:rPr>
                <w:sz w:val="24"/>
              </w:rPr>
              <w:t>0m</w:t>
            </w:r>
            <w:r>
              <w:rPr>
                <w:sz w:val="24"/>
                <w:vertAlign w:val="superscript"/>
              </w:rPr>
              <w:t>3</w:t>
            </w:r>
            <w:r>
              <w:rPr>
                <w:sz w:val="24"/>
              </w:rPr>
              <w:t>/d；综上，</w:t>
            </w:r>
            <w:r>
              <w:rPr>
                <w:rFonts w:hint="eastAsia"/>
                <w:sz w:val="24"/>
              </w:rPr>
              <w:t>废水处理可行</w:t>
            </w:r>
            <w:r>
              <w:rPr>
                <w:sz w:val="24"/>
              </w:rPr>
              <w:t>。</w:t>
            </w:r>
          </w:p>
          <w:p w14:paraId="3F9673A9">
            <w:pPr>
              <w:spacing w:line="360" w:lineRule="auto"/>
              <w:ind w:firstLine="482" w:firstLineChars="200"/>
              <w:rPr>
                <w:b/>
                <w:bCs/>
                <w:sz w:val="24"/>
              </w:rPr>
            </w:pPr>
            <w:r>
              <w:rPr>
                <w:rFonts w:hint="eastAsia"/>
                <w:b/>
                <w:bCs/>
                <w:sz w:val="24"/>
              </w:rPr>
              <w:t>4</w:t>
            </w:r>
            <w:r>
              <w:rPr>
                <w:b/>
                <w:bCs/>
                <w:sz w:val="24"/>
              </w:rPr>
              <w:t>、水污染物排放核算</w:t>
            </w:r>
          </w:p>
          <w:p w14:paraId="09DFF7E9">
            <w:pPr>
              <w:spacing w:line="360" w:lineRule="auto"/>
              <w:ind w:firstLine="482" w:firstLineChars="200"/>
              <w:rPr>
                <w:b/>
                <w:bCs/>
                <w:sz w:val="24"/>
              </w:rPr>
            </w:pPr>
            <w:r>
              <w:rPr>
                <w:b/>
                <w:bCs/>
                <w:sz w:val="24"/>
              </w:rPr>
              <w:t>（1）污染物排放量</w:t>
            </w:r>
          </w:p>
          <w:p w14:paraId="70364D21">
            <w:pPr>
              <w:pStyle w:val="8"/>
              <w:spacing w:after="0" w:line="360" w:lineRule="auto"/>
              <w:ind w:firstLine="480" w:firstLineChars="200"/>
              <w:rPr>
                <w:sz w:val="24"/>
              </w:rPr>
            </w:pPr>
            <w:r>
              <w:rPr>
                <w:sz w:val="24"/>
              </w:rPr>
              <w:t>本项目废水的各类污染物排放情况见表4-</w:t>
            </w:r>
            <w:r>
              <w:rPr>
                <w:rFonts w:hint="eastAsia"/>
                <w:sz w:val="24"/>
                <w:lang w:val="en-US" w:eastAsia="zh-CN"/>
              </w:rPr>
              <w:t>9</w:t>
            </w:r>
            <w:r>
              <w:rPr>
                <w:sz w:val="24"/>
              </w:rPr>
              <w:t>。</w:t>
            </w:r>
          </w:p>
          <w:p w14:paraId="6E39E0A0">
            <w:pPr>
              <w:spacing w:line="360" w:lineRule="auto"/>
              <w:jc w:val="center"/>
              <w:rPr>
                <w:b/>
                <w:bCs/>
                <w:sz w:val="24"/>
              </w:rPr>
            </w:pPr>
          </w:p>
          <w:p w14:paraId="3D6B3ADC">
            <w:pPr>
              <w:spacing w:line="360" w:lineRule="auto"/>
              <w:jc w:val="center"/>
              <w:rPr>
                <w:b/>
                <w:bCs/>
                <w:sz w:val="24"/>
              </w:rPr>
            </w:pPr>
          </w:p>
          <w:p w14:paraId="55BDD094">
            <w:pPr>
              <w:spacing w:line="360" w:lineRule="auto"/>
              <w:jc w:val="center"/>
              <w:rPr>
                <w:b/>
                <w:bCs/>
                <w:sz w:val="24"/>
              </w:rPr>
            </w:pPr>
            <w:r>
              <w:rPr>
                <w:b/>
                <w:bCs/>
                <w:sz w:val="24"/>
              </w:rPr>
              <w:t>表4-</w:t>
            </w:r>
            <w:r>
              <w:rPr>
                <w:rFonts w:hint="eastAsia"/>
                <w:b/>
                <w:bCs/>
                <w:sz w:val="24"/>
                <w:lang w:val="en-US" w:eastAsia="zh-CN"/>
              </w:rPr>
              <w:t>9</w:t>
            </w:r>
            <w:r>
              <w:rPr>
                <w:b/>
                <w:bCs/>
                <w:sz w:val="24"/>
              </w:rPr>
              <w:t xml:space="preserve"> 废水污染物排放信息表</w:t>
            </w:r>
          </w:p>
          <w:tbl>
            <w:tblPr>
              <w:tblStyle w:val="22"/>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5"/>
              <w:gridCol w:w="783"/>
              <w:gridCol w:w="363"/>
              <w:gridCol w:w="902"/>
              <w:gridCol w:w="787"/>
              <w:gridCol w:w="840"/>
              <w:gridCol w:w="567"/>
              <w:gridCol w:w="722"/>
              <w:gridCol w:w="903"/>
              <w:gridCol w:w="765"/>
              <w:gridCol w:w="765"/>
              <w:gridCol w:w="853"/>
            </w:tblGrid>
            <w:tr w14:paraId="7B47D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16" w:type="pct"/>
                  <w:vMerge w:val="restart"/>
                  <w:tcBorders>
                    <w:tl2br w:val="nil"/>
                    <w:tr2bl w:val="nil"/>
                  </w:tcBorders>
                  <w:vAlign w:val="center"/>
                </w:tcPr>
                <w:p w14:paraId="6DF7A29E">
                  <w:pPr>
                    <w:jc w:val="center"/>
                    <w:rPr>
                      <w:b/>
                      <w:bCs/>
                    </w:rPr>
                  </w:pPr>
                  <w:r>
                    <w:rPr>
                      <w:b/>
                      <w:bCs/>
                    </w:rPr>
                    <w:t>污染源</w:t>
                  </w:r>
                </w:p>
              </w:tc>
              <w:tc>
                <w:tcPr>
                  <w:tcW w:w="471" w:type="pct"/>
                  <w:vMerge w:val="restart"/>
                  <w:tcBorders>
                    <w:tl2br w:val="nil"/>
                    <w:tr2bl w:val="nil"/>
                  </w:tcBorders>
                  <w:vAlign w:val="center"/>
                </w:tcPr>
                <w:p w14:paraId="502673F8">
                  <w:pPr>
                    <w:jc w:val="center"/>
                    <w:rPr>
                      <w:b/>
                      <w:bCs/>
                    </w:rPr>
                  </w:pPr>
                  <w:r>
                    <w:rPr>
                      <w:b/>
                      <w:bCs/>
                    </w:rPr>
                    <w:t>污染物</w:t>
                  </w:r>
                </w:p>
              </w:tc>
              <w:tc>
                <w:tcPr>
                  <w:tcW w:w="1606" w:type="pct"/>
                  <w:gridSpan w:val="4"/>
                  <w:tcBorders>
                    <w:tl2br w:val="nil"/>
                    <w:tr2bl w:val="nil"/>
                  </w:tcBorders>
                  <w:vAlign w:val="center"/>
                </w:tcPr>
                <w:p w14:paraId="6E3BD293">
                  <w:pPr>
                    <w:jc w:val="center"/>
                    <w:rPr>
                      <w:b/>
                      <w:bCs/>
                    </w:rPr>
                  </w:pPr>
                  <w:r>
                    <w:rPr>
                      <w:b/>
                      <w:bCs/>
                    </w:rPr>
                    <w:t>污染物产生</w:t>
                  </w:r>
                </w:p>
              </w:tc>
              <w:tc>
                <w:tcPr>
                  <w:tcW w:w="780" w:type="pct"/>
                  <w:gridSpan w:val="2"/>
                  <w:tcBorders>
                    <w:tl2br w:val="nil"/>
                    <w:tr2bl w:val="nil"/>
                  </w:tcBorders>
                  <w:vAlign w:val="center"/>
                </w:tcPr>
                <w:p w14:paraId="080A374F">
                  <w:pPr>
                    <w:jc w:val="center"/>
                    <w:rPr>
                      <w:b/>
                      <w:bCs/>
                    </w:rPr>
                  </w:pPr>
                  <w:r>
                    <w:rPr>
                      <w:b/>
                      <w:bCs/>
                    </w:rPr>
                    <w:t>治理措施</w:t>
                  </w:r>
                </w:p>
              </w:tc>
              <w:tc>
                <w:tcPr>
                  <w:tcW w:w="1924" w:type="pct"/>
                  <w:gridSpan w:val="4"/>
                  <w:tcBorders>
                    <w:tl2br w:val="nil"/>
                    <w:tr2bl w:val="nil"/>
                  </w:tcBorders>
                  <w:vAlign w:val="center"/>
                </w:tcPr>
                <w:p w14:paraId="0AF88661">
                  <w:pPr>
                    <w:jc w:val="center"/>
                    <w:rPr>
                      <w:b/>
                      <w:bCs/>
                    </w:rPr>
                  </w:pPr>
                  <w:r>
                    <w:rPr>
                      <w:b/>
                      <w:bCs/>
                    </w:rPr>
                    <w:t>污染物排放</w:t>
                  </w:r>
                </w:p>
              </w:tc>
            </w:tr>
            <w:tr w14:paraId="7C7D0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16" w:type="pct"/>
                  <w:vMerge w:val="continue"/>
                  <w:tcBorders>
                    <w:tl2br w:val="nil"/>
                    <w:tr2bl w:val="nil"/>
                  </w:tcBorders>
                  <w:vAlign w:val="center"/>
                </w:tcPr>
                <w:p w14:paraId="0F40F476">
                  <w:pPr>
                    <w:jc w:val="center"/>
                    <w:rPr>
                      <w:b/>
                      <w:bCs/>
                    </w:rPr>
                  </w:pPr>
                </w:p>
              </w:tc>
              <w:tc>
                <w:tcPr>
                  <w:tcW w:w="471" w:type="pct"/>
                  <w:vMerge w:val="continue"/>
                  <w:tcBorders>
                    <w:tl2br w:val="nil"/>
                    <w:tr2bl w:val="nil"/>
                  </w:tcBorders>
                  <w:vAlign w:val="center"/>
                </w:tcPr>
                <w:p w14:paraId="49EF00CC">
                  <w:pPr>
                    <w:jc w:val="center"/>
                    <w:rPr>
                      <w:b/>
                      <w:bCs/>
                    </w:rPr>
                  </w:pPr>
                </w:p>
              </w:tc>
              <w:tc>
                <w:tcPr>
                  <w:tcW w:w="227" w:type="pct"/>
                  <w:tcBorders>
                    <w:tl2br w:val="nil"/>
                    <w:tr2bl w:val="nil"/>
                  </w:tcBorders>
                  <w:vAlign w:val="center"/>
                </w:tcPr>
                <w:p w14:paraId="70FE7935">
                  <w:pPr>
                    <w:jc w:val="center"/>
                    <w:rPr>
                      <w:b/>
                      <w:bCs/>
                    </w:rPr>
                  </w:pPr>
                  <w:r>
                    <w:rPr>
                      <w:b/>
                      <w:bCs/>
                    </w:rPr>
                    <w:t>核算方法</w:t>
                  </w:r>
                </w:p>
              </w:tc>
              <w:tc>
                <w:tcPr>
                  <w:tcW w:w="402" w:type="pct"/>
                  <w:tcBorders>
                    <w:tl2br w:val="nil"/>
                    <w:tr2bl w:val="nil"/>
                  </w:tcBorders>
                  <w:vAlign w:val="center"/>
                </w:tcPr>
                <w:p w14:paraId="6D7CE40E">
                  <w:pPr>
                    <w:jc w:val="center"/>
                    <w:rPr>
                      <w:b/>
                      <w:bCs/>
                    </w:rPr>
                  </w:pPr>
                  <w:r>
                    <w:rPr>
                      <w:b/>
                      <w:bCs/>
                    </w:rPr>
                    <w:t>废水量m</w:t>
                  </w:r>
                  <w:r>
                    <w:rPr>
                      <w:b/>
                      <w:bCs/>
                      <w:vertAlign w:val="superscript"/>
                    </w:rPr>
                    <w:t>3</w:t>
                  </w:r>
                  <w:r>
                    <w:rPr>
                      <w:b/>
                      <w:bCs/>
                    </w:rPr>
                    <w:t>/a</w:t>
                  </w:r>
                </w:p>
              </w:tc>
              <w:tc>
                <w:tcPr>
                  <w:tcW w:w="473" w:type="pct"/>
                  <w:tcBorders>
                    <w:tl2br w:val="nil"/>
                    <w:tr2bl w:val="nil"/>
                  </w:tcBorders>
                  <w:vAlign w:val="center"/>
                </w:tcPr>
                <w:p w14:paraId="6B45EC63">
                  <w:pPr>
                    <w:jc w:val="center"/>
                    <w:rPr>
                      <w:b/>
                      <w:bCs/>
                    </w:rPr>
                  </w:pPr>
                  <w:r>
                    <w:rPr>
                      <w:b/>
                      <w:bCs/>
                    </w:rPr>
                    <w:t>产生</w:t>
                  </w:r>
                </w:p>
                <w:p w14:paraId="748A832E">
                  <w:pPr>
                    <w:jc w:val="center"/>
                    <w:rPr>
                      <w:b/>
                      <w:bCs/>
                    </w:rPr>
                  </w:pPr>
                  <w:r>
                    <w:rPr>
                      <w:b/>
                      <w:bCs/>
                    </w:rPr>
                    <w:t>浓度mg/L</w:t>
                  </w:r>
                </w:p>
              </w:tc>
              <w:tc>
                <w:tcPr>
                  <w:tcW w:w="503" w:type="pct"/>
                  <w:tcBorders>
                    <w:tl2br w:val="nil"/>
                    <w:tr2bl w:val="nil"/>
                  </w:tcBorders>
                  <w:vAlign w:val="center"/>
                </w:tcPr>
                <w:p w14:paraId="00D7673D">
                  <w:pPr>
                    <w:jc w:val="center"/>
                    <w:rPr>
                      <w:b/>
                      <w:bCs/>
                    </w:rPr>
                  </w:pPr>
                  <w:r>
                    <w:rPr>
                      <w:b/>
                      <w:bCs/>
                    </w:rPr>
                    <w:t>产生量t/a</w:t>
                  </w:r>
                </w:p>
              </w:tc>
              <w:tc>
                <w:tcPr>
                  <w:tcW w:w="345" w:type="pct"/>
                  <w:tcBorders>
                    <w:tl2br w:val="nil"/>
                    <w:tr2bl w:val="nil"/>
                  </w:tcBorders>
                  <w:vAlign w:val="center"/>
                </w:tcPr>
                <w:p w14:paraId="62A03572">
                  <w:pPr>
                    <w:jc w:val="center"/>
                    <w:rPr>
                      <w:b/>
                      <w:bCs/>
                    </w:rPr>
                  </w:pPr>
                  <w:r>
                    <w:rPr>
                      <w:b/>
                      <w:bCs/>
                    </w:rPr>
                    <w:t>治理工艺</w:t>
                  </w:r>
                </w:p>
              </w:tc>
              <w:tc>
                <w:tcPr>
                  <w:tcW w:w="434" w:type="pct"/>
                  <w:tcBorders>
                    <w:tl2br w:val="nil"/>
                    <w:tr2bl w:val="nil"/>
                  </w:tcBorders>
                  <w:vAlign w:val="center"/>
                </w:tcPr>
                <w:p w14:paraId="372F4FA6">
                  <w:pPr>
                    <w:jc w:val="center"/>
                    <w:rPr>
                      <w:b/>
                      <w:bCs/>
                    </w:rPr>
                  </w:pPr>
                  <w:r>
                    <w:rPr>
                      <w:b/>
                      <w:bCs/>
                    </w:rPr>
                    <w:t>处理效率%</w:t>
                  </w:r>
                </w:p>
              </w:tc>
              <w:tc>
                <w:tcPr>
                  <w:tcW w:w="493" w:type="pct"/>
                  <w:tcBorders>
                    <w:tl2br w:val="nil"/>
                    <w:tr2bl w:val="nil"/>
                  </w:tcBorders>
                  <w:vAlign w:val="center"/>
                </w:tcPr>
                <w:p w14:paraId="2D0F7490">
                  <w:pPr>
                    <w:jc w:val="center"/>
                    <w:rPr>
                      <w:b/>
                      <w:bCs/>
                    </w:rPr>
                  </w:pPr>
                  <w:r>
                    <w:rPr>
                      <w:b/>
                      <w:bCs/>
                    </w:rPr>
                    <w:t>废水量m</w:t>
                  </w:r>
                  <w:r>
                    <w:rPr>
                      <w:b/>
                      <w:bCs/>
                      <w:vertAlign w:val="superscript"/>
                    </w:rPr>
                    <w:t>3</w:t>
                  </w:r>
                  <w:r>
                    <w:rPr>
                      <w:b/>
                      <w:bCs/>
                    </w:rPr>
                    <w:t>/a</w:t>
                  </w:r>
                </w:p>
              </w:tc>
              <w:tc>
                <w:tcPr>
                  <w:tcW w:w="460" w:type="pct"/>
                  <w:tcBorders>
                    <w:tl2br w:val="nil"/>
                    <w:tr2bl w:val="nil"/>
                  </w:tcBorders>
                  <w:vAlign w:val="center"/>
                </w:tcPr>
                <w:p w14:paraId="44F7894F">
                  <w:pPr>
                    <w:jc w:val="center"/>
                    <w:rPr>
                      <w:b/>
                      <w:bCs/>
                    </w:rPr>
                  </w:pPr>
                  <w:r>
                    <w:rPr>
                      <w:b/>
                      <w:bCs/>
                    </w:rPr>
                    <w:t>浓度mg/L</w:t>
                  </w:r>
                </w:p>
              </w:tc>
              <w:tc>
                <w:tcPr>
                  <w:tcW w:w="460" w:type="pct"/>
                  <w:tcBorders>
                    <w:tl2br w:val="nil"/>
                    <w:tr2bl w:val="nil"/>
                  </w:tcBorders>
                  <w:vAlign w:val="center"/>
                </w:tcPr>
                <w:p w14:paraId="675B8319">
                  <w:pPr>
                    <w:jc w:val="center"/>
                    <w:rPr>
                      <w:b/>
                      <w:bCs/>
                    </w:rPr>
                  </w:pPr>
                  <w:r>
                    <w:rPr>
                      <w:b/>
                      <w:bCs/>
                    </w:rPr>
                    <w:t>排放量t/a</w:t>
                  </w:r>
                </w:p>
              </w:tc>
              <w:tc>
                <w:tcPr>
                  <w:tcW w:w="510" w:type="pct"/>
                  <w:tcBorders>
                    <w:tl2br w:val="nil"/>
                    <w:tr2bl w:val="nil"/>
                  </w:tcBorders>
                  <w:vAlign w:val="center"/>
                </w:tcPr>
                <w:p w14:paraId="3CC14966">
                  <w:pPr>
                    <w:jc w:val="center"/>
                    <w:rPr>
                      <w:b/>
                      <w:bCs/>
                    </w:rPr>
                  </w:pPr>
                  <w:r>
                    <w:rPr>
                      <w:b/>
                      <w:bCs/>
                    </w:rPr>
                    <w:t>排放</w:t>
                  </w:r>
                </w:p>
                <w:p w14:paraId="5E29966F">
                  <w:pPr>
                    <w:jc w:val="center"/>
                    <w:rPr>
                      <w:b/>
                      <w:bCs/>
                    </w:rPr>
                  </w:pPr>
                  <w:r>
                    <w:rPr>
                      <w:b/>
                      <w:bCs/>
                    </w:rPr>
                    <w:t>标准mg/L</w:t>
                  </w:r>
                </w:p>
              </w:tc>
            </w:tr>
            <w:tr w14:paraId="01C19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restart"/>
                  <w:tcBorders>
                    <w:tl2br w:val="nil"/>
                    <w:tr2bl w:val="nil"/>
                  </w:tcBorders>
                  <w:vAlign w:val="center"/>
                </w:tcPr>
                <w:p w14:paraId="64421026">
                  <w:pPr>
                    <w:jc w:val="center"/>
                  </w:pPr>
                  <w:r>
                    <w:t>医院废水</w:t>
                  </w:r>
                </w:p>
              </w:tc>
              <w:tc>
                <w:tcPr>
                  <w:tcW w:w="471" w:type="pct"/>
                  <w:tcBorders>
                    <w:tl2br w:val="nil"/>
                    <w:tr2bl w:val="nil"/>
                  </w:tcBorders>
                  <w:vAlign w:val="center"/>
                </w:tcPr>
                <w:p w14:paraId="55726BD4">
                  <w:pPr>
                    <w:jc w:val="center"/>
                  </w:pPr>
                  <w:r>
                    <w:t>COD</w:t>
                  </w:r>
                </w:p>
              </w:tc>
              <w:tc>
                <w:tcPr>
                  <w:tcW w:w="227" w:type="pct"/>
                  <w:vMerge w:val="restart"/>
                  <w:tcBorders>
                    <w:tl2br w:val="nil"/>
                    <w:tr2bl w:val="nil"/>
                  </w:tcBorders>
                  <w:vAlign w:val="center"/>
                </w:tcPr>
                <w:p w14:paraId="219F7EAE">
                  <w:pPr>
                    <w:jc w:val="center"/>
                  </w:pPr>
                  <w:r>
                    <w:t>产污系数法</w:t>
                  </w:r>
                </w:p>
              </w:tc>
              <w:tc>
                <w:tcPr>
                  <w:tcW w:w="745" w:type="dxa"/>
                  <w:vMerge w:val="restart"/>
                  <w:tcBorders>
                    <w:tl2br w:val="nil"/>
                    <w:tr2bl w:val="nil"/>
                  </w:tcBorders>
                  <w:vAlign w:val="center"/>
                </w:tcPr>
                <w:p w14:paraId="7ECBAACE">
                  <w:pPr>
                    <w:widowControl/>
                    <w:jc w:val="center"/>
                    <w:textAlignment w:val="center"/>
                    <w:rPr>
                      <w:rFonts w:hint="eastAsia" w:eastAsia="宋体"/>
                      <w:lang w:eastAsia="zh-CN"/>
                    </w:rPr>
                  </w:pPr>
                  <w:r>
                    <w:rPr>
                      <w:rFonts w:hint="eastAsia"/>
                      <w:lang w:eastAsia="zh-CN"/>
                    </w:rPr>
                    <w:t>15421.25</w:t>
                  </w:r>
                </w:p>
              </w:tc>
              <w:tc>
                <w:tcPr>
                  <w:tcW w:w="877" w:type="dxa"/>
                  <w:tcBorders>
                    <w:tl2br w:val="nil"/>
                    <w:tr2bl w:val="nil"/>
                  </w:tcBorders>
                  <w:vAlign w:val="center"/>
                </w:tcPr>
                <w:p w14:paraId="6664999E">
                  <w:pPr>
                    <w:widowControl/>
                    <w:jc w:val="center"/>
                    <w:textAlignment w:val="center"/>
                    <w:rPr>
                      <w:kern w:val="0"/>
                    </w:rPr>
                  </w:pPr>
                  <w:r>
                    <w:rPr>
                      <w:kern w:val="0"/>
                      <w:lang w:bidi="ar"/>
                    </w:rPr>
                    <w:t>300</w:t>
                  </w:r>
                </w:p>
              </w:tc>
              <w:tc>
                <w:tcPr>
                  <w:tcW w:w="933" w:type="dxa"/>
                  <w:tcBorders>
                    <w:tl2br w:val="nil"/>
                    <w:tr2bl w:val="nil"/>
                  </w:tcBorders>
                  <w:vAlign w:val="center"/>
                </w:tcPr>
                <w:p w14:paraId="3C663B1C">
                  <w:pPr>
                    <w:pStyle w:val="4"/>
                  </w:pPr>
                  <w:r>
                    <w:rPr>
                      <w:rFonts w:hint="eastAsia"/>
                      <w:lang w:val="en-US" w:eastAsia="zh-CN"/>
                    </w:rPr>
                    <w:t>4.626</w:t>
                  </w:r>
                </w:p>
              </w:tc>
              <w:tc>
                <w:tcPr>
                  <w:tcW w:w="345" w:type="pct"/>
                  <w:vMerge w:val="restart"/>
                  <w:tcBorders>
                    <w:tl2br w:val="nil"/>
                    <w:tr2bl w:val="nil"/>
                  </w:tcBorders>
                  <w:vAlign w:val="center"/>
                </w:tcPr>
                <w:p w14:paraId="38F66C8D">
                  <w:pPr>
                    <w:jc w:val="center"/>
                  </w:pPr>
                  <w:r>
                    <w:t>化粪池+污水处理站</w:t>
                  </w:r>
                </w:p>
              </w:tc>
              <w:tc>
                <w:tcPr>
                  <w:tcW w:w="434" w:type="pct"/>
                  <w:tcBorders>
                    <w:tl2br w:val="nil"/>
                    <w:tr2bl w:val="nil"/>
                  </w:tcBorders>
                  <w:vAlign w:val="center"/>
                </w:tcPr>
                <w:p w14:paraId="60AF2CB8">
                  <w:pPr>
                    <w:jc w:val="center"/>
                  </w:pPr>
                  <w:r>
                    <w:t>17</w:t>
                  </w:r>
                </w:p>
              </w:tc>
              <w:tc>
                <w:tcPr>
                  <w:tcW w:w="913" w:type="dxa"/>
                  <w:vMerge w:val="restart"/>
                  <w:tcBorders>
                    <w:tl2br w:val="nil"/>
                    <w:tr2bl w:val="nil"/>
                  </w:tcBorders>
                  <w:vAlign w:val="center"/>
                </w:tcPr>
                <w:p w14:paraId="3B538455">
                  <w:pPr>
                    <w:widowControl/>
                    <w:jc w:val="center"/>
                    <w:textAlignment w:val="center"/>
                  </w:pPr>
                  <w:r>
                    <w:rPr>
                      <w:rFonts w:hint="eastAsia"/>
                      <w:kern w:val="0"/>
                      <w:lang w:eastAsia="zh-CN" w:bidi="ar"/>
                    </w:rPr>
                    <w:t>15421.25</w:t>
                  </w:r>
                  <w:r>
                    <w:rPr>
                      <w:kern w:val="0"/>
                      <w:lang w:bidi="ar"/>
                    </w:rPr>
                    <w:t xml:space="preserve"> </w:t>
                  </w:r>
                </w:p>
              </w:tc>
              <w:tc>
                <w:tcPr>
                  <w:tcW w:w="852" w:type="dxa"/>
                  <w:tcBorders>
                    <w:tl2br w:val="nil"/>
                    <w:tr2bl w:val="nil"/>
                  </w:tcBorders>
                  <w:vAlign w:val="center"/>
                </w:tcPr>
                <w:p w14:paraId="0E088387">
                  <w:pPr>
                    <w:widowControl/>
                    <w:jc w:val="center"/>
                    <w:textAlignment w:val="center"/>
                    <w:rPr>
                      <w:kern w:val="0"/>
                    </w:rPr>
                  </w:pPr>
                  <w:r>
                    <w:rPr>
                      <w:kern w:val="0"/>
                      <w:lang w:bidi="ar"/>
                    </w:rPr>
                    <w:t>250</w:t>
                  </w:r>
                </w:p>
              </w:tc>
              <w:tc>
                <w:tcPr>
                  <w:tcW w:w="852" w:type="dxa"/>
                  <w:tcBorders>
                    <w:tl2br w:val="nil"/>
                    <w:tr2bl w:val="nil"/>
                  </w:tcBorders>
                  <w:vAlign w:val="center"/>
                </w:tcPr>
                <w:p w14:paraId="77AA92EE">
                  <w:pPr>
                    <w:pStyle w:val="4"/>
                  </w:pPr>
                  <w:r>
                    <w:rPr>
                      <w:rFonts w:hint="eastAsia"/>
                      <w:lang w:val="en-US" w:eastAsia="zh-CN"/>
                    </w:rPr>
                    <w:t>3.855</w:t>
                  </w:r>
                </w:p>
              </w:tc>
              <w:tc>
                <w:tcPr>
                  <w:tcW w:w="510" w:type="pct"/>
                  <w:tcBorders>
                    <w:tl2br w:val="nil"/>
                    <w:tr2bl w:val="nil"/>
                  </w:tcBorders>
                  <w:vAlign w:val="center"/>
                </w:tcPr>
                <w:p w14:paraId="65D399D6">
                  <w:pPr>
                    <w:widowControl/>
                    <w:jc w:val="center"/>
                    <w:rPr>
                      <w:kern w:val="0"/>
                    </w:rPr>
                  </w:pPr>
                  <w:r>
                    <w:t>250</w:t>
                  </w:r>
                </w:p>
              </w:tc>
            </w:tr>
            <w:tr w14:paraId="77562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continue"/>
                  <w:tcBorders>
                    <w:tl2br w:val="nil"/>
                    <w:tr2bl w:val="nil"/>
                  </w:tcBorders>
                  <w:vAlign w:val="center"/>
                </w:tcPr>
                <w:p w14:paraId="7BCFB35C">
                  <w:pPr>
                    <w:jc w:val="center"/>
                  </w:pPr>
                </w:p>
              </w:tc>
              <w:tc>
                <w:tcPr>
                  <w:tcW w:w="471" w:type="pct"/>
                  <w:tcBorders>
                    <w:tl2br w:val="nil"/>
                    <w:tr2bl w:val="nil"/>
                  </w:tcBorders>
                  <w:vAlign w:val="center"/>
                </w:tcPr>
                <w:p w14:paraId="6A20D439">
                  <w:pPr>
                    <w:jc w:val="center"/>
                  </w:pPr>
                  <w:r>
                    <w:t>BOD</w:t>
                  </w:r>
                  <w:r>
                    <w:rPr>
                      <w:vertAlign w:val="subscript"/>
                    </w:rPr>
                    <w:t>5</w:t>
                  </w:r>
                </w:p>
              </w:tc>
              <w:tc>
                <w:tcPr>
                  <w:tcW w:w="227" w:type="pct"/>
                  <w:vMerge w:val="continue"/>
                  <w:tcBorders>
                    <w:tl2br w:val="nil"/>
                    <w:tr2bl w:val="nil"/>
                  </w:tcBorders>
                  <w:vAlign w:val="center"/>
                </w:tcPr>
                <w:p w14:paraId="087A6C99">
                  <w:pPr>
                    <w:jc w:val="center"/>
                  </w:pPr>
                </w:p>
              </w:tc>
              <w:tc>
                <w:tcPr>
                  <w:tcW w:w="745" w:type="dxa"/>
                  <w:vMerge w:val="continue"/>
                  <w:tcBorders>
                    <w:tl2br w:val="nil"/>
                    <w:tr2bl w:val="nil"/>
                  </w:tcBorders>
                  <w:vAlign w:val="center"/>
                </w:tcPr>
                <w:p w14:paraId="5BA4CD8C">
                  <w:pPr>
                    <w:jc w:val="center"/>
                  </w:pPr>
                </w:p>
              </w:tc>
              <w:tc>
                <w:tcPr>
                  <w:tcW w:w="877" w:type="dxa"/>
                  <w:tcBorders>
                    <w:tl2br w:val="nil"/>
                    <w:tr2bl w:val="nil"/>
                  </w:tcBorders>
                  <w:vAlign w:val="center"/>
                </w:tcPr>
                <w:p w14:paraId="5C6E54E4">
                  <w:pPr>
                    <w:widowControl/>
                    <w:jc w:val="center"/>
                    <w:textAlignment w:val="center"/>
                  </w:pPr>
                  <w:r>
                    <w:rPr>
                      <w:kern w:val="0"/>
                      <w:lang w:bidi="ar"/>
                    </w:rPr>
                    <w:t>150</w:t>
                  </w:r>
                </w:p>
              </w:tc>
              <w:tc>
                <w:tcPr>
                  <w:tcW w:w="933" w:type="dxa"/>
                  <w:tcBorders>
                    <w:tl2br w:val="nil"/>
                    <w:tr2bl w:val="nil"/>
                  </w:tcBorders>
                  <w:vAlign w:val="center"/>
                </w:tcPr>
                <w:p w14:paraId="0FBB914A">
                  <w:pPr>
                    <w:pStyle w:val="4"/>
                  </w:pPr>
                  <w:r>
                    <w:rPr>
                      <w:rFonts w:hint="eastAsia"/>
                      <w:lang w:val="en-US" w:eastAsia="zh-CN"/>
                    </w:rPr>
                    <w:t>2.313</w:t>
                  </w:r>
                </w:p>
              </w:tc>
              <w:tc>
                <w:tcPr>
                  <w:tcW w:w="345" w:type="pct"/>
                  <w:vMerge w:val="continue"/>
                  <w:tcBorders>
                    <w:tl2br w:val="nil"/>
                    <w:tr2bl w:val="nil"/>
                  </w:tcBorders>
                  <w:vAlign w:val="center"/>
                </w:tcPr>
                <w:p w14:paraId="29C16AEC">
                  <w:pPr>
                    <w:jc w:val="center"/>
                  </w:pPr>
                </w:p>
              </w:tc>
              <w:tc>
                <w:tcPr>
                  <w:tcW w:w="434" w:type="pct"/>
                  <w:tcBorders>
                    <w:tl2br w:val="nil"/>
                    <w:tr2bl w:val="nil"/>
                  </w:tcBorders>
                  <w:vAlign w:val="center"/>
                </w:tcPr>
                <w:p w14:paraId="7C2FAB8F">
                  <w:pPr>
                    <w:jc w:val="center"/>
                  </w:pPr>
                  <w:r>
                    <w:t>33</w:t>
                  </w:r>
                </w:p>
              </w:tc>
              <w:tc>
                <w:tcPr>
                  <w:tcW w:w="913" w:type="dxa"/>
                  <w:vMerge w:val="continue"/>
                  <w:tcBorders>
                    <w:tl2br w:val="nil"/>
                    <w:tr2bl w:val="nil"/>
                  </w:tcBorders>
                  <w:vAlign w:val="center"/>
                </w:tcPr>
                <w:p w14:paraId="4BD58642">
                  <w:pPr>
                    <w:jc w:val="center"/>
                  </w:pPr>
                </w:p>
              </w:tc>
              <w:tc>
                <w:tcPr>
                  <w:tcW w:w="852" w:type="dxa"/>
                  <w:tcBorders>
                    <w:tl2br w:val="nil"/>
                    <w:tr2bl w:val="nil"/>
                  </w:tcBorders>
                  <w:vAlign w:val="center"/>
                </w:tcPr>
                <w:p w14:paraId="598C6ED0">
                  <w:pPr>
                    <w:widowControl/>
                    <w:jc w:val="center"/>
                    <w:textAlignment w:val="center"/>
                  </w:pPr>
                  <w:r>
                    <w:rPr>
                      <w:kern w:val="0"/>
                      <w:lang w:bidi="ar"/>
                    </w:rPr>
                    <w:t>100</w:t>
                  </w:r>
                </w:p>
              </w:tc>
              <w:tc>
                <w:tcPr>
                  <w:tcW w:w="852" w:type="dxa"/>
                  <w:tcBorders>
                    <w:tl2br w:val="nil"/>
                    <w:tr2bl w:val="nil"/>
                  </w:tcBorders>
                  <w:vAlign w:val="center"/>
                </w:tcPr>
                <w:p w14:paraId="7B83FD6C">
                  <w:pPr>
                    <w:pStyle w:val="4"/>
                  </w:pPr>
                  <w:r>
                    <w:rPr>
                      <w:rFonts w:hint="eastAsia"/>
                      <w:lang w:val="en-US" w:eastAsia="zh-CN"/>
                    </w:rPr>
                    <w:t>1.542</w:t>
                  </w:r>
                </w:p>
              </w:tc>
              <w:tc>
                <w:tcPr>
                  <w:tcW w:w="510" w:type="pct"/>
                  <w:tcBorders>
                    <w:tl2br w:val="nil"/>
                    <w:tr2bl w:val="nil"/>
                  </w:tcBorders>
                  <w:vAlign w:val="center"/>
                </w:tcPr>
                <w:p w14:paraId="119E0C9A">
                  <w:pPr>
                    <w:jc w:val="center"/>
                  </w:pPr>
                  <w:r>
                    <w:t>100</w:t>
                  </w:r>
                </w:p>
              </w:tc>
            </w:tr>
            <w:tr w14:paraId="1C568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continue"/>
                  <w:tcBorders>
                    <w:tl2br w:val="nil"/>
                    <w:tr2bl w:val="nil"/>
                  </w:tcBorders>
                  <w:vAlign w:val="center"/>
                </w:tcPr>
                <w:p w14:paraId="3F1DF1F5">
                  <w:pPr>
                    <w:jc w:val="center"/>
                  </w:pPr>
                </w:p>
              </w:tc>
              <w:tc>
                <w:tcPr>
                  <w:tcW w:w="471" w:type="pct"/>
                  <w:tcBorders>
                    <w:tl2br w:val="nil"/>
                    <w:tr2bl w:val="nil"/>
                  </w:tcBorders>
                  <w:vAlign w:val="center"/>
                </w:tcPr>
                <w:p w14:paraId="7AD81FA3">
                  <w:pPr>
                    <w:jc w:val="center"/>
                  </w:pPr>
                  <w:r>
                    <w:t>SS</w:t>
                  </w:r>
                </w:p>
              </w:tc>
              <w:tc>
                <w:tcPr>
                  <w:tcW w:w="227" w:type="pct"/>
                  <w:vMerge w:val="continue"/>
                  <w:tcBorders>
                    <w:tl2br w:val="nil"/>
                    <w:tr2bl w:val="nil"/>
                  </w:tcBorders>
                  <w:vAlign w:val="center"/>
                </w:tcPr>
                <w:p w14:paraId="5042B609">
                  <w:pPr>
                    <w:jc w:val="center"/>
                  </w:pPr>
                </w:p>
              </w:tc>
              <w:tc>
                <w:tcPr>
                  <w:tcW w:w="745" w:type="dxa"/>
                  <w:vMerge w:val="continue"/>
                  <w:tcBorders>
                    <w:tl2br w:val="nil"/>
                    <w:tr2bl w:val="nil"/>
                  </w:tcBorders>
                  <w:vAlign w:val="center"/>
                </w:tcPr>
                <w:p w14:paraId="2A4E60FF">
                  <w:pPr>
                    <w:jc w:val="center"/>
                  </w:pPr>
                </w:p>
              </w:tc>
              <w:tc>
                <w:tcPr>
                  <w:tcW w:w="877" w:type="dxa"/>
                  <w:tcBorders>
                    <w:tl2br w:val="nil"/>
                    <w:tr2bl w:val="nil"/>
                  </w:tcBorders>
                  <w:vAlign w:val="center"/>
                </w:tcPr>
                <w:p w14:paraId="1BEBD56E">
                  <w:pPr>
                    <w:widowControl/>
                    <w:jc w:val="center"/>
                    <w:textAlignment w:val="center"/>
                  </w:pPr>
                  <w:r>
                    <w:rPr>
                      <w:kern w:val="0"/>
                      <w:lang w:bidi="ar"/>
                    </w:rPr>
                    <w:t>120</w:t>
                  </w:r>
                </w:p>
              </w:tc>
              <w:tc>
                <w:tcPr>
                  <w:tcW w:w="933" w:type="dxa"/>
                  <w:tcBorders>
                    <w:tl2br w:val="nil"/>
                    <w:tr2bl w:val="nil"/>
                  </w:tcBorders>
                  <w:vAlign w:val="center"/>
                </w:tcPr>
                <w:p w14:paraId="416798AE">
                  <w:pPr>
                    <w:pStyle w:val="4"/>
                  </w:pPr>
                  <w:r>
                    <w:rPr>
                      <w:rFonts w:hint="eastAsia"/>
                      <w:lang w:val="en-US" w:eastAsia="zh-CN"/>
                    </w:rPr>
                    <w:t>1.851</w:t>
                  </w:r>
                </w:p>
              </w:tc>
              <w:tc>
                <w:tcPr>
                  <w:tcW w:w="345" w:type="pct"/>
                  <w:vMerge w:val="continue"/>
                  <w:tcBorders>
                    <w:tl2br w:val="nil"/>
                    <w:tr2bl w:val="nil"/>
                  </w:tcBorders>
                  <w:vAlign w:val="center"/>
                </w:tcPr>
                <w:p w14:paraId="3E591C22">
                  <w:pPr>
                    <w:jc w:val="center"/>
                  </w:pPr>
                </w:p>
              </w:tc>
              <w:tc>
                <w:tcPr>
                  <w:tcW w:w="434" w:type="pct"/>
                  <w:tcBorders>
                    <w:tl2br w:val="nil"/>
                    <w:tr2bl w:val="nil"/>
                  </w:tcBorders>
                  <w:vAlign w:val="center"/>
                </w:tcPr>
                <w:p w14:paraId="7B9924C8">
                  <w:pPr>
                    <w:jc w:val="center"/>
                  </w:pPr>
                  <w:r>
                    <w:t>50</w:t>
                  </w:r>
                </w:p>
              </w:tc>
              <w:tc>
                <w:tcPr>
                  <w:tcW w:w="913" w:type="dxa"/>
                  <w:vMerge w:val="continue"/>
                  <w:tcBorders>
                    <w:tl2br w:val="nil"/>
                    <w:tr2bl w:val="nil"/>
                  </w:tcBorders>
                  <w:vAlign w:val="center"/>
                </w:tcPr>
                <w:p w14:paraId="3D250418">
                  <w:pPr>
                    <w:jc w:val="center"/>
                  </w:pPr>
                </w:p>
              </w:tc>
              <w:tc>
                <w:tcPr>
                  <w:tcW w:w="852" w:type="dxa"/>
                  <w:tcBorders>
                    <w:tl2br w:val="nil"/>
                    <w:tr2bl w:val="nil"/>
                  </w:tcBorders>
                  <w:vAlign w:val="center"/>
                </w:tcPr>
                <w:p w14:paraId="501AD4E0">
                  <w:pPr>
                    <w:widowControl/>
                    <w:jc w:val="center"/>
                    <w:textAlignment w:val="center"/>
                  </w:pPr>
                  <w:r>
                    <w:rPr>
                      <w:kern w:val="0"/>
                      <w:lang w:bidi="ar"/>
                    </w:rPr>
                    <w:t>60</w:t>
                  </w:r>
                </w:p>
              </w:tc>
              <w:tc>
                <w:tcPr>
                  <w:tcW w:w="852" w:type="dxa"/>
                  <w:tcBorders>
                    <w:tl2br w:val="nil"/>
                    <w:tr2bl w:val="nil"/>
                  </w:tcBorders>
                  <w:vAlign w:val="center"/>
                </w:tcPr>
                <w:p w14:paraId="30656C25">
                  <w:pPr>
                    <w:pStyle w:val="4"/>
                  </w:pPr>
                  <w:r>
                    <w:rPr>
                      <w:rFonts w:hint="eastAsia"/>
                      <w:lang w:val="en-US" w:eastAsia="zh-CN"/>
                    </w:rPr>
                    <w:t>0.925</w:t>
                  </w:r>
                </w:p>
              </w:tc>
              <w:tc>
                <w:tcPr>
                  <w:tcW w:w="510" w:type="pct"/>
                  <w:tcBorders>
                    <w:tl2br w:val="nil"/>
                    <w:tr2bl w:val="nil"/>
                  </w:tcBorders>
                  <w:vAlign w:val="center"/>
                </w:tcPr>
                <w:p w14:paraId="3DF287F5">
                  <w:pPr>
                    <w:jc w:val="center"/>
                  </w:pPr>
                  <w:r>
                    <w:t>60</w:t>
                  </w:r>
                </w:p>
              </w:tc>
            </w:tr>
            <w:tr w14:paraId="75671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continue"/>
                  <w:tcBorders>
                    <w:tl2br w:val="nil"/>
                    <w:tr2bl w:val="nil"/>
                  </w:tcBorders>
                  <w:vAlign w:val="center"/>
                </w:tcPr>
                <w:p w14:paraId="3E27875D">
                  <w:pPr>
                    <w:jc w:val="center"/>
                  </w:pPr>
                </w:p>
              </w:tc>
              <w:tc>
                <w:tcPr>
                  <w:tcW w:w="471" w:type="pct"/>
                  <w:tcBorders>
                    <w:tl2br w:val="nil"/>
                    <w:tr2bl w:val="nil"/>
                  </w:tcBorders>
                  <w:vAlign w:val="center"/>
                </w:tcPr>
                <w:p w14:paraId="0D80BD7A">
                  <w:pPr>
                    <w:jc w:val="center"/>
                  </w:pPr>
                  <w:r>
                    <w:t>NH</w:t>
                  </w:r>
                  <w:r>
                    <w:rPr>
                      <w:vertAlign w:val="subscript"/>
                    </w:rPr>
                    <w:t>3</w:t>
                  </w:r>
                  <w:r>
                    <w:t>-N</w:t>
                  </w:r>
                </w:p>
              </w:tc>
              <w:tc>
                <w:tcPr>
                  <w:tcW w:w="227" w:type="pct"/>
                  <w:vMerge w:val="continue"/>
                  <w:tcBorders>
                    <w:tl2br w:val="nil"/>
                    <w:tr2bl w:val="nil"/>
                  </w:tcBorders>
                  <w:vAlign w:val="center"/>
                </w:tcPr>
                <w:p w14:paraId="1EF197C3">
                  <w:pPr>
                    <w:jc w:val="center"/>
                  </w:pPr>
                </w:p>
              </w:tc>
              <w:tc>
                <w:tcPr>
                  <w:tcW w:w="745" w:type="dxa"/>
                  <w:vMerge w:val="continue"/>
                  <w:tcBorders>
                    <w:tl2br w:val="nil"/>
                    <w:tr2bl w:val="nil"/>
                  </w:tcBorders>
                  <w:vAlign w:val="center"/>
                </w:tcPr>
                <w:p w14:paraId="3557CE49">
                  <w:pPr>
                    <w:jc w:val="center"/>
                  </w:pPr>
                </w:p>
              </w:tc>
              <w:tc>
                <w:tcPr>
                  <w:tcW w:w="877" w:type="dxa"/>
                  <w:tcBorders>
                    <w:tl2br w:val="nil"/>
                    <w:tr2bl w:val="nil"/>
                  </w:tcBorders>
                  <w:vAlign w:val="center"/>
                </w:tcPr>
                <w:p w14:paraId="04919413">
                  <w:pPr>
                    <w:widowControl/>
                    <w:jc w:val="center"/>
                    <w:textAlignment w:val="center"/>
                  </w:pPr>
                  <w:r>
                    <w:rPr>
                      <w:kern w:val="0"/>
                      <w:lang w:bidi="ar"/>
                    </w:rPr>
                    <w:t>50</w:t>
                  </w:r>
                </w:p>
              </w:tc>
              <w:tc>
                <w:tcPr>
                  <w:tcW w:w="933" w:type="dxa"/>
                  <w:tcBorders>
                    <w:tl2br w:val="nil"/>
                    <w:tr2bl w:val="nil"/>
                  </w:tcBorders>
                  <w:vAlign w:val="center"/>
                </w:tcPr>
                <w:p w14:paraId="5FEA504D">
                  <w:pPr>
                    <w:pStyle w:val="4"/>
                  </w:pPr>
                  <w:r>
                    <w:rPr>
                      <w:rFonts w:hint="eastAsia"/>
                      <w:lang w:val="en-US" w:eastAsia="zh-CN"/>
                    </w:rPr>
                    <w:t>0.771</w:t>
                  </w:r>
                </w:p>
              </w:tc>
              <w:tc>
                <w:tcPr>
                  <w:tcW w:w="345" w:type="pct"/>
                  <w:vMerge w:val="continue"/>
                  <w:tcBorders>
                    <w:tl2br w:val="nil"/>
                    <w:tr2bl w:val="nil"/>
                  </w:tcBorders>
                  <w:vAlign w:val="center"/>
                </w:tcPr>
                <w:p w14:paraId="3B178B0A">
                  <w:pPr>
                    <w:jc w:val="center"/>
                  </w:pPr>
                </w:p>
              </w:tc>
              <w:tc>
                <w:tcPr>
                  <w:tcW w:w="434" w:type="pct"/>
                  <w:tcBorders>
                    <w:tl2br w:val="nil"/>
                    <w:tr2bl w:val="nil"/>
                  </w:tcBorders>
                  <w:vAlign w:val="center"/>
                </w:tcPr>
                <w:p w14:paraId="113DDC26">
                  <w:pPr>
                    <w:jc w:val="center"/>
                  </w:pPr>
                  <w:r>
                    <w:t>10</w:t>
                  </w:r>
                </w:p>
              </w:tc>
              <w:tc>
                <w:tcPr>
                  <w:tcW w:w="913" w:type="dxa"/>
                  <w:vMerge w:val="continue"/>
                  <w:tcBorders>
                    <w:tl2br w:val="nil"/>
                    <w:tr2bl w:val="nil"/>
                  </w:tcBorders>
                  <w:vAlign w:val="center"/>
                </w:tcPr>
                <w:p w14:paraId="0D33454C">
                  <w:pPr>
                    <w:jc w:val="center"/>
                  </w:pPr>
                </w:p>
              </w:tc>
              <w:tc>
                <w:tcPr>
                  <w:tcW w:w="852" w:type="dxa"/>
                  <w:tcBorders>
                    <w:tl2br w:val="nil"/>
                    <w:tr2bl w:val="nil"/>
                  </w:tcBorders>
                  <w:vAlign w:val="center"/>
                </w:tcPr>
                <w:p w14:paraId="02F61D86">
                  <w:pPr>
                    <w:widowControl/>
                    <w:jc w:val="center"/>
                    <w:textAlignment w:val="center"/>
                  </w:pPr>
                  <w:r>
                    <w:rPr>
                      <w:kern w:val="0"/>
                      <w:lang w:bidi="ar"/>
                    </w:rPr>
                    <w:t>45</w:t>
                  </w:r>
                </w:p>
              </w:tc>
              <w:tc>
                <w:tcPr>
                  <w:tcW w:w="852" w:type="dxa"/>
                  <w:tcBorders>
                    <w:tl2br w:val="nil"/>
                    <w:tr2bl w:val="nil"/>
                  </w:tcBorders>
                  <w:vAlign w:val="center"/>
                </w:tcPr>
                <w:p w14:paraId="36D757E6">
                  <w:pPr>
                    <w:pStyle w:val="4"/>
                  </w:pPr>
                  <w:r>
                    <w:rPr>
                      <w:rFonts w:hint="eastAsia"/>
                      <w:lang w:val="en-US" w:eastAsia="zh-CN"/>
                    </w:rPr>
                    <w:t>0.694</w:t>
                  </w:r>
                </w:p>
              </w:tc>
              <w:tc>
                <w:tcPr>
                  <w:tcW w:w="510" w:type="pct"/>
                  <w:tcBorders>
                    <w:tl2br w:val="nil"/>
                    <w:tr2bl w:val="nil"/>
                  </w:tcBorders>
                  <w:vAlign w:val="center"/>
                </w:tcPr>
                <w:p w14:paraId="7E53F190">
                  <w:pPr>
                    <w:jc w:val="center"/>
                  </w:pPr>
                  <w:r>
                    <w:t>45</w:t>
                  </w:r>
                </w:p>
              </w:tc>
            </w:tr>
            <w:tr w14:paraId="4AC6F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continue"/>
                  <w:tcBorders>
                    <w:tl2br w:val="nil"/>
                    <w:tr2bl w:val="nil"/>
                  </w:tcBorders>
                  <w:vAlign w:val="center"/>
                </w:tcPr>
                <w:p w14:paraId="1007BC15">
                  <w:pPr>
                    <w:jc w:val="center"/>
                  </w:pPr>
                </w:p>
              </w:tc>
              <w:tc>
                <w:tcPr>
                  <w:tcW w:w="471" w:type="pct"/>
                  <w:tcBorders>
                    <w:tl2br w:val="nil"/>
                    <w:tr2bl w:val="nil"/>
                  </w:tcBorders>
                  <w:vAlign w:val="center"/>
                </w:tcPr>
                <w:p w14:paraId="13C71BD1">
                  <w:pPr>
                    <w:jc w:val="center"/>
                  </w:pPr>
                  <w:r>
                    <w:t>TP</w:t>
                  </w:r>
                </w:p>
              </w:tc>
              <w:tc>
                <w:tcPr>
                  <w:tcW w:w="227" w:type="pct"/>
                  <w:vMerge w:val="continue"/>
                  <w:tcBorders>
                    <w:tl2br w:val="nil"/>
                    <w:tr2bl w:val="nil"/>
                  </w:tcBorders>
                  <w:vAlign w:val="center"/>
                </w:tcPr>
                <w:p w14:paraId="5882DE84">
                  <w:pPr>
                    <w:jc w:val="center"/>
                  </w:pPr>
                </w:p>
              </w:tc>
              <w:tc>
                <w:tcPr>
                  <w:tcW w:w="745" w:type="dxa"/>
                  <w:vMerge w:val="continue"/>
                  <w:tcBorders>
                    <w:tl2br w:val="nil"/>
                    <w:tr2bl w:val="nil"/>
                  </w:tcBorders>
                  <w:vAlign w:val="center"/>
                </w:tcPr>
                <w:p w14:paraId="2F9F53A2">
                  <w:pPr>
                    <w:jc w:val="center"/>
                  </w:pPr>
                </w:p>
              </w:tc>
              <w:tc>
                <w:tcPr>
                  <w:tcW w:w="877" w:type="dxa"/>
                  <w:tcBorders>
                    <w:tl2br w:val="nil"/>
                    <w:tr2bl w:val="nil"/>
                  </w:tcBorders>
                  <w:vAlign w:val="center"/>
                </w:tcPr>
                <w:p w14:paraId="0E5833FD">
                  <w:pPr>
                    <w:widowControl/>
                    <w:jc w:val="center"/>
                    <w:textAlignment w:val="center"/>
                  </w:pPr>
                  <w:r>
                    <w:rPr>
                      <w:kern w:val="0"/>
                      <w:lang w:bidi="ar"/>
                    </w:rPr>
                    <w:t>9</w:t>
                  </w:r>
                </w:p>
              </w:tc>
              <w:tc>
                <w:tcPr>
                  <w:tcW w:w="933" w:type="dxa"/>
                  <w:tcBorders>
                    <w:tl2br w:val="nil"/>
                    <w:tr2bl w:val="nil"/>
                  </w:tcBorders>
                  <w:vAlign w:val="center"/>
                </w:tcPr>
                <w:p w14:paraId="68CF24FC">
                  <w:pPr>
                    <w:pStyle w:val="4"/>
                  </w:pPr>
                  <w:r>
                    <w:rPr>
                      <w:rFonts w:hint="eastAsia"/>
                      <w:lang w:val="en-US" w:eastAsia="zh-CN"/>
                    </w:rPr>
                    <w:t>0.139</w:t>
                  </w:r>
                </w:p>
              </w:tc>
              <w:tc>
                <w:tcPr>
                  <w:tcW w:w="345" w:type="pct"/>
                  <w:vMerge w:val="continue"/>
                  <w:tcBorders>
                    <w:tl2br w:val="nil"/>
                    <w:tr2bl w:val="nil"/>
                  </w:tcBorders>
                  <w:vAlign w:val="center"/>
                </w:tcPr>
                <w:p w14:paraId="6DCABA99">
                  <w:pPr>
                    <w:jc w:val="center"/>
                  </w:pPr>
                </w:p>
              </w:tc>
              <w:tc>
                <w:tcPr>
                  <w:tcW w:w="434" w:type="pct"/>
                  <w:tcBorders>
                    <w:tl2br w:val="nil"/>
                    <w:tr2bl w:val="nil"/>
                  </w:tcBorders>
                  <w:vAlign w:val="center"/>
                </w:tcPr>
                <w:p w14:paraId="156584BC">
                  <w:pPr>
                    <w:jc w:val="center"/>
                  </w:pPr>
                  <w:r>
                    <w:t>11</w:t>
                  </w:r>
                </w:p>
              </w:tc>
              <w:tc>
                <w:tcPr>
                  <w:tcW w:w="913" w:type="dxa"/>
                  <w:vMerge w:val="continue"/>
                  <w:tcBorders>
                    <w:tl2br w:val="nil"/>
                    <w:tr2bl w:val="nil"/>
                  </w:tcBorders>
                  <w:vAlign w:val="center"/>
                </w:tcPr>
                <w:p w14:paraId="72A1CB3A">
                  <w:pPr>
                    <w:jc w:val="center"/>
                  </w:pPr>
                </w:p>
              </w:tc>
              <w:tc>
                <w:tcPr>
                  <w:tcW w:w="852" w:type="dxa"/>
                  <w:tcBorders>
                    <w:tl2br w:val="nil"/>
                    <w:tr2bl w:val="nil"/>
                  </w:tcBorders>
                  <w:vAlign w:val="center"/>
                </w:tcPr>
                <w:p w14:paraId="43FE7358">
                  <w:pPr>
                    <w:widowControl/>
                    <w:jc w:val="center"/>
                    <w:textAlignment w:val="center"/>
                  </w:pPr>
                  <w:r>
                    <w:rPr>
                      <w:kern w:val="0"/>
                      <w:lang w:bidi="ar"/>
                    </w:rPr>
                    <w:t>8</w:t>
                  </w:r>
                </w:p>
              </w:tc>
              <w:tc>
                <w:tcPr>
                  <w:tcW w:w="852" w:type="dxa"/>
                  <w:tcBorders>
                    <w:tl2br w:val="nil"/>
                    <w:tr2bl w:val="nil"/>
                  </w:tcBorders>
                  <w:vAlign w:val="center"/>
                </w:tcPr>
                <w:p w14:paraId="139BD9CD">
                  <w:pPr>
                    <w:pStyle w:val="4"/>
                  </w:pPr>
                  <w:r>
                    <w:rPr>
                      <w:rFonts w:hint="eastAsia"/>
                      <w:lang w:val="en-US" w:eastAsia="zh-CN"/>
                    </w:rPr>
                    <w:t>0.123</w:t>
                  </w:r>
                </w:p>
              </w:tc>
              <w:tc>
                <w:tcPr>
                  <w:tcW w:w="510" w:type="pct"/>
                  <w:tcBorders>
                    <w:tl2br w:val="nil"/>
                    <w:tr2bl w:val="nil"/>
                  </w:tcBorders>
                  <w:vAlign w:val="center"/>
                </w:tcPr>
                <w:p w14:paraId="5CFF575A">
                  <w:pPr>
                    <w:jc w:val="center"/>
                  </w:pPr>
                  <w:r>
                    <w:t>8</w:t>
                  </w:r>
                </w:p>
              </w:tc>
            </w:tr>
            <w:tr w14:paraId="21716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 w:type="pct"/>
                  <w:vMerge w:val="continue"/>
                  <w:tcBorders>
                    <w:tl2br w:val="nil"/>
                    <w:tr2bl w:val="nil"/>
                  </w:tcBorders>
                  <w:vAlign w:val="center"/>
                </w:tcPr>
                <w:p w14:paraId="4DBC9FF9">
                  <w:pPr>
                    <w:jc w:val="center"/>
                  </w:pPr>
                </w:p>
              </w:tc>
              <w:tc>
                <w:tcPr>
                  <w:tcW w:w="471" w:type="pct"/>
                  <w:tcBorders>
                    <w:tl2br w:val="nil"/>
                    <w:tr2bl w:val="nil"/>
                  </w:tcBorders>
                  <w:vAlign w:val="center"/>
                </w:tcPr>
                <w:p w14:paraId="585204F9">
                  <w:pPr>
                    <w:jc w:val="center"/>
                  </w:pPr>
                  <w:r>
                    <w:t>动植物油</w:t>
                  </w:r>
                </w:p>
              </w:tc>
              <w:tc>
                <w:tcPr>
                  <w:tcW w:w="227" w:type="pct"/>
                  <w:vMerge w:val="continue"/>
                  <w:tcBorders>
                    <w:tl2br w:val="nil"/>
                    <w:tr2bl w:val="nil"/>
                  </w:tcBorders>
                  <w:vAlign w:val="center"/>
                </w:tcPr>
                <w:p w14:paraId="5D95A56A">
                  <w:pPr>
                    <w:jc w:val="center"/>
                  </w:pPr>
                </w:p>
              </w:tc>
              <w:tc>
                <w:tcPr>
                  <w:tcW w:w="745" w:type="dxa"/>
                  <w:vMerge w:val="continue"/>
                  <w:tcBorders>
                    <w:tl2br w:val="nil"/>
                    <w:tr2bl w:val="nil"/>
                  </w:tcBorders>
                  <w:vAlign w:val="center"/>
                </w:tcPr>
                <w:p w14:paraId="50F7AEFF">
                  <w:pPr>
                    <w:jc w:val="center"/>
                  </w:pPr>
                </w:p>
              </w:tc>
              <w:tc>
                <w:tcPr>
                  <w:tcW w:w="877" w:type="dxa"/>
                  <w:tcBorders>
                    <w:tl2br w:val="nil"/>
                    <w:tr2bl w:val="nil"/>
                  </w:tcBorders>
                  <w:vAlign w:val="center"/>
                </w:tcPr>
                <w:p w14:paraId="49013E29">
                  <w:pPr>
                    <w:widowControl/>
                    <w:jc w:val="center"/>
                    <w:textAlignment w:val="center"/>
                  </w:pPr>
                  <w:r>
                    <w:rPr>
                      <w:kern w:val="0"/>
                      <w:lang w:bidi="ar"/>
                    </w:rPr>
                    <w:t>25</w:t>
                  </w:r>
                </w:p>
              </w:tc>
              <w:tc>
                <w:tcPr>
                  <w:tcW w:w="933" w:type="dxa"/>
                  <w:tcBorders>
                    <w:tl2br w:val="nil"/>
                    <w:tr2bl w:val="nil"/>
                  </w:tcBorders>
                  <w:vAlign w:val="center"/>
                </w:tcPr>
                <w:p w14:paraId="4FBA7659">
                  <w:pPr>
                    <w:pStyle w:val="4"/>
                  </w:pPr>
                  <w:r>
                    <w:rPr>
                      <w:rFonts w:hint="eastAsia"/>
                      <w:lang w:val="en-US" w:eastAsia="zh-CN"/>
                    </w:rPr>
                    <w:t>0.386</w:t>
                  </w:r>
                </w:p>
              </w:tc>
              <w:tc>
                <w:tcPr>
                  <w:tcW w:w="345" w:type="pct"/>
                  <w:vMerge w:val="continue"/>
                  <w:tcBorders>
                    <w:tl2br w:val="nil"/>
                    <w:tr2bl w:val="nil"/>
                  </w:tcBorders>
                  <w:vAlign w:val="center"/>
                </w:tcPr>
                <w:p w14:paraId="3F5B0ACD">
                  <w:pPr>
                    <w:jc w:val="center"/>
                  </w:pPr>
                </w:p>
              </w:tc>
              <w:tc>
                <w:tcPr>
                  <w:tcW w:w="434" w:type="pct"/>
                  <w:tcBorders>
                    <w:tl2br w:val="nil"/>
                    <w:tr2bl w:val="nil"/>
                  </w:tcBorders>
                  <w:vAlign w:val="center"/>
                </w:tcPr>
                <w:p w14:paraId="22BA257A">
                  <w:pPr>
                    <w:jc w:val="center"/>
                  </w:pPr>
                  <w:r>
                    <w:t>20</w:t>
                  </w:r>
                </w:p>
              </w:tc>
              <w:tc>
                <w:tcPr>
                  <w:tcW w:w="913" w:type="dxa"/>
                  <w:vMerge w:val="continue"/>
                  <w:tcBorders>
                    <w:tl2br w:val="nil"/>
                    <w:tr2bl w:val="nil"/>
                  </w:tcBorders>
                  <w:vAlign w:val="center"/>
                </w:tcPr>
                <w:p w14:paraId="5A3C8C57">
                  <w:pPr>
                    <w:jc w:val="center"/>
                  </w:pPr>
                </w:p>
              </w:tc>
              <w:tc>
                <w:tcPr>
                  <w:tcW w:w="852" w:type="dxa"/>
                  <w:tcBorders>
                    <w:tl2br w:val="nil"/>
                    <w:tr2bl w:val="nil"/>
                  </w:tcBorders>
                  <w:vAlign w:val="center"/>
                </w:tcPr>
                <w:p w14:paraId="5FE0C955">
                  <w:pPr>
                    <w:widowControl/>
                    <w:jc w:val="center"/>
                    <w:textAlignment w:val="center"/>
                  </w:pPr>
                  <w:r>
                    <w:rPr>
                      <w:kern w:val="0"/>
                      <w:lang w:bidi="ar"/>
                    </w:rPr>
                    <w:t>20</w:t>
                  </w:r>
                </w:p>
              </w:tc>
              <w:tc>
                <w:tcPr>
                  <w:tcW w:w="852" w:type="dxa"/>
                  <w:tcBorders>
                    <w:tl2br w:val="nil"/>
                    <w:tr2bl w:val="nil"/>
                  </w:tcBorders>
                  <w:vAlign w:val="center"/>
                </w:tcPr>
                <w:p w14:paraId="4D98B904">
                  <w:pPr>
                    <w:pStyle w:val="4"/>
                  </w:pPr>
                  <w:r>
                    <w:rPr>
                      <w:rFonts w:hint="eastAsia"/>
                      <w:lang w:val="en-US" w:eastAsia="zh-CN"/>
                    </w:rPr>
                    <w:t>0.308</w:t>
                  </w:r>
                </w:p>
              </w:tc>
              <w:tc>
                <w:tcPr>
                  <w:tcW w:w="510" w:type="pct"/>
                  <w:tcBorders>
                    <w:tl2br w:val="nil"/>
                    <w:tr2bl w:val="nil"/>
                  </w:tcBorders>
                  <w:vAlign w:val="center"/>
                </w:tcPr>
                <w:p w14:paraId="76FEA0F2">
                  <w:pPr>
                    <w:jc w:val="center"/>
                  </w:pPr>
                  <w:r>
                    <w:t>20</w:t>
                  </w:r>
                </w:p>
              </w:tc>
            </w:tr>
          </w:tbl>
          <w:p w14:paraId="1606857A">
            <w:pPr>
              <w:spacing w:line="360" w:lineRule="auto"/>
              <w:ind w:firstLine="482" w:firstLineChars="200"/>
              <w:rPr>
                <w:b/>
                <w:bCs/>
                <w:sz w:val="24"/>
              </w:rPr>
            </w:pPr>
            <w:r>
              <w:rPr>
                <w:b/>
                <w:bCs/>
                <w:sz w:val="24"/>
              </w:rPr>
              <w:t>（2）排放口基本情况</w:t>
            </w:r>
          </w:p>
          <w:p w14:paraId="133B6932">
            <w:pPr>
              <w:spacing w:line="360" w:lineRule="auto"/>
              <w:ind w:firstLine="440" w:firstLineChars="200"/>
              <w:rPr>
                <w:bCs/>
                <w:spacing w:val="-10"/>
                <w:sz w:val="24"/>
              </w:rPr>
            </w:pPr>
            <w:r>
              <w:rPr>
                <w:bCs/>
                <w:spacing w:val="-10"/>
                <w:sz w:val="24"/>
              </w:rPr>
              <w:t>本项目废水排口设置情况见表4-</w:t>
            </w:r>
            <w:r>
              <w:rPr>
                <w:rFonts w:hint="eastAsia"/>
                <w:bCs/>
                <w:spacing w:val="-10"/>
                <w:sz w:val="24"/>
                <w:lang w:val="en-US" w:eastAsia="zh-CN"/>
              </w:rPr>
              <w:t>10</w:t>
            </w:r>
            <w:r>
              <w:rPr>
                <w:bCs/>
                <w:spacing w:val="-10"/>
                <w:sz w:val="24"/>
              </w:rPr>
              <w:t>。</w:t>
            </w:r>
          </w:p>
          <w:p w14:paraId="693F6EC4">
            <w:pPr>
              <w:spacing w:line="360" w:lineRule="auto"/>
              <w:jc w:val="center"/>
              <w:rPr>
                <w:b/>
                <w:bCs/>
                <w:sz w:val="24"/>
              </w:rPr>
            </w:pPr>
            <w:r>
              <w:rPr>
                <w:b/>
                <w:bCs/>
                <w:sz w:val="24"/>
              </w:rPr>
              <w:t>表4-</w:t>
            </w:r>
            <w:r>
              <w:rPr>
                <w:rFonts w:hint="eastAsia"/>
                <w:b/>
                <w:bCs/>
                <w:sz w:val="24"/>
                <w:lang w:val="en-US" w:eastAsia="zh-CN"/>
              </w:rPr>
              <w:t>10</w:t>
            </w:r>
            <w:r>
              <w:rPr>
                <w:b/>
                <w:bCs/>
                <w:sz w:val="24"/>
              </w:rPr>
              <w:t xml:space="preserve"> 废水排放口基本信息表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413"/>
              <w:gridCol w:w="1341"/>
              <w:gridCol w:w="1211"/>
              <w:gridCol w:w="1122"/>
              <w:gridCol w:w="1826"/>
              <w:gridCol w:w="778"/>
            </w:tblGrid>
            <w:tr w14:paraId="2FD7A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557" w:type="pct"/>
                  <w:vMerge w:val="restart"/>
                  <w:tcBorders>
                    <w:tl2br w:val="nil"/>
                    <w:tr2bl w:val="nil"/>
                  </w:tcBorders>
                  <w:vAlign w:val="center"/>
                </w:tcPr>
                <w:p w14:paraId="4189399B">
                  <w:pPr>
                    <w:jc w:val="center"/>
                    <w:rPr>
                      <w:b/>
                      <w:bCs/>
                      <w:spacing w:val="4"/>
                    </w:rPr>
                  </w:pPr>
                  <w:r>
                    <w:rPr>
                      <w:b/>
                      <w:bCs/>
                      <w:spacing w:val="4"/>
                    </w:rPr>
                    <w:t>排放口</w:t>
                  </w:r>
                </w:p>
                <w:p w14:paraId="4873D86F">
                  <w:pPr>
                    <w:jc w:val="center"/>
                    <w:rPr>
                      <w:b/>
                      <w:bCs/>
                      <w:spacing w:val="4"/>
                    </w:rPr>
                  </w:pPr>
                  <w:r>
                    <w:rPr>
                      <w:b/>
                      <w:bCs/>
                      <w:spacing w:val="4"/>
                    </w:rPr>
                    <w:t>编号</w:t>
                  </w:r>
                </w:p>
              </w:tc>
              <w:tc>
                <w:tcPr>
                  <w:tcW w:w="816" w:type="pct"/>
                  <w:vMerge w:val="restart"/>
                  <w:tcBorders>
                    <w:tl2br w:val="nil"/>
                    <w:tr2bl w:val="nil"/>
                  </w:tcBorders>
                  <w:vAlign w:val="center"/>
                </w:tcPr>
                <w:p w14:paraId="1F42EE19">
                  <w:pPr>
                    <w:jc w:val="center"/>
                    <w:rPr>
                      <w:b/>
                      <w:bCs/>
                      <w:spacing w:val="4"/>
                    </w:rPr>
                  </w:pPr>
                  <w:r>
                    <w:rPr>
                      <w:b/>
                      <w:bCs/>
                      <w:spacing w:val="4"/>
                    </w:rPr>
                    <w:t>排放口名称</w:t>
                  </w:r>
                </w:p>
              </w:tc>
              <w:tc>
                <w:tcPr>
                  <w:tcW w:w="1473" w:type="pct"/>
                  <w:gridSpan w:val="2"/>
                  <w:tcBorders>
                    <w:tl2br w:val="nil"/>
                    <w:tr2bl w:val="nil"/>
                  </w:tcBorders>
                  <w:vAlign w:val="center"/>
                </w:tcPr>
                <w:p w14:paraId="65B4EB67">
                  <w:pPr>
                    <w:jc w:val="center"/>
                    <w:rPr>
                      <w:b/>
                      <w:bCs/>
                      <w:spacing w:val="4"/>
                    </w:rPr>
                  </w:pPr>
                  <w:r>
                    <w:rPr>
                      <w:b/>
                      <w:bCs/>
                      <w:spacing w:val="4"/>
                    </w:rPr>
                    <w:t>排放口地理坐标</w:t>
                  </w:r>
                </w:p>
              </w:tc>
              <w:tc>
                <w:tcPr>
                  <w:tcW w:w="648" w:type="pct"/>
                  <w:vMerge w:val="restart"/>
                  <w:tcBorders>
                    <w:tl2br w:val="nil"/>
                    <w:tr2bl w:val="nil"/>
                  </w:tcBorders>
                  <w:vAlign w:val="center"/>
                </w:tcPr>
                <w:p w14:paraId="68B7C2B4">
                  <w:pPr>
                    <w:jc w:val="center"/>
                    <w:rPr>
                      <w:b/>
                      <w:bCs/>
                      <w:spacing w:val="4"/>
                    </w:rPr>
                  </w:pPr>
                  <w:r>
                    <w:rPr>
                      <w:b/>
                      <w:bCs/>
                      <w:spacing w:val="4"/>
                    </w:rPr>
                    <w:t>排放量（m</w:t>
                  </w:r>
                  <w:r>
                    <w:rPr>
                      <w:b/>
                      <w:bCs/>
                      <w:spacing w:val="4"/>
                      <w:vertAlign w:val="superscript"/>
                    </w:rPr>
                    <w:t>3</w:t>
                  </w:r>
                  <w:r>
                    <w:rPr>
                      <w:b/>
                      <w:bCs/>
                      <w:spacing w:val="4"/>
                    </w:rPr>
                    <w:t>/a）</w:t>
                  </w:r>
                </w:p>
              </w:tc>
              <w:tc>
                <w:tcPr>
                  <w:tcW w:w="1054" w:type="pct"/>
                  <w:vMerge w:val="restart"/>
                  <w:tcBorders>
                    <w:tl2br w:val="nil"/>
                    <w:tr2bl w:val="nil"/>
                  </w:tcBorders>
                  <w:vAlign w:val="center"/>
                </w:tcPr>
                <w:p w14:paraId="6CB56FFE">
                  <w:pPr>
                    <w:jc w:val="center"/>
                    <w:rPr>
                      <w:b/>
                      <w:bCs/>
                      <w:spacing w:val="4"/>
                    </w:rPr>
                  </w:pPr>
                  <w:r>
                    <w:rPr>
                      <w:b/>
                      <w:bCs/>
                      <w:spacing w:val="4"/>
                    </w:rPr>
                    <w:t>排放去向</w:t>
                  </w:r>
                </w:p>
              </w:tc>
              <w:tc>
                <w:tcPr>
                  <w:tcW w:w="449" w:type="pct"/>
                  <w:vMerge w:val="restart"/>
                  <w:tcBorders>
                    <w:tl2br w:val="nil"/>
                    <w:tr2bl w:val="nil"/>
                  </w:tcBorders>
                  <w:vAlign w:val="center"/>
                </w:tcPr>
                <w:p w14:paraId="0796661A">
                  <w:pPr>
                    <w:jc w:val="center"/>
                    <w:rPr>
                      <w:b/>
                      <w:bCs/>
                      <w:spacing w:val="4"/>
                    </w:rPr>
                  </w:pPr>
                  <w:r>
                    <w:rPr>
                      <w:b/>
                      <w:bCs/>
                      <w:spacing w:val="4"/>
                    </w:rPr>
                    <w:t>排放规律</w:t>
                  </w:r>
                </w:p>
              </w:tc>
            </w:tr>
            <w:tr w14:paraId="21FE9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tblHeader/>
                <w:jc w:val="center"/>
              </w:trPr>
              <w:tc>
                <w:tcPr>
                  <w:tcW w:w="557" w:type="pct"/>
                  <w:vMerge w:val="continue"/>
                  <w:tcBorders>
                    <w:tl2br w:val="nil"/>
                    <w:tr2bl w:val="nil"/>
                  </w:tcBorders>
                  <w:vAlign w:val="center"/>
                </w:tcPr>
                <w:p w14:paraId="0005F395">
                  <w:pPr>
                    <w:jc w:val="center"/>
                    <w:rPr>
                      <w:spacing w:val="4"/>
                    </w:rPr>
                  </w:pPr>
                </w:p>
              </w:tc>
              <w:tc>
                <w:tcPr>
                  <w:tcW w:w="816" w:type="pct"/>
                  <w:vMerge w:val="continue"/>
                  <w:tcBorders>
                    <w:tl2br w:val="nil"/>
                    <w:tr2bl w:val="nil"/>
                  </w:tcBorders>
                  <w:vAlign w:val="center"/>
                </w:tcPr>
                <w:p w14:paraId="7F5E47DC">
                  <w:pPr>
                    <w:jc w:val="center"/>
                    <w:rPr>
                      <w:spacing w:val="4"/>
                    </w:rPr>
                  </w:pPr>
                </w:p>
              </w:tc>
              <w:tc>
                <w:tcPr>
                  <w:tcW w:w="774" w:type="pct"/>
                  <w:tcBorders>
                    <w:tl2br w:val="nil"/>
                    <w:tr2bl w:val="nil"/>
                  </w:tcBorders>
                  <w:vAlign w:val="center"/>
                </w:tcPr>
                <w:p w14:paraId="5EF7AD9F">
                  <w:pPr>
                    <w:jc w:val="center"/>
                    <w:rPr>
                      <w:b/>
                      <w:bCs/>
                      <w:spacing w:val="4"/>
                    </w:rPr>
                  </w:pPr>
                  <w:r>
                    <w:rPr>
                      <w:b/>
                      <w:bCs/>
                      <w:spacing w:val="4"/>
                    </w:rPr>
                    <w:t>经度</w:t>
                  </w:r>
                </w:p>
              </w:tc>
              <w:tc>
                <w:tcPr>
                  <w:tcW w:w="699" w:type="pct"/>
                  <w:tcBorders>
                    <w:tl2br w:val="nil"/>
                    <w:tr2bl w:val="nil"/>
                  </w:tcBorders>
                  <w:vAlign w:val="center"/>
                </w:tcPr>
                <w:p w14:paraId="5ECC8759">
                  <w:pPr>
                    <w:jc w:val="center"/>
                    <w:rPr>
                      <w:b/>
                      <w:bCs/>
                      <w:spacing w:val="4"/>
                    </w:rPr>
                  </w:pPr>
                  <w:r>
                    <w:rPr>
                      <w:b/>
                      <w:bCs/>
                      <w:spacing w:val="4"/>
                    </w:rPr>
                    <w:t>纬度</w:t>
                  </w:r>
                </w:p>
              </w:tc>
              <w:tc>
                <w:tcPr>
                  <w:tcW w:w="648" w:type="pct"/>
                  <w:vMerge w:val="continue"/>
                  <w:tcBorders>
                    <w:tl2br w:val="nil"/>
                    <w:tr2bl w:val="nil"/>
                  </w:tcBorders>
                  <w:vAlign w:val="center"/>
                </w:tcPr>
                <w:p w14:paraId="67715252">
                  <w:pPr>
                    <w:jc w:val="center"/>
                    <w:rPr>
                      <w:spacing w:val="4"/>
                    </w:rPr>
                  </w:pPr>
                </w:p>
              </w:tc>
              <w:tc>
                <w:tcPr>
                  <w:tcW w:w="1054" w:type="pct"/>
                  <w:vMerge w:val="continue"/>
                  <w:tcBorders>
                    <w:tl2br w:val="nil"/>
                    <w:tr2bl w:val="nil"/>
                  </w:tcBorders>
                  <w:vAlign w:val="center"/>
                </w:tcPr>
                <w:p w14:paraId="017010B3">
                  <w:pPr>
                    <w:jc w:val="center"/>
                    <w:rPr>
                      <w:spacing w:val="4"/>
                    </w:rPr>
                  </w:pPr>
                </w:p>
              </w:tc>
              <w:tc>
                <w:tcPr>
                  <w:tcW w:w="449" w:type="pct"/>
                  <w:vMerge w:val="continue"/>
                  <w:tcBorders>
                    <w:tl2br w:val="nil"/>
                    <w:tr2bl w:val="nil"/>
                  </w:tcBorders>
                  <w:vAlign w:val="center"/>
                </w:tcPr>
                <w:p w14:paraId="433D4EA3">
                  <w:pPr>
                    <w:jc w:val="center"/>
                    <w:rPr>
                      <w:spacing w:val="4"/>
                    </w:rPr>
                  </w:pPr>
                </w:p>
              </w:tc>
            </w:tr>
            <w:tr w14:paraId="55370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557" w:type="pct"/>
                  <w:tcBorders>
                    <w:tl2br w:val="nil"/>
                    <w:tr2bl w:val="nil"/>
                  </w:tcBorders>
                  <w:vAlign w:val="center"/>
                </w:tcPr>
                <w:p w14:paraId="3E38521B">
                  <w:pPr>
                    <w:jc w:val="center"/>
                    <w:rPr>
                      <w:spacing w:val="4"/>
                    </w:rPr>
                  </w:pPr>
                  <w:r>
                    <w:rPr>
                      <w:spacing w:val="4"/>
                    </w:rPr>
                    <w:t>DW001</w:t>
                  </w:r>
                </w:p>
              </w:tc>
              <w:tc>
                <w:tcPr>
                  <w:tcW w:w="816" w:type="pct"/>
                  <w:tcBorders>
                    <w:tl2br w:val="nil"/>
                    <w:tr2bl w:val="nil"/>
                  </w:tcBorders>
                  <w:vAlign w:val="center"/>
                </w:tcPr>
                <w:p w14:paraId="11B29B0C">
                  <w:pPr>
                    <w:jc w:val="center"/>
                    <w:rPr>
                      <w:spacing w:val="4"/>
                    </w:rPr>
                  </w:pPr>
                  <w:r>
                    <w:rPr>
                      <w:spacing w:val="4"/>
                    </w:rPr>
                    <w:t>医院废水总排口</w:t>
                  </w:r>
                </w:p>
              </w:tc>
              <w:tc>
                <w:tcPr>
                  <w:tcW w:w="774" w:type="pct"/>
                  <w:tcBorders>
                    <w:tl2br w:val="nil"/>
                    <w:tr2bl w:val="nil"/>
                  </w:tcBorders>
                  <w:vAlign w:val="center"/>
                </w:tcPr>
                <w:p w14:paraId="0BF2C88B">
                  <w:pPr>
                    <w:jc w:val="center"/>
                    <w:rPr>
                      <w:spacing w:val="4"/>
                    </w:rPr>
                  </w:pPr>
                  <w:r>
                    <w:rPr>
                      <w:spacing w:val="4"/>
                    </w:rPr>
                    <w:t>107.54585°</w:t>
                  </w:r>
                </w:p>
              </w:tc>
              <w:tc>
                <w:tcPr>
                  <w:tcW w:w="699" w:type="pct"/>
                  <w:tcBorders>
                    <w:tl2br w:val="nil"/>
                    <w:tr2bl w:val="nil"/>
                  </w:tcBorders>
                  <w:vAlign w:val="center"/>
                </w:tcPr>
                <w:p w14:paraId="7C044446">
                  <w:pPr>
                    <w:jc w:val="center"/>
                    <w:rPr>
                      <w:spacing w:val="4"/>
                    </w:rPr>
                  </w:pPr>
                  <w:r>
                    <w:rPr>
                      <w:spacing w:val="4"/>
                    </w:rPr>
                    <w:t>31.31274°</w:t>
                  </w:r>
                </w:p>
              </w:tc>
              <w:tc>
                <w:tcPr>
                  <w:tcW w:w="648" w:type="pct"/>
                  <w:tcBorders>
                    <w:tl2br w:val="nil"/>
                    <w:tr2bl w:val="nil"/>
                  </w:tcBorders>
                  <w:vAlign w:val="center"/>
                </w:tcPr>
                <w:p w14:paraId="4ABC3215">
                  <w:pPr>
                    <w:jc w:val="center"/>
                    <w:rPr>
                      <w:rFonts w:hint="eastAsia" w:eastAsia="宋体"/>
                      <w:spacing w:val="4"/>
                      <w:lang w:eastAsia="zh-CN"/>
                    </w:rPr>
                  </w:pPr>
                  <w:r>
                    <w:rPr>
                      <w:rFonts w:hint="eastAsia"/>
                      <w:lang w:eastAsia="zh-CN"/>
                    </w:rPr>
                    <w:t>15421.25</w:t>
                  </w:r>
                </w:p>
              </w:tc>
              <w:tc>
                <w:tcPr>
                  <w:tcW w:w="1054" w:type="pct"/>
                  <w:tcBorders>
                    <w:tl2br w:val="nil"/>
                    <w:tr2bl w:val="nil"/>
                  </w:tcBorders>
                  <w:vAlign w:val="center"/>
                </w:tcPr>
                <w:p w14:paraId="30DA24D3">
                  <w:pPr>
                    <w:jc w:val="center"/>
                    <w:rPr>
                      <w:spacing w:val="4"/>
                    </w:rPr>
                  </w:pPr>
                  <w:r>
                    <w:rPr>
                      <w:rFonts w:hint="eastAsia"/>
                      <w:spacing w:val="4"/>
                    </w:rPr>
                    <w:t>罗江镇</w:t>
                  </w:r>
                  <w:r>
                    <w:rPr>
                      <w:spacing w:val="4"/>
                    </w:rPr>
                    <w:t>污水处理厂</w:t>
                  </w:r>
                </w:p>
              </w:tc>
              <w:tc>
                <w:tcPr>
                  <w:tcW w:w="449" w:type="pct"/>
                  <w:tcBorders>
                    <w:tl2br w:val="nil"/>
                    <w:tr2bl w:val="nil"/>
                  </w:tcBorders>
                  <w:vAlign w:val="center"/>
                </w:tcPr>
                <w:p w14:paraId="3BC37A49">
                  <w:pPr>
                    <w:jc w:val="center"/>
                    <w:rPr>
                      <w:spacing w:val="4"/>
                    </w:rPr>
                  </w:pPr>
                  <w:r>
                    <w:rPr>
                      <w:spacing w:val="4"/>
                    </w:rPr>
                    <w:t>连续排放</w:t>
                  </w:r>
                </w:p>
              </w:tc>
            </w:tr>
          </w:tbl>
          <w:p w14:paraId="3C425E5F">
            <w:pPr>
              <w:spacing w:line="360" w:lineRule="auto"/>
              <w:ind w:firstLine="482" w:firstLineChars="200"/>
              <w:rPr>
                <w:b/>
                <w:bCs/>
                <w:sz w:val="24"/>
              </w:rPr>
            </w:pPr>
            <w:r>
              <w:rPr>
                <w:rFonts w:hint="eastAsia"/>
                <w:b/>
                <w:bCs/>
                <w:sz w:val="24"/>
              </w:rPr>
              <w:t>5</w:t>
            </w:r>
            <w:r>
              <w:rPr>
                <w:b/>
                <w:bCs/>
                <w:sz w:val="24"/>
              </w:rPr>
              <w:t>、监测要求</w:t>
            </w:r>
          </w:p>
          <w:p w14:paraId="592B48CA">
            <w:pPr>
              <w:spacing w:line="360" w:lineRule="auto"/>
              <w:ind w:firstLine="440" w:firstLineChars="200"/>
              <w:rPr>
                <w:bCs/>
                <w:spacing w:val="-10"/>
                <w:sz w:val="24"/>
              </w:rPr>
            </w:pPr>
            <w:r>
              <w:rPr>
                <w:bCs/>
                <w:spacing w:val="-10"/>
                <w:sz w:val="24"/>
              </w:rPr>
              <w:t>根据</w:t>
            </w:r>
            <w:r>
              <w:rPr>
                <w:sz w:val="24"/>
              </w:rPr>
              <w:t>《排污许可证申请与核发技术规范 医疗机构》（HJ1105-2020）提出项目生产运行阶段的污染源监测计划，详见下表：</w:t>
            </w:r>
          </w:p>
          <w:p w14:paraId="6C9444E6">
            <w:pPr>
              <w:spacing w:line="360" w:lineRule="auto"/>
              <w:jc w:val="center"/>
              <w:rPr>
                <w:b/>
                <w:bCs/>
                <w:sz w:val="24"/>
              </w:rPr>
            </w:pPr>
            <w:r>
              <w:rPr>
                <w:b/>
                <w:bCs/>
                <w:sz w:val="24"/>
              </w:rPr>
              <w:t>表4-</w:t>
            </w:r>
            <w:r>
              <w:rPr>
                <w:rFonts w:hint="eastAsia"/>
                <w:b/>
                <w:bCs/>
                <w:sz w:val="24"/>
              </w:rPr>
              <w:t>1</w:t>
            </w:r>
            <w:r>
              <w:rPr>
                <w:rFonts w:hint="eastAsia"/>
                <w:b/>
                <w:bCs/>
                <w:sz w:val="24"/>
                <w:lang w:val="en-US" w:eastAsia="zh-CN"/>
              </w:rPr>
              <w:t>1</w:t>
            </w:r>
            <w:r>
              <w:rPr>
                <w:rFonts w:hint="eastAsia"/>
                <w:b/>
                <w:bCs/>
                <w:sz w:val="24"/>
              </w:rPr>
              <w:t xml:space="preserve"> </w:t>
            </w:r>
            <w:r>
              <w:rPr>
                <w:b/>
                <w:bCs/>
                <w:sz w:val="24"/>
              </w:rPr>
              <w:t>废水监测方案</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3745"/>
              <w:gridCol w:w="1377"/>
              <w:gridCol w:w="1943"/>
            </w:tblGrid>
            <w:tr w14:paraId="679DB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tcBorders>
                    <w:tl2br w:val="nil"/>
                    <w:tr2bl w:val="nil"/>
                  </w:tcBorders>
                  <w:vAlign w:val="center"/>
                </w:tcPr>
                <w:p w14:paraId="0F240B64">
                  <w:pPr>
                    <w:jc w:val="center"/>
                    <w:rPr>
                      <w:b/>
                      <w:bCs/>
                    </w:rPr>
                  </w:pPr>
                  <w:r>
                    <w:rPr>
                      <w:b/>
                      <w:bCs/>
                    </w:rPr>
                    <w:t>监测点位</w:t>
                  </w:r>
                </w:p>
              </w:tc>
              <w:tc>
                <w:tcPr>
                  <w:tcW w:w="2163" w:type="pct"/>
                  <w:tcBorders>
                    <w:tl2br w:val="nil"/>
                    <w:tr2bl w:val="nil"/>
                  </w:tcBorders>
                  <w:vAlign w:val="center"/>
                </w:tcPr>
                <w:p w14:paraId="74D5BB17">
                  <w:pPr>
                    <w:jc w:val="center"/>
                    <w:rPr>
                      <w:b/>
                      <w:bCs/>
                    </w:rPr>
                  </w:pPr>
                  <w:r>
                    <w:rPr>
                      <w:b/>
                      <w:bCs/>
                    </w:rPr>
                    <w:t>监测指标</w:t>
                  </w:r>
                </w:p>
              </w:tc>
              <w:tc>
                <w:tcPr>
                  <w:tcW w:w="795" w:type="pct"/>
                  <w:tcBorders>
                    <w:tl2br w:val="nil"/>
                    <w:tr2bl w:val="nil"/>
                  </w:tcBorders>
                  <w:vAlign w:val="center"/>
                </w:tcPr>
                <w:p w14:paraId="4677514C">
                  <w:pPr>
                    <w:jc w:val="center"/>
                    <w:rPr>
                      <w:b/>
                      <w:bCs/>
                    </w:rPr>
                  </w:pPr>
                  <w:r>
                    <w:rPr>
                      <w:b/>
                      <w:bCs/>
                    </w:rPr>
                    <w:t>监测频次</w:t>
                  </w:r>
                </w:p>
              </w:tc>
              <w:tc>
                <w:tcPr>
                  <w:tcW w:w="1122" w:type="pct"/>
                  <w:tcBorders>
                    <w:tl2br w:val="nil"/>
                    <w:tr2bl w:val="nil"/>
                  </w:tcBorders>
                  <w:vAlign w:val="center"/>
                </w:tcPr>
                <w:p w14:paraId="6A76B8D5">
                  <w:pPr>
                    <w:jc w:val="center"/>
                    <w:rPr>
                      <w:b/>
                      <w:bCs/>
                    </w:rPr>
                  </w:pPr>
                  <w:r>
                    <w:rPr>
                      <w:b/>
                      <w:bCs/>
                    </w:rPr>
                    <w:t>执行排放标准</w:t>
                  </w:r>
                </w:p>
              </w:tc>
            </w:tr>
            <w:tr w14:paraId="7D391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Merge w:val="restart"/>
                  <w:tcBorders>
                    <w:tl2br w:val="nil"/>
                    <w:tr2bl w:val="nil"/>
                  </w:tcBorders>
                  <w:vAlign w:val="center"/>
                </w:tcPr>
                <w:p w14:paraId="2873B32D">
                  <w:pPr>
                    <w:jc w:val="center"/>
                  </w:pPr>
                  <w:r>
                    <w:rPr>
                      <w:spacing w:val="4"/>
                    </w:rPr>
                    <w:t>医院废水总排口</w:t>
                  </w:r>
                </w:p>
              </w:tc>
              <w:tc>
                <w:tcPr>
                  <w:tcW w:w="2163" w:type="pct"/>
                  <w:tcBorders>
                    <w:tl2br w:val="nil"/>
                    <w:tr2bl w:val="nil"/>
                  </w:tcBorders>
                  <w:vAlign w:val="center"/>
                </w:tcPr>
                <w:p w14:paraId="79AD8EC6">
                  <w:pPr>
                    <w:jc w:val="center"/>
                  </w:pPr>
                  <w:r>
                    <w:t>流量</w:t>
                  </w:r>
                </w:p>
              </w:tc>
              <w:tc>
                <w:tcPr>
                  <w:tcW w:w="795" w:type="pct"/>
                  <w:tcBorders>
                    <w:tl2br w:val="nil"/>
                    <w:tr2bl w:val="nil"/>
                  </w:tcBorders>
                  <w:vAlign w:val="center"/>
                </w:tcPr>
                <w:p w14:paraId="124B426F">
                  <w:pPr>
                    <w:jc w:val="center"/>
                  </w:pPr>
                  <w:r>
                    <w:t>自动监测</w:t>
                  </w:r>
                </w:p>
              </w:tc>
              <w:tc>
                <w:tcPr>
                  <w:tcW w:w="1122" w:type="pct"/>
                  <w:vMerge w:val="restart"/>
                  <w:tcBorders>
                    <w:tl2br w:val="nil"/>
                    <w:tr2bl w:val="nil"/>
                  </w:tcBorders>
                  <w:vAlign w:val="center"/>
                </w:tcPr>
                <w:p w14:paraId="6C406394">
                  <w:pPr>
                    <w:jc w:val="center"/>
                  </w:pPr>
                  <w:r>
                    <w:t>《医疗机构水污染物排放标准》（GB18466-2005）</w:t>
                  </w:r>
                </w:p>
              </w:tc>
            </w:tr>
            <w:tr w14:paraId="4E6C4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Merge w:val="continue"/>
                  <w:tcBorders>
                    <w:tl2br w:val="nil"/>
                    <w:tr2bl w:val="nil"/>
                  </w:tcBorders>
                  <w:vAlign w:val="center"/>
                </w:tcPr>
                <w:p w14:paraId="12CDC11E">
                  <w:pPr>
                    <w:jc w:val="center"/>
                    <w:rPr>
                      <w:spacing w:val="4"/>
                    </w:rPr>
                  </w:pPr>
                </w:p>
              </w:tc>
              <w:tc>
                <w:tcPr>
                  <w:tcW w:w="2163" w:type="pct"/>
                  <w:tcBorders>
                    <w:tl2br w:val="nil"/>
                    <w:tr2bl w:val="nil"/>
                  </w:tcBorders>
                  <w:vAlign w:val="center"/>
                </w:tcPr>
                <w:p w14:paraId="7A7667F3">
                  <w:pPr>
                    <w:jc w:val="center"/>
                  </w:pPr>
                  <w:r>
                    <w:t>pH</w:t>
                  </w:r>
                </w:p>
              </w:tc>
              <w:tc>
                <w:tcPr>
                  <w:tcW w:w="795" w:type="pct"/>
                  <w:tcBorders>
                    <w:tl2br w:val="nil"/>
                    <w:tr2bl w:val="nil"/>
                  </w:tcBorders>
                  <w:vAlign w:val="center"/>
                </w:tcPr>
                <w:p w14:paraId="2B7EBD21">
                  <w:pPr>
                    <w:jc w:val="center"/>
                  </w:pPr>
                  <w:r>
                    <w:t>12小时</w:t>
                  </w:r>
                </w:p>
              </w:tc>
              <w:tc>
                <w:tcPr>
                  <w:tcW w:w="1122" w:type="pct"/>
                  <w:vMerge w:val="continue"/>
                  <w:tcBorders>
                    <w:tl2br w:val="nil"/>
                    <w:tr2bl w:val="nil"/>
                  </w:tcBorders>
                  <w:vAlign w:val="center"/>
                </w:tcPr>
                <w:p w14:paraId="382A6B89">
                  <w:pPr>
                    <w:jc w:val="center"/>
                    <w:rPr>
                      <w:sz w:val="18"/>
                      <w:szCs w:val="18"/>
                    </w:rPr>
                  </w:pPr>
                </w:p>
              </w:tc>
            </w:tr>
            <w:tr w14:paraId="2AFB9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Merge w:val="continue"/>
                  <w:tcBorders>
                    <w:tl2br w:val="nil"/>
                    <w:tr2bl w:val="nil"/>
                  </w:tcBorders>
                  <w:vAlign w:val="center"/>
                </w:tcPr>
                <w:p w14:paraId="2B7B80E3">
                  <w:pPr>
                    <w:jc w:val="center"/>
                    <w:rPr>
                      <w:spacing w:val="4"/>
                    </w:rPr>
                  </w:pPr>
                </w:p>
              </w:tc>
              <w:tc>
                <w:tcPr>
                  <w:tcW w:w="2163" w:type="pct"/>
                  <w:tcBorders>
                    <w:tl2br w:val="nil"/>
                    <w:tr2bl w:val="nil"/>
                  </w:tcBorders>
                  <w:vAlign w:val="center"/>
                </w:tcPr>
                <w:p w14:paraId="3C0C4A99">
                  <w:pPr>
                    <w:jc w:val="center"/>
                  </w:pPr>
                  <w:r>
                    <w:t>COD、SS</w:t>
                  </w:r>
                </w:p>
              </w:tc>
              <w:tc>
                <w:tcPr>
                  <w:tcW w:w="795" w:type="pct"/>
                  <w:tcBorders>
                    <w:tl2br w:val="nil"/>
                    <w:tr2bl w:val="nil"/>
                  </w:tcBorders>
                  <w:vAlign w:val="center"/>
                </w:tcPr>
                <w:p w14:paraId="3E96AA05">
                  <w:pPr>
                    <w:jc w:val="center"/>
                  </w:pPr>
                  <w:r>
                    <w:t>周/次</w:t>
                  </w:r>
                </w:p>
              </w:tc>
              <w:tc>
                <w:tcPr>
                  <w:tcW w:w="1122" w:type="pct"/>
                  <w:vMerge w:val="continue"/>
                  <w:tcBorders>
                    <w:tl2br w:val="nil"/>
                    <w:tr2bl w:val="nil"/>
                  </w:tcBorders>
                  <w:vAlign w:val="center"/>
                </w:tcPr>
                <w:p w14:paraId="350564DF">
                  <w:pPr>
                    <w:jc w:val="center"/>
                    <w:rPr>
                      <w:sz w:val="18"/>
                      <w:szCs w:val="18"/>
                    </w:rPr>
                  </w:pPr>
                </w:p>
              </w:tc>
            </w:tr>
            <w:tr w14:paraId="5511C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Merge w:val="continue"/>
                  <w:tcBorders>
                    <w:tl2br w:val="nil"/>
                    <w:tr2bl w:val="nil"/>
                  </w:tcBorders>
                  <w:vAlign w:val="center"/>
                </w:tcPr>
                <w:p w14:paraId="11E16C56">
                  <w:pPr>
                    <w:jc w:val="center"/>
                    <w:rPr>
                      <w:spacing w:val="4"/>
                    </w:rPr>
                  </w:pPr>
                </w:p>
              </w:tc>
              <w:tc>
                <w:tcPr>
                  <w:tcW w:w="2163" w:type="pct"/>
                  <w:tcBorders>
                    <w:tl2br w:val="nil"/>
                    <w:tr2bl w:val="nil"/>
                  </w:tcBorders>
                  <w:vAlign w:val="center"/>
                </w:tcPr>
                <w:p w14:paraId="1005CED3">
                  <w:pPr>
                    <w:jc w:val="center"/>
                  </w:pPr>
                  <w:r>
                    <w:t>粪大肠菌群数</w:t>
                  </w:r>
                </w:p>
              </w:tc>
              <w:tc>
                <w:tcPr>
                  <w:tcW w:w="795" w:type="pct"/>
                  <w:tcBorders>
                    <w:tl2br w:val="nil"/>
                    <w:tr2bl w:val="nil"/>
                  </w:tcBorders>
                  <w:vAlign w:val="center"/>
                </w:tcPr>
                <w:p w14:paraId="49DC353E">
                  <w:pPr>
                    <w:jc w:val="center"/>
                  </w:pPr>
                  <w:r>
                    <w:t>月/次</w:t>
                  </w:r>
                </w:p>
              </w:tc>
              <w:tc>
                <w:tcPr>
                  <w:tcW w:w="1122" w:type="pct"/>
                  <w:vMerge w:val="continue"/>
                  <w:tcBorders>
                    <w:tl2br w:val="nil"/>
                    <w:tr2bl w:val="nil"/>
                  </w:tcBorders>
                  <w:vAlign w:val="center"/>
                </w:tcPr>
                <w:p w14:paraId="1FF35508">
                  <w:pPr>
                    <w:jc w:val="center"/>
                    <w:rPr>
                      <w:sz w:val="18"/>
                      <w:szCs w:val="18"/>
                    </w:rPr>
                  </w:pPr>
                </w:p>
              </w:tc>
            </w:tr>
            <w:tr w14:paraId="0298D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9" w:type="pct"/>
                  <w:vMerge w:val="continue"/>
                  <w:tcBorders>
                    <w:tl2br w:val="nil"/>
                    <w:tr2bl w:val="nil"/>
                  </w:tcBorders>
                  <w:vAlign w:val="center"/>
                </w:tcPr>
                <w:p w14:paraId="27319FBB">
                  <w:pPr>
                    <w:jc w:val="center"/>
                    <w:rPr>
                      <w:spacing w:val="4"/>
                    </w:rPr>
                  </w:pPr>
                </w:p>
              </w:tc>
              <w:tc>
                <w:tcPr>
                  <w:tcW w:w="2163" w:type="pct"/>
                  <w:tcBorders>
                    <w:tl2br w:val="nil"/>
                    <w:tr2bl w:val="nil"/>
                  </w:tcBorders>
                  <w:vAlign w:val="center"/>
                </w:tcPr>
                <w:p w14:paraId="35C99237">
                  <w:pPr>
                    <w:jc w:val="center"/>
                  </w:pPr>
                  <w:r>
                    <w:t>BOD</w:t>
                  </w:r>
                  <w:r>
                    <w:rPr>
                      <w:vertAlign w:val="subscript"/>
                    </w:rPr>
                    <w:t>5</w:t>
                  </w:r>
                  <w:r>
                    <w:t>、NH</w:t>
                  </w:r>
                  <w:r>
                    <w:rPr>
                      <w:vertAlign w:val="subscript"/>
                    </w:rPr>
                    <w:t>3</w:t>
                  </w:r>
                  <w:r>
                    <w:t>-N、TP、动植物油、阴离子表面活性剂、总余氯、挥发酚</w:t>
                  </w:r>
                </w:p>
              </w:tc>
              <w:tc>
                <w:tcPr>
                  <w:tcW w:w="795" w:type="pct"/>
                  <w:tcBorders>
                    <w:tl2br w:val="nil"/>
                    <w:tr2bl w:val="nil"/>
                  </w:tcBorders>
                  <w:vAlign w:val="center"/>
                </w:tcPr>
                <w:p w14:paraId="10FB1430">
                  <w:pPr>
                    <w:jc w:val="center"/>
                  </w:pPr>
                  <w:r>
                    <w:t>季度/次</w:t>
                  </w:r>
                </w:p>
              </w:tc>
              <w:tc>
                <w:tcPr>
                  <w:tcW w:w="1122" w:type="pct"/>
                  <w:vMerge w:val="continue"/>
                  <w:tcBorders>
                    <w:tl2br w:val="nil"/>
                    <w:tr2bl w:val="nil"/>
                  </w:tcBorders>
                  <w:vAlign w:val="center"/>
                </w:tcPr>
                <w:p w14:paraId="0B421E80">
                  <w:pPr>
                    <w:jc w:val="center"/>
                    <w:rPr>
                      <w:sz w:val="18"/>
                      <w:szCs w:val="18"/>
                    </w:rPr>
                  </w:pPr>
                </w:p>
              </w:tc>
            </w:tr>
          </w:tbl>
          <w:p w14:paraId="3D55EFCC">
            <w:pPr>
              <w:pStyle w:val="8"/>
              <w:spacing w:after="0" w:line="360" w:lineRule="auto"/>
              <w:ind w:firstLine="482" w:firstLineChars="200"/>
              <w:rPr>
                <w:b/>
                <w:bCs/>
                <w:sz w:val="24"/>
              </w:rPr>
            </w:pPr>
            <w:r>
              <w:rPr>
                <w:b/>
                <w:bCs/>
                <w:sz w:val="24"/>
              </w:rPr>
              <w:t>三、噪声</w:t>
            </w:r>
          </w:p>
          <w:p w14:paraId="24DD4BFE">
            <w:pPr>
              <w:pStyle w:val="8"/>
              <w:spacing w:after="0" w:line="360" w:lineRule="auto"/>
              <w:ind w:firstLine="480" w:firstLineChars="200"/>
              <w:rPr>
                <w:sz w:val="24"/>
              </w:rPr>
            </w:pPr>
            <w:r>
              <w:rPr>
                <w:sz w:val="24"/>
              </w:rPr>
              <w:t>为确保项目运营期厂界噪声达到《工业企业厂界环境噪声排放标准》（GB12348-2008）中2类标准，建设单位</w:t>
            </w:r>
            <w:r>
              <w:rPr>
                <w:rFonts w:hint="eastAsia"/>
                <w:sz w:val="24"/>
              </w:rPr>
              <w:t>拟</w:t>
            </w:r>
            <w:r>
              <w:rPr>
                <w:sz w:val="24"/>
              </w:rPr>
              <w:t>采取</w:t>
            </w:r>
            <w:r>
              <w:rPr>
                <w:rFonts w:hint="eastAsia"/>
                <w:sz w:val="24"/>
              </w:rPr>
              <w:t>以下</w:t>
            </w:r>
            <w:r>
              <w:rPr>
                <w:sz w:val="24"/>
              </w:rPr>
              <w:t>噪声防治措施：</w:t>
            </w:r>
          </w:p>
          <w:p w14:paraId="58B90273">
            <w:pPr>
              <w:pStyle w:val="8"/>
              <w:spacing w:after="0" w:line="360" w:lineRule="auto"/>
              <w:ind w:firstLine="482" w:firstLineChars="200"/>
              <w:rPr>
                <w:sz w:val="24"/>
              </w:rPr>
            </w:pPr>
            <w:r>
              <w:rPr>
                <w:b/>
                <w:bCs/>
                <w:sz w:val="24"/>
              </w:rPr>
              <w:t>（1）设备运行噪声</w:t>
            </w:r>
          </w:p>
          <w:p w14:paraId="4C9FD1F0">
            <w:pPr>
              <w:pStyle w:val="8"/>
              <w:spacing w:after="0" w:line="360" w:lineRule="auto"/>
              <w:ind w:firstLine="480" w:firstLineChars="200"/>
              <w:rPr>
                <w:sz w:val="24"/>
              </w:rPr>
            </w:pPr>
            <w:r>
              <w:rPr>
                <w:sz w:val="24"/>
              </w:rPr>
              <w:t>①医疗设备噪声</w:t>
            </w:r>
          </w:p>
          <w:p w14:paraId="2A45CE10">
            <w:pPr>
              <w:pStyle w:val="8"/>
              <w:spacing w:after="0" w:line="360" w:lineRule="auto"/>
              <w:ind w:firstLine="480" w:firstLineChars="200"/>
              <w:rPr>
                <w:sz w:val="24"/>
              </w:rPr>
            </w:pPr>
            <w:r>
              <w:rPr>
                <w:sz w:val="24"/>
              </w:rPr>
              <w:t>项目医疗设备均为低噪声设备，源强约为60dB（A），无高噪声设备。医疗设备噪声源强值较低，加之置于室内，可做到达标排放。</w:t>
            </w:r>
          </w:p>
          <w:p w14:paraId="52FF088A">
            <w:pPr>
              <w:pStyle w:val="8"/>
              <w:spacing w:after="0" w:line="360" w:lineRule="auto"/>
              <w:ind w:firstLine="480" w:firstLineChars="200"/>
              <w:rPr>
                <w:sz w:val="24"/>
              </w:rPr>
            </w:pPr>
            <w:r>
              <w:rPr>
                <w:sz w:val="24"/>
              </w:rPr>
              <w:t>②空调噪声</w:t>
            </w:r>
          </w:p>
          <w:p w14:paraId="1CF76FF9">
            <w:pPr>
              <w:pStyle w:val="8"/>
              <w:spacing w:after="0" w:line="360" w:lineRule="auto"/>
              <w:ind w:firstLine="480" w:firstLineChars="200"/>
              <w:rPr>
                <w:sz w:val="24"/>
              </w:rPr>
            </w:pPr>
            <w:r>
              <w:rPr>
                <w:sz w:val="24"/>
              </w:rPr>
              <w:t>本项目不设置中央空调，采用低噪声的分体式挂式空调，空调内机噪声约55dB（A），室外机噪声约60dB（A）。项目空调外机通过安装减震垫、加强维护保养等措施进行控制，采取以上措施后，项目空调噪声可实现达标排放。</w:t>
            </w:r>
          </w:p>
          <w:p w14:paraId="5B8F7521">
            <w:pPr>
              <w:pStyle w:val="8"/>
              <w:spacing w:after="0" w:line="360" w:lineRule="auto"/>
              <w:ind w:firstLine="480" w:firstLineChars="200"/>
              <w:rPr>
                <w:sz w:val="24"/>
              </w:rPr>
            </w:pPr>
            <w:r>
              <w:rPr>
                <w:sz w:val="24"/>
              </w:rPr>
              <w:t>③污水处理站</w:t>
            </w:r>
          </w:p>
          <w:p w14:paraId="298D4C61">
            <w:pPr>
              <w:pStyle w:val="8"/>
              <w:spacing w:after="0" w:line="360" w:lineRule="auto"/>
              <w:ind w:firstLine="480" w:firstLineChars="200"/>
              <w:rPr>
                <w:sz w:val="24"/>
              </w:rPr>
            </w:pPr>
            <w:r>
              <w:rPr>
                <w:sz w:val="24"/>
              </w:rPr>
              <w:t>污水处理站采用地埋式，噪声源约75dB（A），水泵、风机等均设置于地下，可通过地面隔声。水泵加装减振器，进水管道设可曲挠管道橡胶伸缩接头以减小水锤冲击和水泵振动产生噪声，连接水泵进出口的水管、进出机房隔墙处与运转设备连接的管道均采用减振吊架。其余设备放置在辅助用房内部污水处理控制室内，通过建筑墙体隔声等可以阻隔噪声传递，降低噪声对外界影响。</w:t>
            </w:r>
          </w:p>
          <w:p w14:paraId="2CB7F377">
            <w:pPr>
              <w:pStyle w:val="8"/>
              <w:spacing w:after="0" w:line="360" w:lineRule="auto"/>
              <w:ind w:firstLine="480" w:firstLineChars="200"/>
              <w:rPr>
                <w:sz w:val="24"/>
              </w:rPr>
            </w:pPr>
            <w:r>
              <w:rPr>
                <w:sz w:val="24"/>
              </w:rPr>
              <w:t>④</w:t>
            </w:r>
            <w:r>
              <w:rPr>
                <w:rFonts w:hint="eastAsia"/>
                <w:sz w:val="24"/>
              </w:rPr>
              <w:t>柴油发电机</w:t>
            </w:r>
            <w:r>
              <w:rPr>
                <w:sz w:val="24"/>
              </w:rPr>
              <w:t>噪声</w:t>
            </w:r>
          </w:p>
          <w:p w14:paraId="2803E7FC">
            <w:pPr>
              <w:pStyle w:val="8"/>
              <w:spacing w:after="0" w:line="360" w:lineRule="auto"/>
              <w:ind w:firstLine="480" w:firstLineChars="200"/>
              <w:rPr>
                <w:sz w:val="24"/>
              </w:rPr>
            </w:pPr>
            <w:r>
              <w:rPr>
                <w:sz w:val="24"/>
              </w:rPr>
              <w:t>本项目</w:t>
            </w:r>
            <w:r>
              <w:rPr>
                <w:rFonts w:hint="eastAsia"/>
                <w:sz w:val="24"/>
              </w:rPr>
              <w:t>综合楼-1F</w:t>
            </w:r>
            <w:r>
              <w:rPr>
                <w:sz w:val="24"/>
              </w:rPr>
              <w:t>设有1台备用</w:t>
            </w:r>
            <w:r>
              <w:rPr>
                <w:rFonts w:hint="eastAsia"/>
                <w:sz w:val="24"/>
              </w:rPr>
              <w:t>柴油发电机</w:t>
            </w:r>
            <w:r>
              <w:rPr>
                <w:sz w:val="24"/>
              </w:rPr>
              <w:t>，在停电时启用，噪声源约85dB（A）。通过选取低噪声设备，并配置消声、减震等措施减小设备噪声，同时置于发电机房，通过房间隔声减小噪声。院区所在电力系统稳定，故发电机组使用频率有限，环评要求保证院区内声环境满足《声环境质量标准》（GB3096-2008）中2类标准要求（即：昼间&lt;60dB（A），夜间&lt;50dB（A））。</w:t>
            </w:r>
          </w:p>
          <w:p w14:paraId="38E77A86">
            <w:pPr>
              <w:pStyle w:val="8"/>
              <w:spacing w:after="0" w:line="360" w:lineRule="auto"/>
              <w:ind w:firstLine="482" w:firstLineChars="200"/>
              <w:rPr>
                <w:b/>
                <w:bCs/>
                <w:sz w:val="24"/>
              </w:rPr>
            </w:pPr>
            <w:r>
              <w:rPr>
                <w:b/>
                <w:bCs/>
                <w:sz w:val="24"/>
              </w:rPr>
              <w:t>（2）人员活动噪声</w:t>
            </w:r>
          </w:p>
          <w:p w14:paraId="23544790">
            <w:pPr>
              <w:pStyle w:val="8"/>
              <w:spacing w:after="0" w:line="360" w:lineRule="auto"/>
              <w:ind w:firstLine="480" w:firstLineChars="200"/>
              <w:rPr>
                <w:sz w:val="24"/>
              </w:rPr>
            </w:pPr>
            <w:r>
              <w:rPr>
                <w:sz w:val="24"/>
              </w:rPr>
              <w:t>主要为办公职员和就诊人员日常工作和活动产生的噪声，根据类比调查，这类噪声声级一般在60dB（A）。人群活动噪声是不稳定的、短暂的，通过加强管理和宣传教育，医院内禁止喧哗、吵闹，可有效控制由于人群活动对声环境的影响。</w:t>
            </w:r>
          </w:p>
          <w:p w14:paraId="734A33D4">
            <w:pPr>
              <w:spacing w:line="360" w:lineRule="auto"/>
              <w:ind w:firstLine="482" w:firstLineChars="200"/>
              <w:rPr>
                <w:b/>
                <w:bCs/>
                <w:sz w:val="24"/>
              </w:rPr>
            </w:pPr>
            <w:r>
              <w:rPr>
                <w:b/>
                <w:bCs/>
                <w:sz w:val="24"/>
              </w:rPr>
              <w:t>（3）车辆交通噪声</w:t>
            </w:r>
          </w:p>
          <w:p w14:paraId="00B34807">
            <w:pPr>
              <w:spacing w:line="360" w:lineRule="auto"/>
              <w:ind w:firstLine="480" w:firstLineChars="200"/>
              <w:rPr>
                <w:sz w:val="24"/>
              </w:rPr>
            </w:pPr>
            <w:r>
              <w:rPr>
                <w:sz w:val="24"/>
              </w:rPr>
              <w:t>车辆进出产生车辆噪声，机动车噪声值一般在60~75dB（A），为防止其对周围声环境的影响，环评要求采取</w:t>
            </w:r>
            <w:r>
              <w:rPr>
                <w:rFonts w:hint="eastAsia"/>
                <w:sz w:val="24"/>
              </w:rPr>
              <w:t>以下</w:t>
            </w:r>
            <w:r>
              <w:rPr>
                <w:sz w:val="24"/>
              </w:rPr>
              <w:t>措施进行噪声控制：</w:t>
            </w:r>
          </w:p>
          <w:p w14:paraId="78DED954">
            <w:pPr>
              <w:spacing w:line="360" w:lineRule="auto"/>
              <w:ind w:firstLine="480" w:firstLineChars="200"/>
              <w:rPr>
                <w:sz w:val="24"/>
              </w:rPr>
            </w:pPr>
            <w:r>
              <w:rPr>
                <w:sz w:val="24"/>
              </w:rPr>
              <w:t>①预留救护车通道，驶入</w:t>
            </w:r>
            <w:r>
              <w:rPr>
                <w:rFonts w:hint="eastAsia"/>
                <w:sz w:val="24"/>
              </w:rPr>
              <w:t>停车</w:t>
            </w:r>
            <w:r>
              <w:rPr>
                <w:sz w:val="24"/>
              </w:rPr>
              <w:t>场的车辆不得怠速停车，并使车辆进出畅通，消除在医院发生阻塞道路、鸣笛现象的可能；</w:t>
            </w:r>
          </w:p>
          <w:p w14:paraId="184472D7">
            <w:pPr>
              <w:spacing w:line="360" w:lineRule="auto"/>
              <w:ind w:firstLine="480" w:firstLineChars="200"/>
              <w:rPr>
                <w:sz w:val="24"/>
              </w:rPr>
            </w:pPr>
            <w:r>
              <w:rPr>
                <w:sz w:val="24"/>
              </w:rPr>
              <w:t>②同时规范管理院内地面区域，项目区内禁鸣喇叭，尽量减少机动车频繁启运和怠速，规范停车场的停车秩序等措施，尽量减少机动车停车数量，减少机动车噪声对医院及周边环境的影响。</w:t>
            </w:r>
          </w:p>
          <w:p w14:paraId="14F662C6">
            <w:pPr>
              <w:spacing w:line="360" w:lineRule="auto"/>
              <w:ind w:firstLine="480" w:firstLineChars="200"/>
              <w:rPr>
                <w:sz w:val="24"/>
              </w:rPr>
            </w:pPr>
            <w:r>
              <w:rPr>
                <w:rFonts w:hint="eastAsia"/>
                <w:sz w:val="24"/>
              </w:rPr>
              <w:t>本项目噪声污染源源强核算结果及相关参数见下表：</w:t>
            </w:r>
          </w:p>
          <w:p w14:paraId="4B37F00A">
            <w:pPr>
              <w:pStyle w:val="8"/>
              <w:spacing w:after="0" w:line="360" w:lineRule="auto"/>
              <w:rPr>
                <w:sz w:val="24"/>
              </w:rPr>
            </w:pPr>
          </w:p>
        </w:tc>
      </w:tr>
    </w:tbl>
    <w:p w14:paraId="52BCDAB1">
      <w:p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5D933149">
      <w:pPr>
        <w:spacing w:line="360" w:lineRule="auto"/>
        <w:jc w:val="center"/>
        <w:rPr>
          <w:b/>
          <w:bCs/>
          <w:sz w:val="24"/>
        </w:rPr>
      </w:pPr>
      <w:r>
        <w:rPr>
          <w:b/>
          <w:bCs/>
          <w:sz w:val="24"/>
        </w:rPr>
        <w:t>表4-</w:t>
      </w:r>
      <w:r>
        <w:rPr>
          <w:rFonts w:hint="eastAsia"/>
          <w:b/>
          <w:bCs/>
          <w:sz w:val="24"/>
        </w:rPr>
        <w:t>1</w:t>
      </w:r>
      <w:r>
        <w:rPr>
          <w:rFonts w:hint="eastAsia"/>
          <w:b/>
          <w:bCs/>
          <w:sz w:val="24"/>
          <w:lang w:val="en-US" w:eastAsia="zh-CN"/>
        </w:rPr>
        <w:t>2</w:t>
      </w:r>
      <w:r>
        <w:rPr>
          <w:b/>
          <w:bCs/>
          <w:sz w:val="24"/>
        </w:rPr>
        <w:t>工业企业噪声源强调查清单（室内声源）</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13"/>
        <w:gridCol w:w="1252"/>
        <w:gridCol w:w="696"/>
        <w:gridCol w:w="1256"/>
        <w:gridCol w:w="817"/>
        <w:gridCol w:w="1126"/>
        <w:gridCol w:w="972"/>
        <w:gridCol w:w="972"/>
        <w:gridCol w:w="994"/>
        <w:gridCol w:w="811"/>
        <w:gridCol w:w="780"/>
        <w:gridCol w:w="676"/>
        <w:gridCol w:w="1411"/>
        <w:gridCol w:w="741"/>
        <w:gridCol w:w="749"/>
      </w:tblGrid>
      <w:tr w14:paraId="1A6C2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9" w:type="pct"/>
            <w:vMerge w:val="restart"/>
            <w:tcBorders>
              <w:tl2br w:val="nil"/>
              <w:tr2bl w:val="nil"/>
            </w:tcBorders>
            <w:vAlign w:val="center"/>
          </w:tcPr>
          <w:p w14:paraId="72D69B8D">
            <w:pPr>
              <w:pStyle w:val="4"/>
            </w:pPr>
            <w:r>
              <w:t>序号</w:t>
            </w:r>
          </w:p>
        </w:tc>
        <w:tc>
          <w:tcPr>
            <w:tcW w:w="445" w:type="pct"/>
            <w:vMerge w:val="restart"/>
            <w:tcBorders>
              <w:tl2br w:val="nil"/>
              <w:tr2bl w:val="nil"/>
            </w:tcBorders>
            <w:vAlign w:val="center"/>
          </w:tcPr>
          <w:p w14:paraId="2E1A6EDA">
            <w:pPr>
              <w:pStyle w:val="4"/>
            </w:pPr>
            <w:r>
              <w:t>声源名称</w:t>
            </w:r>
          </w:p>
        </w:tc>
        <w:tc>
          <w:tcPr>
            <w:tcW w:w="247" w:type="pct"/>
            <w:vMerge w:val="restart"/>
            <w:tcBorders>
              <w:tl2br w:val="nil"/>
              <w:tr2bl w:val="nil"/>
            </w:tcBorders>
            <w:vAlign w:val="center"/>
          </w:tcPr>
          <w:p w14:paraId="471B7A23">
            <w:pPr>
              <w:pStyle w:val="4"/>
            </w:pPr>
            <w:r>
              <w:t>型号</w:t>
            </w:r>
          </w:p>
        </w:tc>
        <w:tc>
          <w:tcPr>
            <w:tcW w:w="736" w:type="pct"/>
            <w:gridSpan w:val="2"/>
            <w:tcBorders>
              <w:tl2br w:val="nil"/>
              <w:tr2bl w:val="nil"/>
            </w:tcBorders>
            <w:vAlign w:val="center"/>
          </w:tcPr>
          <w:p w14:paraId="04295B7F">
            <w:pPr>
              <w:pStyle w:val="4"/>
            </w:pPr>
            <w:r>
              <w:t>噪声源强（任选一种）</w:t>
            </w:r>
          </w:p>
        </w:tc>
        <w:tc>
          <w:tcPr>
            <w:tcW w:w="400" w:type="pct"/>
            <w:vMerge w:val="restart"/>
            <w:tcBorders>
              <w:tl2br w:val="nil"/>
              <w:tr2bl w:val="nil"/>
            </w:tcBorders>
            <w:vAlign w:val="center"/>
          </w:tcPr>
          <w:p w14:paraId="41A7D541">
            <w:pPr>
              <w:pStyle w:val="4"/>
            </w:pPr>
            <w:r>
              <w:t>声源控制措施</w:t>
            </w:r>
          </w:p>
        </w:tc>
        <w:tc>
          <w:tcPr>
            <w:tcW w:w="1043" w:type="pct"/>
            <w:gridSpan w:val="3"/>
            <w:tcBorders>
              <w:tl2br w:val="nil"/>
              <w:tr2bl w:val="nil"/>
            </w:tcBorders>
            <w:vAlign w:val="center"/>
          </w:tcPr>
          <w:p w14:paraId="5EACE857">
            <w:pPr>
              <w:pStyle w:val="4"/>
            </w:pPr>
            <w:r>
              <w:t>空间相对位置</w:t>
            </w:r>
          </w:p>
        </w:tc>
        <w:tc>
          <w:tcPr>
            <w:tcW w:w="288" w:type="pct"/>
            <w:vMerge w:val="restart"/>
            <w:tcBorders>
              <w:tl2br w:val="nil"/>
              <w:tr2bl w:val="nil"/>
            </w:tcBorders>
            <w:vAlign w:val="center"/>
          </w:tcPr>
          <w:p w14:paraId="2A5A479F">
            <w:pPr>
              <w:pStyle w:val="4"/>
            </w:pPr>
            <w:r>
              <w:t>距室内边界距离</w:t>
            </w:r>
          </w:p>
        </w:tc>
        <w:tc>
          <w:tcPr>
            <w:tcW w:w="277" w:type="pct"/>
            <w:vMerge w:val="restart"/>
            <w:tcBorders>
              <w:tl2br w:val="nil"/>
              <w:tr2bl w:val="nil"/>
            </w:tcBorders>
            <w:vAlign w:val="center"/>
          </w:tcPr>
          <w:p w14:paraId="647A5575">
            <w:pPr>
              <w:pStyle w:val="4"/>
            </w:pPr>
            <w:r>
              <w:t>室内边界声级/dB(A)</w:t>
            </w:r>
          </w:p>
        </w:tc>
        <w:tc>
          <w:tcPr>
            <w:tcW w:w="240" w:type="pct"/>
            <w:vMerge w:val="restart"/>
            <w:tcBorders>
              <w:tl2br w:val="nil"/>
              <w:tr2bl w:val="nil"/>
            </w:tcBorders>
            <w:vAlign w:val="center"/>
          </w:tcPr>
          <w:p w14:paraId="442D5A45">
            <w:pPr>
              <w:pStyle w:val="4"/>
            </w:pPr>
            <w:r>
              <w:t>运行时段</w:t>
            </w:r>
          </w:p>
        </w:tc>
        <w:tc>
          <w:tcPr>
            <w:tcW w:w="501" w:type="pct"/>
            <w:vMerge w:val="restart"/>
            <w:tcBorders>
              <w:tl2br w:val="nil"/>
              <w:tr2bl w:val="nil"/>
            </w:tcBorders>
            <w:vAlign w:val="center"/>
          </w:tcPr>
          <w:p w14:paraId="1AECF112">
            <w:pPr>
              <w:pStyle w:val="4"/>
            </w:pPr>
            <w:r>
              <w:t>插入损失/dB（A）</w:t>
            </w:r>
          </w:p>
        </w:tc>
        <w:tc>
          <w:tcPr>
            <w:tcW w:w="529" w:type="pct"/>
            <w:gridSpan w:val="2"/>
            <w:tcBorders>
              <w:tl2br w:val="nil"/>
              <w:tr2bl w:val="nil"/>
            </w:tcBorders>
            <w:vAlign w:val="center"/>
          </w:tcPr>
          <w:p w14:paraId="0EE8F784">
            <w:pPr>
              <w:pStyle w:val="4"/>
            </w:pPr>
            <w:r>
              <w:t>建筑物外噪声</w:t>
            </w:r>
          </w:p>
        </w:tc>
      </w:tr>
      <w:tr w14:paraId="1922D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9" w:type="pct"/>
            <w:vMerge w:val="continue"/>
            <w:tcBorders>
              <w:tl2br w:val="nil"/>
              <w:tr2bl w:val="nil"/>
            </w:tcBorders>
            <w:vAlign w:val="center"/>
          </w:tcPr>
          <w:p w14:paraId="42A22074">
            <w:pPr>
              <w:pStyle w:val="4"/>
            </w:pPr>
          </w:p>
        </w:tc>
        <w:tc>
          <w:tcPr>
            <w:tcW w:w="445" w:type="pct"/>
            <w:vMerge w:val="continue"/>
            <w:tcBorders>
              <w:tl2br w:val="nil"/>
              <w:tr2bl w:val="nil"/>
            </w:tcBorders>
            <w:vAlign w:val="center"/>
          </w:tcPr>
          <w:p w14:paraId="60C3E6D8">
            <w:pPr>
              <w:pStyle w:val="4"/>
            </w:pPr>
          </w:p>
        </w:tc>
        <w:tc>
          <w:tcPr>
            <w:tcW w:w="247" w:type="pct"/>
            <w:vMerge w:val="continue"/>
            <w:tcBorders>
              <w:tl2br w:val="nil"/>
              <w:tr2bl w:val="nil"/>
            </w:tcBorders>
            <w:vAlign w:val="center"/>
          </w:tcPr>
          <w:p w14:paraId="567BCB1A">
            <w:pPr>
              <w:pStyle w:val="4"/>
            </w:pPr>
          </w:p>
        </w:tc>
        <w:tc>
          <w:tcPr>
            <w:tcW w:w="446" w:type="pct"/>
            <w:tcBorders>
              <w:tl2br w:val="nil"/>
              <w:tr2bl w:val="nil"/>
            </w:tcBorders>
            <w:vAlign w:val="center"/>
          </w:tcPr>
          <w:p w14:paraId="662B8E18">
            <w:pPr>
              <w:pStyle w:val="4"/>
            </w:pPr>
            <w:r>
              <w:t>（声压级/距声源距离）/（dB（A）/m）</w:t>
            </w:r>
          </w:p>
        </w:tc>
        <w:tc>
          <w:tcPr>
            <w:tcW w:w="290" w:type="pct"/>
            <w:tcBorders>
              <w:tl2br w:val="nil"/>
              <w:tr2bl w:val="nil"/>
            </w:tcBorders>
            <w:vAlign w:val="center"/>
          </w:tcPr>
          <w:p w14:paraId="2FF70CE8">
            <w:pPr>
              <w:pStyle w:val="4"/>
            </w:pPr>
            <w:r>
              <w:t>声功率级/dB（A）</w:t>
            </w:r>
          </w:p>
        </w:tc>
        <w:tc>
          <w:tcPr>
            <w:tcW w:w="400" w:type="pct"/>
            <w:vMerge w:val="continue"/>
            <w:tcBorders>
              <w:tl2br w:val="nil"/>
              <w:tr2bl w:val="nil"/>
            </w:tcBorders>
            <w:vAlign w:val="center"/>
          </w:tcPr>
          <w:p w14:paraId="33B6E01F">
            <w:pPr>
              <w:pStyle w:val="4"/>
            </w:pPr>
          </w:p>
        </w:tc>
        <w:tc>
          <w:tcPr>
            <w:tcW w:w="345" w:type="pct"/>
            <w:tcBorders>
              <w:tl2br w:val="nil"/>
              <w:tr2bl w:val="nil"/>
            </w:tcBorders>
            <w:vAlign w:val="center"/>
          </w:tcPr>
          <w:p w14:paraId="09C0D5D0">
            <w:pPr>
              <w:pStyle w:val="4"/>
            </w:pPr>
            <w:r>
              <w:t>X</w:t>
            </w:r>
          </w:p>
        </w:tc>
        <w:tc>
          <w:tcPr>
            <w:tcW w:w="345" w:type="pct"/>
            <w:tcBorders>
              <w:tl2br w:val="nil"/>
              <w:tr2bl w:val="nil"/>
            </w:tcBorders>
            <w:vAlign w:val="center"/>
          </w:tcPr>
          <w:p w14:paraId="45D74A27">
            <w:pPr>
              <w:pStyle w:val="4"/>
            </w:pPr>
            <w:r>
              <w:t>Y</w:t>
            </w:r>
          </w:p>
        </w:tc>
        <w:tc>
          <w:tcPr>
            <w:tcW w:w="353" w:type="pct"/>
            <w:tcBorders>
              <w:tl2br w:val="nil"/>
              <w:tr2bl w:val="nil"/>
            </w:tcBorders>
            <w:vAlign w:val="center"/>
          </w:tcPr>
          <w:p w14:paraId="6F449FD8">
            <w:pPr>
              <w:pStyle w:val="4"/>
            </w:pPr>
            <w:r>
              <w:t>Z</w:t>
            </w:r>
          </w:p>
        </w:tc>
        <w:tc>
          <w:tcPr>
            <w:tcW w:w="288" w:type="pct"/>
            <w:vMerge w:val="continue"/>
            <w:tcBorders>
              <w:tl2br w:val="nil"/>
              <w:tr2bl w:val="nil"/>
            </w:tcBorders>
            <w:vAlign w:val="center"/>
          </w:tcPr>
          <w:p w14:paraId="36B50DF7">
            <w:pPr>
              <w:pStyle w:val="4"/>
            </w:pPr>
          </w:p>
        </w:tc>
        <w:tc>
          <w:tcPr>
            <w:tcW w:w="277" w:type="pct"/>
            <w:vMerge w:val="continue"/>
            <w:tcBorders>
              <w:tl2br w:val="nil"/>
              <w:tr2bl w:val="nil"/>
            </w:tcBorders>
            <w:vAlign w:val="center"/>
          </w:tcPr>
          <w:p w14:paraId="5AE5972B">
            <w:pPr>
              <w:pStyle w:val="4"/>
            </w:pPr>
          </w:p>
        </w:tc>
        <w:tc>
          <w:tcPr>
            <w:tcW w:w="240" w:type="pct"/>
            <w:vMerge w:val="continue"/>
            <w:tcBorders>
              <w:tl2br w:val="nil"/>
              <w:tr2bl w:val="nil"/>
            </w:tcBorders>
            <w:vAlign w:val="center"/>
          </w:tcPr>
          <w:p w14:paraId="34E52FAD">
            <w:pPr>
              <w:pStyle w:val="4"/>
            </w:pPr>
          </w:p>
        </w:tc>
        <w:tc>
          <w:tcPr>
            <w:tcW w:w="501" w:type="pct"/>
            <w:vMerge w:val="continue"/>
            <w:tcBorders>
              <w:tl2br w:val="nil"/>
              <w:tr2bl w:val="nil"/>
            </w:tcBorders>
            <w:vAlign w:val="center"/>
          </w:tcPr>
          <w:p w14:paraId="5762DEA1">
            <w:pPr>
              <w:pStyle w:val="4"/>
            </w:pPr>
          </w:p>
        </w:tc>
        <w:tc>
          <w:tcPr>
            <w:tcW w:w="263" w:type="pct"/>
            <w:tcBorders>
              <w:tl2br w:val="nil"/>
              <w:tr2bl w:val="nil"/>
            </w:tcBorders>
            <w:vAlign w:val="center"/>
          </w:tcPr>
          <w:p w14:paraId="0703BE14">
            <w:pPr>
              <w:pStyle w:val="4"/>
            </w:pPr>
            <w:r>
              <w:t>声压级</w:t>
            </w:r>
          </w:p>
          <w:p w14:paraId="359FB4D9">
            <w:pPr>
              <w:pStyle w:val="4"/>
            </w:pPr>
            <w:r>
              <w:t>/dB(A)</w:t>
            </w:r>
          </w:p>
        </w:tc>
        <w:tc>
          <w:tcPr>
            <w:tcW w:w="266" w:type="pct"/>
            <w:tcBorders>
              <w:tl2br w:val="nil"/>
              <w:tr2bl w:val="nil"/>
            </w:tcBorders>
            <w:vAlign w:val="center"/>
          </w:tcPr>
          <w:p w14:paraId="4AE9A96B">
            <w:pPr>
              <w:pStyle w:val="4"/>
            </w:pPr>
            <w:r>
              <w:t>建筑</w:t>
            </w:r>
          </w:p>
          <w:p w14:paraId="01155DBE">
            <w:pPr>
              <w:pStyle w:val="4"/>
            </w:pPr>
            <w:r>
              <w:t>物外</w:t>
            </w:r>
          </w:p>
          <w:p w14:paraId="2BB9FCC5">
            <w:pPr>
              <w:pStyle w:val="4"/>
            </w:pPr>
            <w:r>
              <w:t>距离</w:t>
            </w:r>
          </w:p>
        </w:tc>
      </w:tr>
      <w:tr w14:paraId="1E2A6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vMerge w:val="restart"/>
            <w:tcBorders>
              <w:tl2br w:val="nil"/>
              <w:tr2bl w:val="nil"/>
            </w:tcBorders>
            <w:vAlign w:val="center"/>
          </w:tcPr>
          <w:p w14:paraId="6843F944">
            <w:pPr>
              <w:pStyle w:val="4"/>
            </w:pPr>
            <w:r>
              <w:t>1</w:t>
            </w:r>
          </w:p>
        </w:tc>
        <w:tc>
          <w:tcPr>
            <w:tcW w:w="445" w:type="pct"/>
            <w:vMerge w:val="restart"/>
            <w:tcBorders>
              <w:tl2br w:val="nil"/>
              <w:tr2bl w:val="nil"/>
            </w:tcBorders>
            <w:vAlign w:val="center"/>
          </w:tcPr>
          <w:p w14:paraId="12BEA6EC">
            <w:pPr>
              <w:pStyle w:val="4"/>
            </w:pPr>
            <w:r>
              <w:t>医疗设备噪声</w:t>
            </w:r>
          </w:p>
        </w:tc>
        <w:tc>
          <w:tcPr>
            <w:tcW w:w="247" w:type="pct"/>
            <w:vMerge w:val="restart"/>
            <w:tcBorders>
              <w:tl2br w:val="nil"/>
              <w:tr2bl w:val="nil"/>
            </w:tcBorders>
            <w:vAlign w:val="center"/>
          </w:tcPr>
          <w:p w14:paraId="3716553F">
            <w:pPr>
              <w:pStyle w:val="4"/>
            </w:pPr>
            <w:r>
              <w:rPr>
                <w:rFonts w:hint="eastAsia"/>
              </w:rPr>
              <w:t>/</w:t>
            </w:r>
          </w:p>
        </w:tc>
        <w:tc>
          <w:tcPr>
            <w:tcW w:w="446" w:type="pct"/>
            <w:vMerge w:val="restart"/>
            <w:tcBorders>
              <w:tl2br w:val="nil"/>
              <w:tr2bl w:val="nil"/>
            </w:tcBorders>
            <w:vAlign w:val="center"/>
          </w:tcPr>
          <w:p w14:paraId="6ED11D7D">
            <w:pPr>
              <w:pStyle w:val="4"/>
            </w:pPr>
            <w:r>
              <w:rPr>
                <w:rFonts w:hint="eastAsia"/>
              </w:rPr>
              <w:t>/</w:t>
            </w:r>
          </w:p>
        </w:tc>
        <w:tc>
          <w:tcPr>
            <w:tcW w:w="290" w:type="pct"/>
            <w:tcBorders>
              <w:tl2br w:val="nil"/>
              <w:tr2bl w:val="nil"/>
            </w:tcBorders>
            <w:vAlign w:val="center"/>
          </w:tcPr>
          <w:p w14:paraId="676528D0">
            <w:pPr>
              <w:pStyle w:val="4"/>
            </w:pPr>
            <w:r>
              <w:rPr>
                <w:rFonts w:hint="eastAsia"/>
              </w:rPr>
              <w:t>60</w:t>
            </w:r>
          </w:p>
        </w:tc>
        <w:tc>
          <w:tcPr>
            <w:tcW w:w="400" w:type="pct"/>
            <w:vMerge w:val="restart"/>
            <w:tcBorders>
              <w:tl2br w:val="nil"/>
              <w:tr2bl w:val="nil"/>
            </w:tcBorders>
            <w:vAlign w:val="center"/>
          </w:tcPr>
          <w:p w14:paraId="2EDB9CB0">
            <w:pPr>
              <w:pStyle w:val="4"/>
            </w:pPr>
            <w:r>
              <w:t>选用低噪声</w:t>
            </w:r>
          </w:p>
          <w:p w14:paraId="3A16DFB5">
            <w:pPr>
              <w:pStyle w:val="4"/>
            </w:pPr>
            <w:r>
              <w:t>设备、基座减震，合理</w:t>
            </w:r>
          </w:p>
          <w:p w14:paraId="1A90FF71">
            <w:pPr>
              <w:pStyle w:val="4"/>
            </w:pPr>
            <w:r>
              <w:t>布置声源位置、加强设备维护保养</w:t>
            </w:r>
          </w:p>
        </w:tc>
        <w:tc>
          <w:tcPr>
            <w:tcW w:w="345" w:type="pct"/>
            <w:tcBorders>
              <w:tl2br w:val="nil"/>
              <w:tr2bl w:val="nil"/>
            </w:tcBorders>
            <w:vAlign w:val="center"/>
          </w:tcPr>
          <w:p w14:paraId="47A45FFA">
            <w:pPr>
              <w:pStyle w:val="4"/>
            </w:pPr>
            <w:r>
              <w:rPr>
                <w:rFonts w:hint="eastAsia"/>
              </w:rPr>
              <w:t>40.04</w:t>
            </w:r>
          </w:p>
        </w:tc>
        <w:tc>
          <w:tcPr>
            <w:tcW w:w="345" w:type="pct"/>
            <w:tcBorders>
              <w:tl2br w:val="nil"/>
              <w:tr2bl w:val="nil"/>
            </w:tcBorders>
            <w:vAlign w:val="center"/>
          </w:tcPr>
          <w:p w14:paraId="0802D011">
            <w:pPr>
              <w:pStyle w:val="4"/>
            </w:pPr>
            <w:r>
              <w:rPr>
                <w:rFonts w:hint="eastAsia"/>
              </w:rPr>
              <w:t>31.71</w:t>
            </w:r>
          </w:p>
        </w:tc>
        <w:tc>
          <w:tcPr>
            <w:tcW w:w="353" w:type="pct"/>
            <w:tcBorders>
              <w:tl2br w:val="nil"/>
              <w:tr2bl w:val="nil"/>
            </w:tcBorders>
            <w:vAlign w:val="center"/>
          </w:tcPr>
          <w:p w14:paraId="6EF4D245">
            <w:pPr>
              <w:pStyle w:val="4"/>
            </w:pPr>
            <w:r>
              <w:rPr>
                <w:rFonts w:hint="eastAsia"/>
              </w:rPr>
              <w:t>9</w:t>
            </w:r>
          </w:p>
        </w:tc>
        <w:tc>
          <w:tcPr>
            <w:tcW w:w="288" w:type="pct"/>
            <w:tcBorders>
              <w:tl2br w:val="nil"/>
              <w:tr2bl w:val="nil"/>
            </w:tcBorders>
            <w:vAlign w:val="center"/>
          </w:tcPr>
          <w:p w14:paraId="4133A6D0">
            <w:pPr>
              <w:pStyle w:val="4"/>
            </w:pPr>
            <w:r>
              <w:rPr>
                <w:rFonts w:hint="eastAsia"/>
              </w:rPr>
              <w:t>4.69</w:t>
            </w:r>
          </w:p>
        </w:tc>
        <w:tc>
          <w:tcPr>
            <w:tcW w:w="277" w:type="pct"/>
            <w:tcBorders>
              <w:tl2br w:val="nil"/>
              <w:tr2bl w:val="nil"/>
            </w:tcBorders>
            <w:vAlign w:val="center"/>
          </w:tcPr>
          <w:p w14:paraId="75935C3D">
            <w:pPr>
              <w:pStyle w:val="4"/>
            </w:pPr>
            <w:r>
              <w:rPr>
                <w:rFonts w:hint="eastAsia"/>
              </w:rPr>
              <w:t>54.79</w:t>
            </w:r>
          </w:p>
        </w:tc>
        <w:tc>
          <w:tcPr>
            <w:tcW w:w="240" w:type="pct"/>
            <w:tcBorders>
              <w:tl2br w:val="nil"/>
              <w:tr2bl w:val="nil"/>
            </w:tcBorders>
            <w:vAlign w:val="center"/>
          </w:tcPr>
          <w:p w14:paraId="314698D5">
            <w:pPr>
              <w:pStyle w:val="4"/>
            </w:pPr>
            <w:r>
              <w:rPr>
                <w:rFonts w:hint="eastAsia"/>
              </w:rPr>
              <w:t>昼间</w:t>
            </w:r>
          </w:p>
        </w:tc>
        <w:tc>
          <w:tcPr>
            <w:tcW w:w="501" w:type="pct"/>
            <w:tcBorders>
              <w:tl2br w:val="nil"/>
              <w:tr2bl w:val="nil"/>
            </w:tcBorders>
            <w:vAlign w:val="center"/>
          </w:tcPr>
          <w:p w14:paraId="7C61E2D7">
            <w:pPr>
              <w:pStyle w:val="4"/>
            </w:pPr>
            <w:r>
              <w:rPr>
                <w:rFonts w:hint="eastAsia"/>
              </w:rPr>
              <w:t>20</w:t>
            </w:r>
          </w:p>
        </w:tc>
        <w:tc>
          <w:tcPr>
            <w:tcW w:w="263" w:type="pct"/>
            <w:tcBorders>
              <w:tl2br w:val="nil"/>
              <w:tr2bl w:val="nil"/>
            </w:tcBorders>
            <w:vAlign w:val="center"/>
          </w:tcPr>
          <w:p w14:paraId="52484C8A">
            <w:pPr>
              <w:pStyle w:val="4"/>
            </w:pPr>
            <w:r>
              <w:rPr>
                <w:rFonts w:hint="eastAsia"/>
              </w:rPr>
              <w:t>28.79</w:t>
            </w:r>
          </w:p>
        </w:tc>
        <w:tc>
          <w:tcPr>
            <w:tcW w:w="266" w:type="pct"/>
            <w:tcBorders>
              <w:tl2br w:val="nil"/>
              <w:tr2bl w:val="nil"/>
            </w:tcBorders>
            <w:vAlign w:val="center"/>
          </w:tcPr>
          <w:p w14:paraId="3AAD1C7B">
            <w:pPr>
              <w:pStyle w:val="4"/>
            </w:pPr>
            <w:r>
              <w:rPr>
                <w:rFonts w:hint="eastAsia"/>
              </w:rPr>
              <w:t>1</w:t>
            </w:r>
          </w:p>
        </w:tc>
      </w:tr>
      <w:tr w14:paraId="30BDB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vMerge w:val="continue"/>
            <w:tcBorders>
              <w:tl2br w:val="nil"/>
              <w:tr2bl w:val="nil"/>
            </w:tcBorders>
            <w:vAlign w:val="center"/>
          </w:tcPr>
          <w:p w14:paraId="5B9A434F">
            <w:pPr>
              <w:pStyle w:val="4"/>
            </w:pPr>
          </w:p>
        </w:tc>
        <w:tc>
          <w:tcPr>
            <w:tcW w:w="445" w:type="pct"/>
            <w:vMerge w:val="continue"/>
            <w:tcBorders>
              <w:tl2br w:val="nil"/>
              <w:tr2bl w:val="nil"/>
            </w:tcBorders>
            <w:vAlign w:val="center"/>
          </w:tcPr>
          <w:p w14:paraId="48152330">
            <w:pPr>
              <w:pStyle w:val="4"/>
            </w:pPr>
          </w:p>
        </w:tc>
        <w:tc>
          <w:tcPr>
            <w:tcW w:w="247" w:type="pct"/>
            <w:vMerge w:val="continue"/>
            <w:tcBorders>
              <w:tl2br w:val="nil"/>
              <w:tr2bl w:val="nil"/>
            </w:tcBorders>
            <w:vAlign w:val="center"/>
          </w:tcPr>
          <w:p w14:paraId="6DF3BB15">
            <w:pPr>
              <w:pStyle w:val="4"/>
            </w:pPr>
          </w:p>
        </w:tc>
        <w:tc>
          <w:tcPr>
            <w:tcW w:w="446" w:type="pct"/>
            <w:vMerge w:val="continue"/>
            <w:tcBorders>
              <w:tl2br w:val="nil"/>
              <w:tr2bl w:val="nil"/>
            </w:tcBorders>
            <w:vAlign w:val="center"/>
          </w:tcPr>
          <w:p w14:paraId="3A5CFBE1">
            <w:pPr>
              <w:pStyle w:val="4"/>
            </w:pPr>
          </w:p>
        </w:tc>
        <w:tc>
          <w:tcPr>
            <w:tcW w:w="290" w:type="pct"/>
            <w:tcBorders>
              <w:tl2br w:val="nil"/>
              <w:tr2bl w:val="nil"/>
            </w:tcBorders>
            <w:vAlign w:val="center"/>
          </w:tcPr>
          <w:p w14:paraId="1C37CC45">
            <w:pPr>
              <w:pStyle w:val="4"/>
            </w:pPr>
            <w:r>
              <w:rPr>
                <w:rFonts w:hint="eastAsia"/>
              </w:rPr>
              <w:t>60</w:t>
            </w:r>
          </w:p>
        </w:tc>
        <w:tc>
          <w:tcPr>
            <w:tcW w:w="400" w:type="pct"/>
            <w:vMerge w:val="continue"/>
            <w:tcBorders>
              <w:tl2br w:val="nil"/>
              <w:tr2bl w:val="nil"/>
            </w:tcBorders>
            <w:vAlign w:val="center"/>
          </w:tcPr>
          <w:p w14:paraId="23A42B44">
            <w:pPr>
              <w:pStyle w:val="4"/>
            </w:pPr>
          </w:p>
        </w:tc>
        <w:tc>
          <w:tcPr>
            <w:tcW w:w="345" w:type="pct"/>
            <w:tcBorders>
              <w:tl2br w:val="nil"/>
              <w:tr2bl w:val="nil"/>
            </w:tcBorders>
            <w:vAlign w:val="center"/>
          </w:tcPr>
          <w:p w14:paraId="6C1C8C05">
            <w:pPr>
              <w:pStyle w:val="4"/>
            </w:pPr>
            <w:r>
              <w:rPr>
                <w:rFonts w:hint="eastAsia"/>
              </w:rPr>
              <w:t>40.04</w:t>
            </w:r>
          </w:p>
        </w:tc>
        <w:tc>
          <w:tcPr>
            <w:tcW w:w="345" w:type="pct"/>
            <w:tcBorders>
              <w:tl2br w:val="nil"/>
              <w:tr2bl w:val="nil"/>
            </w:tcBorders>
            <w:vAlign w:val="center"/>
          </w:tcPr>
          <w:p w14:paraId="1E347E20">
            <w:pPr>
              <w:pStyle w:val="4"/>
            </w:pPr>
            <w:r>
              <w:rPr>
                <w:rFonts w:hint="eastAsia"/>
              </w:rPr>
              <w:t>31.71</w:t>
            </w:r>
          </w:p>
        </w:tc>
        <w:tc>
          <w:tcPr>
            <w:tcW w:w="353" w:type="pct"/>
            <w:tcBorders>
              <w:tl2br w:val="nil"/>
              <w:tr2bl w:val="nil"/>
            </w:tcBorders>
            <w:vAlign w:val="center"/>
          </w:tcPr>
          <w:p w14:paraId="5ED75116">
            <w:pPr>
              <w:pStyle w:val="4"/>
            </w:pPr>
            <w:r>
              <w:rPr>
                <w:rFonts w:hint="eastAsia"/>
              </w:rPr>
              <w:t>9</w:t>
            </w:r>
          </w:p>
        </w:tc>
        <w:tc>
          <w:tcPr>
            <w:tcW w:w="288" w:type="pct"/>
            <w:tcBorders>
              <w:tl2br w:val="nil"/>
              <w:tr2bl w:val="nil"/>
            </w:tcBorders>
            <w:vAlign w:val="center"/>
          </w:tcPr>
          <w:p w14:paraId="054EB36E">
            <w:pPr>
              <w:pStyle w:val="4"/>
            </w:pPr>
            <w:r>
              <w:rPr>
                <w:rFonts w:hint="eastAsia"/>
              </w:rPr>
              <w:t>4.69</w:t>
            </w:r>
          </w:p>
        </w:tc>
        <w:tc>
          <w:tcPr>
            <w:tcW w:w="277" w:type="pct"/>
            <w:tcBorders>
              <w:tl2br w:val="nil"/>
              <w:tr2bl w:val="nil"/>
            </w:tcBorders>
            <w:vAlign w:val="center"/>
          </w:tcPr>
          <w:p w14:paraId="37462ECB">
            <w:pPr>
              <w:pStyle w:val="4"/>
            </w:pPr>
            <w:r>
              <w:rPr>
                <w:rFonts w:hint="eastAsia"/>
              </w:rPr>
              <w:t>54.79</w:t>
            </w:r>
          </w:p>
        </w:tc>
        <w:tc>
          <w:tcPr>
            <w:tcW w:w="240" w:type="pct"/>
            <w:tcBorders>
              <w:tl2br w:val="nil"/>
              <w:tr2bl w:val="nil"/>
            </w:tcBorders>
            <w:vAlign w:val="center"/>
          </w:tcPr>
          <w:p w14:paraId="1A7E058E">
            <w:pPr>
              <w:pStyle w:val="4"/>
            </w:pPr>
            <w:r>
              <w:rPr>
                <w:rFonts w:hint="eastAsia"/>
              </w:rPr>
              <w:t>夜间</w:t>
            </w:r>
          </w:p>
        </w:tc>
        <w:tc>
          <w:tcPr>
            <w:tcW w:w="501" w:type="pct"/>
            <w:tcBorders>
              <w:tl2br w:val="nil"/>
              <w:tr2bl w:val="nil"/>
            </w:tcBorders>
            <w:vAlign w:val="center"/>
          </w:tcPr>
          <w:p w14:paraId="6FA7C9F6">
            <w:pPr>
              <w:pStyle w:val="4"/>
            </w:pPr>
            <w:r>
              <w:rPr>
                <w:rFonts w:hint="eastAsia"/>
              </w:rPr>
              <w:t>20</w:t>
            </w:r>
          </w:p>
        </w:tc>
        <w:tc>
          <w:tcPr>
            <w:tcW w:w="263" w:type="pct"/>
            <w:tcBorders>
              <w:tl2br w:val="nil"/>
              <w:tr2bl w:val="nil"/>
            </w:tcBorders>
            <w:vAlign w:val="center"/>
          </w:tcPr>
          <w:p w14:paraId="12FBD71C">
            <w:pPr>
              <w:pStyle w:val="4"/>
            </w:pPr>
            <w:r>
              <w:rPr>
                <w:rFonts w:hint="eastAsia"/>
              </w:rPr>
              <w:t>28.79</w:t>
            </w:r>
          </w:p>
        </w:tc>
        <w:tc>
          <w:tcPr>
            <w:tcW w:w="266" w:type="pct"/>
            <w:tcBorders>
              <w:tl2br w:val="nil"/>
              <w:tr2bl w:val="nil"/>
            </w:tcBorders>
            <w:vAlign w:val="center"/>
          </w:tcPr>
          <w:p w14:paraId="627800A5">
            <w:pPr>
              <w:pStyle w:val="4"/>
            </w:pPr>
            <w:r>
              <w:rPr>
                <w:rFonts w:hint="eastAsia"/>
              </w:rPr>
              <w:t>1</w:t>
            </w:r>
          </w:p>
        </w:tc>
      </w:tr>
      <w:tr w14:paraId="45206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vMerge w:val="restart"/>
            <w:tcBorders>
              <w:tl2br w:val="nil"/>
              <w:tr2bl w:val="nil"/>
            </w:tcBorders>
            <w:vAlign w:val="center"/>
          </w:tcPr>
          <w:p w14:paraId="78619D35">
            <w:pPr>
              <w:pStyle w:val="4"/>
            </w:pPr>
            <w:r>
              <w:rPr>
                <w:rFonts w:hint="eastAsia"/>
              </w:rPr>
              <w:t>2</w:t>
            </w:r>
          </w:p>
        </w:tc>
        <w:tc>
          <w:tcPr>
            <w:tcW w:w="445" w:type="pct"/>
            <w:vMerge w:val="restart"/>
            <w:tcBorders>
              <w:tl2br w:val="nil"/>
              <w:tr2bl w:val="nil"/>
            </w:tcBorders>
            <w:vAlign w:val="center"/>
          </w:tcPr>
          <w:p w14:paraId="53D8EED7">
            <w:pPr>
              <w:pStyle w:val="4"/>
            </w:pPr>
            <w:r>
              <w:t>空调噪声</w:t>
            </w:r>
          </w:p>
        </w:tc>
        <w:tc>
          <w:tcPr>
            <w:tcW w:w="247" w:type="pct"/>
            <w:vMerge w:val="restart"/>
            <w:tcBorders>
              <w:tl2br w:val="nil"/>
              <w:tr2bl w:val="nil"/>
            </w:tcBorders>
            <w:vAlign w:val="center"/>
          </w:tcPr>
          <w:p w14:paraId="444FA039">
            <w:pPr>
              <w:pStyle w:val="4"/>
            </w:pPr>
            <w:r>
              <w:rPr>
                <w:rFonts w:hint="eastAsia"/>
              </w:rPr>
              <w:t>/</w:t>
            </w:r>
          </w:p>
        </w:tc>
        <w:tc>
          <w:tcPr>
            <w:tcW w:w="446" w:type="pct"/>
            <w:vMerge w:val="restart"/>
            <w:tcBorders>
              <w:tl2br w:val="nil"/>
              <w:tr2bl w:val="nil"/>
            </w:tcBorders>
            <w:vAlign w:val="center"/>
          </w:tcPr>
          <w:p w14:paraId="3DC276AF">
            <w:pPr>
              <w:pStyle w:val="4"/>
            </w:pPr>
            <w:r>
              <w:rPr>
                <w:rFonts w:hint="eastAsia"/>
              </w:rPr>
              <w:t>/</w:t>
            </w:r>
          </w:p>
        </w:tc>
        <w:tc>
          <w:tcPr>
            <w:tcW w:w="290" w:type="pct"/>
            <w:tcBorders>
              <w:tl2br w:val="nil"/>
              <w:tr2bl w:val="nil"/>
            </w:tcBorders>
            <w:vAlign w:val="center"/>
          </w:tcPr>
          <w:p w14:paraId="684FF874">
            <w:pPr>
              <w:pStyle w:val="4"/>
            </w:pPr>
            <w:r>
              <w:rPr>
                <w:rFonts w:hint="eastAsia"/>
              </w:rPr>
              <w:t>65</w:t>
            </w:r>
          </w:p>
        </w:tc>
        <w:tc>
          <w:tcPr>
            <w:tcW w:w="400" w:type="pct"/>
            <w:vMerge w:val="continue"/>
            <w:tcBorders>
              <w:tl2br w:val="nil"/>
              <w:tr2bl w:val="nil"/>
            </w:tcBorders>
            <w:vAlign w:val="center"/>
          </w:tcPr>
          <w:p w14:paraId="5EFB7505">
            <w:pPr>
              <w:pStyle w:val="4"/>
            </w:pPr>
          </w:p>
        </w:tc>
        <w:tc>
          <w:tcPr>
            <w:tcW w:w="345" w:type="pct"/>
            <w:tcBorders>
              <w:tl2br w:val="nil"/>
              <w:tr2bl w:val="nil"/>
            </w:tcBorders>
            <w:vAlign w:val="center"/>
          </w:tcPr>
          <w:p w14:paraId="6FC53CD2">
            <w:pPr>
              <w:pStyle w:val="4"/>
            </w:pPr>
            <w:r>
              <w:rPr>
                <w:rFonts w:hint="eastAsia"/>
              </w:rPr>
              <w:t>43.05</w:t>
            </w:r>
          </w:p>
        </w:tc>
        <w:tc>
          <w:tcPr>
            <w:tcW w:w="345" w:type="pct"/>
            <w:tcBorders>
              <w:tl2br w:val="nil"/>
              <w:tr2bl w:val="nil"/>
            </w:tcBorders>
            <w:vAlign w:val="center"/>
          </w:tcPr>
          <w:p w14:paraId="7CBB35BA">
            <w:pPr>
              <w:pStyle w:val="4"/>
            </w:pPr>
            <w:r>
              <w:rPr>
                <w:rFonts w:hint="eastAsia"/>
              </w:rPr>
              <w:t>28</w:t>
            </w:r>
          </w:p>
        </w:tc>
        <w:tc>
          <w:tcPr>
            <w:tcW w:w="353" w:type="pct"/>
            <w:tcBorders>
              <w:tl2br w:val="nil"/>
              <w:tr2bl w:val="nil"/>
            </w:tcBorders>
            <w:vAlign w:val="center"/>
          </w:tcPr>
          <w:p w14:paraId="35092113">
            <w:pPr>
              <w:pStyle w:val="4"/>
            </w:pPr>
            <w:r>
              <w:rPr>
                <w:rFonts w:hint="eastAsia"/>
              </w:rPr>
              <w:t>1</w:t>
            </w:r>
          </w:p>
        </w:tc>
        <w:tc>
          <w:tcPr>
            <w:tcW w:w="288" w:type="pct"/>
            <w:tcBorders>
              <w:tl2br w:val="nil"/>
              <w:tr2bl w:val="nil"/>
            </w:tcBorders>
            <w:vAlign w:val="center"/>
          </w:tcPr>
          <w:p w14:paraId="3A469D29">
            <w:pPr>
              <w:pStyle w:val="4"/>
            </w:pPr>
            <w:r>
              <w:rPr>
                <w:rFonts w:hint="eastAsia"/>
              </w:rPr>
              <w:t>4.49</w:t>
            </w:r>
          </w:p>
        </w:tc>
        <w:tc>
          <w:tcPr>
            <w:tcW w:w="277" w:type="pct"/>
            <w:tcBorders>
              <w:tl2br w:val="nil"/>
              <w:tr2bl w:val="nil"/>
            </w:tcBorders>
            <w:vAlign w:val="center"/>
          </w:tcPr>
          <w:p w14:paraId="4207FDC5">
            <w:pPr>
              <w:pStyle w:val="4"/>
            </w:pPr>
            <w:r>
              <w:rPr>
                <w:rFonts w:hint="eastAsia"/>
              </w:rPr>
              <w:t>59.79</w:t>
            </w:r>
          </w:p>
        </w:tc>
        <w:tc>
          <w:tcPr>
            <w:tcW w:w="240" w:type="pct"/>
            <w:tcBorders>
              <w:tl2br w:val="nil"/>
              <w:tr2bl w:val="nil"/>
            </w:tcBorders>
            <w:vAlign w:val="center"/>
          </w:tcPr>
          <w:p w14:paraId="479F3A2B">
            <w:pPr>
              <w:pStyle w:val="4"/>
            </w:pPr>
            <w:r>
              <w:rPr>
                <w:rFonts w:hint="eastAsia"/>
              </w:rPr>
              <w:t>昼间</w:t>
            </w:r>
          </w:p>
        </w:tc>
        <w:tc>
          <w:tcPr>
            <w:tcW w:w="501" w:type="pct"/>
            <w:tcBorders>
              <w:tl2br w:val="nil"/>
              <w:tr2bl w:val="nil"/>
            </w:tcBorders>
            <w:vAlign w:val="center"/>
          </w:tcPr>
          <w:p w14:paraId="42876806">
            <w:pPr>
              <w:pStyle w:val="4"/>
            </w:pPr>
            <w:r>
              <w:rPr>
                <w:rFonts w:hint="eastAsia"/>
              </w:rPr>
              <w:t>20</w:t>
            </w:r>
          </w:p>
        </w:tc>
        <w:tc>
          <w:tcPr>
            <w:tcW w:w="263" w:type="pct"/>
            <w:tcBorders>
              <w:tl2br w:val="nil"/>
              <w:tr2bl w:val="nil"/>
            </w:tcBorders>
            <w:vAlign w:val="center"/>
          </w:tcPr>
          <w:p w14:paraId="5FAE974D">
            <w:pPr>
              <w:pStyle w:val="4"/>
            </w:pPr>
            <w:r>
              <w:rPr>
                <w:rFonts w:hint="eastAsia"/>
              </w:rPr>
              <w:t>33.79</w:t>
            </w:r>
          </w:p>
        </w:tc>
        <w:tc>
          <w:tcPr>
            <w:tcW w:w="266" w:type="pct"/>
            <w:tcBorders>
              <w:tl2br w:val="nil"/>
              <w:tr2bl w:val="nil"/>
            </w:tcBorders>
            <w:vAlign w:val="center"/>
          </w:tcPr>
          <w:p w14:paraId="47EF5F1B">
            <w:pPr>
              <w:pStyle w:val="4"/>
            </w:pPr>
            <w:r>
              <w:rPr>
                <w:rFonts w:hint="eastAsia"/>
              </w:rPr>
              <w:t>1</w:t>
            </w:r>
          </w:p>
        </w:tc>
      </w:tr>
      <w:tr w14:paraId="0CEB5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vMerge w:val="continue"/>
            <w:tcBorders>
              <w:tl2br w:val="nil"/>
              <w:tr2bl w:val="nil"/>
            </w:tcBorders>
            <w:vAlign w:val="center"/>
          </w:tcPr>
          <w:p w14:paraId="07C8B511">
            <w:pPr>
              <w:pStyle w:val="4"/>
            </w:pPr>
          </w:p>
        </w:tc>
        <w:tc>
          <w:tcPr>
            <w:tcW w:w="445" w:type="pct"/>
            <w:vMerge w:val="continue"/>
            <w:tcBorders>
              <w:tl2br w:val="nil"/>
              <w:tr2bl w:val="nil"/>
            </w:tcBorders>
            <w:vAlign w:val="center"/>
          </w:tcPr>
          <w:p w14:paraId="39D6FD0E">
            <w:pPr>
              <w:pStyle w:val="4"/>
            </w:pPr>
          </w:p>
        </w:tc>
        <w:tc>
          <w:tcPr>
            <w:tcW w:w="247" w:type="pct"/>
            <w:vMerge w:val="continue"/>
            <w:tcBorders>
              <w:tl2br w:val="nil"/>
              <w:tr2bl w:val="nil"/>
            </w:tcBorders>
            <w:vAlign w:val="center"/>
          </w:tcPr>
          <w:p w14:paraId="07B6DE8D">
            <w:pPr>
              <w:pStyle w:val="4"/>
            </w:pPr>
          </w:p>
        </w:tc>
        <w:tc>
          <w:tcPr>
            <w:tcW w:w="446" w:type="pct"/>
            <w:vMerge w:val="continue"/>
            <w:tcBorders>
              <w:tl2br w:val="nil"/>
              <w:tr2bl w:val="nil"/>
            </w:tcBorders>
            <w:vAlign w:val="center"/>
          </w:tcPr>
          <w:p w14:paraId="0D84803F">
            <w:pPr>
              <w:pStyle w:val="4"/>
            </w:pPr>
          </w:p>
        </w:tc>
        <w:tc>
          <w:tcPr>
            <w:tcW w:w="290" w:type="pct"/>
            <w:tcBorders>
              <w:tl2br w:val="nil"/>
              <w:tr2bl w:val="nil"/>
            </w:tcBorders>
            <w:vAlign w:val="center"/>
          </w:tcPr>
          <w:p w14:paraId="2F38AD21">
            <w:pPr>
              <w:pStyle w:val="4"/>
            </w:pPr>
            <w:r>
              <w:rPr>
                <w:rFonts w:hint="eastAsia"/>
              </w:rPr>
              <w:t>65</w:t>
            </w:r>
          </w:p>
        </w:tc>
        <w:tc>
          <w:tcPr>
            <w:tcW w:w="400" w:type="pct"/>
            <w:vMerge w:val="continue"/>
            <w:tcBorders>
              <w:tl2br w:val="nil"/>
              <w:tr2bl w:val="nil"/>
            </w:tcBorders>
            <w:vAlign w:val="center"/>
          </w:tcPr>
          <w:p w14:paraId="2C56A654">
            <w:pPr>
              <w:pStyle w:val="4"/>
            </w:pPr>
          </w:p>
        </w:tc>
        <w:tc>
          <w:tcPr>
            <w:tcW w:w="345" w:type="pct"/>
            <w:tcBorders>
              <w:tl2br w:val="nil"/>
              <w:tr2bl w:val="nil"/>
            </w:tcBorders>
            <w:vAlign w:val="center"/>
          </w:tcPr>
          <w:p w14:paraId="1337A81B">
            <w:pPr>
              <w:pStyle w:val="4"/>
            </w:pPr>
            <w:r>
              <w:rPr>
                <w:rFonts w:hint="eastAsia"/>
              </w:rPr>
              <w:t>43.05</w:t>
            </w:r>
          </w:p>
        </w:tc>
        <w:tc>
          <w:tcPr>
            <w:tcW w:w="345" w:type="pct"/>
            <w:tcBorders>
              <w:tl2br w:val="nil"/>
              <w:tr2bl w:val="nil"/>
            </w:tcBorders>
            <w:vAlign w:val="center"/>
          </w:tcPr>
          <w:p w14:paraId="5938C124">
            <w:pPr>
              <w:pStyle w:val="4"/>
            </w:pPr>
            <w:r>
              <w:rPr>
                <w:rFonts w:hint="eastAsia"/>
              </w:rPr>
              <w:t>28</w:t>
            </w:r>
          </w:p>
        </w:tc>
        <w:tc>
          <w:tcPr>
            <w:tcW w:w="353" w:type="pct"/>
            <w:tcBorders>
              <w:tl2br w:val="nil"/>
              <w:tr2bl w:val="nil"/>
            </w:tcBorders>
            <w:vAlign w:val="center"/>
          </w:tcPr>
          <w:p w14:paraId="715657CB">
            <w:pPr>
              <w:pStyle w:val="4"/>
            </w:pPr>
            <w:r>
              <w:rPr>
                <w:rFonts w:hint="eastAsia"/>
              </w:rPr>
              <w:t>1</w:t>
            </w:r>
          </w:p>
        </w:tc>
        <w:tc>
          <w:tcPr>
            <w:tcW w:w="288" w:type="pct"/>
            <w:tcBorders>
              <w:tl2br w:val="nil"/>
              <w:tr2bl w:val="nil"/>
            </w:tcBorders>
            <w:vAlign w:val="center"/>
          </w:tcPr>
          <w:p w14:paraId="1872FF29">
            <w:pPr>
              <w:pStyle w:val="4"/>
            </w:pPr>
            <w:r>
              <w:rPr>
                <w:rFonts w:hint="eastAsia"/>
              </w:rPr>
              <w:t>4.49</w:t>
            </w:r>
          </w:p>
        </w:tc>
        <w:tc>
          <w:tcPr>
            <w:tcW w:w="277" w:type="pct"/>
            <w:tcBorders>
              <w:tl2br w:val="nil"/>
              <w:tr2bl w:val="nil"/>
            </w:tcBorders>
            <w:vAlign w:val="center"/>
          </w:tcPr>
          <w:p w14:paraId="0EB3777A">
            <w:pPr>
              <w:pStyle w:val="4"/>
            </w:pPr>
            <w:r>
              <w:rPr>
                <w:rFonts w:hint="eastAsia"/>
              </w:rPr>
              <w:t>59.79</w:t>
            </w:r>
          </w:p>
        </w:tc>
        <w:tc>
          <w:tcPr>
            <w:tcW w:w="240" w:type="pct"/>
            <w:tcBorders>
              <w:tl2br w:val="nil"/>
              <w:tr2bl w:val="nil"/>
            </w:tcBorders>
            <w:vAlign w:val="center"/>
          </w:tcPr>
          <w:p w14:paraId="15FB43E9">
            <w:pPr>
              <w:pStyle w:val="4"/>
            </w:pPr>
            <w:r>
              <w:rPr>
                <w:rFonts w:hint="eastAsia"/>
              </w:rPr>
              <w:t>夜间</w:t>
            </w:r>
          </w:p>
        </w:tc>
        <w:tc>
          <w:tcPr>
            <w:tcW w:w="501" w:type="pct"/>
            <w:tcBorders>
              <w:tl2br w:val="nil"/>
              <w:tr2bl w:val="nil"/>
            </w:tcBorders>
            <w:vAlign w:val="center"/>
          </w:tcPr>
          <w:p w14:paraId="63690B26">
            <w:pPr>
              <w:pStyle w:val="4"/>
            </w:pPr>
            <w:r>
              <w:rPr>
                <w:rFonts w:hint="eastAsia"/>
              </w:rPr>
              <w:t>20</w:t>
            </w:r>
          </w:p>
        </w:tc>
        <w:tc>
          <w:tcPr>
            <w:tcW w:w="263" w:type="pct"/>
            <w:tcBorders>
              <w:tl2br w:val="nil"/>
              <w:tr2bl w:val="nil"/>
            </w:tcBorders>
            <w:vAlign w:val="center"/>
          </w:tcPr>
          <w:p w14:paraId="4FDD91E9">
            <w:pPr>
              <w:pStyle w:val="4"/>
            </w:pPr>
            <w:r>
              <w:rPr>
                <w:rFonts w:hint="eastAsia"/>
              </w:rPr>
              <w:t>33.79</w:t>
            </w:r>
          </w:p>
        </w:tc>
        <w:tc>
          <w:tcPr>
            <w:tcW w:w="266" w:type="pct"/>
            <w:tcBorders>
              <w:tl2br w:val="nil"/>
              <w:tr2bl w:val="nil"/>
            </w:tcBorders>
            <w:vAlign w:val="center"/>
          </w:tcPr>
          <w:p w14:paraId="02338113">
            <w:pPr>
              <w:pStyle w:val="4"/>
            </w:pPr>
            <w:r>
              <w:rPr>
                <w:rFonts w:hint="eastAsia"/>
              </w:rPr>
              <w:t>1</w:t>
            </w:r>
          </w:p>
        </w:tc>
      </w:tr>
      <w:tr w14:paraId="6AA74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14:paraId="3BBB3C7E">
            <w:pPr>
              <w:pStyle w:val="4"/>
            </w:pPr>
            <w:r>
              <w:rPr>
                <w:rFonts w:hint="eastAsia"/>
              </w:rPr>
              <w:t>3</w:t>
            </w:r>
          </w:p>
        </w:tc>
        <w:tc>
          <w:tcPr>
            <w:tcW w:w="445" w:type="pct"/>
            <w:tcBorders>
              <w:tl2br w:val="nil"/>
              <w:tr2bl w:val="nil"/>
            </w:tcBorders>
            <w:vAlign w:val="center"/>
          </w:tcPr>
          <w:p w14:paraId="190C9432">
            <w:pPr>
              <w:pStyle w:val="4"/>
            </w:pPr>
            <w:r>
              <w:rPr>
                <w:rFonts w:hint="eastAsia"/>
              </w:rPr>
              <w:t>柴油发电机房</w:t>
            </w:r>
          </w:p>
        </w:tc>
        <w:tc>
          <w:tcPr>
            <w:tcW w:w="247" w:type="pct"/>
            <w:tcBorders>
              <w:tl2br w:val="nil"/>
              <w:tr2bl w:val="nil"/>
            </w:tcBorders>
            <w:vAlign w:val="center"/>
          </w:tcPr>
          <w:p w14:paraId="129DF1F9">
            <w:pPr>
              <w:pStyle w:val="4"/>
            </w:pPr>
            <w:r>
              <w:rPr>
                <w:rFonts w:hint="eastAsia"/>
              </w:rPr>
              <w:t>/</w:t>
            </w:r>
          </w:p>
        </w:tc>
        <w:tc>
          <w:tcPr>
            <w:tcW w:w="446" w:type="pct"/>
            <w:tcBorders>
              <w:tl2br w:val="nil"/>
              <w:tr2bl w:val="nil"/>
            </w:tcBorders>
            <w:vAlign w:val="center"/>
          </w:tcPr>
          <w:p w14:paraId="50588C96">
            <w:pPr>
              <w:pStyle w:val="4"/>
            </w:pPr>
            <w:r>
              <w:rPr>
                <w:rFonts w:hint="eastAsia"/>
              </w:rPr>
              <w:t>/</w:t>
            </w:r>
          </w:p>
        </w:tc>
        <w:tc>
          <w:tcPr>
            <w:tcW w:w="290" w:type="pct"/>
            <w:tcBorders>
              <w:tl2br w:val="nil"/>
              <w:tr2bl w:val="nil"/>
            </w:tcBorders>
            <w:vAlign w:val="center"/>
          </w:tcPr>
          <w:p w14:paraId="701639FF">
            <w:pPr>
              <w:pStyle w:val="4"/>
            </w:pPr>
            <w:r>
              <w:rPr>
                <w:rFonts w:hint="eastAsia"/>
              </w:rPr>
              <w:t>80</w:t>
            </w:r>
          </w:p>
        </w:tc>
        <w:tc>
          <w:tcPr>
            <w:tcW w:w="400" w:type="pct"/>
            <w:vMerge w:val="continue"/>
            <w:tcBorders>
              <w:tl2br w:val="nil"/>
              <w:tr2bl w:val="nil"/>
            </w:tcBorders>
            <w:vAlign w:val="center"/>
          </w:tcPr>
          <w:p w14:paraId="1FBBCDDF">
            <w:pPr>
              <w:pStyle w:val="4"/>
            </w:pPr>
          </w:p>
        </w:tc>
        <w:tc>
          <w:tcPr>
            <w:tcW w:w="345" w:type="pct"/>
            <w:tcBorders>
              <w:tl2br w:val="nil"/>
              <w:tr2bl w:val="nil"/>
            </w:tcBorders>
            <w:vAlign w:val="center"/>
          </w:tcPr>
          <w:p w14:paraId="02D59C96">
            <w:pPr>
              <w:pStyle w:val="4"/>
            </w:pPr>
            <w:r>
              <w:rPr>
                <w:rFonts w:hint="eastAsia"/>
              </w:rPr>
              <w:t>37.74</w:t>
            </w:r>
          </w:p>
        </w:tc>
        <w:tc>
          <w:tcPr>
            <w:tcW w:w="345" w:type="pct"/>
            <w:tcBorders>
              <w:tl2br w:val="nil"/>
              <w:tr2bl w:val="nil"/>
            </w:tcBorders>
            <w:vAlign w:val="center"/>
          </w:tcPr>
          <w:p w14:paraId="57E4DF49">
            <w:pPr>
              <w:pStyle w:val="4"/>
            </w:pPr>
            <w:r>
              <w:rPr>
                <w:rFonts w:hint="eastAsia"/>
              </w:rPr>
              <w:t>25</w:t>
            </w:r>
          </w:p>
        </w:tc>
        <w:tc>
          <w:tcPr>
            <w:tcW w:w="353" w:type="pct"/>
            <w:tcBorders>
              <w:tl2br w:val="nil"/>
              <w:tr2bl w:val="nil"/>
            </w:tcBorders>
            <w:vAlign w:val="center"/>
          </w:tcPr>
          <w:p w14:paraId="0256E797">
            <w:pPr>
              <w:pStyle w:val="4"/>
            </w:pPr>
            <w:r>
              <w:rPr>
                <w:rFonts w:hint="eastAsia"/>
              </w:rPr>
              <w:t>-3</w:t>
            </w:r>
          </w:p>
        </w:tc>
        <w:tc>
          <w:tcPr>
            <w:tcW w:w="288" w:type="pct"/>
            <w:tcBorders>
              <w:tl2br w:val="nil"/>
              <w:tr2bl w:val="nil"/>
            </w:tcBorders>
            <w:vAlign w:val="center"/>
          </w:tcPr>
          <w:p w14:paraId="5AFF3DD5">
            <w:pPr>
              <w:pStyle w:val="4"/>
            </w:pPr>
            <w:r>
              <w:rPr>
                <w:rFonts w:hint="eastAsia"/>
              </w:rPr>
              <w:t>22.92</w:t>
            </w:r>
          </w:p>
        </w:tc>
        <w:tc>
          <w:tcPr>
            <w:tcW w:w="277" w:type="pct"/>
            <w:tcBorders>
              <w:tl2br w:val="nil"/>
              <w:tr2bl w:val="nil"/>
            </w:tcBorders>
            <w:vAlign w:val="center"/>
          </w:tcPr>
          <w:p w14:paraId="0CF3F425">
            <w:pPr>
              <w:pStyle w:val="4"/>
            </w:pPr>
            <w:r>
              <w:rPr>
                <w:rFonts w:hint="eastAsia"/>
              </w:rPr>
              <w:t>69.87</w:t>
            </w:r>
          </w:p>
        </w:tc>
        <w:tc>
          <w:tcPr>
            <w:tcW w:w="240" w:type="pct"/>
            <w:tcBorders>
              <w:tl2br w:val="nil"/>
              <w:tr2bl w:val="nil"/>
            </w:tcBorders>
            <w:vAlign w:val="center"/>
          </w:tcPr>
          <w:p w14:paraId="05E9D8CE">
            <w:pPr>
              <w:pStyle w:val="4"/>
            </w:pPr>
            <w:r>
              <w:rPr>
                <w:rFonts w:hint="eastAsia"/>
              </w:rPr>
              <w:t>偶发</w:t>
            </w:r>
          </w:p>
        </w:tc>
        <w:tc>
          <w:tcPr>
            <w:tcW w:w="501" w:type="pct"/>
            <w:tcBorders>
              <w:tl2br w:val="nil"/>
              <w:tr2bl w:val="nil"/>
            </w:tcBorders>
            <w:vAlign w:val="center"/>
          </w:tcPr>
          <w:p w14:paraId="772F1480">
            <w:pPr>
              <w:pStyle w:val="4"/>
            </w:pPr>
            <w:r>
              <w:rPr>
                <w:rFonts w:hint="eastAsia"/>
              </w:rPr>
              <w:t>20</w:t>
            </w:r>
          </w:p>
        </w:tc>
        <w:tc>
          <w:tcPr>
            <w:tcW w:w="263" w:type="pct"/>
            <w:tcBorders>
              <w:tl2br w:val="nil"/>
              <w:tr2bl w:val="nil"/>
            </w:tcBorders>
            <w:vAlign w:val="center"/>
          </w:tcPr>
          <w:p w14:paraId="64325F25">
            <w:pPr>
              <w:pStyle w:val="4"/>
            </w:pPr>
            <w:r>
              <w:rPr>
                <w:rFonts w:hint="eastAsia"/>
              </w:rPr>
              <w:t>43.87</w:t>
            </w:r>
          </w:p>
        </w:tc>
        <w:tc>
          <w:tcPr>
            <w:tcW w:w="266" w:type="pct"/>
            <w:tcBorders>
              <w:tl2br w:val="nil"/>
              <w:tr2bl w:val="nil"/>
            </w:tcBorders>
            <w:vAlign w:val="center"/>
          </w:tcPr>
          <w:p w14:paraId="7B78F6F7">
            <w:pPr>
              <w:pStyle w:val="4"/>
            </w:pPr>
            <w:r>
              <w:rPr>
                <w:rFonts w:hint="eastAsia"/>
              </w:rPr>
              <w:t>1</w:t>
            </w:r>
          </w:p>
        </w:tc>
      </w:tr>
    </w:tbl>
    <w:p w14:paraId="2EE12820">
      <w:pPr>
        <w:ind w:firstLine="402"/>
        <w:jc w:val="center"/>
        <w:rPr>
          <w:rFonts w:eastAsia="黑体"/>
          <w:b/>
          <w:bCs/>
          <w:kern w:val="0"/>
          <w:sz w:val="20"/>
          <w:szCs w:val="20"/>
        </w:rPr>
      </w:pPr>
    </w:p>
    <w:p w14:paraId="0ECD2C7E">
      <w:pPr>
        <w:spacing w:line="360" w:lineRule="auto"/>
        <w:jc w:val="center"/>
        <w:rPr>
          <w:b/>
          <w:bCs/>
          <w:sz w:val="24"/>
        </w:rPr>
      </w:pPr>
      <w:r>
        <w:rPr>
          <w:rFonts w:hint="eastAsia"/>
          <w:b/>
          <w:bCs/>
          <w:sz w:val="24"/>
        </w:rPr>
        <w:t>表4-1</w:t>
      </w:r>
      <w:r>
        <w:rPr>
          <w:rFonts w:hint="eastAsia"/>
          <w:b/>
          <w:bCs/>
          <w:sz w:val="24"/>
          <w:lang w:val="en-US" w:eastAsia="zh-CN"/>
        </w:rPr>
        <w:t>3</w:t>
      </w:r>
      <w:r>
        <w:rPr>
          <w:rFonts w:hint="eastAsia"/>
          <w:b/>
          <w:bCs/>
          <w:sz w:val="24"/>
        </w:rPr>
        <w:t xml:space="preserve"> 工业企业噪声源强调查清单（室外声源）</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7"/>
        <w:gridCol w:w="1465"/>
        <w:gridCol w:w="900"/>
        <w:gridCol w:w="984"/>
        <w:gridCol w:w="984"/>
        <w:gridCol w:w="987"/>
        <w:gridCol w:w="2377"/>
        <w:gridCol w:w="1375"/>
        <w:gridCol w:w="1938"/>
        <w:gridCol w:w="2375"/>
      </w:tblGrid>
      <w:tr w14:paraId="445E8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restart"/>
            <w:tcBorders>
              <w:tl2br w:val="nil"/>
              <w:tr2bl w:val="nil"/>
            </w:tcBorders>
            <w:vAlign w:val="center"/>
          </w:tcPr>
          <w:p w14:paraId="7030A195">
            <w:pPr>
              <w:pStyle w:val="29"/>
            </w:pPr>
            <w:r>
              <w:rPr>
                <w:rFonts w:hint="eastAsia"/>
              </w:rPr>
              <w:t>序号</w:t>
            </w:r>
          </w:p>
        </w:tc>
        <w:tc>
          <w:tcPr>
            <w:tcW w:w="521" w:type="pct"/>
            <w:vMerge w:val="restart"/>
            <w:tcBorders>
              <w:tl2br w:val="nil"/>
              <w:tr2bl w:val="nil"/>
            </w:tcBorders>
            <w:vAlign w:val="center"/>
          </w:tcPr>
          <w:p w14:paraId="14B3B9BB">
            <w:pPr>
              <w:pStyle w:val="29"/>
            </w:pPr>
            <w:r>
              <w:t>声源</w:t>
            </w:r>
            <w:r>
              <w:rPr>
                <w:rFonts w:hint="eastAsia"/>
              </w:rPr>
              <w:t>名称</w:t>
            </w:r>
          </w:p>
        </w:tc>
        <w:tc>
          <w:tcPr>
            <w:tcW w:w="320" w:type="pct"/>
            <w:vMerge w:val="restart"/>
            <w:tcBorders>
              <w:tl2br w:val="nil"/>
              <w:tr2bl w:val="nil"/>
            </w:tcBorders>
            <w:vAlign w:val="center"/>
          </w:tcPr>
          <w:p w14:paraId="4DE9044A">
            <w:pPr>
              <w:pStyle w:val="29"/>
            </w:pPr>
            <w:r>
              <w:rPr>
                <w:rFonts w:hint="eastAsia"/>
              </w:rPr>
              <w:t>型号</w:t>
            </w:r>
          </w:p>
        </w:tc>
        <w:tc>
          <w:tcPr>
            <w:tcW w:w="1051" w:type="pct"/>
            <w:gridSpan w:val="3"/>
            <w:tcBorders>
              <w:tl2br w:val="nil"/>
              <w:tr2bl w:val="nil"/>
            </w:tcBorders>
            <w:vAlign w:val="center"/>
          </w:tcPr>
          <w:p w14:paraId="7F565E0D">
            <w:pPr>
              <w:pStyle w:val="29"/>
            </w:pPr>
            <w:r>
              <w:rPr>
                <w:rFonts w:hint="eastAsia"/>
              </w:rPr>
              <w:t>空间相对位置</w:t>
            </w:r>
          </w:p>
        </w:tc>
        <w:tc>
          <w:tcPr>
            <w:tcW w:w="1334" w:type="pct"/>
            <w:gridSpan w:val="2"/>
            <w:tcBorders>
              <w:tl2br w:val="nil"/>
              <w:tr2bl w:val="nil"/>
            </w:tcBorders>
            <w:vAlign w:val="center"/>
          </w:tcPr>
          <w:p w14:paraId="2F630A64">
            <w:pPr>
              <w:pStyle w:val="29"/>
            </w:pPr>
            <w:r>
              <w:t>噪声源强</w:t>
            </w:r>
            <w:r>
              <w:rPr>
                <w:rFonts w:hint="eastAsia"/>
              </w:rPr>
              <w:t>（任选一种）</w:t>
            </w:r>
          </w:p>
        </w:tc>
        <w:tc>
          <w:tcPr>
            <w:tcW w:w="689" w:type="pct"/>
            <w:vMerge w:val="restart"/>
            <w:tcBorders>
              <w:tl2br w:val="nil"/>
              <w:tr2bl w:val="nil"/>
            </w:tcBorders>
            <w:vAlign w:val="center"/>
          </w:tcPr>
          <w:p w14:paraId="059266F0">
            <w:pPr>
              <w:pStyle w:val="29"/>
            </w:pPr>
            <w:r>
              <w:rPr>
                <w:rFonts w:hint="eastAsia"/>
              </w:rPr>
              <w:t>声源控制措施</w:t>
            </w:r>
          </w:p>
        </w:tc>
        <w:tc>
          <w:tcPr>
            <w:tcW w:w="844" w:type="pct"/>
            <w:vMerge w:val="restart"/>
            <w:tcBorders>
              <w:tl2br w:val="nil"/>
              <w:tr2bl w:val="nil"/>
            </w:tcBorders>
            <w:vAlign w:val="center"/>
          </w:tcPr>
          <w:p w14:paraId="5C83B909">
            <w:pPr>
              <w:pStyle w:val="29"/>
            </w:pPr>
            <w:r>
              <w:rPr>
                <w:rFonts w:hint="eastAsia"/>
              </w:rPr>
              <w:t>运行时段</w:t>
            </w:r>
          </w:p>
        </w:tc>
      </w:tr>
      <w:tr w14:paraId="518CD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continue"/>
            <w:tcBorders>
              <w:tl2br w:val="nil"/>
              <w:tr2bl w:val="nil"/>
            </w:tcBorders>
            <w:vAlign w:val="center"/>
          </w:tcPr>
          <w:p w14:paraId="78CC1DCD">
            <w:pPr>
              <w:pStyle w:val="29"/>
              <w:spacing w:line="360" w:lineRule="auto"/>
            </w:pPr>
          </w:p>
        </w:tc>
        <w:tc>
          <w:tcPr>
            <w:tcW w:w="521" w:type="pct"/>
            <w:vMerge w:val="continue"/>
            <w:tcBorders>
              <w:tl2br w:val="nil"/>
              <w:tr2bl w:val="nil"/>
            </w:tcBorders>
            <w:vAlign w:val="center"/>
          </w:tcPr>
          <w:p w14:paraId="49A037EF">
            <w:pPr>
              <w:pStyle w:val="29"/>
              <w:spacing w:line="360" w:lineRule="auto"/>
            </w:pPr>
          </w:p>
        </w:tc>
        <w:tc>
          <w:tcPr>
            <w:tcW w:w="320" w:type="pct"/>
            <w:vMerge w:val="continue"/>
            <w:tcBorders>
              <w:tl2br w:val="nil"/>
              <w:tr2bl w:val="nil"/>
            </w:tcBorders>
            <w:vAlign w:val="center"/>
          </w:tcPr>
          <w:p w14:paraId="228EAC69">
            <w:pPr>
              <w:pStyle w:val="29"/>
              <w:spacing w:line="360" w:lineRule="auto"/>
            </w:pPr>
          </w:p>
        </w:tc>
        <w:tc>
          <w:tcPr>
            <w:tcW w:w="350" w:type="pct"/>
            <w:tcBorders>
              <w:tl2br w:val="nil"/>
              <w:tr2bl w:val="nil"/>
            </w:tcBorders>
            <w:vAlign w:val="center"/>
          </w:tcPr>
          <w:p w14:paraId="5678F0CA">
            <w:pPr>
              <w:pStyle w:val="29"/>
              <w:spacing w:line="360" w:lineRule="auto"/>
            </w:pPr>
            <w:r>
              <w:rPr>
                <w:rFonts w:hint="eastAsia"/>
              </w:rPr>
              <w:t>X</w:t>
            </w:r>
          </w:p>
        </w:tc>
        <w:tc>
          <w:tcPr>
            <w:tcW w:w="350" w:type="pct"/>
            <w:tcBorders>
              <w:tl2br w:val="nil"/>
              <w:tr2bl w:val="nil"/>
            </w:tcBorders>
            <w:vAlign w:val="center"/>
          </w:tcPr>
          <w:p w14:paraId="78BA5B82">
            <w:pPr>
              <w:pStyle w:val="29"/>
              <w:spacing w:line="360" w:lineRule="auto"/>
            </w:pPr>
            <w:r>
              <w:rPr>
                <w:rFonts w:hint="eastAsia"/>
              </w:rPr>
              <w:t>Y</w:t>
            </w:r>
          </w:p>
        </w:tc>
        <w:tc>
          <w:tcPr>
            <w:tcW w:w="351" w:type="pct"/>
            <w:tcBorders>
              <w:tl2br w:val="nil"/>
              <w:tr2bl w:val="nil"/>
            </w:tcBorders>
            <w:vAlign w:val="center"/>
          </w:tcPr>
          <w:p w14:paraId="20557A2C">
            <w:pPr>
              <w:pStyle w:val="29"/>
              <w:spacing w:line="360" w:lineRule="auto"/>
            </w:pPr>
            <w:r>
              <w:rPr>
                <w:rFonts w:hint="eastAsia"/>
              </w:rPr>
              <w:t>Z</w:t>
            </w:r>
          </w:p>
        </w:tc>
        <w:tc>
          <w:tcPr>
            <w:tcW w:w="845" w:type="pct"/>
            <w:tcBorders>
              <w:tl2br w:val="nil"/>
              <w:tr2bl w:val="nil"/>
            </w:tcBorders>
            <w:vAlign w:val="center"/>
          </w:tcPr>
          <w:p w14:paraId="0A3CABDA">
            <w:pPr>
              <w:pStyle w:val="29"/>
            </w:pPr>
            <w:r>
              <w:t>（声压级/距声源距离）/（dB（A）/m）</w:t>
            </w:r>
          </w:p>
        </w:tc>
        <w:tc>
          <w:tcPr>
            <w:tcW w:w="489" w:type="pct"/>
            <w:tcBorders>
              <w:tl2br w:val="nil"/>
              <w:tr2bl w:val="nil"/>
            </w:tcBorders>
            <w:vAlign w:val="center"/>
          </w:tcPr>
          <w:p w14:paraId="549970B5">
            <w:pPr>
              <w:pStyle w:val="29"/>
            </w:pPr>
            <w:r>
              <w:rPr>
                <w:rFonts w:hint="eastAsia"/>
              </w:rPr>
              <w:t>声功率级/</w:t>
            </w:r>
            <w:r>
              <w:t>dB（A）</w:t>
            </w:r>
          </w:p>
        </w:tc>
        <w:tc>
          <w:tcPr>
            <w:tcW w:w="689" w:type="pct"/>
            <w:vMerge w:val="continue"/>
            <w:tcBorders>
              <w:tl2br w:val="nil"/>
              <w:tr2bl w:val="nil"/>
            </w:tcBorders>
            <w:vAlign w:val="center"/>
          </w:tcPr>
          <w:p w14:paraId="1D85B788">
            <w:pPr>
              <w:pStyle w:val="29"/>
              <w:spacing w:line="360" w:lineRule="auto"/>
            </w:pPr>
          </w:p>
        </w:tc>
        <w:tc>
          <w:tcPr>
            <w:tcW w:w="844" w:type="pct"/>
            <w:vMerge w:val="continue"/>
            <w:tcBorders>
              <w:tl2br w:val="nil"/>
              <w:tr2bl w:val="nil"/>
            </w:tcBorders>
            <w:vAlign w:val="center"/>
          </w:tcPr>
          <w:p w14:paraId="2DDEA5D6">
            <w:pPr>
              <w:pStyle w:val="29"/>
              <w:spacing w:line="360" w:lineRule="auto"/>
            </w:pPr>
          </w:p>
        </w:tc>
      </w:tr>
      <w:tr w14:paraId="207CB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24029149">
            <w:pPr>
              <w:pStyle w:val="29"/>
            </w:pPr>
            <w:r>
              <w:rPr>
                <w:rFonts w:hint="eastAsia"/>
              </w:rPr>
              <w:t>1</w:t>
            </w:r>
          </w:p>
        </w:tc>
        <w:tc>
          <w:tcPr>
            <w:tcW w:w="521" w:type="pct"/>
            <w:tcBorders>
              <w:tl2br w:val="nil"/>
              <w:tr2bl w:val="nil"/>
            </w:tcBorders>
            <w:vAlign w:val="center"/>
          </w:tcPr>
          <w:p w14:paraId="118C666E">
            <w:pPr>
              <w:pStyle w:val="29"/>
              <w:rPr>
                <w:rFonts w:eastAsia="宋体"/>
              </w:rPr>
            </w:pPr>
            <w:r>
              <w:rPr>
                <w:rFonts w:hint="eastAsia" w:eastAsia="宋体"/>
              </w:rPr>
              <w:t>污水处理站</w:t>
            </w:r>
          </w:p>
        </w:tc>
        <w:tc>
          <w:tcPr>
            <w:tcW w:w="320" w:type="pct"/>
            <w:tcBorders>
              <w:tl2br w:val="nil"/>
              <w:tr2bl w:val="nil"/>
            </w:tcBorders>
            <w:vAlign w:val="center"/>
          </w:tcPr>
          <w:p w14:paraId="52423352">
            <w:pPr>
              <w:pStyle w:val="29"/>
            </w:pPr>
            <w:r>
              <w:rPr>
                <w:rFonts w:hint="eastAsia"/>
              </w:rPr>
              <w:t>/</w:t>
            </w:r>
          </w:p>
        </w:tc>
        <w:tc>
          <w:tcPr>
            <w:tcW w:w="350" w:type="pct"/>
            <w:tcBorders>
              <w:tl2br w:val="nil"/>
              <w:tr2bl w:val="nil"/>
            </w:tcBorders>
            <w:vAlign w:val="center"/>
          </w:tcPr>
          <w:p w14:paraId="50B7B4D1">
            <w:pPr>
              <w:pStyle w:val="29"/>
              <w:rPr>
                <w:rFonts w:eastAsia="宋体"/>
              </w:rPr>
            </w:pPr>
            <w:r>
              <w:rPr>
                <w:rFonts w:hint="eastAsia" w:eastAsia="宋体"/>
              </w:rPr>
              <w:t>-3</w:t>
            </w:r>
            <w:r>
              <w:rPr>
                <w:rFonts w:hint="eastAsia"/>
              </w:rPr>
              <w:t>0.52</w:t>
            </w:r>
          </w:p>
        </w:tc>
        <w:tc>
          <w:tcPr>
            <w:tcW w:w="350" w:type="pct"/>
            <w:tcBorders>
              <w:tl2br w:val="nil"/>
              <w:tr2bl w:val="nil"/>
            </w:tcBorders>
            <w:vAlign w:val="center"/>
          </w:tcPr>
          <w:p w14:paraId="32A0A293">
            <w:pPr>
              <w:pStyle w:val="29"/>
              <w:rPr>
                <w:rFonts w:eastAsia="宋体"/>
              </w:rPr>
            </w:pPr>
            <w:r>
              <w:rPr>
                <w:rFonts w:hint="eastAsia"/>
              </w:rPr>
              <w:t>21.5</w:t>
            </w:r>
          </w:p>
        </w:tc>
        <w:tc>
          <w:tcPr>
            <w:tcW w:w="351" w:type="pct"/>
            <w:tcBorders>
              <w:tl2br w:val="nil"/>
              <w:tr2bl w:val="nil"/>
            </w:tcBorders>
            <w:vAlign w:val="center"/>
          </w:tcPr>
          <w:p w14:paraId="5789A36A">
            <w:pPr>
              <w:pStyle w:val="29"/>
            </w:pPr>
            <w:r>
              <w:rPr>
                <w:rFonts w:hint="eastAsia"/>
              </w:rPr>
              <w:t>1</w:t>
            </w:r>
          </w:p>
        </w:tc>
        <w:tc>
          <w:tcPr>
            <w:tcW w:w="845" w:type="pct"/>
            <w:tcBorders>
              <w:tl2br w:val="nil"/>
              <w:tr2bl w:val="nil"/>
            </w:tcBorders>
            <w:vAlign w:val="center"/>
          </w:tcPr>
          <w:p w14:paraId="564EF452">
            <w:pPr>
              <w:pStyle w:val="29"/>
            </w:pPr>
            <w:r>
              <w:rPr>
                <w:rFonts w:hint="eastAsia"/>
              </w:rPr>
              <w:t>/</w:t>
            </w:r>
          </w:p>
        </w:tc>
        <w:tc>
          <w:tcPr>
            <w:tcW w:w="489" w:type="pct"/>
            <w:tcBorders>
              <w:tl2br w:val="nil"/>
              <w:tr2bl w:val="nil"/>
            </w:tcBorders>
            <w:vAlign w:val="center"/>
          </w:tcPr>
          <w:p w14:paraId="2DFFCD53">
            <w:pPr>
              <w:pStyle w:val="29"/>
              <w:rPr>
                <w:rFonts w:eastAsia="宋体"/>
              </w:rPr>
            </w:pPr>
            <w:r>
              <w:rPr>
                <w:rFonts w:hint="eastAsia" w:eastAsia="宋体"/>
              </w:rPr>
              <w:t>75</w:t>
            </w:r>
          </w:p>
        </w:tc>
        <w:tc>
          <w:tcPr>
            <w:tcW w:w="689" w:type="pct"/>
            <w:tcBorders>
              <w:tl2br w:val="nil"/>
              <w:tr2bl w:val="nil"/>
            </w:tcBorders>
            <w:vAlign w:val="center"/>
          </w:tcPr>
          <w:p w14:paraId="4974B355">
            <w:pPr>
              <w:pStyle w:val="29"/>
            </w:pPr>
            <w:r>
              <w:rPr>
                <w:rFonts w:hint="eastAsia"/>
              </w:rPr>
              <w:t>选用低噪声设备，合理布置设备，加强管理</w:t>
            </w:r>
          </w:p>
        </w:tc>
        <w:tc>
          <w:tcPr>
            <w:tcW w:w="844" w:type="pct"/>
            <w:tcBorders>
              <w:tl2br w:val="nil"/>
              <w:tr2bl w:val="nil"/>
            </w:tcBorders>
            <w:vAlign w:val="center"/>
          </w:tcPr>
          <w:p w14:paraId="1D1096FA">
            <w:pPr>
              <w:pStyle w:val="29"/>
            </w:pPr>
            <w:r>
              <w:rPr>
                <w:rFonts w:hint="eastAsia"/>
              </w:rPr>
              <w:t>昼间</w:t>
            </w:r>
          </w:p>
        </w:tc>
      </w:tr>
    </w:tbl>
    <w:p w14:paraId="75CFF250">
      <w:pPr>
        <w:sectPr>
          <w:pgSz w:w="16838" w:h="11906" w:orient="landscape"/>
          <w:pgMar w:top="1417" w:right="1440" w:bottom="1134" w:left="1440" w:header="851" w:footer="992" w:gutter="0"/>
          <w:pgBorders>
            <w:top w:val="none" w:sz="0" w:space="0"/>
            <w:left w:val="none" w:sz="0" w:space="0"/>
            <w:bottom w:val="none" w:sz="0" w:space="0"/>
            <w:right w:val="none" w:sz="0" w:space="0"/>
          </w:pgBorders>
          <w:cols w:space="720" w:num="1"/>
          <w:docGrid w:type="lines" w:linePitch="312" w:charSpace="0"/>
        </w:sectPr>
      </w:pPr>
    </w:p>
    <w:p w14:paraId="588BDDF2"/>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872"/>
      </w:tblGrid>
      <w:tr w14:paraId="5FF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Align w:val="center"/>
          </w:tcPr>
          <w:p w14:paraId="08CE62DC">
            <w:pPr>
              <w:pStyle w:val="8"/>
              <w:spacing w:after="0" w:line="360" w:lineRule="auto"/>
              <w:jc w:val="center"/>
              <w:rPr>
                <w:bCs/>
                <w:sz w:val="24"/>
              </w:rPr>
            </w:pPr>
          </w:p>
        </w:tc>
        <w:tc>
          <w:tcPr>
            <w:tcW w:w="4634" w:type="pct"/>
            <w:vAlign w:val="center"/>
          </w:tcPr>
          <w:p w14:paraId="70B35282">
            <w:pPr>
              <w:pStyle w:val="8"/>
              <w:spacing w:after="0" w:line="360" w:lineRule="auto"/>
              <w:ind w:firstLine="482" w:firstLineChars="200"/>
              <w:rPr>
                <w:b/>
                <w:bCs/>
                <w:sz w:val="24"/>
              </w:rPr>
            </w:pPr>
            <w:r>
              <w:rPr>
                <w:b/>
                <w:bCs/>
                <w:sz w:val="24"/>
              </w:rPr>
              <w:t>（3）达标情况分析</w:t>
            </w:r>
          </w:p>
          <w:p w14:paraId="2A713519">
            <w:pPr>
              <w:pStyle w:val="8"/>
              <w:spacing w:after="0" w:line="360" w:lineRule="auto"/>
              <w:ind w:firstLine="480" w:firstLineChars="200"/>
              <w:rPr>
                <w:sz w:val="24"/>
              </w:rPr>
            </w:pPr>
            <w:r>
              <w:rPr>
                <w:sz w:val="24"/>
              </w:rPr>
              <w:t>1）预测模式</w:t>
            </w:r>
          </w:p>
          <w:p w14:paraId="540EBAE6">
            <w:pPr>
              <w:pStyle w:val="8"/>
              <w:spacing w:after="0" w:line="360" w:lineRule="auto"/>
              <w:ind w:firstLine="480" w:firstLineChars="200"/>
              <w:rPr>
                <w:sz w:val="24"/>
              </w:rPr>
            </w:pPr>
            <w:r>
              <w:rPr>
                <w:sz w:val="24"/>
              </w:rPr>
              <w:t>本次评价采用《环境影响评价技术导则一声环境》（HJ2.4-2021）中推荐模式进行预测，用A声级计算，模式如下：</w:t>
            </w:r>
          </w:p>
          <w:p w14:paraId="5424F9F2">
            <w:pPr>
              <w:pStyle w:val="8"/>
              <w:spacing w:after="0" w:line="360" w:lineRule="auto"/>
              <w:ind w:firstLine="480" w:firstLineChars="200"/>
              <w:rPr>
                <w:sz w:val="24"/>
              </w:rPr>
            </w:pPr>
            <w:r>
              <w:rPr>
                <w:sz w:val="24"/>
              </w:rPr>
              <w:t>①室外声源</w:t>
            </w:r>
          </w:p>
          <w:p w14:paraId="2995A470">
            <w:pPr>
              <w:pStyle w:val="8"/>
              <w:spacing w:after="0" w:line="360" w:lineRule="auto"/>
              <w:ind w:firstLine="480" w:firstLineChars="200"/>
              <w:rPr>
                <w:sz w:val="24"/>
              </w:rPr>
            </w:pPr>
            <w:r>
              <w:rPr>
                <w:sz w:val="24"/>
              </w:rPr>
              <w:t>在预测点的声压级计算：</w:t>
            </w:r>
          </w:p>
          <w:p w14:paraId="6CD22943">
            <w:pPr>
              <w:pStyle w:val="8"/>
              <w:spacing w:after="0" w:line="360" w:lineRule="auto"/>
              <w:ind w:firstLine="480" w:firstLineChars="200"/>
              <w:rPr>
                <w:sz w:val="24"/>
              </w:rPr>
            </w:pPr>
            <w:r>
              <w:rPr>
                <w:sz w:val="24"/>
              </w:rPr>
              <w:t>Lp(r)＝Lw+DC－（Adiv＋Aatm＋Agr＋Abar＋Amisc)</w:t>
            </w:r>
          </w:p>
          <w:p w14:paraId="5585E19B">
            <w:pPr>
              <w:pStyle w:val="8"/>
              <w:spacing w:after="0" w:line="360" w:lineRule="auto"/>
              <w:ind w:firstLine="480" w:firstLineChars="200"/>
              <w:rPr>
                <w:sz w:val="24"/>
              </w:rPr>
            </w:pPr>
            <w:r>
              <w:rPr>
                <w:sz w:val="24"/>
              </w:rPr>
              <w:t>式中：Lp(r)——预测点处声压级，dB；</w:t>
            </w:r>
          </w:p>
          <w:p w14:paraId="0C2CD14D">
            <w:pPr>
              <w:pStyle w:val="8"/>
              <w:spacing w:after="0" w:line="360" w:lineRule="auto"/>
              <w:ind w:firstLine="480" w:firstLineChars="200"/>
              <w:rPr>
                <w:sz w:val="24"/>
              </w:rPr>
            </w:pPr>
            <w:r>
              <w:rPr>
                <w:sz w:val="24"/>
              </w:rPr>
              <w:t>Lw——由点声源产生的声功率级（A计权或倍频带），dB；</w:t>
            </w:r>
          </w:p>
          <w:p w14:paraId="2E663038">
            <w:pPr>
              <w:pStyle w:val="8"/>
              <w:spacing w:after="0" w:line="360" w:lineRule="auto"/>
              <w:ind w:firstLine="480" w:firstLineChars="200"/>
              <w:rPr>
                <w:sz w:val="24"/>
              </w:rPr>
            </w:pPr>
            <w:r>
              <w:rPr>
                <w:sz w:val="24"/>
              </w:rPr>
              <w:t>DC——指向性校正，它描述点声源的等效连续声压级与产生声功率级Lw的全向点声源在规定方向的声级的偏差程度，dB；</w:t>
            </w:r>
          </w:p>
          <w:p w14:paraId="2154A57E">
            <w:pPr>
              <w:pStyle w:val="8"/>
              <w:spacing w:after="0" w:line="360" w:lineRule="auto"/>
              <w:ind w:firstLine="480" w:firstLineChars="200"/>
              <w:rPr>
                <w:sz w:val="24"/>
              </w:rPr>
            </w:pPr>
            <w:r>
              <w:rPr>
                <w:sz w:val="24"/>
              </w:rPr>
              <w:t>Adiv——几何发散引起的衰减，dB；</w:t>
            </w:r>
          </w:p>
          <w:p w14:paraId="475DA1BF">
            <w:pPr>
              <w:pStyle w:val="8"/>
              <w:spacing w:after="0" w:line="360" w:lineRule="auto"/>
              <w:ind w:firstLine="480" w:firstLineChars="200"/>
              <w:rPr>
                <w:sz w:val="24"/>
              </w:rPr>
            </w:pPr>
            <w:r>
              <w:rPr>
                <w:sz w:val="24"/>
              </w:rPr>
              <w:t>Aatm——大气吸收引起的衰减，dB；</w:t>
            </w:r>
          </w:p>
          <w:p w14:paraId="6E130775">
            <w:pPr>
              <w:pStyle w:val="8"/>
              <w:spacing w:after="0" w:line="360" w:lineRule="auto"/>
              <w:ind w:firstLine="480" w:firstLineChars="200"/>
              <w:rPr>
                <w:sz w:val="24"/>
              </w:rPr>
            </w:pPr>
            <w:r>
              <w:rPr>
                <w:sz w:val="24"/>
              </w:rPr>
              <w:t>Agr——地面效应引起的衰减，dB；</w:t>
            </w:r>
          </w:p>
          <w:p w14:paraId="6B1202FF">
            <w:pPr>
              <w:pStyle w:val="8"/>
              <w:spacing w:after="0" w:line="360" w:lineRule="auto"/>
              <w:ind w:firstLine="480" w:firstLineChars="200"/>
              <w:rPr>
                <w:sz w:val="24"/>
              </w:rPr>
            </w:pPr>
            <w:r>
              <w:rPr>
                <w:sz w:val="24"/>
              </w:rPr>
              <w:t>Abar——障碍物屏蔽引起的衰减，dB；</w:t>
            </w:r>
          </w:p>
          <w:p w14:paraId="2D09D544">
            <w:pPr>
              <w:pStyle w:val="8"/>
              <w:spacing w:after="0" w:line="360" w:lineRule="auto"/>
              <w:ind w:firstLine="480" w:firstLineChars="200"/>
              <w:rPr>
                <w:sz w:val="24"/>
              </w:rPr>
            </w:pPr>
            <w:r>
              <w:rPr>
                <w:sz w:val="24"/>
              </w:rPr>
              <w:t>Amisc——其他多方面效应引起的衰减，dB。</w:t>
            </w:r>
          </w:p>
          <w:p w14:paraId="6D476971">
            <w:pPr>
              <w:pStyle w:val="8"/>
              <w:spacing w:after="0" w:line="360" w:lineRule="auto"/>
              <w:ind w:firstLine="480" w:firstLineChars="200"/>
              <w:rPr>
                <w:sz w:val="24"/>
              </w:rPr>
            </w:pPr>
            <w:r>
              <w:rPr>
                <w:sz w:val="24"/>
              </w:rPr>
              <w:t>②室内声源在预测点的声压级计算：</w:t>
            </w:r>
          </w:p>
          <w:p w14:paraId="67A508C9">
            <w:pPr>
              <w:pStyle w:val="8"/>
              <w:spacing w:after="0" w:line="360" w:lineRule="auto"/>
              <w:ind w:firstLine="480" w:firstLineChars="200"/>
              <w:rPr>
                <w:sz w:val="24"/>
              </w:rPr>
            </w:pPr>
            <w:r>
              <w:rPr>
                <w:sz w:val="24"/>
              </w:rPr>
              <w:t>（一）首先计算某个室内声源在靠近围护结构处的声压级：</w:t>
            </w:r>
          </w:p>
          <w:p w14:paraId="414F0739">
            <w:pPr>
              <w:pStyle w:val="8"/>
              <w:spacing w:after="0" w:line="360" w:lineRule="auto"/>
              <w:ind w:firstLine="480" w:firstLineChars="200"/>
              <w:rPr>
                <w:sz w:val="24"/>
              </w:rPr>
            </w:pPr>
            <w:r>
              <w:rPr>
                <w:sz w:val="24"/>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18"/>
                          <a:stretch>
                            <a:fillRect/>
                          </a:stretch>
                        </pic:blipFill>
                        <pic:spPr>
                          <a:xfrm>
                            <a:off x="0" y="0"/>
                            <a:ext cx="3068955" cy="721360"/>
                          </a:xfrm>
                          <a:prstGeom prst="rect">
                            <a:avLst/>
                          </a:prstGeom>
                          <a:noFill/>
                          <a:ln>
                            <a:noFill/>
                          </a:ln>
                        </pic:spPr>
                      </pic:pic>
                    </a:graphicData>
                  </a:graphic>
                </wp:inline>
              </w:drawing>
            </w:r>
          </w:p>
          <w:p w14:paraId="0FD4E762">
            <w:pPr>
              <w:pStyle w:val="8"/>
              <w:spacing w:after="0" w:line="360" w:lineRule="auto"/>
              <w:ind w:firstLine="480" w:firstLineChars="200"/>
              <w:rPr>
                <w:sz w:val="24"/>
              </w:rPr>
            </w:pPr>
            <w:r>
              <w:rPr>
                <w:sz w:val="24"/>
              </w:rPr>
              <w:t>式中：Lp1——靠近开口处（或窗户）室内某倍频带的声压级或A声级，dB；</w:t>
            </w:r>
          </w:p>
          <w:p w14:paraId="75BD4DA0">
            <w:pPr>
              <w:pStyle w:val="8"/>
              <w:spacing w:after="0" w:line="360" w:lineRule="auto"/>
              <w:ind w:firstLine="480" w:firstLineChars="200"/>
              <w:rPr>
                <w:sz w:val="24"/>
              </w:rPr>
            </w:pPr>
            <w:r>
              <w:rPr>
                <w:sz w:val="24"/>
              </w:rPr>
              <w:t>Lw——点声源声功率级（A计权或倍频带），dB；</w:t>
            </w:r>
          </w:p>
          <w:p w14:paraId="7A57E7B6">
            <w:pPr>
              <w:pStyle w:val="8"/>
              <w:spacing w:after="0" w:line="360" w:lineRule="auto"/>
              <w:ind w:firstLine="480" w:firstLineChars="200"/>
              <w:rPr>
                <w:sz w:val="24"/>
              </w:rPr>
            </w:pPr>
            <w:r>
              <w:rPr>
                <w:sz w:val="24"/>
              </w:rPr>
              <w:t>Q——指向性因数；通常对无指向性声源，当声源放在房间中心时，Q=1；当放在一面墙的中心时，Q=2；当放在两面墙夹角处时，Q=4；当放在三面墙夹角处时，Q=8；</w:t>
            </w:r>
          </w:p>
          <w:p w14:paraId="1961233C">
            <w:pPr>
              <w:pStyle w:val="8"/>
              <w:spacing w:after="0" w:line="360" w:lineRule="auto"/>
              <w:ind w:firstLine="480" w:firstLineChars="200"/>
              <w:rPr>
                <w:sz w:val="24"/>
              </w:rPr>
            </w:pPr>
            <w:r>
              <w:rPr>
                <w:sz w:val="24"/>
              </w:rPr>
              <w:t>R——房间常数；R=Sα/（1-α），S为房间内表面面积，m2；α为平均吸声系数；</w:t>
            </w:r>
          </w:p>
          <w:p w14:paraId="3E9180D9">
            <w:pPr>
              <w:pStyle w:val="8"/>
              <w:spacing w:after="0" w:line="360" w:lineRule="auto"/>
              <w:ind w:firstLine="480" w:firstLineChars="200"/>
              <w:rPr>
                <w:sz w:val="24"/>
              </w:rPr>
            </w:pPr>
            <w:r>
              <w:rPr>
                <w:sz w:val="24"/>
              </w:rPr>
              <w:t>r——声源到靠近围护结构某点处的距离，m。</w:t>
            </w:r>
          </w:p>
          <w:p w14:paraId="6F08ECAE">
            <w:pPr>
              <w:pStyle w:val="8"/>
              <w:spacing w:after="0" w:line="360" w:lineRule="auto"/>
              <w:ind w:firstLine="480" w:firstLineChars="200"/>
              <w:rPr>
                <w:sz w:val="24"/>
              </w:rPr>
            </w:pPr>
            <w:r>
              <w:rPr>
                <w:sz w:val="24"/>
              </w:rPr>
              <w:t>（二）然后计算出所有室内声源在围护结构处产生的i倍频带叠加声压级：</w:t>
            </w:r>
          </w:p>
          <w:p w14:paraId="446CC5F9">
            <w:pPr>
              <w:pStyle w:val="8"/>
              <w:spacing w:after="0" w:line="360" w:lineRule="auto"/>
              <w:ind w:firstLine="480" w:firstLineChars="200"/>
              <w:rPr>
                <w:sz w:val="24"/>
              </w:rPr>
            </w:pPr>
            <w:r>
              <w:rPr>
                <w:sz w:val="24"/>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19"/>
                          <a:stretch>
                            <a:fillRect/>
                          </a:stretch>
                        </pic:blipFill>
                        <pic:spPr>
                          <a:xfrm>
                            <a:off x="0" y="0"/>
                            <a:ext cx="2703830" cy="701675"/>
                          </a:xfrm>
                          <a:prstGeom prst="rect">
                            <a:avLst/>
                          </a:prstGeom>
                          <a:noFill/>
                          <a:ln>
                            <a:noFill/>
                          </a:ln>
                        </pic:spPr>
                      </pic:pic>
                    </a:graphicData>
                  </a:graphic>
                </wp:inline>
              </w:drawing>
            </w:r>
          </w:p>
          <w:p w14:paraId="1BF3B78D">
            <w:pPr>
              <w:pStyle w:val="8"/>
              <w:spacing w:after="0" w:line="360" w:lineRule="auto"/>
              <w:ind w:firstLine="480" w:firstLineChars="200"/>
              <w:rPr>
                <w:sz w:val="24"/>
              </w:rPr>
            </w:pPr>
            <w:r>
              <w:rPr>
                <w:sz w:val="24"/>
              </w:rPr>
              <w:t>式中：</w:t>
            </w:r>
          </w:p>
          <w:p w14:paraId="6FD56ABF">
            <w:pPr>
              <w:pStyle w:val="8"/>
              <w:spacing w:after="0" w:line="360" w:lineRule="auto"/>
              <w:ind w:firstLine="480" w:firstLineChars="200"/>
              <w:rPr>
                <w:sz w:val="24"/>
              </w:rPr>
            </w:pPr>
            <w:r>
              <w:rPr>
                <w:sz w:val="24"/>
              </w:rPr>
              <w:t>Lpli（T）——靠近围护结构处室内N个声源i倍频带的叠加声压级，dB；</w:t>
            </w:r>
          </w:p>
          <w:p w14:paraId="696D0903">
            <w:pPr>
              <w:pStyle w:val="8"/>
              <w:spacing w:after="0" w:line="360" w:lineRule="auto"/>
              <w:ind w:firstLine="480" w:firstLineChars="200"/>
              <w:rPr>
                <w:sz w:val="24"/>
              </w:rPr>
            </w:pPr>
            <w:r>
              <w:rPr>
                <w:sz w:val="24"/>
              </w:rPr>
              <w:t>Lpli——室内j声源i倍频带的声压级，dB；</w:t>
            </w:r>
          </w:p>
          <w:p w14:paraId="16FF9A06">
            <w:pPr>
              <w:pStyle w:val="8"/>
              <w:spacing w:after="0" w:line="360" w:lineRule="auto"/>
              <w:ind w:firstLine="480" w:firstLineChars="200"/>
              <w:rPr>
                <w:sz w:val="24"/>
              </w:rPr>
            </w:pPr>
            <w:r>
              <w:rPr>
                <w:sz w:val="24"/>
              </w:rPr>
              <w:t>N——室内声源总数。</w:t>
            </w:r>
          </w:p>
          <w:p w14:paraId="66C49B2A">
            <w:pPr>
              <w:pStyle w:val="8"/>
              <w:spacing w:after="0" w:line="360" w:lineRule="auto"/>
              <w:ind w:firstLine="480" w:firstLineChars="200"/>
              <w:rPr>
                <w:sz w:val="24"/>
              </w:rPr>
            </w:pPr>
            <w:r>
              <w:rPr>
                <w:sz w:val="24"/>
              </w:rPr>
              <w:t>（三）计算出室外靠近围护结构处的声压级：</w:t>
            </w:r>
          </w:p>
          <w:p w14:paraId="1F8182EF">
            <w:pPr>
              <w:pStyle w:val="8"/>
              <w:spacing w:after="0" w:line="360" w:lineRule="auto"/>
              <w:ind w:firstLine="480" w:firstLineChars="200"/>
              <w:rPr>
                <w:sz w:val="24"/>
              </w:rPr>
            </w:pPr>
            <w:r>
              <w:rPr>
                <w:sz w:val="24"/>
              </w:rPr>
              <w:t>Lp2i（T）=Lpli（T）-（TLi+6）</w:t>
            </w:r>
          </w:p>
          <w:p w14:paraId="4688DB26">
            <w:pPr>
              <w:pStyle w:val="8"/>
              <w:spacing w:after="0" w:line="360" w:lineRule="auto"/>
              <w:ind w:firstLine="480" w:firstLineChars="200"/>
              <w:rPr>
                <w:sz w:val="24"/>
              </w:rPr>
            </w:pPr>
            <w:r>
              <w:rPr>
                <w:sz w:val="24"/>
              </w:rPr>
              <w:t>式中：</w:t>
            </w:r>
          </w:p>
          <w:p w14:paraId="0B4C0FDC">
            <w:pPr>
              <w:pStyle w:val="8"/>
              <w:spacing w:after="0" w:line="360" w:lineRule="auto"/>
              <w:ind w:firstLine="480" w:firstLineChars="200"/>
              <w:rPr>
                <w:sz w:val="24"/>
              </w:rPr>
            </w:pPr>
            <w:r>
              <w:rPr>
                <w:sz w:val="24"/>
              </w:rPr>
              <w:t>Lp2i（T）——靠近围护结构处室外N个声源i倍频带的叠加声压级，dB；</w:t>
            </w:r>
          </w:p>
          <w:p w14:paraId="0009103E">
            <w:pPr>
              <w:pStyle w:val="8"/>
              <w:spacing w:after="0" w:line="360" w:lineRule="auto"/>
              <w:ind w:firstLine="480" w:firstLineChars="200"/>
              <w:rPr>
                <w:sz w:val="24"/>
              </w:rPr>
            </w:pPr>
            <w:r>
              <w:rPr>
                <w:sz w:val="24"/>
              </w:rPr>
              <w:t>Lpli（T）——靠近围护结构处室内N个声源i倍频带的叠加声压级，dB；</w:t>
            </w:r>
          </w:p>
          <w:p w14:paraId="76C0B92B">
            <w:pPr>
              <w:pStyle w:val="8"/>
              <w:spacing w:after="0" w:line="360" w:lineRule="auto"/>
              <w:ind w:firstLine="480" w:firstLineChars="200"/>
              <w:rPr>
                <w:sz w:val="24"/>
              </w:rPr>
            </w:pPr>
            <w:r>
              <w:rPr>
                <w:sz w:val="24"/>
              </w:rPr>
              <w:t>TLi——围护结构i倍频带的隔声量，dB。</w:t>
            </w:r>
          </w:p>
          <w:p w14:paraId="5A8C8BA0">
            <w:pPr>
              <w:pStyle w:val="8"/>
              <w:spacing w:after="0" w:line="360" w:lineRule="auto"/>
              <w:ind w:firstLine="480" w:firstLineChars="200"/>
              <w:rPr>
                <w:sz w:val="24"/>
              </w:rPr>
            </w:pPr>
            <w:r>
              <w:rPr>
                <w:sz w:val="24"/>
              </w:rPr>
              <w:t>（四）将室外声级和透声面积换算成等效的室外声源，计算出等效声源第i个倍频带的声功率级：</w:t>
            </w:r>
          </w:p>
          <w:p w14:paraId="5CD55B0E">
            <w:pPr>
              <w:pStyle w:val="8"/>
              <w:spacing w:after="0" w:line="360" w:lineRule="auto"/>
              <w:ind w:firstLine="480" w:firstLineChars="200"/>
              <w:rPr>
                <w:sz w:val="24"/>
              </w:rPr>
            </w:pPr>
            <w:r>
              <w:rPr>
                <w:sz w:val="24"/>
              </w:rPr>
              <w:t>Lw=Lp2（T）+10lgS</w:t>
            </w:r>
          </w:p>
          <w:p w14:paraId="00131170">
            <w:pPr>
              <w:pStyle w:val="8"/>
              <w:spacing w:after="0" w:line="360" w:lineRule="auto"/>
              <w:ind w:firstLine="480" w:firstLineChars="200"/>
              <w:rPr>
                <w:sz w:val="24"/>
              </w:rPr>
            </w:pPr>
            <w:r>
              <w:rPr>
                <w:sz w:val="24"/>
              </w:rPr>
              <w:t>式中：</w:t>
            </w:r>
          </w:p>
          <w:p w14:paraId="7690B7FF">
            <w:pPr>
              <w:pStyle w:val="8"/>
              <w:spacing w:after="0" w:line="360" w:lineRule="auto"/>
              <w:ind w:firstLine="480" w:firstLineChars="200"/>
              <w:rPr>
                <w:sz w:val="24"/>
              </w:rPr>
            </w:pPr>
            <w:r>
              <w:rPr>
                <w:sz w:val="24"/>
              </w:rPr>
              <w:t>Lw——中心位置位于透声面积（S）处的等效声源的倍频带声功率级，dB；</w:t>
            </w:r>
          </w:p>
          <w:p w14:paraId="28EFA854">
            <w:pPr>
              <w:pStyle w:val="8"/>
              <w:spacing w:after="0" w:line="360" w:lineRule="auto"/>
              <w:ind w:firstLine="480" w:firstLineChars="200"/>
              <w:rPr>
                <w:sz w:val="24"/>
              </w:rPr>
            </w:pPr>
            <w:r>
              <w:rPr>
                <w:sz w:val="24"/>
              </w:rPr>
              <w:t>Lp2（T）——靠近围护结构处室外声源的声压级，dB；</w:t>
            </w:r>
          </w:p>
          <w:p w14:paraId="0D1954FE">
            <w:pPr>
              <w:pStyle w:val="8"/>
              <w:spacing w:after="0" w:line="360" w:lineRule="auto"/>
              <w:ind w:firstLine="480" w:firstLineChars="200"/>
              <w:rPr>
                <w:sz w:val="24"/>
              </w:rPr>
            </w:pPr>
            <w:r>
              <w:rPr>
                <w:sz w:val="24"/>
              </w:rPr>
              <w:t>S——透声面积，m</w:t>
            </w:r>
            <w:r>
              <w:rPr>
                <w:sz w:val="24"/>
                <w:vertAlign w:val="superscript"/>
              </w:rPr>
              <w:t>2</w:t>
            </w:r>
            <w:r>
              <w:rPr>
                <w:sz w:val="24"/>
              </w:rPr>
              <w:t>。</w:t>
            </w:r>
          </w:p>
          <w:p w14:paraId="1FDE49C6">
            <w:pPr>
              <w:pStyle w:val="8"/>
              <w:spacing w:after="0" w:line="360" w:lineRule="auto"/>
              <w:ind w:firstLine="480" w:firstLineChars="200"/>
              <w:rPr>
                <w:sz w:val="24"/>
              </w:rPr>
            </w:pPr>
            <w:r>
              <w:rPr>
                <w:sz w:val="24"/>
              </w:rPr>
              <w:t>等效室外声源的位置为围护结构的位置，其声功率级为Lw，由此计算等效声源在预测点产生的声级。</w:t>
            </w:r>
          </w:p>
          <w:p w14:paraId="2DC0FEEE">
            <w:pPr>
              <w:pStyle w:val="8"/>
              <w:spacing w:after="0" w:line="360" w:lineRule="auto"/>
              <w:ind w:firstLine="480" w:firstLineChars="200"/>
              <w:rPr>
                <w:sz w:val="24"/>
              </w:rPr>
            </w:pPr>
            <w:r>
              <w:rPr>
                <w:sz w:val="24"/>
              </w:rPr>
              <w:t>③总声级的计算</w:t>
            </w:r>
          </w:p>
          <w:p w14:paraId="6000CDAC">
            <w:pPr>
              <w:pStyle w:val="8"/>
              <w:spacing w:after="0" w:line="360" w:lineRule="auto"/>
              <w:ind w:firstLine="480" w:firstLineChars="200"/>
              <w:rPr>
                <w:sz w:val="24"/>
              </w:rPr>
            </w:pPr>
            <w:r>
              <w:rPr>
                <w:sz w:val="24"/>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9DF17D4">
            <w:pPr>
              <w:pStyle w:val="8"/>
              <w:spacing w:after="0" w:line="360" w:lineRule="auto"/>
              <w:ind w:firstLine="480" w:firstLineChars="200"/>
              <w:rPr>
                <w:sz w:val="24"/>
              </w:rPr>
            </w:pPr>
            <w:r>
              <w:rPr>
                <w:sz w:val="24"/>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0"/>
                          <a:stretch>
                            <a:fillRect/>
                          </a:stretch>
                        </pic:blipFill>
                        <pic:spPr>
                          <a:xfrm>
                            <a:off x="0" y="0"/>
                            <a:ext cx="3295650" cy="686435"/>
                          </a:xfrm>
                          <a:prstGeom prst="rect">
                            <a:avLst/>
                          </a:prstGeom>
                          <a:noFill/>
                          <a:ln>
                            <a:noFill/>
                          </a:ln>
                        </pic:spPr>
                      </pic:pic>
                    </a:graphicData>
                  </a:graphic>
                </wp:inline>
              </w:drawing>
            </w:r>
          </w:p>
          <w:p w14:paraId="1EA1D96A">
            <w:pPr>
              <w:pStyle w:val="8"/>
              <w:spacing w:after="0" w:line="360" w:lineRule="auto"/>
              <w:ind w:firstLine="480" w:firstLineChars="200"/>
              <w:rPr>
                <w:sz w:val="24"/>
              </w:rPr>
            </w:pPr>
            <w:r>
              <w:rPr>
                <w:sz w:val="24"/>
              </w:rPr>
              <w:t>式中：Leqg——建设项目声源在预测点产生的噪声贡献值，dB；</w:t>
            </w:r>
          </w:p>
          <w:p w14:paraId="421E703B">
            <w:pPr>
              <w:pStyle w:val="8"/>
              <w:spacing w:after="0" w:line="360" w:lineRule="auto"/>
              <w:ind w:firstLine="480" w:firstLineChars="200"/>
              <w:rPr>
                <w:sz w:val="24"/>
              </w:rPr>
            </w:pPr>
            <w:r>
              <w:rPr>
                <w:sz w:val="24"/>
              </w:rPr>
              <w:t>T——用于计算等效声级的时间，s；</w:t>
            </w:r>
          </w:p>
          <w:p w14:paraId="24C44E2B">
            <w:pPr>
              <w:pStyle w:val="8"/>
              <w:spacing w:after="0" w:line="360" w:lineRule="auto"/>
              <w:ind w:firstLine="480" w:firstLineChars="200"/>
              <w:rPr>
                <w:sz w:val="24"/>
              </w:rPr>
            </w:pPr>
            <w:r>
              <w:rPr>
                <w:sz w:val="24"/>
              </w:rPr>
              <w:t>N——室外声源个数；</w:t>
            </w:r>
          </w:p>
          <w:p w14:paraId="19F78D15">
            <w:pPr>
              <w:pStyle w:val="8"/>
              <w:spacing w:after="0" w:line="360" w:lineRule="auto"/>
              <w:ind w:firstLine="480" w:firstLineChars="200"/>
              <w:rPr>
                <w:sz w:val="24"/>
              </w:rPr>
            </w:pPr>
            <w:r>
              <w:rPr>
                <w:sz w:val="24"/>
              </w:rPr>
              <w:t>ti——在T时间内i声源工作时间，s；</w:t>
            </w:r>
          </w:p>
          <w:p w14:paraId="48EC20B7">
            <w:pPr>
              <w:pStyle w:val="8"/>
              <w:spacing w:after="0" w:line="360" w:lineRule="auto"/>
              <w:ind w:firstLine="480" w:firstLineChars="200"/>
              <w:rPr>
                <w:sz w:val="24"/>
              </w:rPr>
            </w:pPr>
            <w:r>
              <w:rPr>
                <w:sz w:val="24"/>
              </w:rPr>
              <w:t>M——等效室外声源个数；</w:t>
            </w:r>
          </w:p>
          <w:p w14:paraId="25AFEE44">
            <w:pPr>
              <w:pStyle w:val="8"/>
              <w:spacing w:after="0" w:line="360" w:lineRule="auto"/>
              <w:ind w:firstLine="480" w:firstLineChars="200"/>
              <w:rPr>
                <w:sz w:val="24"/>
              </w:rPr>
            </w:pPr>
            <w:r>
              <w:rPr>
                <w:sz w:val="24"/>
              </w:rPr>
              <w:t>tj——在T时间内j声源工作时间，s。</w:t>
            </w:r>
          </w:p>
          <w:p w14:paraId="69545BC0">
            <w:pPr>
              <w:pStyle w:val="8"/>
              <w:spacing w:after="0" w:line="360" w:lineRule="auto"/>
              <w:ind w:firstLine="480" w:firstLineChars="200"/>
              <w:rPr>
                <w:sz w:val="24"/>
              </w:rPr>
            </w:pPr>
            <w:r>
              <w:rPr>
                <w:sz w:val="24"/>
              </w:rPr>
              <w:t>2）参数确定</w:t>
            </w:r>
          </w:p>
          <w:p w14:paraId="6450C5AA">
            <w:pPr>
              <w:pStyle w:val="8"/>
              <w:spacing w:after="0" w:line="360" w:lineRule="auto"/>
              <w:ind w:firstLine="480" w:firstLineChars="200"/>
              <w:rPr>
                <w:sz w:val="24"/>
              </w:rPr>
            </w:pPr>
            <w:r>
              <w:rPr>
                <w:sz w:val="24"/>
              </w:rPr>
              <w:t>①声波几何发散引起的A声级衰减量：</w:t>
            </w:r>
          </w:p>
          <w:p w14:paraId="09BC00B3">
            <w:pPr>
              <w:pStyle w:val="8"/>
              <w:spacing w:after="0" w:line="360" w:lineRule="auto"/>
              <w:ind w:firstLine="480" w:firstLineChars="200"/>
              <w:rPr>
                <w:sz w:val="24"/>
              </w:rPr>
            </w:pPr>
            <w:r>
              <w:rPr>
                <w:sz w:val="24"/>
              </w:rPr>
              <w:t>点声源Adiv= 201g(r/r0)</w:t>
            </w:r>
          </w:p>
          <w:p w14:paraId="0C7382C3">
            <w:pPr>
              <w:pStyle w:val="8"/>
              <w:spacing w:after="0" w:line="360" w:lineRule="auto"/>
              <w:ind w:firstLine="480" w:firstLineChars="200"/>
              <w:rPr>
                <w:sz w:val="24"/>
              </w:rPr>
            </w:pPr>
            <w:r>
              <w:rPr>
                <w:sz w:val="24"/>
              </w:rPr>
              <w:t>②空气吸收衰减量Aatm：</w:t>
            </w:r>
          </w:p>
          <w:p w14:paraId="466C1B00">
            <w:pPr>
              <w:pStyle w:val="8"/>
              <w:spacing w:after="0" w:line="360" w:lineRule="auto"/>
              <w:ind w:firstLine="480" w:firstLineChars="200"/>
              <w:rPr>
                <w:sz w:val="24"/>
              </w:rPr>
            </w:pPr>
            <w:r>
              <w:rPr>
                <w:sz w:val="24"/>
              </w:rPr>
              <w:t>拟建项目噪声以中低频为主，空气吸收性衰减很少，预测时可忽略不计。</w:t>
            </w:r>
          </w:p>
          <w:p w14:paraId="3C54B6A0">
            <w:pPr>
              <w:pStyle w:val="8"/>
              <w:spacing w:after="0" w:line="360" w:lineRule="auto"/>
              <w:ind w:firstLine="480" w:firstLineChars="200"/>
              <w:rPr>
                <w:sz w:val="24"/>
              </w:rPr>
            </w:pPr>
            <w:r>
              <w:rPr>
                <w:sz w:val="24"/>
              </w:rPr>
              <w:t>③遮挡物引起的衰减量Abar：</w:t>
            </w:r>
          </w:p>
          <w:p w14:paraId="18EEF9FC">
            <w:pPr>
              <w:pStyle w:val="8"/>
              <w:spacing w:after="0" w:line="360" w:lineRule="auto"/>
              <w:ind w:firstLine="480" w:firstLineChars="200"/>
              <w:rPr>
                <w:sz w:val="24"/>
              </w:rPr>
            </w:pPr>
            <w:r>
              <w:rPr>
                <w:sz w:val="24"/>
              </w:rPr>
              <w:t>噪声在向外传播过程中将受到厂房或其他车间的阻挡影响，从而引起声能量的衰减，具体衰减根据不同声级的传播途径而定，一般取0~30dB（A），本次环评取15。</w:t>
            </w:r>
          </w:p>
          <w:p w14:paraId="22F8F491">
            <w:pPr>
              <w:pStyle w:val="8"/>
              <w:spacing w:after="0" w:line="360" w:lineRule="auto"/>
              <w:ind w:firstLine="480" w:firstLineChars="200"/>
              <w:rPr>
                <w:sz w:val="24"/>
              </w:rPr>
            </w:pPr>
            <w:r>
              <w:rPr>
                <w:sz w:val="24"/>
              </w:rPr>
              <w:t>④地面效应引起的声级衰减量Agr：</w:t>
            </w:r>
          </w:p>
          <w:p w14:paraId="43CB251C">
            <w:pPr>
              <w:pStyle w:val="8"/>
              <w:spacing w:after="0" w:line="360" w:lineRule="auto"/>
              <w:ind w:firstLine="480" w:firstLineChars="200"/>
              <w:rPr>
                <w:sz w:val="24"/>
              </w:rPr>
            </w:pPr>
            <w:r>
              <w:rPr>
                <w:sz w:val="24"/>
              </w:rPr>
              <w:t>根据项目总平面布置和噪声源强及外环境状况，可以忽略本项附加衰减量。</w:t>
            </w:r>
          </w:p>
          <w:p w14:paraId="635B731E">
            <w:pPr>
              <w:pStyle w:val="8"/>
              <w:spacing w:after="0" w:line="360" w:lineRule="auto"/>
              <w:ind w:firstLine="480" w:firstLineChars="200"/>
              <w:rPr>
                <w:sz w:val="24"/>
              </w:rPr>
            </w:pPr>
            <w:r>
              <w:rPr>
                <w:sz w:val="24"/>
              </w:rPr>
              <w:t>⑤其他多方面效应引起的声级衰减量Amisc：</w:t>
            </w:r>
          </w:p>
          <w:p w14:paraId="465C3ED5">
            <w:pPr>
              <w:pStyle w:val="8"/>
              <w:spacing w:after="0" w:line="360" w:lineRule="auto"/>
              <w:ind w:firstLine="480" w:firstLineChars="200"/>
              <w:rPr>
                <w:sz w:val="24"/>
              </w:rPr>
            </w:pPr>
            <w:r>
              <w:rPr>
                <w:sz w:val="24"/>
              </w:rPr>
              <w:t>其他衰减包括通过工业场所的衰减，通过房屋群的衰减等。一般情况下，不考虑自然条件（如风、温度梯度、雾）变化引起的附加修正。</w:t>
            </w:r>
          </w:p>
          <w:p w14:paraId="5BE351A9">
            <w:pPr>
              <w:pStyle w:val="8"/>
              <w:spacing w:after="0" w:line="360" w:lineRule="auto"/>
              <w:ind w:firstLine="480" w:firstLineChars="200"/>
              <w:rPr>
                <w:sz w:val="24"/>
              </w:rPr>
            </w:pPr>
            <w:r>
              <w:rPr>
                <w:sz w:val="24"/>
              </w:rPr>
              <w:t>本次环评厂界以昼间和夜间贡献值作为评价量，敏感点以预测值与背景值的叠加值作为评价量，按照上述模型计算运营期噪声影响预测结果见下表。</w:t>
            </w:r>
          </w:p>
          <w:p w14:paraId="3AC0A9E5">
            <w:pPr>
              <w:pStyle w:val="8"/>
              <w:spacing w:after="0" w:line="360" w:lineRule="auto"/>
              <w:ind w:firstLine="482" w:firstLineChars="200"/>
              <w:jc w:val="center"/>
              <w:rPr>
                <w:b/>
                <w:bCs/>
                <w:sz w:val="24"/>
              </w:rPr>
            </w:pPr>
            <w:r>
              <w:rPr>
                <w:b/>
                <w:bCs/>
                <w:sz w:val="24"/>
              </w:rPr>
              <w:t>表4-1</w:t>
            </w:r>
            <w:r>
              <w:rPr>
                <w:rFonts w:hint="eastAsia"/>
                <w:b/>
                <w:bCs/>
                <w:sz w:val="24"/>
                <w:lang w:val="en-US" w:eastAsia="zh-CN"/>
              </w:rPr>
              <w:t>4</w:t>
            </w:r>
            <w:r>
              <w:rPr>
                <w:b/>
                <w:bCs/>
                <w:sz w:val="24"/>
              </w:rPr>
              <w:t xml:space="preserve">  </w:t>
            </w:r>
            <w:r>
              <w:rPr>
                <w:rFonts w:hint="eastAsia"/>
                <w:b/>
                <w:bCs/>
                <w:sz w:val="24"/>
                <w:lang w:val="en-US" w:eastAsia="zh-CN"/>
              </w:rPr>
              <w:t>厂界</w:t>
            </w:r>
            <w:r>
              <w:rPr>
                <w:b/>
                <w:bCs/>
                <w:sz w:val="24"/>
              </w:rPr>
              <w:t>噪声预测结果</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2412"/>
              <w:gridCol w:w="1092"/>
              <w:gridCol w:w="1101"/>
              <w:gridCol w:w="841"/>
              <w:gridCol w:w="852"/>
              <w:gridCol w:w="1448"/>
            </w:tblGrid>
            <w:tr w14:paraId="0BF0D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524" w:type="pct"/>
                  <w:vMerge w:val="restart"/>
                  <w:tcBorders>
                    <w:tl2br w:val="nil"/>
                    <w:tr2bl w:val="nil"/>
                  </w:tcBorders>
                  <w:vAlign w:val="center"/>
                </w:tcPr>
                <w:p w14:paraId="0C428671">
                  <w:pPr>
                    <w:pStyle w:val="4"/>
                  </w:pPr>
                  <w:r>
                    <w:t>编号</w:t>
                  </w:r>
                </w:p>
              </w:tc>
              <w:tc>
                <w:tcPr>
                  <w:tcW w:w="1393" w:type="pct"/>
                  <w:vMerge w:val="restart"/>
                  <w:tcBorders>
                    <w:tl2br w:val="nil"/>
                    <w:tr2bl w:val="nil"/>
                  </w:tcBorders>
                  <w:vAlign w:val="center"/>
                </w:tcPr>
                <w:p w14:paraId="6F2C6521">
                  <w:pPr>
                    <w:pStyle w:val="4"/>
                  </w:pPr>
                  <w:r>
                    <w:t>预测点位置</w:t>
                  </w:r>
                </w:p>
              </w:tc>
              <w:tc>
                <w:tcPr>
                  <w:tcW w:w="1267" w:type="pct"/>
                  <w:gridSpan w:val="2"/>
                  <w:tcBorders>
                    <w:tl2br w:val="nil"/>
                    <w:tr2bl w:val="nil"/>
                  </w:tcBorders>
                  <w:vAlign w:val="center"/>
                </w:tcPr>
                <w:p w14:paraId="15309927">
                  <w:pPr>
                    <w:pStyle w:val="4"/>
                  </w:pPr>
                  <w:r>
                    <w:t>贡献值</w:t>
                  </w:r>
                </w:p>
                <w:p w14:paraId="047031E2">
                  <w:pPr>
                    <w:pStyle w:val="4"/>
                  </w:pPr>
                  <w:r>
                    <w:t>[dB（A）]</w:t>
                  </w:r>
                </w:p>
              </w:tc>
              <w:tc>
                <w:tcPr>
                  <w:tcW w:w="978" w:type="pct"/>
                  <w:gridSpan w:val="2"/>
                  <w:tcBorders>
                    <w:tl2br w:val="nil"/>
                    <w:tr2bl w:val="nil"/>
                  </w:tcBorders>
                  <w:vAlign w:val="center"/>
                </w:tcPr>
                <w:p w14:paraId="7229763D">
                  <w:pPr>
                    <w:pStyle w:val="4"/>
                  </w:pPr>
                  <w:r>
                    <w:t>标准值</w:t>
                  </w:r>
                </w:p>
                <w:p w14:paraId="3BA9EBE2">
                  <w:pPr>
                    <w:pStyle w:val="4"/>
                  </w:pPr>
                  <w:r>
                    <w:t>[dB（A）]</w:t>
                  </w:r>
                </w:p>
              </w:tc>
              <w:tc>
                <w:tcPr>
                  <w:tcW w:w="836" w:type="pct"/>
                  <w:vMerge w:val="restart"/>
                  <w:tcBorders>
                    <w:tl2br w:val="nil"/>
                    <w:tr2bl w:val="nil"/>
                  </w:tcBorders>
                  <w:vAlign w:val="center"/>
                </w:tcPr>
                <w:p w14:paraId="00CB2255">
                  <w:pPr>
                    <w:pStyle w:val="4"/>
                  </w:pPr>
                  <w:r>
                    <w:t>预测结果</w:t>
                  </w:r>
                </w:p>
              </w:tc>
            </w:tr>
            <w:tr w14:paraId="2CCAE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524" w:type="pct"/>
                  <w:vMerge w:val="continue"/>
                  <w:tcBorders>
                    <w:tl2br w:val="nil"/>
                    <w:tr2bl w:val="nil"/>
                  </w:tcBorders>
                  <w:vAlign w:val="center"/>
                </w:tcPr>
                <w:p w14:paraId="31D75C7B">
                  <w:pPr>
                    <w:pStyle w:val="4"/>
                  </w:pPr>
                </w:p>
              </w:tc>
              <w:tc>
                <w:tcPr>
                  <w:tcW w:w="1393" w:type="pct"/>
                  <w:vMerge w:val="continue"/>
                  <w:tcBorders>
                    <w:tl2br w:val="nil"/>
                    <w:tr2bl w:val="nil"/>
                  </w:tcBorders>
                  <w:vAlign w:val="center"/>
                </w:tcPr>
                <w:p w14:paraId="2E03A0A1">
                  <w:pPr>
                    <w:pStyle w:val="4"/>
                  </w:pPr>
                </w:p>
              </w:tc>
              <w:tc>
                <w:tcPr>
                  <w:tcW w:w="631" w:type="pct"/>
                  <w:tcBorders>
                    <w:tl2br w:val="nil"/>
                    <w:tr2bl w:val="nil"/>
                  </w:tcBorders>
                  <w:vAlign w:val="center"/>
                </w:tcPr>
                <w:p w14:paraId="5C361CB0">
                  <w:pPr>
                    <w:pStyle w:val="4"/>
                  </w:pPr>
                  <w:r>
                    <w:t>昼间</w:t>
                  </w:r>
                </w:p>
              </w:tc>
              <w:tc>
                <w:tcPr>
                  <w:tcW w:w="636" w:type="pct"/>
                  <w:tcBorders>
                    <w:tl2br w:val="nil"/>
                    <w:tr2bl w:val="nil"/>
                  </w:tcBorders>
                  <w:vAlign w:val="center"/>
                </w:tcPr>
                <w:p w14:paraId="22F7661E">
                  <w:pPr>
                    <w:pStyle w:val="4"/>
                  </w:pPr>
                  <w:r>
                    <w:t>夜间</w:t>
                  </w:r>
                </w:p>
              </w:tc>
              <w:tc>
                <w:tcPr>
                  <w:tcW w:w="486" w:type="pct"/>
                  <w:tcBorders>
                    <w:tl2br w:val="nil"/>
                    <w:tr2bl w:val="nil"/>
                  </w:tcBorders>
                  <w:vAlign w:val="center"/>
                </w:tcPr>
                <w:p w14:paraId="61E113A1">
                  <w:pPr>
                    <w:pStyle w:val="4"/>
                  </w:pPr>
                  <w:r>
                    <w:t>昼间</w:t>
                  </w:r>
                </w:p>
              </w:tc>
              <w:tc>
                <w:tcPr>
                  <w:tcW w:w="491" w:type="pct"/>
                  <w:tcBorders>
                    <w:tl2br w:val="nil"/>
                    <w:tr2bl w:val="nil"/>
                  </w:tcBorders>
                  <w:vAlign w:val="center"/>
                </w:tcPr>
                <w:p w14:paraId="12BAE7ED">
                  <w:pPr>
                    <w:pStyle w:val="4"/>
                  </w:pPr>
                  <w:r>
                    <w:t>夜间</w:t>
                  </w:r>
                </w:p>
              </w:tc>
              <w:tc>
                <w:tcPr>
                  <w:tcW w:w="836" w:type="pct"/>
                  <w:vMerge w:val="continue"/>
                  <w:tcBorders>
                    <w:tl2br w:val="nil"/>
                    <w:tr2bl w:val="nil"/>
                  </w:tcBorders>
                  <w:vAlign w:val="center"/>
                </w:tcPr>
                <w:p w14:paraId="276019CF">
                  <w:pPr>
                    <w:pStyle w:val="4"/>
                  </w:pPr>
                </w:p>
              </w:tc>
            </w:tr>
            <w:tr w14:paraId="66832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tcBorders>
                    <w:tl2br w:val="nil"/>
                    <w:tr2bl w:val="nil"/>
                  </w:tcBorders>
                  <w:vAlign w:val="center"/>
                </w:tcPr>
                <w:p w14:paraId="7E54D415">
                  <w:pPr>
                    <w:pStyle w:val="4"/>
                  </w:pPr>
                  <w:r>
                    <w:t>1#</w:t>
                  </w:r>
                </w:p>
              </w:tc>
              <w:tc>
                <w:tcPr>
                  <w:tcW w:w="1393" w:type="pct"/>
                  <w:tcBorders>
                    <w:tl2br w:val="nil"/>
                    <w:tr2bl w:val="nil"/>
                  </w:tcBorders>
                  <w:shd w:val="clear" w:color="auto" w:fill="auto"/>
                  <w:vAlign w:val="center"/>
                </w:tcPr>
                <w:p w14:paraId="175918C0">
                  <w:pPr>
                    <w:spacing w:line="300" w:lineRule="exact"/>
                    <w:jc w:val="center"/>
                    <w:rPr>
                      <w:szCs w:val="24"/>
                    </w:rPr>
                  </w:pPr>
                  <w:r>
                    <w:rPr>
                      <w:rFonts w:hint="eastAsia"/>
                    </w:rPr>
                    <w:t>项目东</w:t>
                  </w:r>
                  <w:r>
                    <w:t>北侧场界外</w:t>
                  </w:r>
                  <w:r>
                    <w:rPr>
                      <w:rFonts w:hint="eastAsia"/>
                    </w:rPr>
                    <w:t>1m处</w:t>
                  </w:r>
                </w:p>
              </w:tc>
              <w:tc>
                <w:tcPr>
                  <w:tcW w:w="631" w:type="pct"/>
                  <w:tcBorders>
                    <w:tl2br w:val="nil"/>
                    <w:tr2bl w:val="nil"/>
                  </w:tcBorders>
                  <w:vAlign w:val="center"/>
                </w:tcPr>
                <w:p w14:paraId="50173F9C">
                  <w:pPr>
                    <w:pStyle w:val="4"/>
                  </w:pPr>
                  <w:r>
                    <w:t>4</w:t>
                  </w:r>
                  <w:r>
                    <w:rPr>
                      <w:rFonts w:hint="eastAsia"/>
                    </w:rPr>
                    <w:t>5</w:t>
                  </w:r>
                  <w:r>
                    <w:t>.49</w:t>
                  </w:r>
                </w:p>
              </w:tc>
              <w:tc>
                <w:tcPr>
                  <w:tcW w:w="636" w:type="pct"/>
                  <w:tcBorders>
                    <w:tl2br w:val="nil"/>
                    <w:tr2bl w:val="nil"/>
                  </w:tcBorders>
                  <w:vAlign w:val="center"/>
                </w:tcPr>
                <w:p w14:paraId="26F036EA">
                  <w:pPr>
                    <w:pStyle w:val="4"/>
                  </w:pPr>
                  <w:r>
                    <w:t>3</w:t>
                  </w:r>
                  <w:r>
                    <w:rPr>
                      <w:rFonts w:hint="eastAsia"/>
                    </w:rPr>
                    <w:t>6</w:t>
                  </w:r>
                  <w:r>
                    <w:t>.15</w:t>
                  </w:r>
                </w:p>
              </w:tc>
              <w:tc>
                <w:tcPr>
                  <w:tcW w:w="486" w:type="pct"/>
                  <w:tcBorders>
                    <w:tl2br w:val="nil"/>
                    <w:tr2bl w:val="nil"/>
                  </w:tcBorders>
                  <w:vAlign w:val="center"/>
                </w:tcPr>
                <w:p w14:paraId="70C81490">
                  <w:pPr>
                    <w:pStyle w:val="4"/>
                  </w:pPr>
                  <w:r>
                    <w:t>60</w:t>
                  </w:r>
                </w:p>
              </w:tc>
              <w:tc>
                <w:tcPr>
                  <w:tcW w:w="491" w:type="pct"/>
                  <w:tcBorders>
                    <w:tl2br w:val="nil"/>
                    <w:tr2bl w:val="nil"/>
                  </w:tcBorders>
                  <w:vAlign w:val="center"/>
                </w:tcPr>
                <w:p w14:paraId="46C9CE66">
                  <w:pPr>
                    <w:pStyle w:val="4"/>
                  </w:pPr>
                  <w:r>
                    <w:t>50</w:t>
                  </w:r>
                </w:p>
              </w:tc>
              <w:tc>
                <w:tcPr>
                  <w:tcW w:w="836" w:type="pct"/>
                  <w:tcBorders>
                    <w:tl2br w:val="nil"/>
                    <w:tr2bl w:val="nil"/>
                  </w:tcBorders>
                  <w:vAlign w:val="center"/>
                </w:tcPr>
                <w:p w14:paraId="47000315">
                  <w:pPr>
                    <w:pStyle w:val="4"/>
                  </w:pPr>
                  <w:r>
                    <w:t>达标</w:t>
                  </w:r>
                </w:p>
              </w:tc>
            </w:tr>
            <w:tr w14:paraId="33989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tcBorders>
                    <w:tl2br w:val="nil"/>
                    <w:tr2bl w:val="nil"/>
                  </w:tcBorders>
                  <w:vAlign w:val="center"/>
                </w:tcPr>
                <w:p w14:paraId="50D34ACE">
                  <w:pPr>
                    <w:pStyle w:val="4"/>
                  </w:pPr>
                  <w:r>
                    <w:t>2#</w:t>
                  </w:r>
                </w:p>
              </w:tc>
              <w:tc>
                <w:tcPr>
                  <w:tcW w:w="1393" w:type="pct"/>
                  <w:tcBorders>
                    <w:tl2br w:val="nil"/>
                    <w:tr2bl w:val="nil"/>
                  </w:tcBorders>
                  <w:shd w:val="clear" w:color="auto" w:fill="auto"/>
                  <w:vAlign w:val="center"/>
                </w:tcPr>
                <w:p w14:paraId="21050ED7">
                  <w:pPr>
                    <w:spacing w:line="300" w:lineRule="exact"/>
                    <w:jc w:val="center"/>
                    <w:rPr>
                      <w:szCs w:val="24"/>
                    </w:rPr>
                  </w:pPr>
                  <w:r>
                    <w:rPr>
                      <w:rFonts w:hint="eastAsia"/>
                    </w:rPr>
                    <w:t>项目东南</w:t>
                  </w:r>
                  <w:r>
                    <w:t>侧场界外</w:t>
                  </w:r>
                  <w:r>
                    <w:rPr>
                      <w:rFonts w:hint="eastAsia"/>
                      <w:lang w:val="en-US" w:eastAsia="zh-CN"/>
                    </w:rPr>
                    <w:t>1m处</w:t>
                  </w:r>
                </w:p>
              </w:tc>
              <w:tc>
                <w:tcPr>
                  <w:tcW w:w="631" w:type="pct"/>
                  <w:tcBorders>
                    <w:tl2br w:val="nil"/>
                    <w:tr2bl w:val="nil"/>
                  </w:tcBorders>
                  <w:vAlign w:val="center"/>
                </w:tcPr>
                <w:p w14:paraId="5A171849">
                  <w:pPr>
                    <w:pStyle w:val="4"/>
                  </w:pPr>
                  <w:r>
                    <w:t>4</w:t>
                  </w:r>
                  <w:r>
                    <w:rPr>
                      <w:rFonts w:hint="eastAsia"/>
                    </w:rPr>
                    <w:t>3</w:t>
                  </w:r>
                  <w:r>
                    <w:t>.64</w:t>
                  </w:r>
                </w:p>
              </w:tc>
              <w:tc>
                <w:tcPr>
                  <w:tcW w:w="636" w:type="pct"/>
                  <w:tcBorders>
                    <w:tl2br w:val="nil"/>
                    <w:tr2bl w:val="nil"/>
                  </w:tcBorders>
                  <w:vAlign w:val="center"/>
                </w:tcPr>
                <w:p w14:paraId="430B7B9D">
                  <w:pPr>
                    <w:pStyle w:val="4"/>
                  </w:pPr>
                  <w:r>
                    <w:t>3</w:t>
                  </w:r>
                  <w:r>
                    <w:rPr>
                      <w:rFonts w:hint="eastAsia"/>
                    </w:rPr>
                    <w:t>5</w:t>
                  </w:r>
                  <w:r>
                    <w:t>.30</w:t>
                  </w:r>
                </w:p>
              </w:tc>
              <w:tc>
                <w:tcPr>
                  <w:tcW w:w="486" w:type="pct"/>
                  <w:tcBorders>
                    <w:tl2br w:val="nil"/>
                    <w:tr2bl w:val="nil"/>
                  </w:tcBorders>
                  <w:vAlign w:val="center"/>
                </w:tcPr>
                <w:p w14:paraId="6553AE98">
                  <w:pPr>
                    <w:pStyle w:val="4"/>
                  </w:pPr>
                  <w:r>
                    <w:t>60</w:t>
                  </w:r>
                </w:p>
              </w:tc>
              <w:tc>
                <w:tcPr>
                  <w:tcW w:w="491" w:type="pct"/>
                  <w:tcBorders>
                    <w:tl2br w:val="nil"/>
                    <w:tr2bl w:val="nil"/>
                  </w:tcBorders>
                  <w:vAlign w:val="center"/>
                </w:tcPr>
                <w:p w14:paraId="565DF554">
                  <w:pPr>
                    <w:pStyle w:val="4"/>
                  </w:pPr>
                  <w:r>
                    <w:t>50</w:t>
                  </w:r>
                </w:p>
              </w:tc>
              <w:tc>
                <w:tcPr>
                  <w:tcW w:w="836" w:type="pct"/>
                  <w:tcBorders>
                    <w:tl2br w:val="nil"/>
                    <w:tr2bl w:val="nil"/>
                  </w:tcBorders>
                  <w:vAlign w:val="center"/>
                </w:tcPr>
                <w:p w14:paraId="6D9977DF">
                  <w:pPr>
                    <w:pStyle w:val="4"/>
                  </w:pPr>
                  <w:r>
                    <w:t>达标</w:t>
                  </w:r>
                </w:p>
              </w:tc>
            </w:tr>
            <w:tr w14:paraId="49187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tcBorders>
                    <w:tl2br w:val="nil"/>
                    <w:tr2bl w:val="nil"/>
                  </w:tcBorders>
                  <w:vAlign w:val="center"/>
                </w:tcPr>
                <w:p w14:paraId="7FD1B8E2">
                  <w:pPr>
                    <w:pStyle w:val="4"/>
                  </w:pPr>
                  <w:r>
                    <w:t>3#</w:t>
                  </w:r>
                </w:p>
              </w:tc>
              <w:tc>
                <w:tcPr>
                  <w:tcW w:w="1393" w:type="pct"/>
                  <w:tcBorders>
                    <w:tl2br w:val="nil"/>
                    <w:tr2bl w:val="nil"/>
                  </w:tcBorders>
                  <w:shd w:val="clear" w:color="auto" w:fill="auto"/>
                  <w:vAlign w:val="center"/>
                </w:tcPr>
                <w:p w14:paraId="670511FB">
                  <w:pPr>
                    <w:spacing w:line="300" w:lineRule="exact"/>
                    <w:jc w:val="center"/>
                    <w:rPr>
                      <w:szCs w:val="24"/>
                    </w:rPr>
                  </w:pPr>
                  <w:r>
                    <w:rPr>
                      <w:rFonts w:hint="eastAsia"/>
                    </w:rPr>
                    <w:t>项目南</w:t>
                  </w:r>
                  <w:r>
                    <w:t>侧场界外</w:t>
                  </w:r>
                  <w:r>
                    <w:rPr>
                      <w:rFonts w:hint="eastAsia"/>
                      <w:lang w:val="en-US" w:eastAsia="zh-CN"/>
                    </w:rPr>
                    <w:t>1m处</w:t>
                  </w:r>
                </w:p>
              </w:tc>
              <w:tc>
                <w:tcPr>
                  <w:tcW w:w="631" w:type="pct"/>
                  <w:tcBorders>
                    <w:tl2br w:val="nil"/>
                    <w:tr2bl w:val="nil"/>
                  </w:tcBorders>
                  <w:vAlign w:val="center"/>
                </w:tcPr>
                <w:p w14:paraId="488FC750">
                  <w:pPr>
                    <w:pStyle w:val="4"/>
                  </w:pPr>
                  <w:r>
                    <w:t>4</w:t>
                  </w:r>
                  <w:r>
                    <w:rPr>
                      <w:rFonts w:hint="eastAsia"/>
                    </w:rPr>
                    <w:t>4</w:t>
                  </w:r>
                  <w:r>
                    <w:t>.49</w:t>
                  </w:r>
                </w:p>
              </w:tc>
              <w:tc>
                <w:tcPr>
                  <w:tcW w:w="636" w:type="pct"/>
                  <w:tcBorders>
                    <w:tl2br w:val="nil"/>
                    <w:tr2bl w:val="nil"/>
                  </w:tcBorders>
                  <w:vAlign w:val="center"/>
                </w:tcPr>
                <w:p w14:paraId="4EDE2EF0">
                  <w:pPr>
                    <w:pStyle w:val="4"/>
                  </w:pPr>
                  <w:r>
                    <w:t>37.14</w:t>
                  </w:r>
                </w:p>
              </w:tc>
              <w:tc>
                <w:tcPr>
                  <w:tcW w:w="486" w:type="pct"/>
                  <w:tcBorders>
                    <w:tl2br w:val="nil"/>
                    <w:tr2bl w:val="nil"/>
                  </w:tcBorders>
                  <w:vAlign w:val="center"/>
                </w:tcPr>
                <w:p w14:paraId="696A75A7">
                  <w:pPr>
                    <w:pStyle w:val="4"/>
                  </w:pPr>
                  <w:r>
                    <w:t>60</w:t>
                  </w:r>
                </w:p>
              </w:tc>
              <w:tc>
                <w:tcPr>
                  <w:tcW w:w="491" w:type="pct"/>
                  <w:tcBorders>
                    <w:tl2br w:val="nil"/>
                    <w:tr2bl w:val="nil"/>
                  </w:tcBorders>
                  <w:vAlign w:val="center"/>
                </w:tcPr>
                <w:p w14:paraId="3430828D">
                  <w:pPr>
                    <w:pStyle w:val="4"/>
                  </w:pPr>
                  <w:r>
                    <w:t>50</w:t>
                  </w:r>
                </w:p>
              </w:tc>
              <w:tc>
                <w:tcPr>
                  <w:tcW w:w="836" w:type="pct"/>
                  <w:tcBorders>
                    <w:tl2br w:val="nil"/>
                    <w:tr2bl w:val="nil"/>
                  </w:tcBorders>
                  <w:vAlign w:val="center"/>
                </w:tcPr>
                <w:p w14:paraId="440D30DE">
                  <w:pPr>
                    <w:pStyle w:val="4"/>
                  </w:pPr>
                  <w:r>
                    <w:t>达标</w:t>
                  </w:r>
                </w:p>
              </w:tc>
            </w:tr>
            <w:tr w14:paraId="0A0DA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tcBorders>
                    <w:tl2br w:val="nil"/>
                    <w:tr2bl w:val="nil"/>
                  </w:tcBorders>
                  <w:vAlign w:val="center"/>
                </w:tcPr>
                <w:p w14:paraId="4BE8DC8F">
                  <w:pPr>
                    <w:pStyle w:val="4"/>
                  </w:pPr>
                  <w:r>
                    <w:t>4#</w:t>
                  </w:r>
                </w:p>
              </w:tc>
              <w:tc>
                <w:tcPr>
                  <w:tcW w:w="1393" w:type="pct"/>
                  <w:tcBorders>
                    <w:tl2br w:val="nil"/>
                    <w:tr2bl w:val="nil"/>
                  </w:tcBorders>
                  <w:shd w:val="clear" w:color="auto" w:fill="auto"/>
                  <w:vAlign w:val="center"/>
                </w:tcPr>
                <w:p w14:paraId="3F62398F">
                  <w:pPr>
                    <w:spacing w:line="300" w:lineRule="exact"/>
                    <w:jc w:val="center"/>
                  </w:pPr>
                  <w:r>
                    <w:rPr>
                      <w:rFonts w:hint="eastAsia"/>
                    </w:rPr>
                    <w:t>项目西南侧</w:t>
                  </w:r>
                  <w:r>
                    <w:t>场界外</w:t>
                  </w:r>
                  <w:r>
                    <w:rPr>
                      <w:rFonts w:hint="eastAsia"/>
                    </w:rPr>
                    <w:t>1m处</w:t>
                  </w:r>
                </w:p>
              </w:tc>
              <w:tc>
                <w:tcPr>
                  <w:tcW w:w="631" w:type="pct"/>
                  <w:tcBorders>
                    <w:tl2br w:val="nil"/>
                    <w:tr2bl w:val="nil"/>
                  </w:tcBorders>
                  <w:vAlign w:val="center"/>
                </w:tcPr>
                <w:p w14:paraId="3646F419">
                  <w:pPr>
                    <w:pStyle w:val="4"/>
                  </w:pPr>
                  <w:r>
                    <w:t>4</w:t>
                  </w:r>
                  <w:r>
                    <w:rPr>
                      <w:rFonts w:hint="eastAsia"/>
                    </w:rPr>
                    <w:t>8</w:t>
                  </w:r>
                  <w:r>
                    <w:t>.90</w:t>
                  </w:r>
                </w:p>
              </w:tc>
              <w:tc>
                <w:tcPr>
                  <w:tcW w:w="636" w:type="pct"/>
                  <w:tcBorders>
                    <w:tl2br w:val="nil"/>
                    <w:tr2bl w:val="nil"/>
                  </w:tcBorders>
                  <w:vAlign w:val="center"/>
                </w:tcPr>
                <w:p w14:paraId="5B0F320E">
                  <w:pPr>
                    <w:pStyle w:val="4"/>
                  </w:pPr>
                  <w:r>
                    <w:t>3</w:t>
                  </w:r>
                  <w:r>
                    <w:rPr>
                      <w:rFonts w:hint="eastAsia"/>
                    </w:rPr>
                    <w:t>9.2</w:t>
                  </w:r>
                </w:p>
              </w:tc>
              <w:tc>
                <w:tcPr>
                  <w:tcW w:w="486" w:type="pct"/>
                  <w:tcBorders>
                    <w:tl2br w:val="nil"/>
                    <w:tr2bl w:val="nil"/>
                  </w:tcBorders>
                  <w:vAlign w:val="center"/>
                </w:tcPr>
                <w:p w14:paraId="2DB0C635">
                  <w:pPr>
                    <w:pStyle w:val="4"/>
                  </w:pPr>
                  <w:r>
                    <w:t>60</w:t>
                  </w:r>
                </w:p>
              </w:tc>
              <w:tc>
                <w:tcPr>
                  <w:tcW w:w="491" w:type="pct"/>
                  <w:tcBorders>
                    <w:tl2br w:val="nil"/>
                    <w:tr2bl w:val="nil"/>
                  </w:tcBorders>
                  <w:vAlign w:val="center"/>
                </w:tcPr>
                <w:p w14:paraId="71B0A4A3">
                  <w:pPr>
                    <w:pStyle w:val="4"/>
                  </w:pPr>
                  <w:r>
                    <w:t>50</w:t>
                  </w:r>
                </w:p>
              </w:tc>
              <w:tc>
                <w:tcPr>
                  <w:tcW w:w="836" w:type="pct"/>
                  <w:tcBorders>
                    <w:tl2br w:val="nil"/>
                    <w:tr2bl w:val="nil"/>
                  </w:tcBorders>
                  <w:vAlign w:val="center"/>
                </w:tcPr>
                <w:p w14:paraId="20A8E2B3">
                  <w:pPr>
                    <w:pStyle w:val="4"/>
                  </w:pPr>
                  <w:r>
                    <w:t>达标</w:t>
                  </w:r>
                </w:p>
              </w:tc>
            </w:tr>
            <w:tr w14:paraId="0BC9B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tcBorders>
                    <w:tl2br w:val="nil"/>
                    <w:tr2bl w:val="nil"/>
                  </w:tcBorders>
                </w:tcPr>
                <w:p w14:paraId="49A4F196">
                  <w:pPr>
                    <w:pStyle w:val="4"/>
                  </w:pPr>
                  <w:r>
                    <w:rPr>
                      <w:rFonts w:hint="eastAsia"/>
                    </w:rPr>
                    <w:t>5#</w:t>
                  </w:r>
                </w:p>
              </w:tc>
              <w:tc>
                <w:tcPr>
                  <w:tcW w:w="1393" w:type="pct"/>
                  <w:tcBorders>
                    <w:tl2br w:val="nil"/>
                    <w:tr2bl w:val="nil"/>
                  </w:tcBorders>
                  <w:shd w:val="clear" w:color="auto" w:fill="auto"/>
                  <w:vAlign w:val="center"/>
                </w:tcPr>
                <w:p w14:paraId="57D4D172">
                  <w:pPr>
                    <w:spacing w:line="300" w:lineRule="exact"/>
                    <w:jc w:val="center"/>
                    <w:rPr>
                      <w:szCs w:val="24"/>
                    </w:rPr>
                  </w:pPr>
                  <w:r>
                    <w:rPr>
                      <w:rFonts w:hint="eastAsia"/>
                    </w:rPr>
                    <w:t>项目西北</w:t>
                  </w:r>
                  <w:r>
                    <w:t>侧场界外</w:t>
                  </w:r>
                  <w:r>
                    <w:rPr>
                      <w:rFonts w:hint="eastAsia"/>
                    </w:rPr>
                    <w:t>1m处</w:t>
                  </w:r>
                </w:p>
              </w:tc>
              <w:tc>
                <w:tcPr>
                  <w:tcW w:w="631" w:type="pct"/>
                  <w:tcBorders>
                    <w:tl2br w:val="nil"/>
                    <w:tr2bl w:val="nil"/>
                  </w:tcBorders>
                  <w:vAlign w:val="center"/>
                </w:tcPr>
                <w:p w14:paraId="1A73E6F8">
                  <w:pPr>
                    <w:pStyle w:val="4"/>
                  </w:pPr>
                  <w:r>
                    <w:rPr>
                      <w:rFonts w:hint="eastAsia"/>
                    </w:rPr>
                    <w:t>42.25</w:t>
                  </w:r>
                </w:p>
              </w:tc>
              <w:tc>
                <w:tcPr>
                  <w:tcW w:w="636" w:type="pct"/>
                  <w:tcBorders>
                    <w:tl2br w:val="nil"/>
                    <w:tr2bl w:val="nil"/>
                  </w:tcBorders>
                  <w:vAlign w:val="center"/>
                </w:tcPr>
                <w:p w14:paraId="6B7088CA">
                  <w:pPr>
                    <w:pStyle w:val="4"/>
                  </w:pPr>
                  <w:r>
                    <w:rPr>
                      <w:rFonts w:hint="eastAsia"/>
                    </w:rPr>
                    <w:t>33.41</w:t>
                  </w:r>
                </w:p>
              </w:tc>
              <w:tc>
                <w:tcPr>
                  <w:tcW w:w="486" w:type="pct"/>
                  <w:tcBorders>
                    <w:tl2br w:val="nil"/>
                    <w:tr2bl w:val="nil"/>
                  </w:tcBorders>
                  <w:shd w:val="clear" w:color="auto" w:fill="auto"/>
                  <w:vAlign w:val="center"/>
                </w:tcPr>
                <w:p w14:paraId="5E74B0AE">
                  <w:pPr>
                    <w:pStyle w:val="4"/>
                  </w:pPr>
                  <w:r>
                    <w:t>60</w:t>
                  </w:r>
                </w:p>
              </w:tc>
              <w:tc>
                <w:tcPr>
                  <w:tcW w:w="491" w:type="pct"/>
                  <w:tcBorders>
                    <w:tl2br w:val="nil"/>
                    <w:tr2bl w:val="nil"/>
                  </w:tcBorders>
                  <w:shd w:val="clear" w:color="auto" w:fill="auto"/>
                  <w:vAlign w:val="center"/>
                </w:tcPr>
                <w:p w14:paraId="3DAAE5BE">
                  <w:pPr>
                    <w:pStyle w:val="4"/>
                  </w:pPr>
                  <w:r>
                    <w:t>50</w:t>
                  </w:r>
                </w:p>
              </w:tc>
              <w:tc>
                <w:tcPr>
                  <w:tcW w:w="836" w:type="pct"/>
                  <w:tcBorders>
                    <w:tl2br w:val="nil"/>
                    <w:tr2bl w:val="nil"/>
                  </w:tcBorders>
                  <w:shd w:val="clear" w:color="auto" w:fill="auto"/>
                  <w:vAlign w:val="center"/>
                </w:tcPr>
                <w:p w14:paraId="603C7E64">
                  <w:pPr>
                    <w:pStyle w:val="4"/>
                  </w:pPr>
                  <w:r>
                    <w:t>达标</w:t>
                  </w:r>
                </w:p>
              </w:tc>
            </w:tr>
          </w:tbl>
          <w:p w14:paraId="07EC65DB">
            <w:pPr>
              <w:pStyle w:val="57"/>
            </w:pPr>
          </w:p>
          <w:p w14:paraId="6D5C0D96">
            <w:pPr>
              <w:pStyle w:val="57"/>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表4-1</w:t>
            </w:r>
            <w:r>
              <w:rPr>
                <w:rFonts w:hint="eastAsia" w:eastAsia="宋体" w:cs="Times New Roman"/>
                <w:b/>
                <w:bCs/>
                <w:kern w:val="0"/>
                <w:sz w:val="24"/>
                <w:szCs w:val="24"/>
                <w:lang w:val="en-US" w:eastAsia="zh-CN"/>
              </w:rPr>
              <w:t>5</w:t>
            </w:r>
            <w:r>
              <w:rPr>
                <w:rFonts w:hint="default" w:ascii="Times New Roman" w:hAnsi="Times New Roman" w:eastAsia="宋体" w:cs="Times New Roman"/>
                <w:b/>
                <w:bCs/>
                <w:kern w:val="0"/>
                <w:sz w:val="24"/>
                <w:szCs w:val="24"/>
              </w:rPr>
              <w:t xml:space="preserve">  敏感点噪声预测结果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663"/>
              <w:gridCol w:w="755"/>
              <w:gridCol w:w="758"/>
              <w:gridCol w:w="583"/>
              <w:gridCol w:w="583"/>
              <w:gridCol w:w="753"/>
              <w:gridCol w:w="756"/>
              <w:gridCol w:w="581"/>
              <w:gridCol w:w="583"/>
              <w:gridCol w:w="1001"/>
            </w:tblGrid>
            <w:tr w14:paraId="4EC1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364" w:type="pct"/>
                  <w:vMerge w:val="restart"/>
                  <w:tcBorders>
                    <w:tl2br w:val="nil"/>
                    <w:tr2bl w:val="nil"/>
                  </w:tcBorders>
                  <w:vAlign w:val="center"/>
                </w:tcPr>
                <w:p w14:paraId="7F821652">
                  <w:pPr>
                    <w:pStyle w:val="4"/>
                    <w:rPr>
                      <w:color w:val="auto"/>
                    </w:rPr>
                  </w:pPr>
                  <w:r>
                    <w:rPr>
                      <w:color w:val="auto"/>
                    </w:rPr>
                    <w:t>编号</w:t>
                  </w:r>
                </w:p>
              </w:tc>
              <w:tc>
                <w:tcPr>
                  <w:tcW w:w="961" w:type="pct"/>
                  <w:vMerge w:val="restart"/>
                  <w:tcBorders>
                    <w:tl2br w:val="nil"/>
                    <w:tr2bl w:val="nil"/>
                  </w:tcBorders>
                  <w:vAlign w:val="center"/>
                </w:tcPr>
                <w:p w14:paraId="3C9F4F09">
                  <w:pPr>
                    <w:pStyle w:val="4"/>
                    <w:rPr>
                      <w:color w:val="auto"/>
                    </w:rPr>
                  </w:pPr>
                  <w:r>
                    <w:rPr>
                      <w:color w:val="auto"/>
                    </w:rPr>
                    <w:t>预测点位置</w:t>
                  </w:r>
                </w:p>
              </w:tc>
              <w:tc>
                <w:tcPr>
                  <w:tcW w:w="874" w:type="pct"/>
                  <w:gridSpan w:val="2"/>
                  <w:tcBorders>
                    <w:tl2br w:val="nil"/>
                    <w:tr2bl w:val="nil"/>
                  </w:tcBorders>
                  <w:vAlign w:val="center"/>
                </w:tcPr>
                <w:p w14:paraId="46A7E0DD">
                  <w:pPr>
                    <w:pStyle w:val="4"/>
                    <w:rPr>
                      <w:color w:val="auto"/>
                    </w:rPr>
                  </w:pPr>
                  <w:r>
                    <w:rPr>
                      <w:color w:val="auto"/>
                    </w:rPr>
                    <w:t>贡献值</w:t>
                  </w:r>
                </w:p>
                <w:p w14:paraId="316A5AE6">
                  <w:pPr>
                    <w:pStyle w:val="4"/>
                    <w:rPr>
                      <w:color w:val="auto"/>
                    </w:rPr>
                  </w:pPr>
                  <w:r>
                    <w:rPr>
                      <w:color w:val="auto"/>
                    </w:rPr>
                    <w:t>[</w:t>
                  </w:r>
                  <w:r>
                    <w:rPr>
                      <w:rFonts w:ascii="Times New Roman" w:hAnsi="Times New Roman"/>
                      <w:color w:val="auto"/>
                    </w:rPr>
                    <w:t>dB</w:t>
                  </w:r>
                  <w:r>
                    <w:rPr>
                      <w:color w:val="auto"/>
                    </w:rPr>
                    <w:t>（</w:t>
                  </w:r>
                  <w:r>
                    <w:rPr>
                      <w:rFonts w:ascii="Times New Roman" w:hAnsi="Times New Roman"/>
                      <w:color w:val="auto"/>
                    </w:rPr>
                    <w:t>A</w:t>
                  </w:r>
                  <w:r>
                    <w:rPr>
                      <w:color w:val="auto"/>
                    </w:rPr>
                    <w:t>）]</w:t>
                  </w:r>
                </w:p>
              </w:tc>
              <w:tc>
                <w:tcPr>
                  <w:tcW w:w="674" w:type="pct"/>
                  <w:gridSpan w:val="2"/>
                  <w:tcBorders>
                    <w:tl2br w:val="nil"/>
                    <w:tr2bl w:val="nil"/>
                  </w:tcBorders>
                  <w:vAlign w:val="center"/>
                </w:tcPr>
                <w:p w14:paraId="582DF083">
                  <w:pPr>
                    <w:pStyle w:val="4"/>
                    <w:rPr>
                      <w:color w:val="auto"/>
                    </w:rPr>
                  </w:pPr>
                  <w:r>
                    <w:rPr>
                      <w:color w:val="auto"/>
                    </w:rPr>
                    <w:t>背景值</w:t>
                  </w:r>
                </w:p>
                <w:p w14:paraId="7570ABF3">
                  <w:pPr>
                    <w:pStyle w:val="4"/>
                    <w:rPr>
                      <w:color w:val="auto"/>
                    </w:rPr>
                  </w:pPr>
                  <w:r>
                    <w:rPr>
                      <w:color w:val="auto"/>
                    </w:rPr>
                    <w:t>[</w:t>
                  </w:r>
                  <w:r>
                    <w:rPr>
                      <w:rFonts w:ascii="Times New Roman" w:hAnsi="Times New Roman"/>
                      <w:color w:val="auto"/>
                    </w:rPr>
                    <w:t>dB</w:t>
                  </w:r>
                  <w:r>
                    <w:rPr>
                      <w:color w:val="auto"/>
                    </w:rPr>
                    <w:t>（</w:t>
                  </w:r>
                  <w:r>
                    <w:rPr>
                      <w:rFonts w:ascii="Times New Roman" w:hAnsi="Times New Roman"/>
                      <w:color w:val="auto"/>
                    </w:rPr>
                    <w:t>A</w:t>
                  </w:r>
                  <w:r>
                    <w:rPr>
                      <w:color w:val="auto"/>
                    </w:rPr>
                    <w:t>）]</w:t>
                  </w:r>
                </w:p>
              </w:tc>
              <w:tc>
                <w:tcPr>
                  <w:tcW w:w="872" w:type="pct"/>
                  <w:gridSpan w:val="2"/>
                  <w:tcBorders>
                    <w:tl2br w:val="nil"/>
                    <w:tr2bl w:val="nil"/>
                  </w:tcBorders>
                  <w:vAlign w:val="center"/>
                </w:tcPr>
                <w:p w14:paraId="7E818BB9">
                  <w:pPr>
                    <w:pStyle w:val="4"/>
                    <w:rPr>
                      <w:color w:val="auto"/>
                    </w:rPr>
                  </w:pPr>
                  <w:r>
                    <w:rPr>
                      <w:color w:val="auto"/>
                    </w:rPr>
                    <w:t>预测值</w:t>
                  </w:r>
                </w:p>
                <w:p w14:paraId="4ADA418D">
                  <w:pPr>
                    <w:pStyle w:val="4"/>
                    <w:rPr>
                      <w:color w:val="auto"/>
                    </w:rPr>
                  </w:pPr>
                  <w:r>
                    <w:rPr>
                      <w:color w:val="auto"/>
                    </w:rPr>
                    <w:t>[</w:t>
                  </w:r>
                  <w:r>
                    <w:rPr>
                      <w:rFonts w:ascii="Times New Roman" w:hAnsi="Times New Roman"/>
                      <w:color w:val="auto"/>
                    </w:rPr>
                    <w:t>dB</w:t>
                  </w:r>
                  <w:r>
                    <w:rPr>
                      <w:color w:val="auto"/>
                    </w:rPr>
                    <w:t>（</w:t>
                  </w:r>
                  <w:r>
                    <w:rPr>
                      <w:rFonts w:ascii="Times New Roman" w:hAnsi="Times New Roman"/>
                      <w:color w:val="auto"/>
                    </w:rPr>
                    <w:t>A</w:t>
                  </w:r>
                  <w:r>
                    <w:rPr>
                      <w:color w:val="auto"/>
                    </w:rPr>
                    <w:t>）]</w:t>
                  </w:r>
                </w:p>
              </w:tc>
              <w:tc>
                <w:tcPr>
                  <w:tcW w:w="673" w:type="pct"/>
                  <w:gridSpan w:val="2"/>
                  <w:tcBorders>
                    <w:tl2br w:val="nil"/>
                    <w:tr2bl w:val="nil"/>
                  </w:tcBorders>
                  <w:vAlign w:val="center"/>
                </w:tcPr>
                <w:p w14:paraId="3211961D">
                  <w:pPr>
                    <w:pStyle w:val="4"/>
                    <w:rPr>
                      <w:color w:val="auto"/>
                    </w:rPr>
                  </w:pPr>
                  <w:r>
                    <w:rPr>
                      <w:color w:val="auto"/>
                    </w:rPr>
                    <w:t>标准值</w:t>
                  </w:r>
                </w:p>
                <w:p w14:paraId="67B8B2D8">
                  <w:pPr>
                    <w:pStyle w:val="4"/>
                    <w:rPr>
                      <w:color w:val="auto"/>
                    </w:rPr>
                  </w:pPr>
                  <w:r>
                    <w:rPr>
                      <w:color w:val="auto"/>
                    </w:rPr>
                    <w:t>[</w:t>
                  </w:r>
                  <w:r>
                    <w:rPr>
                      <w:rFonts w:ascii="Times New Roman" w:hAnsi="Times New Roman"/>
                      <w:color w:val="auto"/>
                    </w:rPr>
                    <w:t>dB</w:t>
                  </w:r>
                  <w:r>
                    <w:rPr>
                      <w:color w:val="auto"/>
                    </w:rPr>
                    <w:t>（</w:t>
                  </w:r>
                  <w:r>
                    <w:rPr>
                      <w:rFonts w:ascii="Times New Roman" w:hAnsi="Times New Roman"/>
                      <w:color w:val="auto"/>
                    </w:rPr>
                    <w:t>A</w:t>
                  </w:r>
                  <w:r>
                    <w:rPr>
                      <w:color w:val="auto"/>
                    </w:rPr>
                    <w:t>）]</w:t>
                  </w:r>
                </w:p>
              </w:tc>
              <w:tc>
                <w:tcPr>
                  <w:tcW w:w="578" w:type="pct"/>
                  <w:vMerge w:val="restart"/>
                  <w:tcBorders>
                    <w:tl2br w:val="nil"/>
                    <w:tr2bl w:val="nil"/>
                  </w:tcBorders>
                  <w:vAlign w:val="center"/>
                </w:tcPr>
                <w:p w14:paraId="33B20048">
                  <w:pPr>
                    <w:pStyle w:val="4"/>
                    <w:rPr>
                      <w:color w:val="auto"/>
                    </w:rPr>
                  </w:pPr>
                  <w:r>
                    <w:rPr>
                      <w:color w:val="auto"/>
                    </w:rPr>
                    <w:t>预测结果</w:t>
                  </w:r>
                </w:p>
              </w:tc>
            </w:tr>
            <w:tr w14:paraId="4E85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364" w:type="pct"/>
                  <w:vMerge w:val="continue"/>
                  <w:tcBorders>
                    <w:tl2br w:val="nil"/>
                    <w:tr2bl w:val="nil"/>
                  </w:tcBorders>
                  <w:vAlign w:val="center"/>
                </w:tcPr>
                <w:p w14:paraId="728A042A">
                  <w:pPr>
                    <w:pStyle w:val="4"/>
                    <w:rPr>
                      <w:color w:val="auto"/>
                    </w:rPr>
                  </w:pPr>
                </w:p>
              </w:tc>
              <w:tc>
                <w:tcPr>
                  <w:tcW w:w="961" w:type="pct"/>
                  <w:vMerge w:val="continue"/>
                  <w:tcBorders>
                    <w:tl2br w:val="nil"/>
                    <w:tr2bl w:val="nil"/>
                  </w:tcBorders>
                  <w:vAlign w:val="center"/>
                </w:tcPr>
                <w:p w14:paraId="33CEB040">
                  <w:pPr>
                    <w:pStyle w:val="4"/>
                    <w:rPr>
                      <w:color w:val="auto"/>
                    </w:rPr>
                  </w:pPr>
                </w:p>
              </w:tc>
              <w:tc>
                <w:tcPr>
                  <w:tcW w:w="436" w:type="pct"/>
                  <w:tcBorders>
                    <w:tl2br w:val="nil"/>
                    <w:tr2bl w:val="nil"/>
                  </w:tcBorders>
                  <w:vAlign w:val="center"/>
                </w:tcPr>
                <w:p w14:paraId="1B4C5DCB">
                  <w:pPr>
                    <w:pStyle w:val="4"/>
                    <w:rPr>
                      <w:color w:val="auto"/>
                    </w:rPr>
                  </w:pPr>
                  <w:r>
                    <w:rPr>
                      <w:rFonts w:hint="eastAsia"/>
                      <w:color w:val="auto"/>
                    </w:rPr>
                    <w:t>昼间</w:t>
                  </w:r>
                </w:p>
              </w:tc>
              <w:tc>
                <w:tcPr>
                  <w:tcW w:w="438" w:type="pct"/>
                  <w:tcBorders>
                    <w:tl2br w:val="nil"/>
                    <w:tr2bl w:val="nil"/>
                  </w:tcBorders>
                  <w:vAlign w:val="center"/>
                </w:tcPr>
                <w:p w14:paraId="5BB706B7">
                  <w:pPr>
                    <w:pStyle w:val="4"/>
                    <w:rPr>
                      <w:color w:val="auto"/>
                    </w:rPr>
                  </w:pPr>
                  <w:r>
                    <w:rPr>
                      <w:rFonts w:hint="eastAsia"/>
                      <w:color w:val="auto"/>
                    </w:rPr>
                    <w:t>夜间</w:t>
                  </w:r>
                </w:p>
              </w:tc>
              <w:tc>
                <w:tcPr>
                  <w:tcW w:w="337" w:type="pct"/>
                  <w:tcBorders>
                    <w:tl2br w:val="nil"/>
                    <w:tr2bl w:val="nil"/>
                  </w:tcBorders>
                  <w:vAlign w:val="center"/>
                </w:tcPr>
                <w:p w14:paraId="17898FBF">
                  <w:pPr>
                    <w:pStyle w:val="4"/>
                    <w:rPr>
                      <w:color w:val="auto"/>
                    </w:rPr>
                  </w:pPr>
                  <w:r>
                    <w:rPr>
                      <w:rFonts w:hint="eastAsia"/>
                      <w:color w:val="auto"/>
                    </w:rPr>
                    <w:t>昼间</w:t>
                  </w:r>
                </w:p>
              </w:tc>
              <w:tc>
                <w:tcPr>
                  <w:tcW w:w="337" w:type="pct"/>
                  <w:tcBorders>
                    <w:tl2br w:val="nil"/>
                    <w:tr2bl w:val="nil"/>
                  </w:tcBorders>
                  <w:vAlign w:val="center"/>
                </w:tcPr>
                <w:p w14:paraId="135C5021">
                  <w:pPr>
                    <w:pStyle w:val="4"/>
                    <w:rPr>
                      <w:color w:val="auto"/>
                    </w:rPr>
                  </w:pPr>
                  <w:r>
                    <w:rPr>
                      <w:rFonts w:hint="eastAsia"/>
                      <w:color w:val="auto"/>
                    </w:rPr>
                    <w:t>夜间</w:t>
                  </w:r>
                </w:p>
              </w:tc>
              <w:tc>
                <w:tcPr>
                  <w:tcW w:w="435" w:type="pct"/>
                  <w:tcBorders>
                    <w:tl2br w:val="nil"/>
                    <w:tr2bl w:val="nil"/>
                  </w:tcBorders>
                  <w:vAlign w:val="center"/>
                </w:tcPr>
                <w:p w14:paraId="577ACF3D">
                  <w:pPr>
                    <w:pStyle w:val="4"/>
                    <w:rPr>
                      <w:color w:val="auto"/>
                    </w:rPr>
                  </w:pPr>
                  <w:r>
                    <w:rPr>
                      <w:rFonts w:hint="eastAsia"/>
                      <w:color w:val="auto"/>
                    </w:rPr>
                    <w:t>昼间</w:t>
                  </w:r>
                </w:p>
              </w:tc>
              <w:tc>
                <w:tcPr>
                  <w:tcW w:w="437" w:type="pct"/>
                  <w:tcBorders>
                    <w:tl2br w:val="nil"/>
                    <w:tr2bl w:val="nil"/>
                  </w:tcBorders>
                  <w:vAlign w:val="center"/>
                </w:tcPr>
                <w:p w14:paraId="1D6D3B6B">
                  <w:pPr>
                    <w:pStyle w:val="4"/>
                    <w:rPr>
                      <w:color w:val="auto"/>
                    </w:rPr>
                  </w:pPr>
                  <w:r>
                    <w:rPr>
                      <w:rFonts w:hint="eastAsia"/>
                      <w:color w:val="auto"/>
                    </w:rPr>
                    <w:t>夜间</w:t>
                  </w:r>
                </w:p>
              </w:tc>
              <w:tc>
                <w:tcPr>
                  <w:tcW w:w="336" w:type="pct"/>
                  <w:tcBorders>
                    <w:tl2br w:val="nil"/>
                    <w:tr2bl w:val="nil"/>
                  </w:tcBorders>
                  <w:vAlign w:val="center"/>
                </w:tcPr>
                <w:p w14:paraId="028D2CB3">
                  <w:pPr>
                    <w:pStyle w:val="4"/>
                    <w:rPr>
                      <w:color w:val="auto"/>
                    </w:rPr>
                  </w:pPr>
                  <w:r>
                    <w:rPr>
                      <w:rFonts w:hint="eastAsia"/>
                      <w:color w:val="auto"/>
                    </w:rPr>
                    <w:t>昼间</w:t>
                  </w:r>
                </w:p>
              </w:tc>
              <w:tc>
                <w:tcPr>
                  <w:tcW w:w="337" w:type="pct"/>
                  <w:tcBorders>
                    <w:tl2br w:val="nil"/>
                    <w:tr2bl w:val="nil"/>
                  </w:tcBorders>
                  <w:vAlign w:val="center"/>
                </w:tcPr>
                <w:p w14:paraId="7CF884AC">
                  <w:pPr>
                    <w:pStyle w:val="4"/>
                    <w:rPr>
                      <w:color w:val="auto"/>
                    </w:rPr>
                  </w:pPr>
                  <w:r>
                    <w:rPr>
                      <w:rFonts w:hint="eastAsia"/>
                      <w:color w:val="auto"/>
                    </w:rPr>
                    <w:t>夜间</w:t>
                  </w:r>
                </w:p>
              </w:tc>
              <w:tc>
                <w:tcPr>
                  <w:tcW w:w="578" w:type="pct"/>
                  <w:vMerge w:val="continue"/>
                  <w:tcBorders>
                    <w:tl2br w:val="nil"/>
                    <w:tr2bl w:val="nil"/>
                  </w:tcBorders>
                  <w:vAlign w:val="center"/>
                </w:tcPr>
                <w:p w14:paraId="6506BCC9">
                  <w:pPr>
                    <w:pStyle w:val="4"/>
                    <w:rPr>
                      <w:color w:val="auto"/>
                    </w:rPr>
                  </w:pPr>
                </w:p>
              </w:tc>
            </w:tr>
            <w:tr w14:paraId="7080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4" w:type="pct"/>
                  <w:tcBorders>
                    <w:tl2br w:val="nil"/>
                    <w:tr2bl w:val="nil"/>
                  </w:tcBorders>
                  <w:vAlign w:val="center"/>
                </w:tcPr>
                <w:p w14:paraId="6C671E4B">
                  <w:pPr>
                    <w:pStyle w:val="4"/>
                    <w:rPr>
                      <w:color w:val="auto"/>
                    </w:rPr>
                  </w:pPr>
                  <w:r>
                    <w:rPr>
                      <w:rFonts w:hint="eastAsia" w:ascii="Times New Roman" w:hAnsi="Times New Roman"/>
                      <w:color w:val="auto"/>
                    </w:rPr>
                    <w:t>1</w:t>
                  </w:r>
                  <w:r>
                    <w:rPr>
                      <w:rFonts w:hint="eastAsia"/>
                      <w:color w:val="auto"/>
                    </w:rPr>
                    <w:t>#</w:t>
                  </w:r>
                </w:p>
              </w:tc>
              <w:tc>
                <w:tcPr>
                  <w:tcW w:w="961" w:type="pct"/>
                  <w:tcBorders>
                    <w:tl2br w:val="nil"/>
                    <w:tr2bl w:val="nil"/>
                  </w:tcBorders>
                  <w:shd w:val="clear" w:color="auto" w:fill="auto"/>
                  <w:vAlign w:val="center"/>
                </w:tcPr>
                <w:p w14:paraId="26E2A45A">
                  <w:pPr>
                    <w:spacing w:line="300" w:lineRule="exact"/>
                    <w:jc w:val="center"/>
                    <w:rPr>
                      <w:rFonts w:ascii="Times New Roman" w:hAnsi="Times New Roman" w:eastAsia="宋体" w:cs="Times New Roman"/>
                      <w:kern w:val="2"/>
                      <w:sz w:val="21"/>
                      <w:szCs w:val="24"/>
                      <w:lang w:val="en-US" w:eastAsia="zh-CN" w:bidi="ar-SA"/>
                    </w:rPr>
                  </w:pPr>
                  <w:r>
                    <w:rPr>
                      <w:rFonts w:hint="eastAsia"/>
                    </w:rPr>
                    <w:t>项目东南</w:t>
                  </w:r>
                  <w:r>
                    <w:t>侧</w:t>
                  </w:r>
                  <w:r>
                    <w:rPr>
                      <w:rFonts w:hint="eastAsia"/>
                    </w:rPr>
                    <w:t>居民处</w:t>
                  </w:r>
                </w:p>
              </w:tc>
              <w:tc>
                <w:tcPr>
                  <w:tcW w:w="436" w:type="pct"/>
                  <w:tcBorders>
                    <w:tl2br w:val="nil"/>
                    <w:tr2bl w:val="nil"/>
                  </w:tcBorders>
                  <w:shd w:val="clear" w:color="auto" w:fill="auto"/>
                  <w:vAlign w:val="center"/>
                </w:tcPr>
                <w:p w14:paraId="2C0B450B">
                  <w:pPr>
                    <w:pStyle w:val="4"/>
                    <w:rPr>
                      <w:rFonts w:ascii="Times New Roman" w:hAnsi="Times New Roman" w:eastAsia="宋体" w:cs="Times New Roman"/>
                      <w:kern w:val="0"/>
                      <w:sz w:val="21"/>
                      <w:szCs w:val="21"/>
                      <w:lang w:val="en-US" w:eastAsia="zh-CN" w:bidi="ar-SA"/>
                    </w:rPr>
                  </w:pPr>
                  <w:r>
                    <w:t>4</w:t>
                  </w:r>
                  <w:r>
                    <w:rPr>
                      <w:rFonts w:hint="eastAsia"/>
                    </w:rPr>
                    <w:t>3</w:t>
                  </w:r>
                  <w:r>
                    <w:t>.64</w:t>
                  </w:r>
                </w:p>
              </w:tc>
              <w:tc>
                <w:tcPr>
                  <w:tcW w:w="438" w:type="pct"/>
                  <w:tcBorders>
                    <w:tl2br w:val="nil"/>
                    <w:tr2bl w:val="nil"/>
                  </w:tcBorders>
                  <w:shd w:val="clear" w:color="auto" w:fill="auto"/>
                  <w:vAlign w:val="center"/>
                </w:tcPr>
                <w:p w14:paraId="4764817A">
                  <w:pPr>
                    <w:pStyle w:val="4"/>
                    <w:rPr>
                      <w:rFonts w:ascii="Times New Roman" w:hAnsi="Times New Roman" w:eastAsia="宋体" w:cs="Times New Roman"/>
                      <w:kern w:val="0"/>
                      <w:sz w:val="21"/>
                      <w:szCs w:val="21"/>
                      <w:lang w:val="en-US" w:eastAsia="zh-CN" w:bidi="ar-SA"/>
                    </w:rPr>
                  </w:pPr>
                  <w:r>
                    <w:t>3</w:t>
                  </w:r>
                  <w:r>
                    <w:rPr>
                      <w:rFonts w:hint="eastAsia"/>
                    </w:rPr>
                    <w:t>5</w:t>
                  </w:r>
                  <w:r>
                    <w:t>.30</w:t>
                  </w:r>
                </w:p>
              </w:tc>
              <w:tc>
                <w:tcPr>
                  <w:tcW w:w="337" w:type="pct"/>
                  <w:tcBorders>
                    <w:tl2br w:val="nil"/>
                    <w:tr2bl w:val="nil"/>
                  </w:tcBorders>
                  <w:vAlign w:val="center"/>
                </w:tcPr>
                <w:p w14:paraId="75C7EDEC">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56</w:t>
                  </w:r>
                </w:p>
              </w:tc>
              <w:tc>
                <w:tcPr>
                  <w:tcW w:w="337" w:type="pct"/>
                  <w:tcBorders>
                    <w:tl2br w:val="nil"/>
                    <w:tr2bl w:val="nil"/>
                  </w:tcBorders>
                  <w:vAlign w:val="center"/>
                </w:tcPr>
                <w:p w14:paraId="11FF7751">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44</w:t>
                  </w:r>
                </w:p>
              </w:tc>
              <w:tc>
                <w:tcPr>
                  <w:tcW w:w="435" w:type="pct"/>
                  <w:tcBorders>
                    <w:tl2br w:val="nil"/>
                    <w:tr2bl w:val="nil"/>
                  </w:tcBorders>
                  <w:vAlign w:val="center"/>
                </w:tcPr>
                <w:p w14:paraId="10910637">
                  <w:pPr>
                    <w:pStyle w:val="4"/>
                    <w:rPr>
                      <w:color w:val="auto"/>
                    </w:rPr>
                  </w:pPr>
                  <w:r>
                    <w:rPr>
                      <w:rFonts w:hint="eastAsia" w:ascii="Times New Roman" w:hAnsi="Times New Roman"/>
                      <w:color w:val="auto"/>
                      <w:lang w:val="en-US" w:eastAsia="zh-CN"/>
                    </w:rPr>
                    <w:t>56.25</w:t>
                  </w:r>
                </w:p>
              </w:tc>
              <w:tc>
                <w:tcPr>
                  <w:tcW w:w="437" w:type="pct"/>
                  <w:tcBorders>
                    <w:tl2br w:val="nil"/>
                    <w:tr2bl w:val="nil"/>
                  </w:tcBorders>
                  <w:vAlign w:val="center"/>
                </w:tcPr>
                <w:p w14:paraId="26A830C4">
                  <w:pPr>
                    <w:pStyle w:val="4"/>
                    <w:rPr>
                      <w:color w:val="auto"/>
                    </w:rPr>
                  </w:pPr>
                  <w:r>
                    <w:rPr>
                      <w:rFonts w:hint="eastAsia" w:ascii="Times New Roman" w:hAnsi="Times New Roman"/>
                      <w:color w:val="auto"/>
                      <w:lang w:val="en-US" w:eastAsia="zh-CN"/>
                    </w:rPr>
                    <w:t>44.55</w:t>
                  </w:r>
                </w:p>
              </w:tc>
              <w:tc>
                <w:tcPr>
                  <w:tcW w:w="336" w:type="pct"/>
                  <w:tcBorders>
                    <w:tl2br w:val="nil"/>
                    <w:tr2bl w:val="nil"/>
                  </w:tcBorders>
                  <w:vAlign w:val="center"/>
                </w:tcPr>
                <w:p w14:paraId="1D639F4E">
                  <w:pPr>
                    <w:pStyle w:val="4"/>
                    <w:rPr>
                      <w:color w:val="auto"/>
                    </w:rPr>
                  </w:pPr>
                  <w:r>
                    <w:rPr>
                      <w:rFonts w:hint="eastAsia" w:ascii="Times New Roman" w:hAnsi="Times New Roman"/>
                      <w:color w:val="auto"/>
                    </w:rPr>
                    <w:t>60</w:t>
                  </w:r>
                </w:p>
              </w:tc>
              <w:tc>
                <w:tcPr>
                  <w:tcW w:w="337" w:type="pct"/>
                  <w:tcBorders>
                    <w:tl2br w:val="nil"/>
                    <w:tr2bl w:val="nil"/>
                  </w:tcBorders>
                  <w:vAlign w:val="center"/>
                </w:tcPr>
                <w:p w14:paraId="11E32D7C">
                  <w:pPr>
                    <w:pStyle w:val="4"/>
                    <w:rPr>
                      <w:color w:val="auto"/>
                    </w:rPr>
                  </w:pPr>
                  <w:r>
                    <w:rPr>
                      <w:rFonts w:hint="eastAsia" w:ascii="Times New Roman" w:hAnsi="Times New Roman"/>
                      <w:color w:val="auto"/>
                    </w:rPr>
                    <w:t>50</w:t>
                  </w:r>
                </w:p>
              </w:tc>
              <w:tc>
                <w:tcPr>
                  <w:tcW w:w="578" w:type="pct"/>
                  <w:tcBorders>
                    <w:tl2br w:val="nil"/>
                    <w:tr2bl w:val="nil"/>
                  </w:tcBorders>
                  <w:vAlign w:val="center"/>
                </w:tcPr>
                <w:p w14:paraId="53549FB9">
                  <w:pPr>
                    <w:pStyle w:val="4"/>
                    <w:rPr>
                      <w:color w:val="auto"/>
                    </w:rPr>
                  </w:pPr>
                  <w:r>
                    <w:rPr>
                      <w:color w:val="auto"/>
                    </w:rPr>
                    <w:t>达标</w:t>
                  </w:r>
                </w:p>
              </w:tc>
            </w:tr>
            <w:tr w14:paraId="4B7E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4" w:type="pct"/>
                  <w:tcBorders>
                    <w:tl2br w:val="nil"/>
                    <w:tr2bl w:val="nil"/>
                  </w:tcBorders>
                  <w:vAlign w:val="center"/>
                </w:tcPr>
                <w:p w14:paraId="08E75FB6">
                  <w:pPr>
                    <w:pStyle w:val="4"/>
                    <w:rPr>
                      <w:color w:val="auto"/>
                    </w:rPr>
                  </w:pPr>
                  <w:r>
                    <w:rPr>
                      <w:rFonts w:hint="eastAsia" w:ascii="Times New Roman" w:hAnsi="Times New Roman"/>
                      <w:color w:val="auto"/>
                    </w:rPr>
                    <w:t>2</w:t>
                  </w:r>
                  <w:r>
                    <w:rPr>
                      <w:rFonts w:hint="eastAsia"/>
                      <w:color w:val="auto"/>
                    </w:rPr>
                    <w:t>#</w:t>
                  </w:r>
                </w:p>
              </w:tc>
              <w:tc>
                <w:tcPr>
                  <w:tcW w:w="961" w:type="pct"/>
                  <w:tcBorders>
                    <w:tl2br w:val="nil"/>
                    <w:tr2bl w:val="nil"/>
                  </w:tcBorders>
                  <w:shd w:val="clear" w:color="auto" w:fill="auto"/>
                  <w:vAlign w:val="center"/>
                </w:tcPr>
                <w:p w14:paraId="22F2DC5F">
                  <w:pPr>
                    <w:spacing w:line="300" w:lineRule="exact"/>
                    <w:jc w:val="center"/>
                    <w:rPr>
                      <w:rFonts w:ascii="Times New Roman" w:hAnsi="Times New Roman" w:eastAsia="宋体" w:cs="Times New Roman"/>
                      <w:kern w:val="2"/>
                      <w:sz w:val="21"/>
                      <w:szCs w:val="24"/>
                      <w:lang w:val="en-US" w:eastAsia="zh-CN" w:bidi="ar-SA"/>
                    </w:rPr>
                  </w:pPr>
                  <w:r>
                    <w:rPr>
                      <w:rFonts w:hint="eastAsia"/>
                    </w:rPr>
                    <w:t>项目南</w:t>
                  </w:r>
                  <w:r>
                    <w:t>侧</w:t>
                  </w:r>
                  <w:r>
                    <w:rPr>
                      <w:rFonts w:hint="eastAsia"/>
                    </w:rPr>
                    <w:t>居民</w:t>
                  </w:r>
                  <w:r>
                    <w:t>处</w:t>
                  </w:r>
                </w:p>
              </w:tc>
              <w:tc>
                <w:tcPr>
                  <w:tcW w:w="436" w:type="pct"/>
                  <w:tcBorders>
                    <w:tl2br w:val="nil"/>
                    <w:tr2bl w:val="nil"/>
                  </w:tcBorders>
                  <w:shd w:val="clear" w:color="auto" w:fill="auto"/>
                  <w:vAlign w:val="center"/>
                </w:tcPr>
                <w:p w14:paraId="1A17C61D">
                  <w:pPr>
                    <w:pStyle w:val="4"/>
                    <w:rPr>
                      <w:rFonts w:ascii="Times New Roman" w:hAnsi="Times New Roman" w:eastAsia="宋体" w:cs="Times New Roman"/>
                      <w:kern w:val="0"/>
                      <w:sz w:val="21"/>
                      <w:szCs w:val="21"/>
                      <w:lang w:val="en-US" w:eastAsia="zh-CN" w:bidi="ar-SA"/>
                    </w:rPr>
                  </w:pPr>
                  <w:r>
                    <w:t>4</w:t>
                  </w:r>
                  <w:r>
                    <w:rPr>
                      <w:rFonts w:hint="eastAsia"/>
                    </w:rPr>
                    <w:t>4</w:t>
                  </w:r>
                  <w:r>
                    <w:t>.49</w:t>
                  </w:r>
                </w:p>
              </w:tc>
              <w:tc>
                <w:tcPr>
                  <w:tcW w:w="438" w:type="pct"/>
                  <w:tcBorders>
                    <w:tl2br w:val="nil"/>
                    <w:tr2bl w:val="nil"/>
                  </w:tcBorders>
                  <w:shd w:val="clear" w:color="auto" w:fill="auto"/>
                  <w:vAlign w:val="center"/>
                </w:tcPr>
                <w:p w14:paraId="1D180A33">
                  <w:pPr>
                    <w:pStyle w:val="4"/>
                    <w:rPr>
                      <w:rFonts w:ascii="Times New Roman" w:hAnsi="Times New Roman" w:eastAsia="宋体" w:cs="Times New Roman"/>
                      <w:kern w:val="0"/>
                      <w:sz w:val="21"/>
                      <w:szCs w:val="21"/>
                      <w:lang w:val="en-US" w:eastAsia="zh-CN" w:bidi="ar-SA"/>
                    </w:rPr>
                  </w:pPr>
                  <w:r>
                    <w:t>37.14</w:t>
                  </w:r>
                </w:p>
              </w:tc>
              <w:tc>
                <w:tcPr>
                  <w:tcW w:w="337" w:type="pct"/>
                  <w:tcBorders>
                    <w:tl2br w:val="nil"/>
                    <w:tr2bl w:val="nil"/>
                  </w:tcBorders>
                  <w:vAlign w:val="center"/>
                </w:tcPr>
                <w:p w14:paraId="3E4BFAD4">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54</w:t>
                  </w:r>
                </w:p>
              </w:tc>
              <w:tc>
                <w:tcPr>
                  <w:tcW w:w="337" w:type="pct"/>
                  <w:tcBorders>
                    <w:tl2br w:val="nil"/>
                    <w:tr2bl w:val="nil"/>
                  </w:tcBorders>
                  <w:vAlign w:val="center"/>
                </w:tcPr>
                <w:p w14:paraId="03E2689E">
                  <w:pPr>
                    <w:pStyle w:val="39"/>
                    <w:snapToGrid w:val="0"/>
                    <w:spacing w:before="0" w:after="0" w:line="240" w:lineRule="auto"/>
                    <w:ind w:firstLine="0" w:firstLineChars="0"/>
                    <w:rPr>
                      <w:rFonts w:cs="Times New Roman"/>
                      <w:bCs/>
                      <w:color w:val="auto"/>
                      <w:sz w:val="21"/>
                      <w:szCs w:val="21"/>
                    </w:rPr>
                  </w:pPr>
                  <w:r>
                    <w:rPr>
                      <w:rFonts w:hint="eastAsia" w:cs="Times New Roman"/>
                      <w:bCs/>
                      <w:color w:val="auto"/>
                      <w:sz w:val="21"/>
                      <w:szCs w:val="21"/>
                      <w:lang w:val="en-US" w:eastAsia="zh-CN"/>
                    </w:rPr>
                    <w:t>46</w:t>
                  </w:r>
                </w:p>
              </w:tc>
              <w:tc>
                <w:tcPr>
                  <w:tcW w:w="435" w:type="pct"/>
                  <w:tcBorders>
                    <w:tl2br w:val="nil"/>
                    <w:tr2bl w:val="nil"/>
                  </w:tcBorders>
                  <w:vAlign w:val="center"/>
                </w:tcPr>
                <w:p w14:paraId="1FD42175">
                  <w:pPr>
                    <w:pStyle w:val="4"/>
                    <w:rPr>
                      <w:color w:val="auto"/>
                    </w:rPr>
                  </w:pPr>
                  <w:r>
                    <w:rPr>
                      <w:rFonts w:hint="eastAsia" w:ascii="Times New Roman" w:hAnsi="Times New Roman"/>
                      <w:color w:val="auto"/>
                      <w:lang w:val="en-US" w:eastAsia="zh-CN"/>
                    </w:rPr>
                    <w:t>54.46</w:t>
                  </w:r>
                </w:p>
              </w:tc>
              <w:tc>
                <w:tcPr>
                  <w:tcW w:w="437" w:type="pct"/>
                  <w:tcBorders>
                    <w:tl2br w:val="nil"/>
                    <w:tr2bl w:val="nil"/>
                  </w:tcBorders>
                  <w:vAlign w:val="center"/>
                </w:tcPr>
                <w:p w14:paraId="281457DA">
                  <w:pPr>
                    <w:pStyle w:val="4"/>
                    <w:rPr>
                      <w:color w:val="auto"/>
                    </w:rPr>
                  </w:pPr>
                  <w:r>
                    <w:rPr>
                      <w:rFonts w:hint="eastAsia" w:ascii="Times New Roman" w:hAnsi="Times New Roman"/>
                      <w:color w:val="auto"/>
                      <w:lang w:val="en-US" w:eastAsia="zh-CN"/>
                    </w:rPr>
                    <w:t>46.53</w:t>
                  </w:r>
                </w:p>
              </w:tc>
              <w:tc>
                <w:tcPr>
                  <w:tcW w:w="336" w:type="pct"/>
                  <w:tcBorders>
                    <w:tl2br w:val="nil"/>
                    <w:tr2bl w:val="nil"/>
                  </w:tcBorders>
                  <w:vAlign w:val="center"/>
                </w:tcPr>
                <w:p w14:paraId="2F7B1193">
                  <w:pPr>
                    <w:pStyle w:val="4"/>
                    <w:rPr>
                      <w:color w:val="auto"/>
                    </w:rPr>
                  </w:pPr>
                  <w:r>
                    <w:rPr>
                      <w:rFonts w:hint="eastAsia" w:ascii="Times New Roman" w:hAnsi="Times New Roman"/>
                      <w:color w:val="auto"/>
                    </w:rPr>
                    <w:t>60</w:t>
                  </w:r>
                </w:p>
              </w:tc>
              <w:tc>
                <w:tcPr>
                  <w:tcW w:w="337" w:type="pct"/>
                  <w:tcBorders>
                    <w:tl2br w:val="nil"/>
                    <w:tr2bl w:val="nil"/>
                  </w:tcBorders>
                  <w:vAlign w:val="center"/>
                </w:tcPr>
                <w:p w14:paraId="1F5E03E7">
                  <w:pPr>
                    <w:pStyle w:val="4"/>
                    <w:rPr>
                      <w:color w:val="auto"/>
                    </w:rPr>
                  </w:pPr>
                  <w:r>
                    <w:rPr>
                      <w:rFonts w:hint="eastAsia" w:ascii="Times New Roman" w:hAnsi="Times New Roman"/>
                      <w:color w:val="auto"/>
                    </w:rPr>
                    <w:t>50</w:t>
                  </w:r>
                </w:p>
              </w:tc>
              <w:tc>
                <w:tcPr>
                  <w:tcW w:w="578" w:type="pct"/>
                  <w:tcBorders>
                    <w:tl2br w:val="nil"/>
                    <w:tr2bl w:val="nil"/>
                  </w:tcBorders>
                  <w:vAlign w:val="center"/>
                </w:tcPr>
                <w:p w14:paraId="74C8840A">
                  <w:pPr>
                    <w:pStyle w:val="4"/>
                    <w:rPr>
                      <w:color w:val="auto"/>
                    </w:rPr>
                  </w:pPr>
                  <w:r>
                    <w:rPr>
                      <w:color w:val="auto"/>
                    </w:rPr>
                    <w:t>达标</w:t>
                  </w:r>
                </w:p>
              </w:tc>
            </w:tr>
          </w:tbl>
          <w:p w14:paraId="67D5A578"/>
          <w:p w14:paraId="0DEB7039">
            <w:pPr>
              <w:pStyle w:val="8"/>
              <w:spacing w:after="0" w:line="360" w:lineRule="auto"/>
              <w:ind w:firstLine="480" w:firstLineChars="200"/>
            </w:pPr>
            <w:r>
              <w:rPr>
                <w:sz w:val="24"/>
              </w:rPr>
              <w:t>本项目周边50m范围内为居民</w:t>
            </w:r>
            <w:r>
              <w:rPr>
                <w:rFonts w:hint="eastAsia"/>
                <w:sz w:val="24"/>
              </w:rPr>
              <w:t>和空地</w:t>
            </w:r>
            <w:r>
              <w:rPr>
                <w:sz w:val="24"/>
              </w:rPr>
              <w:t>，</w:t>
            </w:r>
            <w:r>
              <w:rPr>
                <w:rFonts w:hint="eastAsia"/>
                <w:sz w:val="24"/>
              </w:rPr>
              <w:t>居民</w:t>
            </w:r>
            <w:r>
              <w:rPr>
                <w:sz w:val="24"/>
              </w:rPr>
              <w:t>均为敏感点。由预测结果可知，营运期厂界四周预测点噪声</w:t>
            </w:r>
            <w:r>
              <w:rPr>
                <w:rFonts w:hint="eastAsia"/>
                <w:sz w:val="24"/>
                <w:lang w:val="en-US" w:eastAsia="zh-CN"/>
              </w:rPr>
              <w:t>贡献</w:t>
            </w:r>
            <w:r>
              <w:rPr>
                <w:sz w:val="24"/>
              </w:rPr>
              <w:t>值均满足《工业企业厂界环境噪声排放标准》（GB12348-2008）2类标准，敏感点噪声</w:t>
            </w:r>
            <w:r>
              <w:rPr>
                <w:rFonts w:hint="eastAsia"/>
                <w:sz w:val="24"/>
                <w:lang w:val="en-US" w:eastAsia="zh-CN"/>
              </w:rPr>
              <w:t>预测</w:t>
            </w:r>
            <w:r>
              <w:rPr>
                <w:sz w:val="24"/>
              </w:rPr>
              <w:t>值均满足</w:t>
            </w:r>
            <w:r>
              <w:rPr>
                <w:sz w:val="24"/>
                <w:lang w:val="zh-CN"/>
              </w:rPr>
              <w:t>《声环境质量标准》（GB3096-2008）2类标准</w:t>
            </w:r>
            <w:r>
              <w:rPr>
                <w:rFonts w:hint="eastAsia"/>
                <w:sz w:val="24"/>
                <w:lang w:val="zh-CN"/>
              </w:rPr>
              <w:t>，</w:t>
            </w:r>
            <w:r>
              <w:rPr>
                <w:sz w:val="24"/>
              </w:rPr>
              <w:t>可实现达标排放。因此，本项目噪声不会对区域声环境和敏感点造成影响。</w:t>
            </w:r>
          </w:p>
          <w:p w14:paraId="18C4981E">
            <w:pPr>
              <w:pStyle w:val="8"/>
              <w:spacing w:after="0" w:line="360" w:lineRule="auto"/>
              <w:ind w:firstLine="482" w:firstLineChars="200"/>
              <w:rPr>
                <w:b/>
                <w:bCs/>
                <w:sz w:val="24"/>
              </w:rPr>
            </w:pPr>
            <w:r>
              <w:rPr>
                <w:b/>
                <w:bCs/>
                <w:sz w:val="24"/>
              </w:rPr>
              <w:t>3、监测计划</w:t>
            </w:r>
          </w:p>
          <w:p w14:paraId="490C7730">
            <w:pPr>
              <w:spacing w:line="360" w:lineRule="auto"/>
              <w:ind w:firstLine="480" w:firstLineChars="200"/>
              <w:rPr>
                <w:sz w:val="24"/>
              </w:rPr>
            </w:pPr>
            <w:r>
              <w:rPr>
                <w:sz w:val="24"/>
              </w:rPr>
              <w:t>本次环评根据《排污单位自行监测技术指南 总则》（HJ819-2017）提出项目生产运行阶段的污染源监测计划，详见下表。</w:t>
            </w:r>
          </w:p>
          <w:p w14:paraId="7E45406E">
            <w:pPr>
              <w:spacing w:line="276" w:lineRule="auto"/>
              <w:ind w:firstLine="480"/>
              <w:jc w:val="center"/>
              <w:rPr>
                <w:b/>
                <w:bCs/>
                <w:sz w:val="24"/>
              </w:rPr>
            </w:pPr>
            <w:r>
              <w:rPr>
                <w:b/>
                <w:bCs/>
                <w:sz w:val="24"/>
              </w:rPr>
              <w:t>表4-</w:t>
            </w:r>
            <w:r>
              <w:rPr>
                <w:rFonts w:hint="eastAsia"/>
                <w:b/>
                <w:bCs/>
                <w:sz w:val="24"/>
              </w:rPr>
              <w:t>1</w:t>
            </w:r>
            <w:r>
              <w:rPr>
                <w:rFonts w:hint="eastAsia"/>
                <w:b/>
                <w:bCs/>
                <w:sz w:val="24"/>
                <w:lang w:val="en-US" w:eastAsia="zh-CN"/>
              </w:rPr>
              <w:t>6</w:t>
            </w:r>
            <w:r>
              <w:rPr>
                <w:b/>
                <w:bCs/>
                <w:sz w:val="24"/>
              </w:rPr>
              <w:t xml:space="preserve"> 噪声监测要求</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758"/>
              <w:gridCol w:w="1841"/>
              <w:gridCol w:w="3083"/>
            </w:tblGrid>
            <w:tr w14:paraId="5F33C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tcBorders>
                    <w:tl2br w:val="nil"/>
                    <w:tr2bl w:val="nil"/>
                  </w:tcBorders>
                  <w:vAlign w:val="center"/>
                </w:tcPr>
                <w:p w14:paraId="41C5AD8D">
                  <w:pPr>
                    <w:jc w:val="center"/>
                    <w:rPr>
                      <w:b/>
                      <w:bCs/>
                    </w:rPr>
                  </w:pPr>
                  <w:r>
                    <w:rPr>
                      <w:b/>
                      <w:bCs/>
                    </w:rPr>
                    <w:t>监测点位</w:t>
                  </w:r>
                </w:p>
              </w:tc>
              <w:tc>
                <w:tcPr>
                  <w:tcW w:w="1015" w:type="pct"/>
                  <w:tcBorders>
                    <w:tl2br w:val="nil"/>
                    <w:tr2bl w:val="nil"/>
                  </w:tcBorders>
                  <w:vAlign w:val="center"/>
                </w:tcPr>
                <w:p w14:paraId="579FE226">
                  <w:pPr>
                    <w:jc w:val="center"/>
                    <w:rPr>
                      <w:b/>
                      <w:bCs/>
                    </w:rPr>
                  </w:pPr>
                  <w:r>
                    <w:rPr>
                      <w:b/>
                      <w:bCs/>
                    </w:rPr>
                    <w:t>监测指标</w:t>
                  </w:r>
                </w:p>
              </w:tc>
              <w:tc>
                <w:tcPr>
                  <w:tcW w:w="1063" w:type="pct"/>
                  <w:tcBorders>
                    <w:tl2br w:val="nil"/>
                    <w:tr2bl w:val="nil"/>
                  </w:tcBorders>
                  <w:vAlign w:val="center"/>
                </w:tcPr>
                <w:p w14:paraId="2BB3A32C">
                  <w:pPr>
                    <w:jc w:val="center"/>
                    <w:rPr>
                      <w:b/>
                      <w:bCs/>
                    </w:rPr>
                  </w:pPr>
                  <w:r>
                    <w:rPr>
                      <w:b/>
                      <w:bCs/>
                    </w:rPr>
                    <w:t>监测频次</w:t>
                  </w:r>
                </w:p>
              </w:tc>
              <w:tc>
                <w:tcPr>
                  <w:tcW w:w="1780" w:type="pct"/>
                  <w:tcBorders>
                    <w:tl2br w:val="nil"/>
                    <w:tr2bl w:val="nil"/>
                  </w:tcBorders>
                </w:tcPr>
                <w:p w14:paraId="2587A0E2">
                  <w:pPr>
                    <w:jc w:val="center"/>
                    <w:rPr>
                      <w:b/>
                      <w:bCs/>
                    </w:rPr>
                  </w:pPr>
                  <w:r>
                    <w:rPr>
                      <w:b/>
                      <w:bCs/>
                    </w:rPr>
                    <w:t>执行排放标准</w:t>
                  </w:r>
                </w:p>
              </w:tc>
            </w:tr>
            <w:tr w14:paraId="72456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tcBorders>
                    <w:tl2br w:val="nil"/>
                    <w:tr2bl w:val="nil"/>
                  </w:tcBorders>
                  <w:vAlign w:val="center"/>
                </w:tcPr>
                <w:p w14:paraId="60410921">
                  <w:pPr>
                    <w:jc w:val="center"/>
                  </w:pPr>
                  <w:r>
                    <w:t>厂界</w:t>
                  </w:r>
                </w:p>
              </w:tc>
              <w:tc>
                <w:tcPr>
                  <w:tcW w:w="1015" w:type="pct"/>
                  <w:tcBorders>
                    <w:tl2br w:val="nil"/>
                    <w:tr2bl w:val="nil"/>
                  </w:tcBorders>
                  <w:vAlign w:val="center"/>
                </w:tcPr>
                <w:p w14:paraId="3A082A3B">
                  <w:pPr>
                    <w:jc w:val="center"/>
                  </w:pPr>
                  <w:r>
                    <w:t>厂界噪声</w:t>
                  </w:r>
                </w:p>
              </w:tc>
              <w:tc>
                <w:tcPr>
                  <w:tcW w:w="1063" w:type="pct"/>
                  <w:vMerge w:val="restart"/>
                  <w:tcBorders>
                    <w:tl2br w:val="nil"/>
                    <w:tr2bl w:val="nil"/>
                  </w:tcBorders>
                  <w:vAlign w:val="center"/>
                </w:tcPr>
                <w:p w14:paraId="6648DAD8">
                  <w:pPr>
                    <w:jc w:val="center"/>
                  </w:pPr>
                  <w:r>
                    <w:t>季度/次，昼夜各一次</w:t>
                  </w:r>
                </w:p>
              </w:tc>
              <w:tc>
                <w:tcPr>
                  <w:tcW w:w="1780" w:type="pct"/>
                  <w:vMerge w:val="restart"/>
                  <w:tcBorders>
                    <w:tl2br w:val="nil"/>
                    <w:tr2bl w:val="nil"/>
                  </w:tcBorders>
                  <w:vAlign w:val="center"/>
                </w:tcPr>
                <w:p w14:paraId="14008044">
                  <w:pPr>
                    <w:jc w:val="center"/>
                  </w:pPr>
                  <w:r>
                    <w:t>《工业企业厂界环境噪声排放标准》（GB12348-2008）2类标准</w:t>
                  </w:r>
                </w:p>
              </w:tc>
            </w:tr>
            <w:tr w14:paraId="66C63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tcBorders>
                    <w:tl2br w:val="nil"/>
                    <w:tr2bl w:val="nil"/>
                  </w:tcBorders>
                  <w:shd w:val="clear" w:color="auto" w:fill="auto"/>
                  <w:vAlign w:val="center"/>
                </w:tcPr>
                <w:p w14:paraId="6B2C89DD">
                  <w:pPr>
                    <w:spacing w:line="300" w:lineRule="exact"/>
                    <w:jc w:val="center"/>
                  </w:pPr>
                  <w:r>
                    <w:rPr>
                      <w:rFonts w:hint="eastAsia"/>
                    </w:rPr>
                    <w:t>项目东南</w:t>
                  </w:r>
                  <w:r>
                    <w:t>侧场界外</w:t>
                  </w:r>
                </w:p>
                <w:p w14:paraId="26B1D2B5">
                  <w:pPr>
                    <w:spacing w:line="300" w:lineRule="exact"/>
                    <w:jc w:val="center"/>
                    <w:rPr>
                      <w:szCs w:val="24"/>
                    </w:rPr>
                  </w:pPr>
                  <w:r>
                    <w:rPr>
                      <w:rFonts w:hint="eastAsia"/>
                    </w:rPr>
                    <w:t>（紧邻居民处）</w:t>
                  </w:r>
                </w:p>
              </w:tc>
              <w:tc>
                <w:tcPr>
                  <w:tcW w:w="1015" w:type="pct"/>
                  <w:vMerge w:val="restart"/>
                  <w:tcBorders>
                    <w:tl2br w:val="nil"/>
                    <w:tr2bl w:val="nil"/>
                  </w:tcBorders>
                  <w:shd w:val="clear" w:color="auto" w:fill="auto"/>
                  <w:vAlign w:val="center"/>
                </w:tcPr>
                <w:p w14:paraId="0EED2121">
                  <w:pPr>
                    <w:pStyle w:val="4"/>
                  </w:pPr>
                  <w:r>
                    <w:rPr>
                      <w:rFonts w:hint="eastAsia"/>
                    </w:rPr>
                    <w:t>敏感点</w:t>
                  </w:r>
                  <w:r>
                    <w:t>噪声</w:t>
                  </w:r>
                </w:p>
              </w:tc>
              <w:tc>
                <w:tcPr>
                  <w:tcW w:w="1063" w:type="pct"/>
                  <w:vMerge w:val="continue"/>
                  <w:tcBorders>
                    <w:tl2br w:val="nil"/>
                    <w:tr2bl w:val="nil"/>
                  </w:tcBorders>
                  <w:vAlign w:val="center"/>
                </w:tcPr>
                <w:p w14:paraId="3A1CAB62">
                  <w:pPr>
                    <w:jc w:val="center"/>
                  </w:pPr>
                </w:p>
              </w:tc>
              <w:tc>
                <w:tcPr>
                  <w:tcW w:w="1780" w:type="pct"/>
                  <w:vMerge w:val="continue"/>
                  <w:tcBorders>
                    <w:tl2br w:val="nil"/>
                    <w:tr2bl w:val="nil"/>
                  </w:tcBorders>
                  <w:vAlign w:val="center"/>
                </w:tcPr>
                <w:p w14:paraId="78E79182">
                  <w:pPr>
                    <w:jc w:val="center"/>
                  </w:pPr>
                </w:p>
              </w:tc>
            </w:tr>
            <w:tr w14:paraId="5AAF2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pct"/>
                  <w:shd w:val="clear" w:color="auto" w:fill="auto"/>
                  <w:vAlign w:val="center"/>
                </w:tcPr>
                <w:p w14:paraId="5C37A80D">
                  <w:pPr>
                    <w:spacing w:line="300" w:lineRule="exact"/>
                    <w:jc w:val="center"/>
                  </w:pPr>
                  <w:r>
                    <w:rPr>
                      <w:rFonts w:hint="eastAsia"/>
                    </w:rPr>
                    <w:t>项目南</w:t>
                  </w:r>
                  <w:r>
                    <w:t>侧场界外</w:t>
                  </w:r>
                </w:p>
                <w:p w14:paraId="5E36EFC2">
                  <w:pPr>
                    <w:spacing w:line="300" w:lineRule="exact"/>
                    <w:jc w:val="center"/>
                    <w:rPr>
                      <w:szCs w:val="24"/>
                    </w:rPr>
                  </w:pPr>
                  <w:r>
                    <w:t>（紧邻</w:t>
                  </w:r>
                  <w:r>
                    <w:rPr>
                      <w:rFonts w:hint="eastAsia"/>
                    </w:rPr>
                    <w:t>居民</w:t>
                  </w:r>
                  <w:r>
                    <w:t>处）</w:t>
                  </w:r>
                </w:p>
              </w:tc>
              <w:tc>
                <w:tcPr>
                  <w:tcW w:w="1015" w:type="pct"/>
                  <w:vMerge w:val="continue"/>
                </w:tcPr>
                <w:p w14:paraId="7C98DB09">
                  <w:pPr>
                    <w:pStyle w:val="4"/>
                  </w:pPr>
                </w:p>
              </w:tc>
              <w:tc>
                <w:tcPr>
                  <w:tcW w:w="1063" w:type="pct"/>
                  <w:vMerge w:val="continue"/>
                </w:tcPr>
                <w:p w14:paraId="0F17E840">
                  <w:pPr>
                    <w:jc w:val="center"/>
                  </w:pPr>
                </w:p>
              </w:tc>
              <w:tc>
                <w:tcPr>
                  <w:tcW w:w="1780" w:type="pct"/>
                  <w:vMerge w:val="continue"/>
                </w:tcPr>
                <w:p w14:paraId="23359C05">
                  <w:pPr>
                    <w:jc w:val="center"/>
                  </w:pPr>
                </w:p>
              </w:tc>
            </w:tr>
          </w:tbl>
          <w:p w14:paraId="0D195D5C">
            <w:pPr>
              <w:pStyle w:val="8"/>
              <w:spacing w:after="0" w:line="360" w:lineRule="auto"/>
              <w:ind w:firstLine="482" w:firstLineChars="200"/>
              <w:rPr>
                <w:b/>
                <w:bCs/>
                <w:sz w:val="24"/>
              </w:rPr>
            </w:pPr>
            <w:r>
              <w:rPr>
                <w:b/>
                <w:bCs/>
                <w:sz w:val="24"/>
              </w:rPr>
              <w:t>四、固体废物</w:t>
            </w:r>
          </w:p>
          <w:p w14:paraId="211F4261">
            <w:pPr>
              <w:pStyle w:val="8"/>
              <w:spacing w:after="0" w:line="360" w:lineRule="auto"/>
              <w:ind w:firstLine="480" w:firstLineChars="200"/>
              <w:rPr>
                <w:sz w:val="24"/>
              </w:rPr>
            </w:pPr>
            <w:r>
              <w:rPr>
                <w:sz w:val="24"/>
              </w:rPr>
              <w:t>本项目产生的固废主要包括一般固废和危险废物。</w:t>
            </w:r>
          </w:p>
          <w:p w14:paraId="4742404E">
            <w:pPr>
              <w:spacing w:line="360" w:lineRule="auto"/>
              <w:ind w:firstLine="482" w:firstLineChars="200"/>
              <w:rPr>
                <w:b/>
                <w:bCs/>
                <w:sz w:val="24"/>
              </w:rPr>
            </w:pPr>
            <w:r>
              <w:rPr>
                <w:b/>
                <w:bCs/>
                <w:sz w:val="24"/>
              </w:rPr>
              <w:t>1、固体废物产生及治理措施</w:t>
            </w:r>
          </w:p>
          <w:p w14:paraId="53A9CB99">
            <w:pPr>
              <w:spacing w:line="360" w:lineRule="auto"/>
              <w:ind w:firstLine="482" w:firstLineChars="200"/>
              <w:rPr>
                <w:b/>
                <w:bCs/>
                <w:sz w:val="24"/>
              </w:rPr>
            </w:pPr>
            <w:r>
              <w:rPr>
                <w:b/>
                <w:bCs/>
                <w:sz w:val="24"/>
              </w:rPr>
              <w:t>（1）一般固废</w:t>
            </w:r>
          </w:p>
          <w:p w14:paraId="33F48F90">
            <w:pPr>
              <w:spacing w:line="360" w:lineRule="auto"/>
              <w:ind w:firstLine="480"/>
              <w:rPr>
                <w:b/>
                <w:bCs/>
                <w:sz w:val="24"/>
              </w:rPr>
            </w:pPr>
            <w:r>
              <w:rPr>
                <w:b/>
                <w:bCs/>
                <w:sz w:val="24"/>
              </w:rPr>
              <w:t>①生活垃圾</w:t>
            </w:r>
          </w:p>
          <w:p w14:paraId="48345F21">
            <w:pPr>
              <w:spacing w:line="360" w:lineRule="auto"/>
              <w:ind w:firstLine="480"/>
              <w:rPr>
                <w:b/>
                <w:bCs/>
                <w:sz w:val="24"/>
              </w:rPr>
            </w:pPr>
            <w:r>
              <w:rPr>
                <w:sz w:val="24"/>
              </w:rPr>
              <w:t>本项目住院病人共计</w:t>
            </w:r>
            <w:r>
              <w:rPr>
                <w:rFonts w:hint="eastAsia"/>
                <w:sz w:val="24"/>
              </w:rPr>
              <w:t>70</w:t>
            </w:r>
            <w:r>
              <w:rPr>
                <w:sz w:val="24"/>
              </w:rPr>
              <w:t>人（病床</w:t>
            </w:r>
            <w:r>
              <w:rPr>
                <w:rFonts w:hint="eastAsia"/>
                <w:sz w:val="24"/>
              </w:rPr>
              <w:t>70</w:t>
            </w:r>
            <w:r>
              <w:rPr>
                <w:sz w:val="24"/>
              </w:rPr>
              <w:t>床），</w:t>
            </w:r>
            <w:r>
              <w:rPr>
                <w:rFonts w:hint="eastAsia"/>
                <w:sz w:val="24"/>
              </w:rPr>
              <w:t>无陪护人员，有职工</w:t>
            </w:r>
            <w:r>
              <w:rPr>
                <w:rFonts w:hint="eastAsia"/>
                <w:sz w:val="24"/>
                <w:lang w:val="en-US" w:eastAsia="zh-CN"/>
              </w:rPr>
              <w:t>10</w:t>
            </w:r>
            <w:r>
              <w:rPr>
                <w:rFonts w:hint="eastAsia"/>
                <w:sz w:val="24"/>
                <w:highlight w:val="none"/>
              </w:rPr>
              <w:t>0</w:t>
            </w:r>
            <w:r>
              <w:rPr>
                <w:sz w:val="24"/>
              </w:rPr>
              <w:t>人</w:t>
            </w:r>
            <w:r>
              <w:rPr>
                <w:rFonts w:hint="eastAsia"/>
                <w:sz w:val="24"/>
              </w:rPr>
              <w:t>。</w:t>
            </w:r>
            <w:r>
              <w:rPr>
                <w:sz w:val="24"/>
              </w:rPr>
              <w:t>生活垃圾产生量按</w:t>
            </w:r>
            <w:r>
              <w:rPr>
                <w:rFonts w:hint="eastAsia"/>
                <w:sz w:val="24"/>
              </w:rPr>
              <w:t>0.5</w:t>
            </w:r>
            <w:r>
              <w:rPr>
                <w:sz w:val="24"/>
              </w:rPr>
              <w:t>kg/d·人计，则医院职工、住院病人生活垃圾产生量为</w:t>
            </w:r>
            <w:r>
              <w:rPr>
                <w:rFonts w:hint="eastAsia"/>
                <w:sz w:val="24"/>
                <w:lang w:val="en-US" w:eastAsia="zh-CN"/>
              </w:rPr>
              <w:t>85</w:t>
            </w:r>
            <w:r>
              <w:rPr>
                <w:sz w:val="24"/>
              </w:rPr>
              <w:t>kg/d；门诊病人峰值量为</w:t>
            </w:r>
            <w:r>
              <w:rPr>
                <w:rFonts w:hint="eastAsia"/>
                <w:sz w:val="24"/>
              </w:rPr>
              <w:t>50</w:t>
            </w:r>
            <w:r>
              <w:rPr>
                <w:sz w:val="24"/>
              </w:rPr>
              <w:t>人/d，生活垃圾产生量按照0.1kg/d人计，则门诊病人生活垃圾产生量为</w:t>
            </w:r>
            <w:r>
              <w:rPr>
                <w:rFonts w:hint="eastAsia"/>
                <w:sz w:val="24"/>
              </w:rPr>
              <w:t>5</w:t>
            </w:r>
            <w:r>
              <w:rPr>
                <w:sz w:val="24"/>
              </w:rPr>
              <w:t>kg/d。则本项目运营期生活垃圾总量为</w:t>
            </w:r>
            <w:r>
              <w:rPr>
                <w:rFonts w:hint="eastAsia"/>
                <w:sz w:val="24"/>
                <w:lang w:val="en-US" w:eastAsia="zh-CN"/>
              </w:rPr>
              <w:t>90</w:t>
            </w:r>
            <w:r>
              <w:rPr>
                <w:sz w:val="24"/>
              </w:rPr>
              <w:t>kg/d、</w:t>
            </w:r>
            <w:r>
              <w:rPr>
                <w:rFonts w:hint="eastAsia"/>
                <w:sz w:val="24"/>
                <w:lang w:eastAsia="zh-CN"/>
              </w:rPr>
              <w:t>32.85</w:t>
            </w:r>
            <w:r>
              <w:rPr>
                <w:sz w:val="24"/>
              </w:rPr>
              <w:t>t/a。</w:t>
            </w:r>
          </w:p>
          <w:p w14:paraId="1C324A56">
            <w:pPr>
              <w:spacing w:line="360" w:lineRule="auto"/>
              <w:ind w:firstLine="480"/>
              <w:rPr>
                <w:sz w:val="24"/>
              </w:rPr>
            </w:pPr>
            <w:r>
              <w:rPr>
                <w:sz w:val="24"/>
              </w:rPr>
              <w:t>为减少蝇虫细菌的传播，项目不设垃圾房，只设置垃圾桶，生活垃圾日产日清，装袋收集后交由环卫部门清运处理。</w:t>
            </w:r>
          </w:p>
          <w:p w14:paraId="505A7472">
            <w:pPr>
              <w:spacing w:line="360" w:lineRule="auto"/>
              <w:ind w:firstLine="435"/>
              <w:rPr>
                <w:b/>
                <w:bCs/>
                <w:sz w:val="24"/>
              </w:rPr>
            </w:pPr>
            <w:r>
              <w:rPr>
                <w:rFonts w:hint="eastAsia"/>
                <w:b/>
                <w:bCs/>
                <w:sz w:val="24"/>
              </w:rPr>
              <w:t>②</w:t>
            </w:r>
            <w:r>
              <w:rPr>
                <w:b/>
                <w:bCs/>
                <w:sz w:val="24"/>
              </w:rPr>
              <w:t>餐厨垃圾（含油水分离器浮油）</w:t>
            </w:r>
          </w:p>
          <w:p w14:paraId="393223E3">
            <w:pPr>
              <w:spacing w:line="360" w:lineRule="auto"/>
              <w:ind w:firstLine="480"/>
              <w:rPr>
                <w:sz w:val="24"/>
              </w:rPr>
            </w:pPr>
            <w:r>
              <w:rPr>
                <w:sz w:val="24"/>
              </w:rPr>
              <w:t>食堂产生的餐厨废物和隔油设备浮油的产生量按0.1kg/人·d计，本项目食堂接待量</w:t>
            </w:r>
            <w:r>
              <w:rPr>
                <w:rFonts w:hint="eastAsia"/>
                <w:sz w:val="24"/>
              </w:rPr>
              <w:t>1</w:t>
            </w:r>
            <w:r>
              <w:rPr>
                <w:rFonts w:hint="eastAsia"/>
                <w:sz w:val="24"/>
                <w:lang w:val="en-US" w:eastAsia="zh-CN"/>
              </w:rPr>
              <w:t>7</w:t>
            </w:r>
            <w:r>
              <w:rPr>
                <w:rFonts w:hint="eastAsia"/>
                <w:sz w:val="24"/>
              </w:rPr>
              <w:t>0</w:t>
            </w:r>
            <w:r>
              <w:rPr>
                <w:sz w:val="24"/>
              </w:rPr>
              <w:t>人/d</w:t>
            </w:r>
            <w:r>
              <w:rPr>
                <w:rFonts w:hint="eastAsia"/>
                <w:sz w:val="24"/>
              </w:rPr>
              <w:t>（门诊病人不在院区内就餐）</w:t>
            </w:r>
            <w:r>
              <w:rPr>
                <w:sz w:val="24"/>
              </w:rPr>
              <w:t>，则营运期餐厨垃圾（含废油脂）产生量为</w:t>
            </w:r>
            <w:r>
              <w:rPr>
                <w:rFonts w:hint="eastAsia"/>
                <w:sz w:val="24"/>
              </w:rPr>
              <w:t>1</w:t>
            </w:r>
            <w:r>
              <w:rPr>
                <w:rFonts w:hint="eastAsia"/>
                <w:sz w:val="24"/>
                <w:lang w:val="en-US" w:eastAsia="zh-CN"/>
              </w:rPr>
              <w:t>7</w:t>
            </w:r>
            <w:r>
              <w:rPr>
                <w:rFonts w:hint="eastAsia"/>
                <w:sz w:val="24"/>
              </w:rPr>
              <w:t>kg</w:t>
            </w:r>
            <w:r>
              <w:rPr>
                <w:sz w:val="24"/>
              </w:rPr>
              <w:t>/d（</w:t>
            </w:r>
            <w:r>
              <w:rPr>
                <w:rFonts w:hint="eastAsia"/>
                <w:sz w:val="24"/>
                <w:lang w:eastAsia="zh-CN"/>
              </w:rPr>
              <w:t>6.21</w:t>
            </w:r>
            <w:r>
              <w:rPr>
                <w:sz w:val="24"/>
              </w:rPr>
              <w:t>t/a），经收集后交由有资质的餐厨垃圾处理单位处理。</w:t>
            </w:r>
          </w:p>
          <w:p w14:paraId="53979993">
            <w:pPr>
              <w:spacing w:line="360" w:lineRule="auto"/>
              <w:ind w:firstLine="480"/>
              <w:rPr>
                <w:b/>
                <w:bCs/>
                <w:sz w:val="24"/>
              </w:rPr>
            </w:pPr>
            <w:r>
              <w:rPr>
                <w:rFonts w:hint="eastAsia"/>
                <w:b/>
                <w:bCs/>
                <w:sz w:val="24"/>
              </w:rPr>
              <w:t>③</w:t>
            </w:r>
            <w:r>
              <w:rPr>
                <w:b/>
                <w:bCs/>
                <w:sz w:val="24"/>
              </w:rPr>
              <w:t>未感染的输液瓶（袋）</w:t>
            </w:r>
          </w:p>
          <w:p w14:paraId="79EB7BA2">
            <w:pPr>
              <w:spacing w:line="360" w:lineRule="auto"/>
              <w:ind w:firstLine="480"/>
              <w:rPr>
                <w:sz w:val="24"/>
              </w:rPr>
            </w:pPr>
            <w:r>
              <w:rPr>
                <w:sz w:val="24"/>
              </w:rPr>
              <w:t>根据《关于在医疗机构推进生活垃圾分类管理的通知》（国卫办医发〔2017〕30号）可知，“对于未被患者血液、体液和排泄物等污染的输液瓶（袋），应当在其与输液管连接处去除输液管后单独集中收集回收、存放。去除后的输液管、针头等应当严格按照医疗危险废物处理，严禁混入未被污染的输液瓶（袋）及其他生活垃圾中。残留少量经稀释的普通药液的输液瓶（袋），可以按照未被污染的输液瓶（袋）处理。但存在下列情形的输液瓶（袋），即使未被患者血液、体液和排泄物等污染，也不得纳入一般固废管理：①在传染病区使用，或者用于传染病患者、疑似传染病患者以及采取隔离措施的其他患者的输液瓶（袋），应当按照感染性医疗废物处理。②输液涉及使用细胞毒性药物（如肿瘤化疗药物等）的输液瓶（袋），应当按照药物性医疗废物处理。③输液涉及使用麻醉类药品、精神类药品、易制毒药品和放射性药品的输液瓶（袋），应当严格按照相关规定处理。”</w:t>
            </w:r>
          </w:p>
          <w:p w14:paraId="59F2F0E2">
            <w:pPr>
              <w:spacing w:line="360" w:lineRule="auto"/>
              <w:ind w:firstLine="480"/>
              <w:rPr>
                <w:sz w:val="24"/>
              </w:rPr>
            </w:pPr>
            <w:r>
              <w:rPr>
                <w:sz w:val="24"/>
              </w:rPr>
              <w:t>根据业主提供的资料，项目可纳入一般固废管理的未感染的输液瓶（袋）产生量约</w:t>
            </w:r>
            <w:r>
              <w:rPr>
                <w:rFonts w:hint="eastAsia"/>
                <w:sz w:val="24"/>
              </w:rPr>
              <w:t>0.5</w:t>
            </w:r>
            <w:r>
              <w:rPr>
                <w:sz w:val="24"/>
              </w:rPr>
              <w:t>t/a。经统一容器收集后，定期交由有资质单位处理，并建立管理台账。</w:t>
            </w:r>
          </w:p>
          <w:p w14:paraId="580FF1D4">
            <w:pPr>
              <w:spacing w:line="360" w:lineRule="auto"/>
              <w:ind w:firstLine="480"/>
              <w:rPr>
                <w:b/>
                <w:bCs/>
                <w:sz w:val="24"/>
              </w:rPr>
            </w:pPr>
            <w:r>
              <w:rPr>
                <w:rFonts w:hint="eastAsia"/>
                <w:b/>
                <w:bCs/>
                <w:sz w:val="24"/>
              </w:rPr>
              <w:t>④</w:t>
            </w:r>
            <w:r>
              <w:rPr>
                <w:b/>
                <w:bCs/>
                <w:sz w:val="24"/>
              </w:rPr>
              <w:t>废包装材料</w:t>
            </w:r>
          </w:p>
          <w:p w14:paraId="76BD4926">
            <w:pPr>
              <w:spacing w:line="360" w:lineRule="auto"/>
              <w:ind w:firstLine="480"/>
              <w:rPr>
                <w:sz w:val="24"/>
              </w:rPr>
            </w:pPr>
            <w:r>
              <w:rPr>
                <w:sz w:val="24"/>
              </w:rPr>
              <w:t>项目废包装材料来源于药品包装等，产生量约0.5t/a。经收集后外售废品回收站。</w:t>
            </w:r>
          </w:p>
          <w:p w14:paraId="56AC2FAA">
            <w:pPr>
              <w:spacing w:line="360" w:lineRule="auto"/>
              <w:ind w:firstLine="480"/>
              <w:rPr>
                <w:b/>
                <w:bCs/>
                <w:sz w:val="24"/>
              </w:rPr>
            </w:pPr>
            <w:r>
              <w:rPr>
                <w:rFonts w:hint="eastAsia"/>
                <w:b/>
                <w:bCs/>
                <w:sz w:val="24"/>
              </w:rPr>
              <w:t>⑤纯水制备废过滤材料</w:t>
            </w:r>
          </w:p>
          <w:p w14:paraId="26AD6626">
            <w:pPr>
              <w:spacing w:line="360" w:lineRule="auto"/>
              <w:ind w:firstLine="480"/>
              <w:rPr>
                <w:sz w:val="24"/>
              </w:rPr>
            </w:pPr>
            <w:r>
              <w:rPr>
                <w:rFonts w:hint="eastAsia"/>
                <w:sz w:val="24"/>
              </w:rPr>
              <w:t>纯水机</w:t>
            </w:r>
            <w:r>
              <w:rPr>
                <w:sz w:val="24"/>
              </w:rPr>
              <w:t>采用“过滤+反渗透”工艺，其中的过滤材料需定期更换，预计废过滤材料产生量约为0.</w:t>
            </w:r>
            <w:r>
              <w:rPr>
                <w:rFonts w:hint="eastAsia"/>
                <w:sz w:val="24"/>
              </w:rPr>
              <w:t>01</w:t>
            </w:r>
            <w:r>
              <w:rPr>
                <w:sz w:val="24"/>
              </w:rPr>
              <w:t>t/a。废过滤材料属于一般固废，由厂家回收利用。</w:t>
            </w:r>
          </w:p>
          <w:p w14:paraId="65348E07">
            <w:pPr>
              <w:spacing w:line="360" w:lineRule="auto"/>
              <w:ind w:firstLine="480"/>
              <w:rPr>
                <w:b/>
                <w:bCs/>
                <w:sz w:val="24"/>
              </w:rPr>
            </w:pPr>
            <w:r>
              <w:rPr>
                <w:rFonts w:hint="eastAsia"/>
                <w:b/>
                <w:bCs/>
                <w:sz w:val="24"/>
              </w:rPr>
              <w:t>⑥废反渗透膜</w:t>
            </w:r>
          </w:p>
          <w:p w14:paraId="2C3994A9">
            <w:pPr>
              <w:spacing w:line="360" w:lineRule="auto"/>
              <w:ind w:firstLine="480"/>
              <w:rPr>
                <w:sz w:val="24"/>
              </w:rPr>
            </w:pPr>
            <w:r>
              <w:rPr>
                <w:rFonts w:hint="eastAsia"/>
                <w:sz w:val="24"/>
              </w:rPr>
              <w:t>纯水机</w:t>
            </w:r>
            <w:r>
              <w:rPr>
                <w:sz w:val="24"/>
              </w:rPr>
              <w:t>采用“过滤+反渗透”工艺，其中的反渗透膜需定期更换，预计废反渗透膜产生量约为0.</w:t>
            </w:r>
            <w:r>
              <w:rPr>
                <w:rFonts w:hint="eastAsia"/>
                <w:sz w:val="24"/>
              </w:rPr>
              <w:t>06</w:t>
            </w:r>
            <w:r>
              <w:rPr>
                <w:sz w:val="24"/>
              </w:rPr>
              <w:t>t/a。废反渗透膜属于一般固废，由厂家回收利用。</w:t>
            </w:r>
          </w:p>
          <w:p w14:paraId="3808E35F">
            <w:pPr>
              <w:spacing w:line="360" w:lineRule="auto"/>
              <w:ind w:firstLine="480"/>
              <w:rPr>
                <w:b/>
                <w:bCs/>
                <w:sz w:val="24"/>
              </w:rPr>
            </w:pPr>
            <w:r>
              <w:rPr>
                <w:b/>
                <w:bCs/>
                <w:sz w:val="24"/>
              </w:rPr>
              <w:t>（2）危险废物</w:t>
            </w:r>
          </w:p>
          <w:p w14:paraId="48079465">
            <w:pPr>
              <w:spacing w:line="360" w:lineRule="auto"/>
              <w:ind w:firstLine="482" w:firstLineChars="200"/>
              <w:rPr>
                <w:b/>
                <w:bCs/>
                <w:sz w:val="24"/>
              </w:rPr>
            </w:pPr>
            <w:r>
              <w:rPr>
                <w:b/>
                <w:bCs/>
                <w:sz w:val="24"/>
              </w:rPr>
              <w:t>①医疗废物（HW01）</w:t>
            </w:r>
          </w:p>
          <w:p w14:paraId="65D4BB35">
            <w:pPr>
              <w:numPr>
                <w:ilvl w:val="-1"/>
                <w:numId w:val="0"/>
              </w:numPr>
              <w:spacing w:line="360" w:lineRule="auto"/>
              <w:ind w:firstLine="480" w:firstLineChars="200"/>
              <w:rPr>
                <w:color w:val="FF0000"/>
                <w:sz w:val="24"/>
                <w:szCs w:val="24"/>
              </w:rPr>
            </w:pPr>
            <w:r>
              <w:rPr>
                <w:kern w:val="0"/>
                <w:sz w:val="24"/>
              </w:rPr>
              <w:t>医疗废物主要产生于门诊、治疗室、病房等区域产生的具有直接或者间接感染性、毒性以及其他危害性的废物（含检验废液）。项目实验室废液来自医院检验科产生的检验废液，产生量约</w:t>
            </w:r>
            <w:r>
              <w:rPr>
                <w:rFonts w:hint="eastAsia"/>
                <w:kern w:val="0"/>
                <w:sz w:val="24"/>
              </w:rPr>
              <w:t>0.73</w:t>
            </w:r>
            <w:r>
              <w:rPr>
                <w:kern w:val="0"/>
                <w:sz w:val="24"/>
              </w:rPr>
              <w:t>t/a；参考同类型报告，医疗废物产生量按0.65kg/床﹒d计，本项目床位</w:t>
            </w:r>
            <w:r>
              <w:rPr>
                <w:rFonts w:hint="eastAsia"/>
                <w:kern w:val="0"/>
                <w:sz w:val="24"/>
              </w:rPr>
              <w:t>7</w:t>
            </w:r>
            <w:r>
              <w:rPr>
                <w:kern w:val="0"/>
                <w:sz w:val="24"/>
              </w:rPr>
              <w:t>0张，则营运期医疗垃圾产生量为</w:t>
            </w:r>
            <w:r>
              <w:rPr>
                <w:rFonts w:hint="eastAsia"/>
                <w:kern w:val="0"/>
                <w:sz w:val="24"/>
              </w:rPr>
              <w:t>45</w:t>
            </w:r>
            <w:r>
              <w:rPr>
                <w:kern w:val="0"/>
                <w:sz w:val="24"/>
              </w:rPr>
              <w:t>.5kg/d（</w:t>
            </w:r>
            <w:r>
              <w:rPr>
                <w:rFonts w:hint="eastAsia"/>
                <w:kern w:val="0"/>
                <w:sz w:val="24"/>
              </w:rPr>
              <w:t>16.61</w:t>
            </w:r>
            <w:r>
              <w:rPr>
                <w:kern w:val="0"/>
                <w:sz w:val="24"/>
              </w:rPr>
              <w:t>t/a）；门诊就诊高峰期为</w:t>
            </w:r>
            <w:r>
              <w:rPr>
                <w:rFonts w:hint="eastAsia"/>
                <w:kern w:val="0"/>
                <w:sz w:val="24"/>
              </w:rPr>
              <w:t>50</w:t>
            </w:r>
            <w:r>
              <w:rPr>
                <w:kern w:val="0"/>
                <w:sz w:val="24"/>
              </w:rPr>
              <w:t>人/d，门诊病人医疗废物产生量按0.02kg/d计，则门诊病人医疗废物产生量为1kg/d（</w:t>
            </w:r>
            <w:r>
              <w:rPr>
                <w:rFonts w:hint="eastAsia"/>
                <w:kern w:val="0"/>
                <w:sz w:val="24"/>
              </w:rPr>
              <w:t>0.365</w:t>
            </w:r>
            <w:r>
              <w:rPr>
                <w:kern w:val="0"/>
                <w:sz w:val="24"/>
              </w:rPr>
              <w:t>t/a）；废药品主要来源于医院药房过期未使用药品或者变质药品，产生量约0.5t/a。医疗废物产生总量为</w:t>
            </w:r>
            <w:r>
              <w:rPr>
                <w:rFonts w:hint="eastAsia"/>
                <w:kern w:val="0"/>
                <w:sz w:val="24"/>
              </w:rPr>
              <w:t>18.205</w:t>
            </w:r>
            <w:r>
              <w:rPr>
                <w:kern w:val="0"/>
                <w:sz w:val="24"/>
              </w:rPr>
              <w:t>t/a；属于《国家危险废物名录（2021年版）》中HW01医疗废物的“841-001-01感染性废物、841-002-01损伤性废物、841-003-01病理性废物、841-005-01药物性废物”，经分类收集后暂存于</w:t>
            </w:r>
            <w:r>
              <w:rPr>
                <w:rFonts w:hint="eastAsia"/>
                <w:kern w:val="0"/>
                <w:sz w:val="24"/>
              </w:rPr>
              <w:t>医疗废物</w:t>
            </w:r>
            <w:r>
              <w:rPr>
                <w:kern w:val="0"/>
                <w:sz w:val="24"/>
              </w:rPr>
              <w:t>暂存间，定期交由有资质单位处置</w:t>
            </w:r>
            <w:r>
              <w:rPr>
                <w:rFonts w:hint="eastAsia"/>
                <w:kern w:val="0"/>
                <w:sz w:val="24"/>
              </w:rPr>
              <w:t>（</w:t>
            </w:r>
            <w:r>
              <w:rPr>
                <w:rFonts w:hint="eastAsia"/>
                <w:sz w:val="24"/>
                <w:szCs w:val="24"/>
              </w:rPr>
              <w:t>其中病理性废物需采用冰柜暂存后再委托殡仪馆处置或交由卫健委统一处理）。</w:t>
            </w:r>
          </w:p>
          <w:p w14:paraId="13F4C16C">
            <w:pPr>
              <w:spacing w:line="360" w:lineRule="auto"/>
              <w:jc w:val="center"/>
              <w:rPr>
                <w:b/>
                <w:bCs/>
                <w:kern w:val="0"/>
                <w:sz w:val="24"/>
              </w:rPr>
            </w:pPr>
            <w:r>
              <w:rPr>
                <w:b/>
                <w:bCs/>
                <w:kern w:val="0"/>
                <w:sz w:val="24"/>
              </w:rPr>
              <w:t>表4-1</w:t>
            </w:r>
            <w:r>
              <w:rPr>
                <w:rFonts w:hint="eastAsia"/>
                <w:b/>
                <w:bCs/>
                <w:kern w:val="0"/>
                <w:sz w:val="24"/>
                <w:lang w:val="en-US" w:eastAsia="zh-CN"/>
              </w:rPr>
              <w:t>7</w:t>
            </w:r>
            <w:r>
              <w:rPr>
                <w:b/>
                <w:bCs/>
                <w:kern w:val="0"/>
                <w:sz w:val="24"/>
              </w:rPr>
              <w:t xml:space="preserve">  医疗废物名录</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530"/>
              <w:gridCol w:w="5581"/>
              <w:gridCol w:w="918"/>
            </w:tblGrid>
            <w:tr w14:paraId="1674F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tcBorders>
                    <w:tl2br w:val="nil"/>
                    <w:tr2bl w:val="nil"/>
                  </w:tcBorders>
                  <w:vAlign w:val="center"/>
                </w:tcPr>
                <w:p w14:paraId="2FACFFDC">
                  <w:pPr>
                    <w:pStyle w:val="30"/>
                    <w:spacing w:before="24" w:after="24"/>
                    <w:rPr>
                      <w:b/>
                    </w:rPr>
                  </w:pPr>
                  <w:r>
                    <w:rPr>
                      <w:b/>
                    </w:rPr>
                    <w:t>类别</w:t>
                  </w:r>
                </w:p>
              </w:tc>
              <w:tc>
                <w:tcPr>
                  <w:tcW w:w="884" w:type="pct"/>
                  <w:tcBorders>
                    <w:tl2br w:val="nil"/>
                    <w:tr2bl w:val="nil"/>
                  </w:tcBorders>
                  <w:vAlign w:val="center"/>
                </w:tcPr>
                <w:p w14:paraId="1AE07A88">
                  <w:pPr>
                    <w:pStyle w:val="30"/>
                    <w:spacing w:before="24" w:after="24"/>
                    <w:rPr>
                      <w:b/>
                    </w:rPr>
                  </w:pPr>
                  <w:r>
                    <w:rPr>
                      <w:b/>
                    </w:rPr>
                    <w:t>特征</w:t>
                  </w:r>
                </w:p>
              </w:tc>
              <w:tc>
                <w:tcPr>
                  <w:tcW w:w="3224" w:type="pct"/>
                  <w:tcBorders>
                    <w:tl2br w:val="nil"/>
                    <w:tr2bl w:val="nil"/>
                  </w:tcBorders>
                  <w:vAlign w:val="center"/>
                </w:tcPr>
                <w:p w14:paraId="30C9848E">
                  <w:pPr>
                    <w:pStyle w:val="30"/>
                    <w:spacing w:before="24" w:after="24"/>
                    <w:rPr>
                      <w:b/>
                    </w:rPr>
                  </w:pPr>
                  <w:r>
                    <w:rPr>
                      <w:b/>
                    </w:rPr>
                    <w:t>常见组分或废物名称</w:t>
                  </w:r>
                </w:p>
              </w:tc>
              <w:tc>
                <w:tcPr>
                  <w:tcW w:w="529" w:type="pct"/>
                  <w:tcBorders>
                    <w:tl2br w:val="nil"/>
                    <w:tr2bl w:val="nil"/>
                  </w:tcBorders>
                  <w:vAlign w:val="center"/>
                </w:tcPr>
                <w:p w14:paraId="3DEF0A90">
                  <w:pPr>
                    <w:pStyle w:val="30"/>
                    <w:spacing w:before="24" w:after="24"/>
                    <w:rPr>
                      <w:b/>
                    </w:rPr>
                  </w:pPr>
                  <w:r>
                    <w:rPr>
                      <w:b/>
                    </w:rPr>
                    <w:t>本项目</w:t>
                  </w:r>
                </w:p>
              </w:tc>
            </w:tr>
            <w:tr w14:paraId="4074D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62" w:type="pct"/>
                  <w:vMerge w:val="restart"/>
                  <w:tcBorders>
                    <w:tl2br w:val="nil"/>
                    <w:tr2bl w:val="nil"/>
                  </w:tcBorders>
                  <w:vAlign w:val="center"/>
                </w:tcPr>
                <w:p w14:paraId="20CEDE50">
                  <w:pPr>
                    <w:pStyle w:val="30"/>
                    <w:spacing w:before="24" w:after="24"/>
                  </w:pPr>
                  <w:r>
                    <w:t>感染性废物</w:t>
                  </w:r>
                </w:p>
              </w:tc>
              <w:tc>
                <w:tcPr>
                  <w:tcW w:w="884" w:type="pct"/>
                  <w:vMerge w:val="restart"/>
                  <w:tcBorders>
                    <w:tl2br w:val="nil"/>
                    <w:tr2bl w:val="nil"/>
                  </w:tcBorders>
                  <w:vAlign w:val="center"/>
                </w:tcPr>
                <w:p w14:paraId="3B336154">
                  <w:pPr>
                    <w:pStyle w:val="30"/>
                    <w:spacing w:before="24" w:after="24"/>
                  </w:pPr>
                  <w:r>
                    <w:t>携带病原微生物具有引发感染性疾病传播危险的医疗废物</w:t>
                  </w:r>
                </w:p>
              </w:tc>
              <w:tc>
                <w:tcPr>
                  <w:tcW w:w="3224" w:type="pct"/>
                  <w:tcBorders>
                    <w:tl2br w:val="nil"/>
                    <w:tr2bl w:val="nil"/>
                  </w:tcBorders>
                  <w:vAlign w:val="center"/>
                </w:tcPr>
                <w:p w14:paraId="3D29AB2F">
                  <w:pPr>
                    <w:pStyle w:val="30"/>
                    <w:spacing w:before="24" w:after="24"/>
                    <w:jc w:val="both"/>
                  </w:pPr>
                  <w:r>
                    <w:t>1、被患者血液、体液、排泄物等污染的除锐器以外的废物。</w:t>
                  </w:r>
                </w:p>
              </w:tc>
              <w:tc>
                <w:tcPr>
                  <w:tcW w:w="529" w:type="pct"/>
                  <w:tcBorders>
                    <w:tl2br w:val="nil"/>
                    <w:tr2bl w:val="nil"/>
                  </w:tcBorders>
                  <w:vAlign w:val="center"/>
                </w:tcPr>
                <w:p w14:paraId="0298F17C">
                  <w:pPr>
                    <w:pStyle w:val="30"/>
                    <w:spacing w:before="24" w:after="24"/>
                  </w:pPr>
                  <w:r>
                    <w:t>有</w:t>
                  </w:r>
                </w:p>
              </w:tc>
            </w:tr>
            <w:tr w14:paraId="6F181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tcBorders>
                    <w:tl2br w:val="nil"/>
                    <w:tr2bl w:val="nil"/>
                  </w:tcBorders>
                  <w:vAlign w:val="center"/>
                </w:tcPr>
                <w:p w14:paraId="5DC8A080">
                  <w:pPr>
                    <w:pStyle w:val="30"/>
                    <w:spacing w:before="24" w:after="24"/>
                  </w:pPr>
                </w:p>
              </w:tc>
              <w:tc>
                <w:tcPr>
                  <w:tcW w:w="884" w:type="pct"/>
                  <w:vMerge w:val="continue"/>
                  <w:tcBorders>
                    <w:tl2br w:val="nil"/>
                    <w:tr2bl w:val="nil"/>
                  </w:tcBorders>
                  <w:vAlign w:val="center"/>
                </w:tcPr>
                <w:p w14:paraId="74C2244A">
                  <w:pPr>
                    <w:pStyle w:val="30"/>
                    <w:spacing w:before="24" w:after="24"/>
                  </w:pPr>
                </w:p>
              </w:tc>
              <w:tc>
                <w:tcPr>
                  <w:tcW w:w="3224" w:type="pct"/>
                  <w:tcBorders>
                    <w:tl2br w:val="nil"/>
                    <w:tr2bl w:val="nil"/>
                  </w:tcBorders>
                  <w:vAlign w:val="center"/>
                </w:tcPr>
                <w:p w14:paraId="56F72A43">
                  <w:pPr>
                    <w:pStyle w:val="30"/>
                    <w:spacing w:before="24" w:after="24"/>
                    <w:jc w:val="both"/>
                  </w:pPr>
                  <w:r>
                    <w:t>2、使用后废弃的一次性使用医疗器械，如注射器、输液器、透析器等。</w:t>
                  </w:r>
                </w:p>
              </w:tc>
              <w:tc>
                <w:tcPr>
                  <w:tcW w:w="529" w:type="pct"/>
                  <w:tcBorders>
                    <w:tl2br w:val="nil"/>
                    <w:tr2bl w:val="nil"/>
                  </w:tcBorders>
                  <w:vAlign w:val="center"/>
                </w:tcPr>
                <w:p w14:paraId="631D1E16">
                  <w:pPr>
                    <w:pStyle w:val="30"/>
                    <w:spacing w:before="24" w:after="24"/>
                  </w:pPr>
                  <w:r>
                    <w:t>有</w:t>
                  </w:r>
                </w:p>
              </w:tc>
            </w:tr>
            <w:tr w14:paraId="1D226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62" w:type="pct"/>
                  <w:vMerge w:val="continue"/>
                  <w:tcBorders>
                    <w:tl2br w:val="nil"/>
                    <w:tr2bl w:val="nil"/>
                  </w:tcBorders>
                  <w:vAlign w:val="center"/>
                </w:tcPr>
                <w:p w14:paraId="0984D0CE">
                  <w:pPr>
                    <w:pStyle w:val="30"/>
                    <w:spacing w:before="24" w:after="24"/>
                  </w:pPr>
                </w:p>
              </w:tc>
              <w:tc>
                <w:tcPr>
                  <w:tcW w:w="884" w:type="pct"/>
                  <w:vMerge w:val="continue"/>
                  <w:tcBorders>
                    <w:tl2br w:val="nil"/>
                    <w:tr2bl w:val="nil"/>
                  </w:tcBorders>
                  <w:vAlign w:val="center"/>
                </w:tcPr>
                <w:p w14:paraId="474B14AD">
                  <w:pPr>
                    <w:pStyle w:val="30"/>
                    <w:spacing w:before="24" w:after="24"/>
                  </w:pPr>
                </w:p>
              </w:tc>
              <w:tc>
                <w:tcPr>
                  <w:tcW w:w="3224" w:type="pct"/>
                  <w:tcBorders>
                    <w:tl2br w:val="nil"/>
                    <w:tr2bl w:val="nil"/>
                  </w:tcBorders>
                  <w:vAlign w:val="center"/>
                </w:tcPr>
                <w:p w14:paraId="26650046">
                  <w:pPr>
                    <w:pStyle w:val="30"/>
                    <w:spacing w:before="24" w:after="24"/>
                    <w:jc w:val="both"/>
                  </w:pPr>
                  <w:r>
                    <w:t>3、病原微生物实验室废弃的病原体培养基、标本，菌种和毒种保存液及其容器；其他实验室及科室废弃的血液、血清、分泌物等标本和容器。</w:t>
                  </w:r>
                </w:p>
              </w:tc>
              <w:tc>
                <w:tcPr>
                  <w:tcW w:w="529" w:type="pct"/>
                  <w:tcBorders>
                    <w:tl2br w:val="nil"/>
                    <w:tr2bl w:val="nil"/>
                  </w:tcBorders>
                  <w:vAlign w:val="center"/>
                </w:tcPr>
                <w:p w14:paraId="0BC84597">
                  <w:pPr>
                    <w:pStyle w:val="30"/>
                    <w:spacing w:before="24" w:after="24"/>
                  </w:pPr>
                  <w:r>
                    <w:t>无</w:t>
                  </w:r>
                </w:p>
              </w:tc>
            </w:tr>
            <w:tr w14:paraId="75037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62" w:type="pct"/>
                  <w:vMerge w:val="continue"/>
                  <w:tcBorders>
                    <w:tl2br w:val="nil"/>
                    <w:tr2bl w:val="nil"/>
                  </w:tcBorders>
                  <w:vAlign w:val="center"/>
                </w:tcPr>
                <w:p w14:paraId="4B2064DA">
                  <w:pPr>
                    <w:pStyle w:val="30"/>
                    <w:spacing w:before="24" w:after="24"/>
                  </w:pPr>
                </w:p>
              </w:tc>
              <w:tc>
                <w:tcPr>
                  <w:tcW w:w="884" w:type="pct"/>
                  <w:vMerge w:val="continue"/>
                  <w:tcBorders>
                    <w:tl2br w:val="nil"/>
                    <w:tr2bl w:val="nil"/>
                  </w:tcBorders>
                  <w:vAlign w:val="center"/>
                </w:tcPr>
                <w:p w14:paraId="34C9E819">
                  <w:pPr>
                    <w:pStyle w:val="30"/>
                    <w:spacing w:before="24" w:after="24"/>
                  </w:pPr>
                </w:p>
              </w:tc>
              <w:tc>
                <w:tcPr>
                  <w:tcW w:w="3224" w:type="pct"/>
                  <w:tcBorders>
                    <w:tl2br w:val="nil"/>
                    <w:tr2bl w:val="nil"/>
                  </w:tcBorders>
                  <w:vAlign w:val="center"/>
                </w:tcPr>
                <w:p w14:paraId="40D9C5F2">
                  <w:pPr>
                    <w:pStyle w:val="30"/>
                    <w:spacing w:before="24" w:after="24"/>
                    <w:jc w:val="both"/>
                  </w:pPr>
                  <w:r>
                    <w:t>4、隔离传染病患者或者疑似传染病患者产生的废弃物。</w:t>
                  </w:r>
                </w:p>
              </w:tc>
              <w:tc>
                <w:tcPr>
                  <w:tcW w:w="529" w:type="pct"/>
                  <w:tcBorders>
                    <w:tl2br w:val="nil"/>
                    <w:tr2bl w:val="nil"/>
                  </w:tcBorders>
                  <w:vAlign w:val="center"/>
                </w:tcPr>
                <w:p w14:paraId="7D8BBDF6">
                  <w:pPr>
                    <w:pStyle w:val="30"/>
                    <w:spacing w:before="24" w:after="24"/>
                  </w:pPr>
                  <w:r>
                    <w:t>无</w:t>
                  </w:r>
                </w:p>
              </w:tc>
            </w:tr>
            <w:tr w14:paraId="261A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62" w:type="pct"/>
                  <w:vMerge w:val="restart"/>
                  <w:tcBorders>
                    <w:tl2br w:val="nil"/>
                    <w:tr2bl w:val="nil"/>
                  </w:tcBorders>
                  <w:vAlign w:val="center"/>
                </w:tcPr>
                <w:p w14:paraId="215A374A">
                  <w:pPr>
                    <w:pStyle w:val="30"/>
                    <w:spacing w:before="24" w:after="24"/>
                  </w:pPr>
                  <w:r>
                    <w:t>病理性废物</w:t>
                  </w:r>
                </w:p>
              </w:tc>
              <w:tc>
                <w:tcPr>
                  <w:tcW w:w="884" w:type="pct"/>
                  <w:vMerge w:val="restart"/>
                  <w:tcBorders>
                    <w:tl2br w:val="nil"/>
                    <w:tr2bl w:val="nil"/>
                  </w:tcBorders>
                  <w:vAlign w:val="center"/>
                </w:tcPr>
                <w:p w14:paraId="1D07E67B">
                  <w:pPr>
                    <w:pStyle w:val="30"/>
                    <w:spacing w:before="24" w:after="24"/>
                  </w:pPr>
                  <w:r>
                    <w:t>诊疗过程中产生的人体废弃物和医学实验动物尸体等</w:t>
                  </w:r>
                </w:p>
              </w:tc>
              <w:tc>
                <w:tcPr>
                  <w:tcW w:w="3224" w:type="pct"/>
                  <w:tcBorders>
                    <w:tl2br w:val="nil"/>
                    <w:tr2bl w:val="nil"/>
                  </w:tcBorders>
                  <w:vAlign w:val="center"/>
                </w:tcPr>
                <w:p w14:paraId="5321B2EE">
                  <w:pPr>
                    <w:pStyle w:val="30"/>
                    <w:spacing w:before="24" w:after="24"/>
                    <w:jc w:val="both"/>
                  </w:pPr>
                  <w:r>
                    <w:t>1、手术及其他医学服务过程中产生的废弃的人体组织、器官。</w:t>
                  </w:r>
                </w:p>
              </w:tc>
              <w:tc>
                <w:tcPr>
                  <w:tcW w:w="529" w:type="pct"/>
                  <w:tcBorders>
                    <w:tl2br w:val="nil"/>
                    <w:tr2bl w:val="nil"/>
                  </w:tcBorders>
                  <w:vAlign w:val="center"/>
                </w:tcPr>
                <w:p w14:paraId="4EDA41C8">
                  <w:pPr>
                    <w:spacing w:before="24" w:after="24"/>
                    <w:jc w:val="center"/>
                  </w:pPr>
                  <w:r>
                    <w:t>无</w:t>
                  </w:r>
                </w:p>
              </w:tc>
            </w:tr>
            <w:tr w14:paraId="0FD72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tcBorders>
                    <w:tl2br w:val="nil"/>
                    <w:tr2bl w:val="nil"/>
                  </w:tcBorders>
                  <w:vAlign w:val="center"/>
                </w:tcPr>
                <w:p w14:paraId="5F484BE7">
                  <w:pPr>
                    <w:pStyle w:val="30"/>
                    <w:spacing w:before="24" w:after="24"/>
                  </w:pPr>
                </w:p>
              </w:tc>
              <w:tc>
                <w:tcPr>
                  <w:tcW w:w="884" w:type="pct"/>
                  <w:vMerge w:val="continue"/>
                  <w:tcBorders>
                    <w:tl2br w:val="nil"/>
                    <w:tr2bl w:val="nil"/>
                  </w:tcBorders>
                  <w:vAlign w:val="center"/>
                </w:tcPr>
                <w:p w14:paraId="7394BFD2">
                  <w:pPr>
                    <w:pStyle w:val="30"/>
                    <w:spacing w:before="24" w:after="24"/>
                  </w:pPr>
                </w:p>
              </w:tc>
              <w:tc>
                <w:tcPr>
                  <w:tcW w:w="3224" w:type="pct"/>
                  <w:tcBorders>
                    <w:tl2br w:val="nil"/>
                    <w:tr2bl w:val="nil"/>
                  </w:tcBorders>
                  <w:vAlign w:val="center"/>
                </w:tcPr>
                <w:p w14:paraId="2C8FD280">
                  <w:pPr>
                    <w:pStyle w:val="30"/>
                    <w:spacing w:before="24" w:after="24"/>
                    <w:jc w:val="both"/>
                  </w:pPr>
                  <w:r>
                    <w:t>2、病理切片后废弃的人体组织、病理蜡块。</w:t>
                  </w:r>
                </w:p>
              </w:tc>
              <w:tc>
                <w:tcPr>
                  <w:tcW w:w="529" w:type="pct"/>
                  <w:tcBorders>
                    <w:tl2br w:val="nil"/>
                    <w:tr2bl w:val="nil"/>
                  </w:tcBorders>
                  <w:vAlign w:val="center"/>
                </w:tcPr>
                <w:p w14:paraId="248B520B">
                  <w:pPr>
                    <w:spacing w:before="24" w:after="24"/>
                    <w:jc w:val="center"/>
                  </w:pPr>
                  <w:r>
                    <w:rPr>
                      <w:rFonts w:hint="eastAsia"/>
                    </w:rPr>
                    <w:t>有</w:t>
                  </w:r>
                </w:p>
              </w:tc>
            </w:tr>
            <w:tr w14:paraId="1F34C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14:paraId="4BD1C69F">
                  <w:pPr>
                    <w:pStyle w:val="30"/>
                    <w:spacing w:before="24" w:after="24"/>
                  </w:pPr>
                </w:p>
              </w:tc>
              <w:tc>
                <w:tcPr>
                  <w:tcW w:w="884" w:type="pct"/>
                  <w:vMerge w:val="continue"/>
                  <w:tcBorders>
                    <w:tl2br w:val="nil"/>
                    <w:tr2bl w:val="nil"/>
                  </w:tcBorders>
                  <w:vAlign w:val="center"/>
                </w:tcPr>
                <w:p w14:paraId="49BD8E7D">
                  <w:pPr>
                    <w:pStyle w:val="30"/>
                    <w:spacing w:before="24" w:after="24"/>
                  </w:pPr>
                </w:p>
              </w:tc>
              <w:tc>
                <w:tcPr>
                  <w:tcW w:w="3224" w:type="pct"/>
                  <w:tcBorders>
                    <w:tl2br w:val="nil"/>
                    <w:tr2bl w:val="nil"/>
                  </w:tcBorders>
                  <w:vAlign w:val="center"/>
                </w:tcPr>
                <w:p w14:paraId="08102B41">
                  <w:pPr>
                    <w:pStyle w:val="30"/>
                    <w:spacing w:before="24" w:after="24"/>
                    <w:jc w:val="both"/>
                  </w:pPr>
                  <w:r>
                    <w:t>3、废弃的医学实验动物的组织和尸体。</w:t>
                  </w:r>
                </w:p>
              </w:tc>
              <w:tc>
                <w:tcPr>
                  <w:tcW w:w="529" w:type="pct"/>
                  <w:tcBorders>
                    <w:tl2br w:val="nil"/>
                    <w:tr2bl w:val="nil"/>
                  </w:tcBorders>
                  <w:vAlign w:val="center"/>
                </w:tcPr>
                <w:p w14:paraId="6F5807EB">
                  <w:pPr>
                    <w:spacing w:before="24" w:after="24"/>
                    <w:jc w:val="center"/>
                  </w:pPr>
                  <w:r>
                    <w:t>无</w:t>
                  </w:r>
                </w:p>
              </w:tc>
            </w:tr>
            <w:tr w14:paraId="673D5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14:paraId="460813ED">
                  <w:pPr>
                    <w:pStyle w:val="30"/>
                    <w:spacing w:before="24" w:after="24"/>
                  </w:pPr>
                </w:p>
              </w:tc>
              <w:tc>
                <w:tcPr>
                  <w:tcW w:w="884" w:type="pct"/>
                  <w:vMerge w:val="continue"/>
                  <w:tcBorders>
                    <w:tl2br w:val="nil"/>
                    <w:tr2bl w:val="nil"/>
                  </w:tcBorders>
                  <w:vAlign w:val="center"/>
                </w:tcPr>
                <w:p w14:paraId="3EF13DD2">
                  <w:pPr>
                    <w:pStyle w:val="30"/>
                    <w:spacing w:before="24" w:after="24"/>
                  </w:pPr>
                </w:p>
              </w:tc>
              <w:tc>
                <w:tcPr>
                  <w:tcW w:w="3224" w:type="pct"/>
                  <w:tcBorders>
                    <w:tl2br w:val="nil"/>
                    <w:tr2bl w:val="nil"/>
                  </w:tcBorders>
                  <w:vAlign w:val="center"/>
                </w:tcPr>
                <w:p w14:paraId="47DD6925">
                  <w:pPr>
                    <w:pStyle w:val="30"/>
                    <w:spacing w:before="24" w:after="24"/>
                    <w:jc w:val="both"/>
                  </w:pPr>
                  <w:r>
                    <w:t>4、16周胎龄以下或重量不足500克的胚胎组织等。</w:t>
                  </w:r>
                </w:p>
              </w:tc>
              <w:tc>
                <w:tcPr>
                  <w:tcW w:w="529" w:type="pct"/>
                  <w:tcBorders>
                    <w:tl2br w:val="nil"/>
                    <w:tr2bl w:val="nil"/>
                  </w:tcBorders>
                  <w:vAlign w:val="center"/>
                </w:tcPr>
                <w:p w14:paraId="141791B4">
                  <w:pPr>
                    <w:spacing w:before="24" w:after="24"/>
                    <w:jc w:val="center"/>
                  </w:pPr>
                  <w:r>
                    <w:t>无</w:t>
                  </w:r>
                </w:p>
              </w:tc>
            </w:tr>
            <w:tr w14:paraId="12E85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362" w:type="pct"/>
                  <w:vMerge w:val="continue"/>
                  <w:tcBorders>
                    <w:tl2br w:val="nil"/>
                    <w:tr2bl w:val="nil"/>
                  </w:tcBorders>
                  <w:vAlign w:val="center"/>
                </w:tcPr>
                <w:p w14:paraId="365A3A95">
                  <w:pPr>
                    <w:pStyle w:val="30"/>
                    <w:spacing w:before="24" w:after="24"/>
                  </w:pPr>
                </w:p>
              </w:tc>
              <w:tc>
                <w:tcPr>
                  <w:tcW w:w="884" w:type="pct"/>
                  <w:vMerge w:val="continue"/>
                  <w:tcBorders>
                    <w:tl2br w:val="nil"/>
                    <w:tr2bl w:val="nil"/>
                  </w:tcBorders>
                  <w:vAlign w:val="center"/>
                </w:tcPr>
                <w:p w14:paraId="3E863315">
                  <w:pPr>
                    <w:pStyle w:val="30"/>
                    <w:spacing w:before="24" w:after="24"/>
                  </w:pPr>
                </w:p>
              </w:tc>
              <w:tc>
                <w:tcPr>
                  <w:tcW w:w="3224" w:type="pct"/>
                  <w:tcBorders>
                    <w:tl2br w:val="nil"/>
                    <w:tr2bl w:val="nil"/>
                  </w:tcBorders>
                  <w:vAlign w:val="center"/>
                </w:tcPr>
                <w:p w14:paraId="3D627503">
                  <w:pPr>
                    <w:pStyle w:val="30"/>
                    <w:spacing w:before="24" w:after="24"/>
                    <w:jc w:val="both"/>
                  </w:pPr>
                  <w:r>
                    <w:t>5、确诊、疑似传染病或携带传染病病原体的产妇的胎盘。</w:t>
                  </w:r>
                </w:p>
              </w:tc>
              <w:tc>
                <w:tcPr>
                  <w:tcW w:w="529" w:type="pct"/>
                  <w:tcBorders>
                    <w:tl2br w:val="nil"/>
                    <w:tr2bl w:val="nil"/>
                  </w:tcBorders>
                  <w:vAlign w:val="center"/>
                </w:tcPr>
                <w:p w14:paraId="052FB967">
                  <w:pPr>
                    <w:spacing w:before="24" w:after="24"/>
                    <w:jc w:val="center"/>
                  </w:pPr>
                  <w:r>
                    <w:t>无</w:t>
                  </w:r>
                </w:p>
              </w:tc>
            </w:tr>
            <w:tr w14:paraId="49CCA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2" w:type="pct"/>
                  <w:vMerge w:val="restart"/>
                  <w:tcBorders>
                    <w:tl2br w:val="nil"/>
                    <w:tr2bl w:val="nil"/>
                  </w:tcBorders>
                  <w:vAlign w:val="center"/>
                </w:tcPr>
                <w:p w14:paraId="769A9CB2">
                  <w:pPr>
                    <w:pStyle w:val="30"/>
                    <w:spacing w:before="24" w:after="24"/>
                  </w:pPr>
                  <w:r>
                    <w:t>损伤性废物</w:t>
                  </w:r>
                </w:p>
              </w:tc>
              <w:tc>
                <w:tcPr>
                  <w:tcW w:w="884" w:type="pct"/>
                  <w:vMerge w:val="restart"/>
                  <w:tcBorders>
                    <w:tl2br w:val="nil"/>
                    <w:tr2bl w:val="nil"/>
                  </w:tcBorders>
                  <w:vAlign w:val="center"/>
                </w:tcPr>
                <w:p w14:paraId="247A59B1">
                  <w:pPr>
                    <w:pStyle w:val="30"/>
                    <w:spacing w:before="24" w:after="24"/>
                  </w:pPr>
                  <w:r>
                    <w:t>能够刺伤或者割伤人体的废弃的医用锐器</w:t>
                  </w:r>
                </w:p>
              </w:tc>
              <w:tc>
                <w:tcPr>
                  <w:tcW w:w="3224" w:type="pct"/>
                  <w:tcBorders>
                    <w:tl2br w:val="nil"/>
                    <w:tr2bl w:val="nil"/>
                  </w:tcBorders>
                  <w:vAlign w:val="center"/>
                </w:tcPr>
                <w:p w14:paraId="04CFAD0D">
                  <w:pPr>
                    <w:pStyle w:val="30"/>
                    <w:spacing w:before="24" w:after="24"/>
                    <w:jc w:val="both"/>
                  </w:pPr>
                  <w:r>
                    <w:t>1、废弃的金属类锐器，如针头、缝合针、针灸针、探针、穿刺针、解剖刀、手术刀、手术锯、备皮刀、钢钉和导丝等。</w:t>
                  </w:r>
                </w:p>
              </w:tc>
              <w:tc>
                <w:tcPr>
                  <w:tcW w:w="529" w:type="pct"/>
                  <w:tcBorders>
                    <w:tl2br w:val="nil"/>
                    <w:tr2bl w:val="nil"/>
                  </w:tcBorders>
                  <w:vAlign w:val="center"/>
                </w:tcPr>
                <w:p w14:paraId="2E2E85B8">
                  <w:pPr>
                    <w:pStyle w:val="30"/>
                    <w:spacing w:before="24" w:after="24"/>
                  </w:pPr>
                  <w:r>
                    <w:t>有</w:t>
                  </w:r>
                </w:p>
              </w:tc>
            </w:tr>
            <w:tr w14:paraId="03433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62" w:type="pct"/>
                  <w:vMerge w:val="continue"/>
                  <w:tcBorders>
                    <w:tl2br w:val="nil"/>
                    <w:tr2bl w:val="nil"/>
                  </w:tcBorders>
                  <w:vAlign w:val="center"/>
                </w:tcPr>
                <w:p w14:paraId="4C3A0F67">
                  <w:pPr>
                    <w:pStyle w:val="30"/>
                    <w:spacing w:before="24" w:after="24"/>
                  </w:pPr>
                </w:p>
              </w:tc>
              <w:tc>
                <w:tcPr>
                  <w:tcW w:w="884" w:type="pct"/>
                  <w:vMerge w:val="continue"/>
                  <w:tcBorders>
                    <w:tl2br w:val="nil"/>
                    <w:tr2bl w:val="nil"/>
                  </w:tcBorders>
                  <w:vAlign w:val="center"/>
                </w:tcPr>
                <w:p w14:paraId="6A6DD13C">
                  <w:pPr>
                    <w:pStyle w:val="30"/>
                    <w:spacing w:before="24" w:after="24"/>
                  </w:pPr>
                </w:p>
              </w:tc>
              <w:tc>
                <w:tcPr>
                  <w:tcW w:w="3224" w:type="pct"/>
                  <w:tcBorders>
                    <w:tl2br w:val="nil"/>
                    <w:tr2bl w:val="nil"/>
                  </w:tcBorders>
                  <w:vAlign w:val="center"/>
                </w:tcPr>
                <w:p w14:paraId="1200DD71">
                  <w:pPr>
                    <w:pStyle w:val="30"/>
                    <w:spacing w:before="24" w:after="24"/>
                    <w:jc w:val="both"/>
                  </w:pPr>
                  <w:r>
                    <w:t>2、废弃的玻璃类锐器，如盖玻片、载玻片、玻璃安瓿等。</w:t>
                  </w:r>
                </w:p>
              </w:tc>
              <w:tc>
                <w:tcPr>
                  <w:tcW w:w="529" w:type="pct"/>
                  <w:tcBorders>
                    <w:tl2br w:val="nil"/>
                    <w:tr2bl w:val="nil"/>
                  </w:tcBorders>
                  <w:vAlign w:val="center"/>
                </w:tcPr>
                <w:p w14:paraId="463BE814">
                  <w:pPr>
                    <w:pStyle w:val="30"/>
                    <w:spacing w:before="24" w:after="24"/>
                  </w:pPr>
                  <w:r>
                    <w:t>有</w:t>
                  </w:r>
                </w:p>
              </w:tc>
            </w:tr>
            <w:tr w14:paraId="48E4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62" w:type="pct"/>
                  <w:vMerge w:val="continue"/>
                  <w:tcBorders>
                    <w:tl2br w:val="nil"/>
                    <w:tr2bl w:val="nil"/>
                  </w:tcBorders>
                  <w:vAlign w:val="center"/>
                </w:tcPr>
                <w:p w14:paraId="43D51DE6">
                  <w:pPr>
                    <w:pStyle w:val="30"/>
                    <w:spacing w:before="24" w:after="24"/>
                  </w:pPr>
                </w:p>
              </w:tc>
              <w:tc>
                <w:tcPr>
                  <w:tcW w:w="884" w:type="pct"/>
                  <w:vMerge w:val="continue"/>
                  <w:tcBorders>
                    <w:tl2br w:val="nil"/>
                    <w:tr2bl w:val="nil"/>
                  </w:tcBorders>
                  <w:vAlign w:val="center"/>
                </w:tcPr>
                <w:p w14:paraId="61E8E3E9">
                  <w:pPr>
                    <w:pStyle w:val="30"/>
                    <w:spacing w:before="24" w:after="24"/>
                  </w:pPr>
                </w:p>
              </w:tc>
              <w:tc>
                <w:tcPr>
                  <w:tcW w:w="3224" w:type="pct"/>
                  <w:tcBorders>
                    <w:tl2br w:val="nil"/>
                    <w:tr2bl w:val="nil"/>
                  </w:tcBorders>
                  <w:vAlign w:val="center"/>
                </w:tcPr>
                <w:p w14:paraId="3E7C4CF1">
                  <w:pPr>
                    <w:pStyle w:val="30"/>
                    <w:spacing w:before="24" w:after="24"/>
                    <w:jc w:val="both"/>
                  </w:pPr>
                  <w:r>
                    <w:t>3、废弃的其他材质类锐器。</w:t>
                  </w:r>
                </w:p>
              </w:tc>
              <w:tc>
                <w:tcPr>
                  <w:tcW w:w="529" w:type="pct"/>
                  <w:tcBorders>
                    <w:tl2br w:val="nil"/>
                    <w:tr2bl w:val="nil"/>
                  </w:tcBorders>
                  <w:vAlign w:val="center"/>
                </w:tcPr>
                <w:p w14:paraId="41A09796">
                  <w:pPr>
                    <w:pStyle w:val="30"/>
                    <w:spacing w:before="24" w:after="24"/>
                  </w:pPr>
                  <w:r>
                    <w:t>有</w:t>
                  </w:r>
                </w:p>
              </w:tc>
            </w:tr>
            <w:tr w14:paraId="3BC39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62" w:type="pct"/>
                  <w:vMerge w:val="restart"/>
                  <w:tcBorders>
                    <w:tl2br w:val="nil"/>
                    <w:tr2bl w:val="nil"/>
                  </w:tcBorders>
                  <w:vAlign w:val="center"/>
                </w:tcPr>
                <w:p w14:paraId="74BC4444">
                  <w:pPr>
                    <w:pStyle w:val="30"/>
                    <w:spacing w:before="24" w:after="24"/>
                  </w:pPr>
                  <w:r>
                    <w:t>药物性废物</w:t>
                  </w:r>
                </w:p>
              </w:tc>
              <w:tc>
                <w:tcPr>
                  <w:tcW w:w="884" w:type="pct"/>
                  <w:vMerge w:val="restart"/>
                  <w:tcBorders>
                    <w:tl2br w:val="nil"/>
                    <w:tr2bl w:val="nil"/>
                  </w:tcBorders>
                  <w:vAlign w:val="center"/>
                </w:tcPr>
                <w:p w14:paraId="7593C7E8">
                  <w:pPr>
                    <w:pStyle w:val="30"/>
                    <w:spacing w:before="24" w:after="24"/>
                  </w:pPr>
                  <w:r>
                    <w:t>过期、淘汰、变质或者被污染的废弃的药品</w:t>
                  </w:r>
                </w:p>
              </w:tc>
              <w:tc>
                <w:tcPr>
                  <w:tcW w:w="3224" w:type="pct"/>
                  <w:tcBorders>
                    <w:tl2br w:val="nil"/>
                    <w:tr2bl w:val="nil"/>
                  </w:tcBorders>
                  <w:vAlign w:val="center"/>
                </w:tcPr>
                <w:p w14:paraId="4168FC01">
                  <w:pPr>
                    <w:pStyle w:val="30"/>
                    <w:spacing w:before="24" w:after="24"/>
                    <w:jc w:val="both"/>
                  </w:pPr>
                  <w:r>
                    <w:t>1、废弃的一般性药物。</w:t>
                  </w:r>
                </w:p>
              </w:tc>
              <w:tc>
                <w:tcPr>
                  <w:tcW w:w="529" w:type="pct"/>
                  <w:tcBorders>
                    <w:tl2br w:val="nil"/>
                    <w:tr2bl w:val="nil"/>
                  </w:tcBorders>
                  <w:vAlign w:val="center"/>
                </w:tcPr>
                <w:p w14:paraId="73987B6A">
                  <w:pPr>
                    <w:spacing w:before="24" w:after="24"/>
                    <w:jc w:val="center"/>
                  </w:pPr>
                  <w:r>
                    <w:t>有</w:t>
                  </w:r>
                </w:p>
              </w:tc>
            </w:tr>
            <w:tr w14:paraId="09C08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tcBorders>
                    <w:tl2br w:val="nil"/>
                    <w:tr2bl w:val="nil"/>
                  </w:tcBorders>
                  <w:vAlign w:val="center"/>
                </w:tcPr>
                <w:p w14:paraId="594C5E58">
                  <w:pPr>
                    <w:pStyle w:val="30"/>
                    <w:spacing w:before="24" w:after="24"/>
                  </w:pPr>
                </w:p>
              </w:tc>
              <w:tc>
                <w:tcPr>
                  <w:tcW w:w="884" w:type="pct"/>
                  <w:vMerge w:val="continue"/>
                  <w:tcBorders>
                    <w:tl2br w:val="nil"/>
                    <w:tr2bl w:val="nil"/>
                  </w:tcBorders>
                  <w:vAlign w:val="center"/>
                </w:tcPr>
                <w:p w14:paraId="61CC2AF0">
                  <w:pPr>
                    <w:pStyle w:val="30"/>
                    <w:spacing w:before="24" w:after="24"/>
                  </w:pPr>
                </w:p>
              </w:tc>
              <w:tc>
                <w:tcPr>
                  <w:tcW w:w="3224" w:type="pct"/>
                  <w:tcBorders>
                    <w:tl2br w:val="nil"/>
                    <w:tr2bl w:val="nil"/>
                  </w:tcBorders>
                  <w:vAlign w:val="center"/>
                </w:tcPr>
                <w:p w14:paraId="70981246">
                  <w:pPr>
                    <w:pStyle w:val="30"/>
                    <w:spacing w:before="24" w:after="24"/>
                    <w:jc w:val="both"/>
                  </w:pPr>
                  <w:r>
                    <w:t>2、废弃的细胞毒性药物和遗传毒性药物。</w:t>
                  </w:r>
                </w:p>
              </w:tc>
              <w:tc>
                <w:tcPr>
                  <w:tcW w:w="529" w:type="pct"/>
                  <w:tcBorders>
                    <w:tl2br w:val="nil"/>
                    <w:tr2bl w:val="nil"/>
                  </w:tcBorders>
                  <w:vAlign w:val="center"/>
                </w:tcPr>
                <w:p w14:paraId="15020683">
                  <w:pPr>
                    <w:pStyle w:val="30"/>
                    <w:spacing w:before="24" w:after="24"/>
                  </w:pPr>
                  <w:r>
                    <w:t>无</w:t>
                  </w:r>
                </w:p>
              </w:tc>
            </w:tr>
            <w:tr w14:paraId="382C2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pct"/>
                  <w:vMerge w:val="continue"/>
                  <w:tcBorders>
                    <w:tl2br w:val="nil"/>
                    <w:tr2bl w:val="nil"/>
                  </w:tcBorders>
                  <w:vAlign w:val="center"/>
                </w:tcPr>
                <w:p w14:paraId="39CCF0B6">
                  <w:pPr>
                    <w:pStyle w:val="30"/>
                    <w:spacing w:before="24" w:after="24"/>
                  </w:pPr>
                </w:p>
              </w:tc>
              <w:tc>
                <w:tcPr>
                  <w:tcW w:w="884" w:type="pct"/>
                  <w:vMerge w:val="continue"/>
                  <w:tcBorders>
                    <w:tl2br w:val="nil"/>
                    <w:tr2bl w:val="nil"/>
                  </w:tcBorders>
                  <w:vAlign w:val="center"/>
                </w:tcPr>
                <w:p w14:paraId="063B3EBA">
                  <w:pPr>
                    <w:pStyle w:val="30"/>
                    <w:spacing w:before="24" w:after="24"/>
                  </w:pPr>
                </w:p>
              </w:tc>
              <w:tc>
                <w:tcPr>
                  <w:tcW w:w="3224" w:type="pct"/>
                  <w:tcBorders>
                    <w:tl2br w:val="nil"/>
                    <w:tr2bl w:val="nil"/>
                  </w:tcBorders>
                  <w:vAlign w:val="center"/>
                </w:tcPr>
                <w:p w14:paraId="29E2196C">
                  <w:pPr>
                    <w:pStyle w:val="30"/>
                    <w:spacing w:before="24" w:after="24"/>
                    <w:jc w:val="both"/>
                  </w:pPr>
                  <w:r>
                    <w:t>3、废弃的疫苗及血液制品。</w:t>
                  </w:r>
                </w:p>
              </w:tc>
              <w:tc>
                <w:tcPr>
                  <w:tcW w:w="529" w:type="pct"/>
                  <w:tcBorders>
                    <w:tl2br w:val="nil"/>
                    <w:tr2bl w:val="nil"/>
                  </w:tcBorders>
                  <w:vAlign w:val="center"/>
                </w:tcPr>
                <w:p w14:paraId="61F61262">
                  <w:pPr>
                    <w:pStyle w:val="30"/>
                    <w:spacing w:before="24" w:after="24"/>
                  </w:pPr>
                  <w:r>
                    <w:t>无</w:t>
                  </w:r>
                </w:p>
              </w:tc>
            </w:tr>
            <w:tr w14:paraId="78855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362" w:type="pct"/>
                  <w:tcBorders>
                    <w:tl2br w:val="nil"/>
                    <w:tr2bl w:val="nil"/>
                  </w:tcBorders>
                  <w:vAlign w:val="center"/>
                </w:tcPr>
                <w:p w14:paraId="108AA9DA">
                  <w:pPr>
                    <w:pStyle w:val="30"/>
                    <w:spacing w:before="24" w:after="24"/>
                  </w:pPr>
                  <w:r>
                    <w:t>化学性废物</w:t>
                  </w:r>
                </w:p>
              </w:tc>
              <w:tc>
                <w:tcPr>
                  <w:tcW w:w="884" w:type="pct"/>
                  <w:tcBorders>
                    <w:tl2br w:val="nil"/>
                    <w:tr2bl w:val="nil"/>
                  </w:tcBorders>
                  <w:vAlign w:val="center"/>
                </w:tcPr>
                <w:p w14:paraId="32A2CA57">
                  <w:pPr>
                    <w:pStyle w:val="30"/>
                    <w:spacing w:before="24" w:after="24"/>
                  </w:pPr>
                  <w:r>
                    <w:t>具有毒性、腐蚀性、易燃易爆性的废弃的化学物品</w:t>
                  </w:r>
                </w:p>
              </w:tc>
              <w:tc>
                <w:tcPr>
                  <w:tcW w:w="3224" w:type="pct"/>
                  <w:tcBorders>
                    <w:tl2br w:val="nil"/>
                    <w:tr2bl w:val="nil"/>
                  </w:tcBorders>
                  <w:vAlign w:val="center"/>
                </w:tcPr>
                <w:p w14:paraId="2A3943A6">
                  <w:pPr>
                    <w:pStyle w:val="30"/>
                    <w:spacing w:before="24" w:after="24"/>
                    <w:jc w:val="both"/>
                  </w:pPr>
                  <w:r>
                    <w:t>列入《国家危险废物名录》中的废弃危险化学品，如甲醛、二甲苯等，非特定行业来源的危险废物，如含汞血压计、含汞体温计、废弃的牙科汞合金材料及其残余物等。</w:t>
                  </w:r>
                </w:p>
              </w:tc>
              <w:tc>
                <w:tcPr>
                  <w:tcW w:w="529" w:type="pct"/>
                  <w:tcBorders>
                    <w:tl2br w:val="nil"/>
                    <w:tr2bl w:val="nil"/>
                  </w:tcBorders>
                  <w:vAlign w:val="center"/>
                </w:tcPr>
                <w:p w14:paraId="71E4FB30">
                  <w:pPr>
                    <w:pStyle w:val="30"/>
                    <w:spacing w:before="24" w:after="24"/>
                  </w:pPr>
                  <w:r>
                    <w:t>无</w:t>
                  </w:r>
                </w:p>
              </w:tc>
            </w:tr>
            <w:tr w14:paraId="1C358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l2br w:val="nil"/>
                    <w:tr2bl w:val="nil"/>
                  </w:tcBorders>
                  <w:vAlign w:val="center"/>
                </w:tcPr>
                <w:p w14:paraId="2D5B2209">
                  <w:pPr>
                    <w:pStyle w:val="30"/>
                    <w:spacing w:before="24" w:after="24"/>
                    <w:jc w:val="both"/>
                  </w:pPr>
                  <w:r>
                    <w:rPr>
                      <w:b/>
                      <w:bCs/>
                    </w:rPr>
                    <w:t>注：根据</w:t>
                  </w:r>
                  <w:r>
                    <w:rPr>
                      <w:rFonts w:hint="eastAsia"/>
                      <w:b/>
                      <w:bCs/>
                    </w:rPr>
                    <w:t>本项目</w:t>
                  </w:r>
                  <w:r>
                    <w:rPr>
                      <w:b/>
                      <w:bCs/>
                    </w:rPr>
                    <w:t>实际运行情况和科室设置情况，无药物性废物产生，临期药品（一般性药物）均由供应方回收，疫苗统一由疾控中心回收，无细胞毒性药物和遗传毒性药物售卖，不使用血液制品。</w:t>
                  </w:r>
                </w:p>
              </w:tc>
            </w:tr>
          </w:tbl>
          <w:p w14:paraId="4D8FFB8D">
            <w:pPr>
              <w:spacing w:line="360" w:lineRule="auto"/>
              <w:ind w:firstLine="482" w:firstLineChars="200"/>
              <w:rPr>
                <w:b/>
                <w:bCs/>
                <w:sz w:val="24"/>
              </w:rPr>
            </w:pPr>
            <w:r>
              <w:rPr>
                <w:b/>
                <w:bCs/>
                <w:sz w:val="24"/>
              </w:rPr>
              <w:t>②污泥（HW01）</w:t>
            </w:r>
          </w:p>
          <w:p w14:paraId="27B226C4">
            <w:pPr>
              <w:spacing w:line="360" w:lineRule="auto"/>
              <w:ind w:firstLine="480" w:firstLineChars="200"/>
              <w:rPr>
                <w:b/>
                <w:bCs/>
                <w:sz w:val="24"/>
              </w:rPr>
            </w:pPr>
            <w:r>
              <w:rPr>
                <w:sz w:val="24"/>
              </w:rPr>
              <w:t>污泥来自</w:t>
            </w:r>
            <w:r>
              <w:rPr>
                <w:rFonts w:hint="eastAsia"/>
                <w:sz w:val="24"/>
              </w:rPr>
              <w:t>本项目</w:t>
            </w:r>
            <w:r>
              <w:rPr>
                <w:sz w:val="24"/>
              </w:rPr>
              <w:t>污水处理系统（化粪池、污水处理站等），污水处理系统污泥产生量</w:t>
            </w:r>
            <w:r>
              <w:rPr>
                <w:rFonts w:hint="eastAsia"/>
                <w:sz w:val="24"/>
              </w:rPr>
              <w:t>约2.0t/a</w:t>
            </w:r>
            <w:r>
              <w:rPr>
                <w:sz w:val="24"/>
              </w:rPr>
              <w:t>，列入</w:t>
            </w:r>
            <w:r>
              <w:rPr>
                <w:kern w:val="0"/>
                <w:sz w:val="24"/>
              </w:rPr>
              <w:t>《医疗废物分类目录》（卫医发</w:t>
            </w:r>
            <w:r>
              <w:rPr>
                <w:sz w:val="24"/>
              </w:rPr>
              <w:t>〔</w:t>
            </w:r>
            <w:r>
              <w:rPr>
                <w:kern w:val="0"/>
                <w:sz w:val="24"/>
              </w:rPr>
              <w:t>2003</w:t>
            </w:r>
            <w:r>
              <w:rPr>
                <w:sz w:val="24"/>
              </w:rPr>
              <w:t>〕</w:t>
            </w:r>
            <w:r>
              <w:rPr>
                <w:kern w:val="0"/>
                <w:sz w:val="24"/>
              </w:rPr>
              <w:t>287号）中“感染性废物/其他被病人血液、体液、排泄物污染的物品”，</w:t>
            </w:r>
            <w:r>
              <w:rPr>
                <w:sz w:val="24"/>
              </w:rPr>
              <w:t>属于《国家危险废物名录（2021年版）》中HW01医疗废物的“841-001-01感染性废物”。</w:t>
            </w:r>
            <w:r>
              <w:rPr>
                <w:rFonts w:hint="eastAsia"/>
                <w:sz w:val="24"/>
              </w:rPr>
              <w:t>污泥</w:t>
            </w:r>
            <w:r>
              <w:rPr>
                <w:sz w:val="24"/>
              </w:rPr>
              <w:t>经消毒、脱水处理后，交由有资质单位处理。</w:t>
            </w:r>
          </w:p>
          <w:p w14:paraId="7885FF2C">
            <w:pPr>
              <w:spacing w:line="360" w:lineRule="auto"/>
              <w:ind w:firstLine="482" w:firstLineChars="200"/>
              <w:rPr>
                <w:b/>
                <w:bCs/>
                <w:sz w:val="24"/>
              </w:rPr>
            </w:pPr>
            <w:r>
              <w:rPr>
                <w:b/>
                <w:bCs/>
                <w:sz w:val="24"/>
              </w:rPr>
              <w:t>③废紫外灯管（HW29）</w:t>
            </w:r>
          </w:p>
          <w:p w14:paraId="479B303F">
            <w:pPr>
              <w:spacing w:line="360" w:lineRule="auto"/>
              <w:ind w:firstLine="480" w:firstLineChars="200"/>
              <w:rPr>
                <w:sz w:val="24"/>
              </w:rPr>
            </w:pPr>
            <w:r>
              <w:rPr>
                <w:rFonts w:hint="eastAsia"/>
                <w:bCs/>
                <w:sz w:val="24"/>
              </w:rPr>
              <w:t>本项目</w:t>
            </w:r>
            <w:r>
              <w:rPr>
                <w:bCs/>
                <w:sz w:val="24"/>
              </w:rPr>
              <w:t>护理部、配药室</w:t>
            </w:r>
            <w:r>
              <w:rPr>
                <w:rFonts w:hint="eastAsia"/>
                <w:bCs/>
                <w:sz w:val="24"/>
              </w:rPr>
              <w:t>、医疗废物暂存间</w:t>
            </w:r>
            <w:r>
              <w:rPr>
                <w:bCs/>
                <w:sz w:val="24"/>
              </w:rPr>
              <w:t>等区域设置有紫外线消毒，为保障消毒效果，院区将不合格或报废的紫外线灯管进行更换，产生量为0.05t/a</w:t>
            </w:r>
            <w:r>
              <w:rPr>
                <w:sz w:val="24"/>
              </w:rPr>
              <w:t>。紫外线灯内含汞，属于《国家危险废物名录（2021年版）》中</w:t>
            </w:r>
            <w:r>
              <w:rPr>
                <w:rFonts w:hint="eastAsia"/>
                <w:sz w:val="24"/>
              </w:rPr>
              <w:t>“</w:t>
            </w:r>
            <w:r>
              <w:rPr>
                <w:sz w:val="24"/>
              </w:rPr>
              <w:t>HW29含汞废物</w:t>
            </w:r>
            <w:r>
              <w:rPr>
                <w:rFonts w:hint="eastAsia"/>
                <w:sz w:val="24"/>
              </w:rPr>
              <w:t>”</w:t>
            </w:r>
            <w:r>
              <w:rPr>
                <w:sz w:val="24"/>
              </w:rPr>
              <w:t>中</w:t>
            </w:r>
            <w:r>
              <w:rPr>
                <w:rFonts w:hint="eastAsia"/>
                <w:sz w:val="24"/>
              </w:rPr>
              <w:t>“</w:t>
            </w:r>
            <w:r>
              <w:rPr>
                <w:sz w:val="24"/>
              </w:rPr>
              <w:t>非特定行业/900-023-29/生产、销售及使用过程中产生的废含汞荧光灯管及其他废含汞电光源，及废弃含汞电光源处理处置过程中产生的废荧光粉、废活性炭和废水处理污泥</w:t>
            </w:r>
            <w:r>
              <w:rPr>
                <w:rFonts w:hint="eastAsia"/>
                <w:sz w:val="24"/>
              </w:rPr>
              <w:t>”</w:t>
            </w:r>
            <w:r>
              <w:rPr>
                <w:sz w:val="24"/>
              </w:rPr>
              <w:t>。更换下的废紫外灯作为危险废物交由有资质单位处置。</w:t>
            </w:r>
          </w:p>
          <w:p w14:paraId="2796C511">
            <w:pPr>
              <w:spacing w:line="360" w:lineRule="auto"/>
              <w:ind w:firstLine="482" w:firstLineChars="200"/>
              <w:rPr>
                <w:b/>
                <w:bCs/>
                <w:sz w:val="24"/>
              </w:rPr>
            </w:pPr>
            <w:r>
              <w:rPr>
                <w:rFonts w:hint="eastAsia"/>
                <w:b/>
                <w:bCs/>
                <w:sz w:val="24"/>
              </w:rPr>
              <w:t>④</w:t>
            </w:r>
            <w:r>
              <w:rPr>
                <w:b/>
                <w:bCs/>
                <w:sz w:val="24"/>
              </w:rPr>
              <w:t>废活性炭</w:t>
            </w:r>
          </w:p>
          <w:p w14:paraId="5E12F165">
            <w:pPr>
              <w:spacing w:line="360" w:lineRule="auto"/>
              <w:ind w:firstLine="480" w:firstLineChars="200"/>
              <w:rPr>
                <w:sz w:val="24"/>
              </w:rPr>
            </w:pPr>
            <w:r>
              <w:rPr>
                <w:sz w:val="24"/>
              </w:rPr>
              <w:t>污水站恶臭处理过程产生，产生量约0.2t/a。收集后暂存</w:t>
            </w:r>
            <w:r>
              <w:rPr>
                <w:rFonts w:hint="eastAsia"/>
                <w:sz w:val="24"/>
              </w:rPr>
              <w:t>医疗废物暂存间</w:t>
            </w:r>
            <w:r>
              <w:rPr>
                <w:sz w:val="24"/>
              </w:rPr>
              <w:t>，及时交有相应危废资质的单位处置。</w:t>
            </w:r>
          </w:p>
          <w:p w14:paraId="17C38FD4">
            <w:pPr>
              <w:spacing w:line="360" w:lineRule="auto"/>
              <w:ind w:firstLine="480" w:firstLineChars="200"/>
              <w:rPr>
                <w:sz w:val="24"/>
              </w:rPr>
            </w:pPr>
            <w:r>
              <w:rPr>
                <w:sz w:val="24"/>
              </w:rPr>
              <w:t xml:space="preserve">综上所述，项目固体废物污染源强及处置措施见下表： </w:t>
            </w:r>
          </w:p>
          <w:p w14:paraId="58C707E3">
            <w:pPr>
              <w:spacing w:line="360" w:lineRule="auto"/>
              <w:jc w:val="center"/>
              <w:rPr>
                <w:b/>
                <w:bCs/>
                <w:kern w:val="0"/>
                <w:sz w:val="24"/>
              </w:rPr>
            </w:pPr>
          </w:p>
          <w:p w14:paraId="3B253165">
            <w:pPr>
              <w:spacing w:line="360" w:lineRule="auto"/>
              <w:jc w:val="center"/>
              <w:rPr>
                <w:b/>
                <w:bCs/>
                <w:kern w:val="0"/>
                <w:sz w:val="24"/>
              </w:rPr>
            </w:pPr>
          </w:p>
          <w:p w14:paraId="44716D37">
            <w:pPr>
              <w:spacing w:line="360" w:lineRule="auto"/>
              <w:jc w:val="center"/>
              <w:rPr>
                <w:b/>
                <w:bCs/>
                <w:kern w:val="0"/>
                <w:sz w:val="24"/>
              </w:rPr>
            </w:pPr>
            <w:r>
              <w:rPr>
                <w:b/>
                <w:bCs/>
                <w:kern w:val="0"/>
                <w:sz w:val="24"/>
              </w:rPr>
              <w:t>表4-1</w:t>
            </w:r>
            <w:r>
              <w:rPr>
                <w:rFonts w:hint="eastAsia"/>
                <w:b/>
                <w:bCs/>
                <w:kern w:val="0"/>
                <w:sz w:val="24"/>
                <w:lang w:val="en-US" w:eastAsia="zh-CN"/>
              </w:rPr>
              <w:t>8</w:t>
            </w:r>
            <w:r>
              <w:rPr>
                <w:b/>
                <w:bCs/>
                <w:kern w:val="0"/>
                <w:sz w:val="24"/>
              </w:rPr>
              <w:t xml:space="preserve">  固体废物源强及处置措施表    单位：t/a</w:t>
            </w:r>
          </w:p>
          <w:tbl>
            <w:tblPr>
              <w:tblStyle w:val="22"/>
              <w:tblW w:w="499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160"/>
              <w:gridCol w:w="1197"/>
              <w:gridCol w:w="576"/>
              <w:gridCol w:w="1152"/>
              <w:gridCol w:w="795"/>
              <w:gridCol w:w="994"/>
              <w:gridCol w:w="795"/>
              <w:gridCol w:w="1206"/>
            </w:tblGrid>
            <w:tr w14:paraId="7D3854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pct"/>
                  <w:vMerge w:val="restart"/>
                  <w:tcBorders>
                    <w:tl2br w:val="nil"/>
                    <w:tr2bl w:val="nil"/>
                  </w:tcBorders>
                  <w:vAlign w:val="center"/>
                </w:tcPr>
                <w:p w14:paraId="4E77AF78">
                  <w:pPr>
                    <w:pStyle w:val="4"/>
                  </w:pPr>
                  <w:r>
                    <w:t>产生源</w:t>
                  </w:r>
                </w:p>
              </w:tc>
              <w:tc>
                <w:tcPr>
                  <w:tcW w:w="671" w:type="pct"/>
                  <w:vMerge w:val="restart"/>
                  <w:tcBorders>
                    <w:tl2br w:val="nil"/>
                    <w:tr2bl w:val="nil"/>
                  </w:tcBorders>
                  <w:vAlign w:val="center"/>
                </w:tcPr>
                <w:p w14:paraId="60937C49">
                  <w:pPr>
                    <w:pStyle w:val="4"/>
                  </w:pPr>
                  <w:r>
                    <w:t>固体废物名称</w:t>
                  </w:r>
                </w:p>
              </w:tc>
              <w:tc>
                <w:tcPr>
                  <w:tcW w:w="692" w:type="pct"/>
                  <w:vMerge w:val="restart"/>
                  <w:tcBorders>
                    <w:tl2br w:val="nil"/>
                    <w:tr2bl w:val="nil"/>
                  </w:tcBorders>
                  <w:vAlign w:val="center"/>
                </w:tcPr>
                <w:p w14:paraId="1513F9BA">
                  <w:pPr>
                    <w:pStyle w:val="4"/>
                  </w:pPr>
                  <w:r>
                    <w:t>废物代码</w:t>
                  </w:r>
                </w:p>
              </w:tc>
              <w:tc>
                <w:tcPr>
                  <w:tcW w:w="333" w:type="pct"/>
                  <w:vMerge w:val="restart"/>
                  <w:tcBorders>
                    <w:tl2br w:val="nil"/>
                    <w:tr2bl w:val="nil"/>
                  </w:tcBorders>
                  <w:vAlign w:val="center"/>
                </w:tcPr>
                <w:p w14:paraId="3A601C0D">
                  <w:pPr>
                    <w:pStyle w:val="4"/>
                  </w:pPr>
                  <w:r>
                    <w:t>固废属性</w:t>
                  </w:r>
                </w:p>
              </w:tc>
              <w:tc>
                <w:tcPr>
                  <w:tcW w:w="1126" w:type="pct"/>
                  <w:gridSpan w:val="2"/>
                  <w:tcBorders>
                    <w:tl2br w:val="nil"/>
                    <w:tr2bl w:val="nil"/>
                  </w:tcBorders>
                  <w:vAlign w:val="center"/>
                </w:tcPr>
                <w:p w14:paraId="14210381">
                  <w:pPr>
                    <w:pStyle w:val="4"/>
                  </w:pPr>
                  <w:r>
                    <w:t>产生量</w:t>
                  </w:r>
                </w:p>
              </w:tc>
              <w:tc>
                <w:tcPr>
                  <w:tcW w:w="1035" w:type="pct"/>
                  <w:gridSpan w:val="2"/>
                  <w:tcBorders>
                    <w:tl2br w:val="nil"/>
                    <w:tr2bl w:val="nil"/>
                  </w:tcBorders>
                  <w:vAlign w:val="center"/>
                </w:tcPr>
                <w:p w14:paraId="51902B1A">
                  <w:pPr>
                    <w:pStyle w:val="4"/>
                  </w:pPr>
                  <w:r>
                    <w:t>处置措施</w:t>
                  </w:r>
                </w:p>
              </w:tc>
              <w:tc>
                <w:tcPr>
                  <w:tcW w:w="697" w:type="pct"/>
                  <w:vMerge w:val="restart"/>
                  <w:tcBorders>
                    <w:tl2br w:val="nil"/>
                    <w:tr2bl w:val="nil"/>
                  </w:tcBorders>
                  <w:vAlign w:val="center"/>
                </w:tcPr>
                <w:p w14:paraId="22D269FA">
                  <w:pPr>
                    <w:pStyle w:val="4"/>
                  </w:pPr>
                  <w:r>
                    <w:t>最终去向</w:t>
                  </w:r>
                </w:p>
              </w:tc>
            </w:tr>
            <w:tr w14:paraId="14ED6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 w:type="pct"/>
                  <w:vMerge w:val="continue"/>
                  <w:tcBorders>
                    <w:tl2br w:val="nil"/>
                    <w:tr2bl w:val="nil"/>
                  </w:tcBorders>
                  <w:vAlign w:val="center"/>
                </w:tcPr>
                <w:p w14:paraId="74FC0021">
                  <w:pPr>
                    <w:pStyle w:val="4"/>
                  </w:pPr>
                </w:p>
              </w:tc>
              <w:tc>
                <w:tcPr>
                  <w:tcW w:w="671" w:type="pct"/>
                  <w:vMerge w:val="continue"/>
                  <w:tcBorders>
                    <w:tl2br w:val="nil"/>
                    <w:tr2bl w:val="nil"/>
                  </w:tcBorders>
                  <w:vAlign w:val="center"/>
                </w:tcPr>
                <w:p w14:paraId="029DFABD">
                  <w:pPr>
                    <w:pStyle w:val="4"/>
                  </w:pPr>
                </w:p>
              </w:tc>
              <w:tc>
                <w:tcPr>
                  <w:tcW w:w="692" w:type="pct"/>
                  <w:vMerge w:val="continue"/>
                  <w:tcBorders>
                    <w:tl2br w:val="nil"/>
                    <w:tr2bl w:val="nil"/>
                  </w:tcBorders>
                  <w:vAlign w:val="center"/>
                </w:tcPr>
                <w:p w14:paraId="01A8C4CF">
                  <w:pPr>
                    <w:pStyle w:val="4"/>
                  </w:pPr>
                </w:p>
              </w:tc>
              <w:tc>
                <w:tcPr>
                  <w:tcW w:w="333" w:type="pct"/>
                  <w:vMerge w:val="continue"/>
                  <w:tcBorders>
                    <w:tl2br w:val="nil"/>
                    <w:tr2bl w:val="nil"/>
                  </w:tcBorders>
                  <w:vAlign w:val="center"/>
                </w:tcPr>
                <w:p w14:paraId="4292E9C1">
                  <w:pPr>
                    <w:pStyle w:val="4"/>
                  </w:pPr>
                </w:p>
              </w:tc>
              <w:tc>
                <w:tcPr>
                  <w:tcW w:w="666" w:type="pct"/>
                  <w:tcBorders>
                    <w:tl2br w:val="nil"/>
                    <w:tr2bl w:val="nil"/>
                  </w:tcBorders>
                  <w:vAlign w:val="center"/>
                </w:tcPr>
                <w:p w14:paraId="191E7690">
                  <w:pPr>
                    <w:pStyle w:val="4"/>
                  </w:pPr>
                  <w:r>
                    <w:t>核算方法</w:t>
                  </w:r>
                </w:p>
              </w:tc>
              <w:tc>
                <w:tcPr>
                  <w:tcW w:w="460" w:type="pct"/>
                  <w:tcBorders>
                    <w:tl2br w:val="nil"/>
                    <w:tr2bl w:val="nil"/>
                  </w:tcBorders>
                  <w:vAlign w:val="center"/>
                </w:tcPr>
                <w:p w14:paraId="40B736CC">
                  <w:pPr>
                    <w:pStyle w:val="4"/>
                  </w:pPr>
                  <w:r>
                    <w:t>产生量</w:t>
                  </w:r>
                </w:p>
              </w:tc>
              <w:tc>
                <w:tcPr>
                  <w:tcW w:w="575" w:type="pct"/>
                  <w:tcBorders>
                    <w:tl2br w:val="nil"/>
                    <w:tr2bl w:val="nil"/>
                  </w:tcBorders>
                  <w:vAlign w:val="center"/>
                </w:tcPr>
                <w:p w14:paraId="4FBE0AB2">
                  <w:pPr>
                    <w:pStyle w:val="4"/>
                  </w:pPr>
                  <w:r>
                    <w:t>工艺</w:t>
                  </w:r>
                </w:p>
              </w:tc>
              <w:tc>
                <w:tcPr>
                  <w:tcW w:w="460" w:type="pct"/>
                  <w:tcBorders>
                    <w:tl2br w:val="nil"/>
                    <w:tr2bl w:val="nil"/>
                  </w:tcBorders>
                  <w:vAlign w:val="center"/>
                </w:tcPr>
                <w:p w14:paraId="48AD3FA8">
                  <w:pPr>
                    <w:pStyle w:val="4"/>
                  </w:pPr>
                  <w:r>
                    <w:t>处置量</w:t>
                  </w:r>
                </w:p>
              </w:tc>
              <w:tc>
                <w:tcPr>
                  <w:tcW w:w="697" w:type="pct"/>
                  <w:vMerge w:val="continue"/>
                  <w:tcBorders>
                    <w:tl2br w:val="nil"/>
                    <w:tr2bl w:val="nil"/>
                  </w:tcBorders>
                  <w:vAlign w:val="center"/>
                </w:tcPr>
                <w:p w14:paraId="396FE693">
                  <w:pPr>
                    <w:pStyle w:val="4"/>
                  </w:pPr>
                </w:p>
              </w:tc>
            </w:tr>
            <w:tr w14:paraId="2E2AC9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vAlign w:val="center"/>
                </w:tcPr>
                <w:p w14:paraId="72A39CC6">
                  <w:pPr>
                    <w:pStyle w:val="4"/>
                  </w:pPr>
                  <w:r>
                    <w:t>生活垃圾</w:t>
                  </w:r>
                </w:p>
              </w:tc>
              <w:tc>
                <w:tcPr>
                  <w:tcW w:w="671" w:type="pct"/>
                  <w:tcBorders>
                    <w:tl2br w:val="nil"/>
                    <w:tr2bl w:val="nil"/>
                  </w:tcBorders>
                  <w:vAlign w:val="center"/>
                </w:tcPr>
                <w:p w14:paraId="09C23C0A">
                  <w:pPr>
                    <w:pStyle w:val="4"/>
                  </w:pPr>
                  <w:r>
                    <w:t>生活垃圾</w:t>
                  </w:r>
                </w:p>
              </w:tc>
              <w:tc>
                <w:tcPr>
                  <w:tcW w:w="692" w:type="pct"/>
                  <w:tcBorders>
                    <w:tl2br w:val="nil"/>
                    <w:tr2bl w:val="nil"/>
                  </w:tcBorders>
                  <w:vAlign w:val="center"/>
                </w:tcPr>
                <w:p w14:paraId="7B85F284">
                  <w:pPr>
                    <w:pStyle w:val="4"/>
                  </w:pPr>
                  <w:r>
                    <w:t>900-999-99</w:t>
                  </w:r>
                </w:p>
              </w:tc>
              <w:tc>
                <w:tcPr>
                  <w:tcW w:w="333" w:type="pct"/>
                  <w:vMerge w:val="restart"/>
                  <w:tcBorders>
                    <w:tl2br w:val="nil"/>
                    <w:tr2bl w:val="nil"/>
                  </w:tcBorders>
                  <w:vAlign w:val="center"/>
                </w:tcPr>
                <w:p w14:paraId="5CB5BC92">
                  <w:pPr>
                    <w:pStyle w:val="4"/>
                  </w:pPr>
                  <w:r>
                    <w:t>一般固废</w:t>
                  </w:r>
                </w:p>
              </w:tc>
              <w:tc>
                <w:tcPr>
                  <w:tcW w:w="666" w:type="pct"/>
                  <w:tcBorders>
                    <w:tl2br w:val="nil"/>
                    <w:tr2bl w:val="nil"/>
                  </w:tcBorders>
                  <w:vAlign w:val="center"/>
                </w:tcPr>
                <w:p w14:paraId="43100860">
                  <w:pPr>
                    <w:pStyle w:val="4"/>
                  </w:pPr>
                  <w:r>
                    <w:t>产污系数法+类比法</w:t>
                  </w:r>
                </w:p>
              </w:tc>
              <w:tc>
                <w:tcPr>
                  <w:tcW w:w="460" w:type="pct"/>
                  <w:tcBorders>
                    <w:tl2br w:val="nil"/>
                    <w:tr2bl w:val="nil"/>
                  </w:tcBorders>
                  <w:vAlign w:val="center"/>
                </w:tcPr>
                <w:p w14:paraId="591E34D3">
                  <w:pPr>
                    <w:pStyle w:val="4"/>
                    <w:rPr>
                      <w:rFonts w:hint="eastAsia" w:eastAsia="宋体"/>
                      <w:lang w:eastAsia="zh-CN"/>
                    </w:rPr>
                  </w:pPr>
                  <w:r>
                    <w:rPr>
                      <w:rFonts w:hint="eastAsia"/>
                      <w:lang w:eastAsia="zh-CN"/>
                    </w:rPr>
                    <w:t>32.85</w:t>
                  </w:r>
                </w:p>
              </w:tc>
              <w:tc>
                <w:tcPr>
                  <w:tcW w:w="575" w:type="pct"/>
                  <w:tcBorders>
                    <w:tl2br w:val="nil"/>
                    <w:tr2bl w:val="nil"/>
                  </w:tcBorders>
                  <w:vAlign w:val="center"/>
                </w:tcPr>
                <w:p w14:paraId="76DD5658">
                  <w:pPr>
                    <w:pStyle w:val="4"/>
                  </w:pPr>
                  <w:r>
                    <w:t>委托利用</w:t>
                  </w:r>
                </w:p>
              </w:tc>
              <w:tc>
                <w:tcPr>
                  <w:tcW w:w="460" w:type="pct"/>
                  <w:tcBorders>
                    <w:tl2br w:val="nil"/>
                    <w:tr2bl w:val="nil"/>
                  </w:tcBorders>
                  <w:vAlign w:val="center"/>
                </w:tcPr>
                <w:p w14:paraId="24466A0D">
                  <w:pPr>
                    <w:pStyle w:val="4"/>
                    <w:rPr>
                      <w:rFonts w:hint="eastAsia" w:eastAsia="宋体"/>
                      <w:lang w:eastAsia="zh-CN"/>
                    </w:rPr>
                  </w:pPr>
                  <w:r>
                    <w:rPr>
                      <w:rFonts w:hint="eastAsia"/>
                      <w:lang w:eastAsia="zh-CN"/>
                    </w:rPr>
                    <w:t>32.85</w:t>
                  </w:r>
                </w:p>
              </w:tc>
              <w:tc>
                <w:tcPr>
                  <w:tcW w:w="697" w:type="pct"/>
                  <w:tcBorders>
                    <w:tl2br w:val="nil"/>
                    <w:tr2bl w:val="nil"/>
                  </w:tcBorders>
                  <w:vAlign w:val="center"/>
                </w:tcPr>
                <w:p w14:paraId="3C5F46C5">
                  <w:pPr>
                    <w:pStyle w:val="4"/>
                  </w:pPr>
                  <w:r>
                    <w:t>环卫部门统一清运处理</w:t>
                  </w:r>
                </w:p>
              </w:tc>
            </w:tr>
            <w:tr w14:paraId="1D49D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vAlign w:val="center"/>
                </w:tcPr>
                <w:p w14:paraId="3A7E874F">
                  <w:pPr>
                    <w:pStyle w:val="4"/>
                  </w:pPr>
                  <w:r>
                    <w:rPr>
                      <w:rFonts w:hint="eastAsia"/>
                    </w:rPr>
                    <w:t>打针、输液等</w:t>
                  </w:r>
                </w:p>
              </w:tc>
              <w:tc>
                <w:tcPr>
                  <w:tcW w:w="671" w:type="pct"/>
                  <w:tcBorders>
                    <w:tl2br w:val="nil"/>
                    <w:tr2bl w:val="nil"/>
                  </w:tcBorders>
                  <w:vAlign w:val="center"/>
                </w:tcPr>
                <w:p w14:paraId="2319AF54">
                  <w:pPr>
                    <w:pStyle w:val="4"/>
                  </w:pPr>
                  <w:r>
                    <w:t>未感染的输液瓶（袋）</w:t>
                  </w:r>
                </w:p>
              </w:tc>
              <w:tc>
                <w:tcPr>
                  <w:tcW w:w="692" w:type="pct"/>
                  <w:tcBorders>
                    <w:tl2br w:val="nil"/>
                    <w:tr2bl w:val="nil"/>
                  </w:tcBorders>
                  <w:vAlign w:val="center"/>
                </w:tcPr>
                <w:p w14:paraId="2B67E3E3">
                  <w:pPr>
                    <w:pStyle w:val="4"/>
                  </w:pPr>
                  <w:r>
                    <w:t>292-001-06</w:t>
                  </w:r>
                </w:p>
              </w:tc>
              <w:tc>
                <w:tcPr>
                  <w:tcW w:w="333" w:type="pct"/>
                  <w:vMerge w:val="continue"/>
                  <w:tcBorders>
                    <w:tl2br w:val="nil"/>
                    <w:tr2bl w:val="nil"/>
                  </w:tcBorders>
                  <w:vAlign w:val="center"/>
                </w:tcPr>
                <w:p w14:paraId="4B9E420C">
                  <w:pPr>
                    <w:pStyle w:val="4"/>
                  </w:pPr>
                </w:p>
              </w:tc>
              <w:tc>
                <w:tcPr>
                  <w:tcW w:w="666" w:type="pct"/>
                  <w:tcBorders>
                    <w:tl2br w:val="nil"/>
                    <w:tr2bl w:val="nil"/>
                  </w:tcBorders>
                  <w:vAlign w:val="center"/>
                </w:tcPr>
                <w:p w14:paraId="1158A43F">
                  <w:pPr>
                    <w:pStyle w:val="4"/>
                  </w:pPr>
                  <w:r>
                    <w:t>类比法</w:t>
                  </w:r>
                </w:p>
              </w:tc>
              <w:tc>
                <w:tcPr>
                  <w:tcW w:w="460" w:type="pct"/>
                  <w:tcBorders>
                    <w:tl2br w:val="nil"/>
                    <w:tr2bl w:val="nil"/>
                  </w:tcBorders>
                  <w:vAlign w:val="center"/>
                </w:tcPr>
                <w:p w14:paraId="10A1CF38">
                  <w:pPr>
                    <w:pStyle w:val="4"/>
                  </w:pPr>
                  <w:r>
                    <w:rPr>
                      <w:rFonts w:hint="eastAsia"/>
                    </w:rPr>
                    <w:t>0.5</w:t>
                  </w:r>
                </w:p>
              </w:tc>
              <w:tc>
                <w:tcPr>
                  <w:tcW w:w="575" w:type="pct"/>
                  <w:tcBorders>
                    <w:tl2br w:val="nil"/>
                    <w:tr2bl w:val="nil"/>
                  </w:tcBorders>
                  <w:vAlign w:val="center"/>
                </w:tcPr>
                <w:p w14:paraId="2A975204">
                  <w:pPr>
                    <w:pStyle w:val="4"/>
                  </w:pPr>
                  <w:r>
                    <w:t>委托利用</w:t>
                  </w:r>
                </w:p>
              </w:tc>
              <w:tc>
                <w:tcPr>
                  <w:tcW w:w="460" w:type="pct"/>
                  <w:tcBorders>
                    <w:tl2br w:val="nil"/>
                    <w:tr2bl w:val="nil"/>
                  </w:tcBorders>
                  <w:vAlign w:val="center"/>
                </w:tcPr>
                <w:p w14:paraId="0A321F8D">
                  <w:pPr>
                    <w:pStyle w:val="4"/>
                  </w:pPr>
                  <w:r>
                    <w:rPr>
                      <w:rFonts w:hint="eastAsia"/>
                    </w:rPr>
                    <w:t>0.5</w:t>
                  </w:r>
                </w:p>
              </w:tc>
              <w:tc>
                <w:tcPr>
                  <w:tcW w:w="697" w:type="pct"/>
                  <w:tcBorders>
                    <w:tl2br w:val="nil"/>
                    <w:tr2bl w:val="nil"/>
                  </w:tcBorders>
                  <w:vAlign w:val="center"/>
                </w:tcPr>
                <w:p w14:paraId="3FF10B43">
                  <w:pPr>
                    <w:pStyle w:val="4"/>
                  </w:pPr>
                  <w:r>
                    <w:rPr>
                      <w:rFonts w:hint="eastAsia"/>
                    </w:rPr>
                    <w:t>交由回收公司处理</w:t>
                  </w:r>
                </w:p>
              </w:tc>
            </w:tr>
            <w:tr w14:paraId="2BFCBF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shd w:val="clear" w:color="auto" w:fill="auto"/>
                  <w:vAlign w:val="center"/>
                </w:tcPr>
                <w:p w14:paraId="3483A591">
                  <w:pPr>
                    <w:jc w:val="center"/>
                  </w:pPr>
                  <w:r>
                    <w:t>食堂和隔油设施</w:t>
                  </w:r>
                </w:p>
              </w:tc>
              <w:tc>
                <w:tcPr>
                  <w:tcW w:w="671" w:type="pct"/>
                  <w:tcBorders>
                    <w:tl2br w:val="nil"/>
                    <w:tr2bl w:val="nil"/>
                  </w:tcBorders>
                  <w:shd w:val="clear" w:color="auto" w:fill="auto"/>
                  <w:vAlign w:val="center"/>
                </w:tcPr>
                <w:p w14:paraId="39738870">
                  <w:pPr>
                    <w:jc w:val="center"/>
                  </w:pPr>
                  <w:r>
                    <w:t>餐厨垃圾（含油水分离浮油）</w:t>
                  </w:r>
                </w:p>
              </w:tc>
              <w:tc>
                <w:tcPr>
                  <w:tcW w:w="692" w:type="pct"/>
                  <w:tcBorders>
                    <w:tl2br w:val="nil"/>
                    <w:tr2bl w:val="nil"/>
                  </w:tcBorders>
                  <w:shd w:val="clear" w:color="auto" w:fill="auto"/>
                  <w:vAlign w:val="center"/>
                </w:tcPr>
                <w:p w14:paraId="20460595">
                  <w:pPr>
                    <w:jc w:val="center"/>
                  </w:pPr>
                  <w:r>
                    <w:t>900-999-99</w:t>
                  </w:r>
                </w:p>
              </w:tc>
              <w:tc>
                <w:tcPr>
                  <w:tcW w:w="333" w:type="pct"/>
                  <w:vMerge w:val="continue"/>
                  <w:tcBorders>
                    <w:tl2br w:val="nil"/>
                    <w:tr2bl w:val="nil"/>
                  </w:tcBorders>
                  <w:vAlign w:val="center"/>
                </w:tcPr>
                <w:p w14:paraId="3950F740">
                  <w:pPr>
                    <w:pStyle w:val="4"/>
                  </w:pPr>
                </w:p>
              </w:tc>
              <w:tc>
                <w:tcPr>
                  <w:tcW w:w="666" w:type="pct"/>
                  <w:tcBorders>
                    <w:tl2br w:val="nil"/>
                    <w:tr2bl w:val="nil"/>
                  </w:tcBorders>
                  <w:vAlign w:val="center"/>
                </w:tcPr>
                <w:p w14:paraId="722A2F15">
                  <w:pPr>
                    <w:pStyle w:val="4"/>
                  </w:pPr>
                  <w:r>
                    <w:t>产污系数法</w:t>
                  </w:r>
                </w:p>
              </w:tc>
              <w:tc>
                <w:tcPr>
                  <w:tcW w:w="460" w:type="pct"/>
                  <w:tcBorders>
                    <w:tl2br w:val="nil"/>
                    <w:tr2bl w:val="nil"/>
                  </w:tcBorders>
                  <w:vAlign w:val="center"/>
                </w:tcPr>
                <w:p w14:paraId="575D3ADA">
                  <w:pPr>
                    <w:pStyle w:val="4"/>
                    <w:rPr>
                      <w:rFonts w:hint="eastAsia" w:eastAsia="宋体"/>
                      <w:lang w:eastAsia="zh-CN"/>
                    </w:rPr>
                  </w:pPr>
                  <w:r>
                    <w:rPr>
                      <w:rFonts w:hint="eastAsia"/>
                      <w:lang w:eastAsia="zh-CN"/>
                    </w:rPr>
                    <w:t>6.21</w:t>
                  </w:r>
                </w:p>
              </w:tc>
              <w:tc>
                <w:tcPr>
                  <w:tcW w:w="575" w:type="pct"/>
                  <w:tcBorders>
                    <w:tl2br w:val="nil"/>
                    <w:tr2bl w:val="nil"/>
                  </w:tcBorders>
                  <w:vAlign w:val="center"/>
                </w:tcPr>
                <w:p w14:paraId="2EA7B1B6">
                  <w:pPr>
                    <w:pStyle w:val="4"/>
                  </w:pPr>
                  <w:r>
                    <w:t>委托利用</w:t>
                  </w:r>
                </w:p>
              </w:tc>
              <w:tc>
                <w:tcPr>
                  <w:tcW w:w="460" w:type="pct"/>
                  <w:tcBorders>
                    <w:tl2br w:val="nil"/>
                    <w:tr2bl w:val="nil"/>
                  </w:tcBorders>
                  <w:vAlign w:val="center"/>
                </w:tcPr>
                <w:p w14:paraId="725957E6">
                  <w:pPr>
                    <w:pStyle w:val="4"/>
                    <w:rPr>
                      <w:rFonts w:hint="eastAsia" w:eastAsia="宋体"/>
                      <w:lang w:eastAsia="zh-CN"/>
                    </w:rPr>
                  </w:pPr>
                  <w:r>
                    <w:rPr>
                      <w:rFonts w:hint="eastAsia"/>
                      <w:lang w:eastAsia="zh-CN"/>
                    </w:rPr>
                    <w:t>6.21</w:t>
                  </w:r>
                </w:p>
              </w:tc>
              <w:tc>
                <w:tcPr>
                  <w:tcW w:w="697" w:type="pct"/>
                  <w:tcBorders>
                    <w:tl2br w:val="nil"/>
                    <w:tr2bl w:val="nil"/>
                  </w:tcBorders>
                  <w:vAlign w:val="center"/>
                </w:tcPr>
                <w:p w14:paraId="688E0904">
                  <w:pPr>
                    <w:pStyle w:val="4"/>
                  </w:pPr>
                  <w:r>
                    <w:rPr>
                      <w:rFonts w:hint="eastAsia"/>
                    </w:rPr>
                    <w:t>有餐厨垃圾处置资质单位</w:t>
                  </w:r>
                </w:p>
              </w:tc>
            </w:tr>
            <w:tr w14:paraId="1F216D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vAlign w:val="center"/>
                </w:tcPr>
                <w:p w14:paraId="1A399B48">
                  <w:pPr>
                    <w:pStyle w:val="4"/>
                  </w:pPr>
                  <w:r>
                    <w:rPr>
                      <w:rFonts w:hint="eastAsia"/>
                    </w:rPr>
                    <w:t>药品包装</w:t>
                  </w:r>
                </w:p>
              </w:tc>
              <w:tc>
                <w:tcPr>
                  <w:tcW w:w="671" w:type="pct"/>
                  <w:tcBorders>
                    <w:tl2br w:val="nil"/>
                    <w:tr2bl w:val="nil"/>
                  </w:tcBorders>
                  <w:vAlign w:val="center"/>
                </w:tcPr>
                <w:p w14:paraId="2F06D8EC">
                  <w:pPr>
                    <w:pStyle w:val="4"/>
                  </w:pPr>
                  <w:r>
                    <w:t>废包装材料</w:t>
                  </w:r>
                </w:p>
              </w:tc>
              <w:tc>
                <w:tcPr>
                  <w:tcW w:w="692" w:type="pct"/>
                  <w:tcBorders>
                    <w:tl2br w:val="nil"/>
                    <w:tr2bl w:val="nil"/>
                  </w:tcBorders>
                  <w:vAlign w:val="center"/>
                </w:tcPr>
                <w:p w14:paraId="34BC9F51">
                  <w:pPr>
                    <w:pStyle w:val="4"/>
                  </w:pPr>
                  <w:r>
                    <w:rPr>
                      <w:rFonts w:hint="eastAsia"/>
                    </w:rPr>
                    <w:t>220-001-04</w:t>
                  </w:r>
                </w:p>
              </w:tc>
              <w:tc>
                <w:tcPr>
                  <w:tcW w:w="333" w:type="pct"/>
                  <w:vMerge w:val="continue"/>
                  <w:tcBorders>
                    <w:tl2br w:val="nil"/>
                    <w:tr2bl w:val="nil"/>
                  </w:tcBorders>
                  <w:vAlign w:val="center"/>
                </w:tcPr>
                <w:p w14:paraId="4338A823">
                  <w:pPr>
                    <w:pStyle w:val="4"/>
                  </w:pPr>
                </w:p>
              </w:tc>
              <w:tc>
                <w:tcPr>
                  <w:tcW w:w="666" w:type="pct"/>
                  <w:tcBorders>
                    <w:tl2br w:val="nil"/>
                    <w:tr2bl w:val="nil"/>
                  </w:tcBorders>
                  <w:vAlign w:val="center"/>
                </w:tcPr>
                <w:p w14:paraId="6F972C04">
                  <w:pPr>
                    <w:pStyle w:val="4"/>
                  </w:pPr>
                  <w:r>
                    <w:t>类比法</w:t>
                  </w:r>
                </w:p>
              </w:tc>
              <w:tc>
                <w:tcPr>
                  <w:tcW w:w="460" w:type="pct"/>
                  <w:tcBorders>
                    <w:tl2br w:val="nil"/>
                    <w:tr2bl w:val="nil"/>
                  </w:tcBorders>
                  <w:vAlign w:val="center"/>
                </w:tcPr>
                <w:p w14:paraId="15808579">
                  <w:pPr>
                    <w:pStyle w:val="4"/>
                  </w:pPr>
                  <w:r>
                    <w:rPr>
                      <w:rFonts w:hint="eastAsia"/>
                    </w:rPr>
                    <w:t>0.5</w:t>
                  </w:r>
                </w:p>
              </w:tc>
              <w:tc>
                <w:tcPr>
                  <w:tcW w:w="575" w:type="pct"/>
                  <w:tcBorders>
                    <w:tl2br w:val="nil"/>
                    <w:tr2bl w:val="nil"/>
                  </w:tcBorders>
                  <w:vAlign w:val="center"/>
                </w:tcPr>
                <w:p w14:paraId="7E8D3BB5">
                  <w:pPr>
                    <w:pStyle w:val="4"/>
                  </w:pPr>
                  <w:r>
                    <w:t>委托利用</w:t>
                  </w:r>
                </w:p>
              </w:tc>
              <w:tc>
                <w:tcPr>
                  <w:tcW w:w="460" w:type="pct"/>
                  <w:tcBorders>
                    <w:tl2br w:val="nil"/>
                    <w:tr2bl w:val="nil"/>
                  </w:tcBorders>
                  <w:vAlign w:val="center"/>
                </w:tcPr>
                <w:p w14:paraId="0B389D45">
                  <w:pPr>
                    <w:pStyle w:val="4"/>
                  </w:pPr>
                  <w:r>
                    <w:rPr>
                      <w:rFonts w:hint="eastAsia"/>
                    </w:rPr>
                    <w:t>0.5</w:t>
                  </w:r>
                </w:p>
              </w:tc>
              <w:tc>
                <w:tcPr>
                  <w:tcW w:w="697" w:type="pct"/>
                  <w:tcBorders>
                    <w:tl2br w:val="nil"/>
                    <w:tr2bl w:val="nil"/>
                  </w:tcBorders>
                  <w:vAlign w:val="center"/>
                </w:tcPr>
                <w:p w14:paraId="15F62621">
                  <w:pPr>
                    <w:pStyle w:val="4"/>
                  </w:pPr>
                  <w:r>
                    <w:t>外售废品回收站</w:t>
                  </w:r>
                </w:p>
              </w:tc>
            </w:tr>
            <w:tr w14:paraId="7D910E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shd w:val="clear" w:color="auto" w:fill="auto"/>
                  <w:vAlign w:val="center"/>
                </w:tcPr>
                <w:p w14:paraId="606318E5">
                  <w:pPr>
                    <w:pStyle w:val="4"/>
                  </w:pPr>
                  <w:r>
                    <w:rPr>
                      <w:rFonts w:hint="eastAsia"/>
                    </w:rPr>
                    <w:t>纯水机</w:t>
                  </w:r>
                </w:p>
              </w:tc>
              <w:tc>
                <w:tcPr>
                  <w:tcW w:w="671" w:type="pct"/>
                  <w:tcBorders>
                    <w:tl2br w:val="nil"/>
                    <w:tr2bl w:val="nil"/>
                  </w:tcBorders>
                  <w:shd w:val="clear" w:color="auto" w:fill="auto"/>
                  <w:vAlign w:val="center"/>
                </w:tcPr>
                <w:p w14:paraId="54BEE79A">
                  <w:pPr>
                    <w:pStyle w:val="4"/>
                  </w:pPr>
                  <w:r>
                    <w:rPr>
                      <w:rFonts w:hint="eastAsia"/>
                    </w:rPr>
                    <w:t>废过滤材料</w:t>
                  </w:r>
                </w:p>
              </w:tc>
              <w:tc>
                <w:tcPr>
                  <w:tcW w:w="692" w:type="pct"/>
                  <w:tcBorders>
                    <w:tl2br w:val="nil"/>
                    <w:tr2bl w:val="nil"/>
                  </w:tcBorders>
                  <w:shd w:val="clear" w:color="auto" w:fill="auto"/>
                  <w:vAlign w:val="center"/>
                </w:tcPr>
                <w:p w14:paraId="3AC7D3B1">
                  <w:pPr>
                    <w:pStyle w:val="4"/>
                  </w:pPr>
                  <w:r>
                    <w:rPr>
                      <w:rFonts w:hint="eastAsia"/>
                    </w:rPr>
                    <w:t>/</w:t>
                  </w:r>
                </w:p>
              </w:tc>
              <w:tc>
                <w:tcPr>
                  <w:tcW w:w="333" w:type="pct"/>
                  <w:vMerge w:val="continue"/>
                  <w:tcBorders>
                    <w:tl2br w:val="nil"/>
                    <w:tr2bl w:val="nil"/>
                  </w:tcBorders>
                  <w:vAlign w:val="center"/>
                </w:tcPr>
                <w:p w14:paraId="1F10F17D">
                  <w:pPr>
                    <w:pStyle w:val="4"/>
                  </w:pPr>
                </w:p>
              </w:tc>
              <w:tc>
                <w:tcPr>
                  <w:tcW w:w="666" w:type="pct"/>
                  <w:tcBorders>
                    <w:tl2br w:val="nil"/>
                    <w:tr2bl w:val="nil"/>
                  </w:tcBorders>
                  <w:shd w:val="clear" w:color="auto" w:fill="auto"/>
                  <w:vAlign w:val="center"/>
                </w:tcPr>
                <w:p w14:paraId="680D071F">
                  <w:pPr>
                    <w:pStyle w:val="4"/>
                  </w:pPr>
                  <w:r>
                    <w:t>类比法</w:t>
                  </w:r>
                </w:p>
              </w:tc>
              <w:tc>
                <w:tcPr>
                  <w:tcW w:w="460" w:type="pct"/>
                  <w:tcBorders>
                    <w:tl2br w:val="nil"/>
                    <w:tr2bl w:val="nil"/>
                  </w:tcBorders>
                  <w:shd w:val="clear" w:color="auto" w:fill="auto"/>
                  <w:vAlign w:val="center"/>
                </w:tcPr>
                <w:p w14:paraId="56D731BD">
                  <w:pPr>
                    <w:pStyle w:val="4"/>
                  </w:pPr>
                  <w:r>
                    <w:rPr>
                      <w:rFonts w:hint="eastAsia"/>
                    </w:rPr>
                    <w:t>0.01</w:t>
                  </w:r>
                </w:p>
              </w:tc>
              <w:tc>
                <w:tcPr>
                  <w:tcW w:w="575" w:type="pct"/>
                  <w:tcBorders>
                    <w:tl2br w:val="nil"/>
                    <w:tr2bl w:val="nil"/>
                  </w:tcBorders>
                  <w:shd w:val="clear" w:color="auto" w:fill="auto"/>
                  <w:vAlign w:val="center"/>
                </w:tcPr>
                <w:p w14:paraId="189BF4B5">
                  <w:pPr>
                    <w:pStyle w:val="4"/>
                  </w:pPr>
                  <w:r>
                    <w:t>委托处置</w:t>
                  </w:r>
                </w:p>
              </w:tc>
              <w:tc>
                <w:tcPr>
                  <w:tcW w:w="460" w:type="pct"/>
                  <w:tcBorders>
                    <w:tl2br w:val="nil"/>
                    <w:tr2bl w:val="nil"/>
                  </w:tcBorders>
                  <w:shd w:val="clear" w:color="auto" w:fill="auto"/>
                  <w:vAlign w:val="center"/>
                </w:tcPr>
                <w:p w14:paraId="32077D73">
                  <w:pPr>
                    <w:pStyle w:val="4"/>
                  </w:pPr>
                  <w:r>
                    <w:rPr>
                      <w:rFonts w:hint="eastAsia"/>
                    </w:rPr>
                    <w:t>0.01</w:t>
                  </w:r>
                </w:p>
              </w:tc>
              <w:tc>
                <w:tcPr>
                  <w:tcW w:w="697" w:type="pct"/>
                  <w:tcBorders>
                    <w:tl2br w:val="nil"/>
                    <w:tr2bl w:val="nil"/>
                  </w:tcBorders>
                  <w:shd w:val="clear" w:color="auto" w:fill="auto"/>
                  <w:vAlign w:val="center"/>
                </w:tcPr>
                <w:p w14:paraId="6464795F">
                  <w:pPr>
                    <w:pStyle w:val="4"/>
                  </w:pPr>
                  <w:r>
                    <w:t>厂家回收利用</w:t>
                  </w:r>
                </w:p>
              </w:tc>
            </w:tr>
            <w:tr w14:paraId="612023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shd w:val="clear" w:color="auto" w:fill="auto"/>
                  <w:vAlign w:val="center"/>
                </w:tcPr>
                <w:p w14:paraId="40D7A895">
                  <w:pPr>
                    <w:pStyle w:val="4"/>
                  </w:pPr>
                  <w:r>
                    <w:rPr>
                      <w:rFonts w:hint="eastAsia"/>
                    </w:rPr>
                    <w:t>纯水机</w:t>
                  </w:r>
                </w:p>
              </w:tc>
              <w:tc>
                <w:tcPr>
                  <w:tcW w:w="671" w:type="pct"/>
                  <w:tcBorders>
                    <w:tl2br w:val="nil"/>
                    <w:tr2bl w:val="nil"/>
                  </w:tcBorders>
                  <w:shd w:val="clear" w:color="auto" w:fill="auto"/>
                  <w:vAlign w:val="center"/>
                </w:tcPr>
                <w:p w14:paraId="2C6B3692">
                  <w:pPr>
                    <w:pStyle w:val="4"/>
                  </w:pPr>
                  <w:r>
                    <w:rPr>
                      <w:rFonts w:hint="eastAsia"/>
                    </w:rPr>
                    <w:t>废反渗透膜</w:t>
                  </w:r>
                </w:p>
              </w:tc>
              <w:tc>
                <w:tcPr>
                  <w:tcW w:w="692" w:type="pct"/>
                  <w:tcBorders>
                    <w:tl2br w:val="nil"/>
                    <w:tr2bl w:val="nil"/>
                  </w:tcBorders>
                  <w:shd w:val="clear" w:color="auto" w:fill="auto"/>
                  <w:vAlign w:val="center"/>
                </w:tcPr>
                <w:p w14:paraId="28193BBC">
                  <w:pPr>
                    <w:pStyle w:val="4"/>
                  </w:pPr>
                  <w:r>
                    <w:rPr>
                      <w:rFonts w:hint="eastAsia"/>
                    </w:rPr>
                    <w:t>/</w:t>
                  </w:r>
                </w:p>
              </w:tc>
              <w:tc>
                <w:tcPr>
                  <w:tcW w:w="333" w:type="pct"/>
                  <w:vMerge w:val="continue"/>
                  <w:tcBorders>
                    <w:tl2br w:val="nil"/>
                    <w:tr2bl w:val="nil"/>
                  </w:tcBorders>
                  <w:vAlign w:val="center"/>
                </w:tcPr>
                <w:p w14:paraId="6B1553B7">
                  <w:pPr>
                    <w:pStyle w:val="4"/>
                  </w:pPr>
                </w:p>
              </w:tc>
              <w:tc>
                <w:tcPr>
                  <w:tcW w:w="666" w:type="pct"/>
                  <w:tcBorders>
                    <w:tl2br w:val="nil"/>
                    <w:tr2bl w:val="nil"/>
                  </w:tcBorders>
                  <w:shd w:val="clear" w:color="auto" w:fill="auto"/>
                  <w:vAlign w:val="center"/>
                </w:tcPr>
                <w:p w14:paraId="2C398B11">
                  <w:pPr>
                    <w:pStyle w:val="4"/>
                  </w:pPr>
                  <w:r>
                    <w:t>类比法</w:t>
                  </w:r>
                </w:p>
              </w:tc>
              <w:tc>
                <w:tcPr>
                  <w:tcW w:w="460" w:type="pct"/>
                  <w:tcBorders>
                    <w:tl2br w:val="nil"/>
                    <w:tr2bl w:val="nil"/>
                  </w:tcBorders>
                  <w:shd w:val="clear" w:color="auto" w:fill="auto"/>
                  <w:vAlign w:val="center"/>
                </w:tcPr>
                <w:p w14:paraId="3698E11F">
                  <w:pPr>
                    <w:pStyle w:val="4"/>
                  </w:pPr>
                  <w:r>
                    <w:rPr>
                      <w:rFonts w:hint="eastAsia"/>
                    </w:rPr>
                    <w:t>0.06</w:t>
                  </w:r>
                </w:p>
              </w:tc>
              <w:tc>
                <w:tcPr>
                  <w:tcW w:w="575" w:type="pct"/>
                  <w:tcBorders>
                    <w:tl2br w:val="nil"/>
                    <w:tr2bl w:val="nil"/>
                  </w:tcBorders>
                  <w:shd w:val="clear" w:color="auto" w:fill="auto"/>
                  <w:vAlign w:val="center"/>
                </w:tcPr>
                <w:p w14:paraId="220122DA">
                  <w:pPr>
                    <w:pStyle w:val="4"/>
                  </w:pPr>
                  <w:r>
                    <w:t>委托处置</w:t>
                  </w:r>
                </w:p>
              </w:tc>
              <w:tc>
                <w:tcPr>
                  <w:tcW w:w="460" w:type="pct"/>
                  <w:tcBorders>
                    <w:tl2br w:val="nil"/>
                    <w:tr2bl w:val="nil"/>
                  </w:tcBorders>
                  <w:shd w:val="clear" w:color="auto" w:fill="auto"/>
                  <w:vAlign w:val="center"/>
                </w:tcPr>
                <w:p w14:paraId="20A2CEB4">
                  <w:pPr>
                    <w:pStyle w:val="4"/>
                  </w:pPr>
                  <w:r>
                    <w:rPr>
                      <w:rFonts w:hint="eastAsia"/>
                    </w:rPr>
                    <w:t>0.06</w:t>
                  </w:r>
                </w:p>
              </w:tc>
              <w:tc>
                <w:tcPr>
                  <w:tcW w:w="697" w:type="pct"/>
                  <w:tcBorders>
                    <w:tl2br w:val="nil"/>
                    <w:tr2bl w:val="nil"/>
                  </w:tcBorders>
                  <w:shd w:val="clear" w:color="auto" w:fill="auto"/>
                  <w:vAlign w:val="center"/>
                </w:tcPr>
                <w:p w14:paraId="20E08A23">
                  <w:pPr>
                    <w:pStyle w:val="4"/>
                  </w:pPr>
                  <w:r>
                    <w:t>厂家回收利用</w:t>
                  </w:r>
                </w:p>
              </w:tc>
            </w:tr>
            <w:tr w14:paraId="110815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l2br w:val="nil"/>
                    <w:tr2bl w:val="nil"/>
                  </w:tcBorders>
                  <w:vAlign w:val="center"/>
                </w:tcPr>
                <w:p w14:paraId="29095293">
                  <w:pPr>
                    <w:pStyle w:val="4"/>
                  </w:pPr>
                  <w:r>
                    <w:t>医院诊疗</w:t>
                  </w:r>
                </w:p>
              </w:tc>
              <w:tc>
                <w:tcPr>
                  <w:tcW w:w="671" w:type="pct"/>
                  <w:tcBorders>
                    <w:tl2br w:val="nil"/>
                    <w:tr2bl w:val="nil"/>
                  </w:tcBorders>
                  <w:vAlign w:val="center"/>
                </w:tcPr>
                <w:p w14:paraId="65B19D9A">
                  <w:pPr>
                    <w:pStyle w:val="4"/>
                  </w:pPr>
                  <w:r>
                    <w:t>医疗废物</w:t>
                  </w:r>
                </w:p>
              </w:tc>
              <w:tc>
                <w:tcPr>
                  <w:tcW w:w="692" w:type="pct"/>
                  <w:tcBorders>
                    <w:tl2br w:val="nil"/>
                    <w:tr2bl w:val="nil"/>
                  </w:tcBorders>
                  <w:vAlign w:val="center"/>
                </w:tcPr>
                <w:p w14:paraId="69F812BB">
                  <w:pPr>
                    <w:pStyle w:val="4"/>
                  </w:pPr>
                  <w:r>
                    <w:t>HW01</w:t>
                  </w:r>
                </w:p>
              </w:tc>
              <w:tc>
                <w:tcPr>
                  <w:tcW w:w="333" w:type="pct"/>
                  <w:vMerge w:val="restart"/>
                  <w:tcBorders>
                    <w:tl2br w:val="nil"/>
                    <w:tr2bl w:val="nil"/>
                  </w:tcBorders>
                  <w:vAlign w:val="center"/>
                </w:tcPr>
                <w:p w14:paraId="6CF37E73">
                  <w:pPr>
                    <w:pStyle w:val="4"/>
                  </w:pPr>
                  <w:r>
                    <w:t>危险废物</w:t>
                  </w:r>
                </w:p>
              </w:tc>
              <w:tc>
                <w:tcPr>
                  <w:tcW w:w="666" w:type="pct"/>
                  <w:tcBorders>
                    <w:tl2br w:val="nil"/>
                    <w:tr2bl w:val="nil"/>
                  </w:tcBorders>
                  <w:vAlign w:val="center"/>
                </w:tcPr>
                <w:p w14:paraId="5446FEE8">
                  <w:pPr>
                    <w:pStyle w:val="4"/>
                  </w:pPr>
                  <w:r>
                    <w:t>产污系数法+类比法</w:t>
                  </w:r>
                </w:p>
              </w:tc>
              <w:tc>
                <w:tcPr>
                  <w:tcW w:w="460" w:type="pct"/>
                  <w:tcBorders>
                    <w:tl2br w:val="nil"/>
                    <w:tr2bl w:val="nil"/>
                  </w:tcBorders>
                  <w:vAlign w:val="center"/>
                </w:tcPr>
                <w:p w14:paraId="42ADF14F">
                  <w:pPr>
                    <w:pStyle w:val="4"/>
                  </w:pPr>
                  <w:r>
                    <w:rPr>
                      <w:rFonts w:hint="eastAsia"/>
                    </w:rPr>
                    <w:t>18.205</w:t>
                  </w:r>
                </w:p>
              </w:tc>
              <w:tc>
                <w:tcPr>
                  <w:tcW w:w="575" w:type="pct"/>
                  <w:tcBorders>
                    <w:tl2br w:val="nil"/>
                    <w:tr2bl w:val="nil"/>
                  </w:tcBorders>
                  <w:vAlign w:val="center"/>
                </w:tcPr>
                <w:p w14:paraId="260F342D">
                  <w:pPr>
                    <w:pStyle w:val="4"/>
                  </w:pPr>
                  <w:r>
                    <w:t>委托处置</w:t>
                  </w:r>
                </w:p>
              </w:tc>
              <w:tc>
                <w:tcPr>
                  <w:tcW w:w="460" w:type="pct"/>
                  <w:tcBorders>
                    <w:tl2br w:val="nil"/>
                    <w:tr2bl w:val="nil"/>
                  </w:tcBorders>
                  <w:vAlign w:val="center"/>
                </w:tcPr>
                <w:p w14:paraId="305158F9">
                  <w:pPr>
                    <w:pStyle w:val="4"/>
                  </w:pPr>
                  <w:r>
                    <w:rPr>
                      <w:rFonts w:hint="eastAsia"/>
                    </w:rPr>
                    <w:t>18.205</w:t>
                  </w:r>
                </w:p>
              </w:tc>
              <w:tc>
                <w:tcPr>
                  <w:tcW w:w="697" w:type="pct"/>
                  <w:vMerge w:val="restart"/>
                  <w:tcBorders>
                    <w:tl2br w:val="nil"/>
                    <w:tr2bl w:val="nil"/>
                  </w:tcBorders>
                  <w:vAlign w:val="center"/>
                </w:tcPr>
                <w:p w14:paraId="3BCF0BE5">
                  <w:pPr>
                    <w:pStyle w:val="4"/>
                  </w:pPr>
                  <w:r>
                    <w:t>交由有资质单位处置</w:t>
                  </w:r>
                </w:p>
              </w:tc>
            </w:tr>
            <w:tr w14:paraId="06F0B6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42" w:type="pct"/>
                  <w:tcBorders>
                    <w:tl2br w:val="nil"/>
                    <w:tr2bl w:val="nil"/>
                  </w:tcBorders>
                  <w:vAlign w:val="center"/>
                </w:tcPr>
                <w:p w14:paraId="7E3EE93C">
                  <w:pPr>
                    <w:pStyle w:val="4"/>
                  </w:pPr>
                  <w:r>
                    <w:t>医院诊疗</w:t>
                  </w:r>
                </w:p>
              </w:tc>
              <w:tc>
                <w:tcPr>
                  <w:tcW w:w="671" w:type="pct"/>
                  <w:tcBorders>
                    <w:tl2br w:val="nil"/>
                    <w:tr2bl w:val="nil"/>
                  </w:tcBorders>
                  <w:vAlign w:val="center"/>
                </w:tcPr>
                <w:p w14:paraId="4E869A75">
                  <w:pPr>
                    <w:pStyle w:val="4"/>
                  </w:pPr>
                  <w:r>
                    <w:rPr>
                      <w:rFonts w:hint="eastAsia"/>
                    </w:rPr>
                    <w:t>废紫外灯</w:t>
                  </w:r>
                </w:p>
              </w:tc>
              <w:tc>
                <w:tcPr>
                  <w:tcW w:w="692" w:type="pct"/>
                  <w:tcBorders>
                    <w:tl2br w:val="nil"/>
                    <w:tr2bl w:val="nil"/>
                  </w:tcBorders>
                  <w:vAlign w:val="center"/>
                </w:tcPr>
                <w:p w14:paraId="1CE0577E">
                  <w:pPr>
                    <w:pStyle w:val="4"/>
                  </w:pPr>
                  <w:r>
                    <w:t>HW49</w:t>
                  </w:r>
                </w:p>
              </w:tc>
              <w:tc>
                <w:tcPr>
                  <w:tcW w:w="333" w:type="pct"/>
                  <w:vMerge w:val="continue"/>
                  <w:tcBorders>
                    <w:tl2br w:val="nil"/>
                    <w:tr2bl w:val="nil"/>
                  </w:tcBorders>
                  <w:vAlign w:val="center"/>
                </w:tcPr>
                <w:p w14:paraId="65894035">
                  <w:pPr>
                    <w:pStyle w:val="4"/>
                  </w:pPr>
                </w:p>
              </w:tc>
              <w:tc>
                <w:tcPr>
                  <w:tcW w:w="666" w:type="pct"/>
                  <w:tcBorders>
                    <w:tl2br w:val="nil"/>
                    <w:tr2bl w:val="nil"/>
                  </w:tcBorders>
                  <w:vAlign w:val="center"/>
                </w:tcPr>
                <w:p w14:paraId="5D711D60">
                  <w:pPr>
                    <w:pStyle w:val="4"/>
                  </w:pPr>
                  <w:r>
                    <w:t>类比法</w:t>
                  </w:r>
                </w:p>
              </w:tc>
              <w:tc>
                <w:tcPr>
                  <w:tcW w:w="460" w:type="pct"/>
                  <w:tcBorders>
                    <w:tl2br w:val="nil"/>
                    <w:tr2bl w:val="nil"/>
                  </w:tcBorders>
                  <w:vAlign w:val="center"/>
                </w:tcPr>
                <w:p w14:paraId="5780C9D5">
                  <w:pPr>
                    <w:pStyle w:val="4"/>
                  </w:pPr>
                  <w:r>
                    <w:rPr>
                      <w:rFonts w:hint="eastAsia"/>
                    </w:rPr>
                    <w:t>0.05</w:t>
                  </w:r>
                </w:p>
              </w:tc>
              <w:tc>
                <w:tcPr>
                  <w:tcW w:w="575" w:type="pct"/>
                  <w:tcBorders>
                    <w:tl2br w:val="nil"/>
                    <w:tr2bl w:val="nil"/>
                  </w:tcBorders>
                  <w:vAlign w:val="center"/>
                </w:tcPr>
                <w:p w14:paraId="02CBE80B">
                  <w:pPr>
                    <w:pStyle w:val="4"/>
                  </w:pPr>
                  <w:r>
                    <w:t>委托处置</w:t>
                  </w:r>
                </w:p>
              </w:tc>
              <w:tc>
                <w:tcPr>
                  <w:tcW w:w="460" w:type="pct"/>
                  <w:tcBorders>
                    <w:tl2br w:val="nil"/>
                    <w:tr2bl w:val="nil"/>
                  </w:tcBorders>
                  <w:vAlign w:val="center"/>
                </w:tcPr>
                <w:p w14:paraId="6391A48B">
                  <w:pPr>
                    <w:pStyle w:val="4"/>
                  </w:pPr>
                  <w:r>
                    <w:rPr>
                      <w:rFonts w:hint="eastAsia"/>
                    </w:rPr>
                    <w:t>0.05</w:t>
                  </w:r>
                </w:p>
              </w:tc>
              <w:tc>
                <w:tcPr>
                  <w:tcW w:w="697" w:type="pct"/>
                  <w:vMerge w:val="continue"/>
                  <w:tcBorders>
                    <w:tl2br w:val="nil"/>
                    <w:tr2bl w:val="nil"/>
                  </w:tcBorders>
                  <w:vAlign w:val="center"/>
                </w:tcPr>
                <w:p w14:paraId="65624B54">
                  <w:pPr>
                    <w:pStyle w:val="4"/>
                  </w:pPr>
                </w:p>
              </w:tc>
            </w:tr>
            <w:tr w14:paraId="3EFDA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42" w:type="pct"/>
                  <w:vMerge w:val="restart"/>
                  <w:tcBorders>
                    <w:tl2br w:val="nil"/>
                    <w:tr2bl w:val="nil"/>
                  </w:tcBorders>
                  <w:shd w:val="clear" w:color="auto" w:fill="auto"/>
                  <w:vAlign w:val="center"/>
                </w:tcPr>
                <w:p w14:paraId="5B923B93">
                  <w:pPr>
                    <w:jc w:val="center"/>
                  </w:pPr>
                  <w:r>
                    <w:rPr>
                      <w:rFonts w:hint="eastAsia"/>
                    </w:rPr>
                    <w:t>污水处理系统</w:t>
                  </w:r>
                </w:p>
              </w:tc>
              <w:tc>
                <w:tcPr>
                  <w:tcW w:w="671" w:type="pct"/>
                  <w:tcBorders>
                    <w:tl2br w:val="nil"/>
                    <w:tr2bl w:val="nil"/>
                  </w:tcBorders>
                  <w:shd w:val="clear" w:color="auto" w:fill="auto"/>
                  <w:vAlign w:val="center"/>
                </w:tcPr>
                <w:p w14:paraId="14044C0C">
                  <w:pPr>
                    <w:jc w:val="center"/>
                  </w:pPr>
                  <w:r>
                    <w:t>污泥</w:t>
                  </w:r>
                </w:p>
              </w:tc>
              <w:tc>
                <w:tcPr>
                  <w:tcW w:w="692" w:type="pct"/>
                  <w:tcBorders>
                    <w:tl2br w:val="nil"/>
                    <w:tr2bl w:val="nil"/>
                  </w:tcBorders>
                  <w:shd w:val="clear" w:color="auto" w:fill="auto"/>
                  <w:vAlign w:val="center"/>
                </w:tcPr>
                <w:p w14:paraId="03E63371">
                  <w:pPr>
                    <w:jc w:val="center"/>
                  </w:pPr>
                  <w:r>
                    <w:t>HW01</w:t>
                  </w:r>
                </w:p>
              </w:tc>
              <w:tc>
                <w:tcPr>
                  <w:tcW w:w="333" w:type="pct"/>
                  <w:vMerge w:val="continue"/>
                  <w:tcBorders>
                    <w:tl2br w:val="nil"/>
                    <w:tr2bl w:val="nil"/>
                  </w:tcBorders>
                  <w:vAlign w:val="center"/>
                </w:tcPr>
                <w:p w14:paraId="315029AD">
                  <w:pPr>
                    <w:pStyle w:val="4"/>
                  </w:pPr>
                </w:p>
              </w:tc>
              <w:tc>
                <w:tcPr>
                  <w:tcW w:w="666" w:type="pct"/>
                  <w:tcBorders>
                    <w:tl2br w:val="nil"/>
                    <w:tr2bl w:val="nil"/>
                  </w:tcBorders>
                  <w:vAlign w:val="center"/>
                </w:tcPr>
                <w:p w14:paraId="6B5BB174">
                  <w:pPr>
                    <w:pStyle w:val="4"/>
                  </w:pPr>
                  <w:r>
                    <w:rPr>
                      <w:rFonts w:hint="eastAsia"/>
                    </w:rPr>
                    <w:t>类比法</w:t>
                  </w:r>
                </w:p>
              </w:tc>
              <w:tc>
                <w:tcPr>
                  <w:tcW w:w="460" w:type="pct"/>
                  <w:tcBorders>
                    <w:tl2br w:val="nil"/>
                    <w:tr2bl w:val="nil"/>
                  </w:tcBorders>
                  <w:vAlign w:val="center"/>
                </w:tcPr>
                <w:p w14:paraId="37B3A6A7">
                  <w:pPr>
                    <w:pStyle w:val="4"/>
                  </w:pPr>
                  <w:r>
                    <w:rPr>
                      <w:rFonts w:hint="eastAsia"/>
                    </w:rPr>
                    <w:t>2.0</w:t>
                  </w:r>
                </w:p>
              </w:tc>
              <w:tc>
                <w:tcPr>
                  <w:tcW w:w="575" w:type="pct"/>
                  <w:tcBorders>
                    <w:tl2br w:val="nil"/>
                    <w:tr2bl w:val="nil"/>
                  </w:tcBorders>
                  <w:vAlign w:val="center"/>
                </w:tcPr>
                <w:p w14:paraId="020D23B9">
                  <w:pPr>
                    <w:pStyle w:val="4"/>
                  </w:pPr>
                  <w:r>
                    <w:t>委托处置</w:t>
                  </w:r>
                </w:p>
              </w:tc>
              <w:tc>
                <w:tcPr>
                  <w:tcW w:w="460" w:type="pct"/>
                  <w:tcBorders>
                    <w:tl2br w:val="nil"/>
                    <w:tr2bl w:val="nil"/>
                  </w:tcBorders>
                  <w:vAlign w:val="center"/>
                </w:tcPr>
                <w:p w14:paraId="4D201585">
                  <w:pPr>
                    <w:pStyle w:val="4"/>
                  </w:pPr>
                  <w:r>
                    <w:rPr>
                      <w:rFonts w:hint="eastAsia"/>
                    </w:rPr>
                    <w:t>2.0</w:t>
                  </w:r>
                </w:p>
              </w:tc>
              <w:tc>
                <w:tcPr>
                  <w:tcW w:w="697" w:type="pct"/>
                  <w:vMerge w:val="continue"/>
                  <w:tcBorders>
                    <w:tl2br w:val="nil"/>
                    <w:tr2bl w:val="nil"/>
                  </w:tcBorders>
                  <w:vAlign w:val="center"/>
                </w:tcPr>
                <w:p w14:paraId="62E67AB0">
                  <w:pPr>
                    <w:pStyle w:val="4"/>
                  </w:pPr>
                </w:p>
              </w:tc>
            </w:tr>
            <w:tr w14:paraId="70EE0F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42" w:type="pct"/>
                  <w:vMerge w:val="continue"/>
                  <w:tcBorders>
                    <w:tl2br w:val="nil"/>
                    <w:tr2bl w:val="nil"/>
                  </w:tcBorders>
                  <w:shd w:val="clear" w:color="auto" w:fill="auto"/>
                  <w:vAlign w:val="center"/>
                </w:tcPr>
                <w:p w14:paraId="2506E7FF">
                  <w:pPr>
                    <w:jc w:val="center"/>
                  </w:pPr>
                </w:p>
              </w:tc>
              <w:tc>
                <w:tcPr>
                  <w:tcW w:w="671" w:type="pct"/>
                  <w:tcBorders>
                    <w:tl2br w:val="nil"/>
                    <w:tr2bl w:val="nil"/>
                  </w:tcBorders>
                  <w:shd w:val="clear" w:color="auto" w:fill="auto"/>
                  <w:vAlign w:val="center"/>
                </w:tcPr>
                <w:p w14:paraId="14FED544">
                  <w:pPr>
                    <w:jc w:val="center"/>
                  </w:pPr>
                  <w:r>
                    <w:rPr>
                      <w:rFonts w:hint="eastAsia"/>
                    </w:rPr>
                    <w:t>废活性炭</w:t>
                  </w:r>
                </w:p>
              </w:tc>
              <w:tc>
                <w:tcPr>
                  <w:tcW w:w="692" w:type="pct"/>
                  <w:tcBorders>
                    <w:tl2br w:val="nil"/>
                    <w:tr2bl w:val="nil"/>
                  </w:tcBorders>
                  <w:shd w:val="clear" w:color="auto" w:fill="auto"/>
                  <w:vAlign w:val="center"/>
                </w:tcPr>
                <w:p w14:paraId="0F484AF4">
                  <w:pPr>
                    <w:jc w:val="center"/>
                  </w:pPr>
                  <w:r>
                    <w:t>HW49</w:t>
                  </w:r>
                </w:p>
              </w:tc>
              <w:tc>
                <w:tcPr>
                  <w:tcW w:w="333" w:type="pct"/>
                  <w:vMerge w:val="continue"/>
                  <w:tcBorders>
                    <w:tl2br w:val="nil"/>
                    <w:tr2bl w:val="nil"/>
                  </w:tcBorders>
                  <w:vAlign w:val="center"/>
                </w:tcPr>
                <w:p w14:paraId="63701D6C">
                  <w:pPr>
                    <w:pStyle w:val="4"/>
                  </w:pPr>
                </w:p>
              </w:tc>
              <w:tc>
                <w:tcPr>
                  <w:tcW w:w="666" w:type="pct"/>
                  <w:tcBorders>
                    <w:tl2br w:val="nil"/>
                    <w:tr2bl w:val="nil"/>
                  </w:tcBorders>
                  <w:vAlign w:val="center"/>
                </w:tcPr>
                <w:p w14:paraId="5F25AD92">
                  <w:pPr>
                    <w:pStyle w:val="4"/>
                  </w:pPr>
                  <w:r>
                    <w:rPr>
                      <w:rFonts w:hint="eastAsia"/>
                    </w:rPr>
                    <w:t>类比法</w:t>
                  </w:r>
                </w:p>
              </w:tc>
              <w:tc>
                <w:tcPr>
                  <w:tcW w:w="460" w:type="pct"/>
                  <w:tcBorders>
                    <w:tl2br w:val="nil"/>
                    <w:tr2bl w:val="nil"/>
                  </w:tcBorders>
                  <w:vAlign w:val="center"/>
                </w:tcPr>
                <w:p w14:paraId="4380A51D">
                  <w:pPr>
                    <w:pStyle w:val="4"/>
                  </w:pPr>
                  <w:r>
                    <w:rPr>
                      <w:rFonts w:hint="eastAsia"/>
                    </w:rPr>
                    <w:t>0.2</w:t>
                  </w:r>
                </w:p>
              </w:tc>
              <w:tc>
                <w:tcPr>
                  <w:tcW w:w="575" w:type="pct"/>
                  <w:tcBorders>
                    <w:tl2br w:val="nil"/>
                    <w:tr2bl w:val="nil"/>
                  </w:tcBorders>
                  <w:vAlign w:val="center"/>
                </w:tcPr>
                <w:p w14:paraId="394B12AA">
                  <w:pPr>
                    <w:pStyle w:val="4"/>
                  </w:pPr>
                  <w:r>
                    <w:t>委托处置</w:t>
                  </w:r>
                </w:p>
              </w:tc>
              <w:tc>
                <w:tcPr>
                  <w:tcW w:w="460" w:type="pct"/>
                  <w:tcBorders>
                    <w:tl2br w:val="nil"/>
                    <w:tr2bl w:val="nil"/>
                  </w:tcBorders>
                  <w:vAlign w:val="center"/>
                </w:tcPr>
                <w:p w14:paraId="1017E864">
                  <w:pPr>
                    <w:pStyle w:val="4"/>
                  </w:pPr>
                  <w:r>
                    <w:rPr>
                      <w:rFonts w:hint="eastAsia"/>
                    </w:rPr>
                    <w:t>0.2</w:t>
                  </w:r>
                </w:p>
              </w:tc>
              <w:tc>
                <w:tcPr>
                  <w:tcW w:w="697" w:type="pct"/>
                  <w:vMerge w:val="continue"/>
                  <w:tcBorders>
                    <w:tl2br w:val="nil"/>
                    <w:tr2bl w:val="nil"/>
                  </w:tcBorders>
                  <w:vAlign w:val="center"/>
                </w:tcPr>
                <w:p w14:paraId="003AF5A3">
                  <w:pPr>
                    <w:pStyle w:val="4"/>
                  </w:pPr>
                </w:p>
              </w:tc>
            </w:tr>
          </w:tbl>
          <w:p w14:paraId="77CC34C9">
            <w:pPr>
              <w:spacing w:line="360" w:lineRule="auto"/>
              <w:ind w:firstLine="480" w:firstLineChars="200"/>
              <w:rPr>
                <w:sz w:val="24"/>
              </w:rPr>
            </w:pPr>
            <w:r>
              <w:rPr>
                <w:sz w:val="24"/>
              </w:rPr>
              <w:t>根据《危险废物贮存污染控制标准》（GB18597-2023）中有关要求，医疗废物和其他危险废物经分类收集后暂存其中，定期交由有资质单位处置，并签订危废处置协议，落实联单责任制。科室暂存间和医废暂存间需按照以下要求进行建设：</w:t>
            </w:r>
          </w:p>
          <w:p w14:paraId="7011FB21">
            <w:pPr>
              <w:spacing w:line="360" w:lineRule="auto"/>
              <w:ind w:firstLine="480" w:firstLineChars="200"/>
              <w:rPr>
                <w:sz w:val="24"/>
              </w:rPr>
            </w:pPr>
            <w:r>
              <w:rPr>
                <w:sz w:val="24"/>
              </w:rPr>
              <w:t>按照《危险废物贮存污染控制标准》（GB18597-2023）要求，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cm/s），或至少2mm厚高密度聚乙烯膜等人工防渗材料（渗透系数不大于10</w:t>
            </w:r>
            <w:r>
              <w:rPr>
                <w:sz w:val="24"/>
                <w:vertAlign w:val="superscript"/>
              </w:rPr>
              <w:t>-10</w:t>
            </w:r>
            <w:r>
              <w:rPr>
                <w:sz w:val="24"/>
              </w:rPr>
              <w:t>cm/s），或其他防渗性能等效的材料。</w:t>
            </w:r>
          </w:p>
          <w:p w14:paraId="7CDC016B">
            <w:pPr>
              <w:spacing w:line="360" w:lineRule="auto"/>
              <w:ind w:firstLine="480" w:firstLineChars="200"/>
              <w:rPr>
                <w:sz w:val="24"/>
              </w:rPr>
            </w:pPr>
            <w:r>
              <w:rPr>
                <w:sz w:val="24"/>
              </w:rPr>
              <w:t>危险废物的收集必须按照相关规定进行，禁止在非贮存地点（容器）倾倒、堆放危险废物或者将危险废物混入其他一般工业固体废物和生活垃圾，各废物贮存需按照国家相应要求处置，贮存设施或场所、容器和包装物应按《危险废物识别标志设置技术规范 （HJ 1276—2022）》要求设置危险废物贮存设施或场所标志、危险废物贮存分区标志和危险废物标签等危险废物识别标志。</w:t>
            </w:r>
          </w:p>
          <w:p w14:paraId="1F2F5D62">
            <w:pPr>
              <w:spacing w:line="360" w:lineRule="auto"/>
              <w:ind w:firstLine="480" w:firstLineChars="200"/>
              <w:rPr>
                <w:sz w:val="24"/>
              </w:rPr>
            </w:pPr>
            <w:r>
              <w:rPr>
                <w:sz w:val="24"/>
              </w:rPr>
              <w:t>c.危险废物转运时必须安全转移，防止撒漏，且由具处理危废资质的单位接收。危险废物的处置需严格按照《危险废物转移联单管理办法》规定。</w:t>
            </w:r>
          </w:p>
          <w:p w14:paraId="771E47A6">
            <w:pPr>
              <w:spacing w:line="360" w:lineRule="auto"/>
              <w:ind w:firstLine="480" w:firstLineChars="200"/>
              <w:rPr>
                <w:sz w:val="24"/>
              </w:rPr>
            </w:pPr>
            <w:r>
              <w:rPr>
                <w:sz w:val="24"/>
              </w:rPr>
              <w:t>本项目医疗废物暂存间基本情况见表4-1</w:t>
            </w:r>
            <w:r>
              <w:rPr>
                <w:rFonts w:hint="eastAsia"/>
                <w:sz w:val="24"/>
                <w:lang w:val="en-US" w:eastAsia="zh-CN"/>
              </w:rPr>
              <w:t>9</w:t>
            </w:r>
            <w:r>
              <w:rPr>
                <w:sz w:val="24"/>
              </w:rPr>
              <w:t>，危险废物处置措施见表4-</w:t>
            </w:r>
            <w:r>
              <w:rPr>
                <w:rFonts w:hint="eastAsia"/>
                <w:sz w:val="24"/>
                <w:lang w:val="en-US" w:eastAsia="zh-CN"/>
              </w:rPr>
              <w:t>20</w:t>
            </w:r>
            <w:r>
              <w:rPr>
                <w:sz w:val="24"/>
              </w:rPr>
              <w:t>。</w:t>
            </w:r>
          </w:p>
          <w:p w14:paraId="53F4C2BF">
            <w:pPr>
              <w:spacing w:line="360" w:lineRule="auto"/>
              <w:jc w:val="center"/>
              <w:rPr>
                <w:b/>
                <w:bCs/>
                <w:sz w:val="24"/>
              </w:rPr>
            </w:pPr>
            <w:r>
              <w:rPr>
                <w:b/>
                <w:bCs/>
                <w:sz w:val="24"/>
              </w:rPr>
              <w:t>表4-1</w:t>
            </w:r>
            <w:r>
              <w:rPr>
                <w:rFonts w:hint="eastAsia"/>
                <w:b/>
                <w:bCs/>
                <w:sz w:val="24"/>
                <w:lang w:val="en-US" w:eastAsia="zh-CN"/>
              </w:rPr>
              <w:t>9</w:t>
            </w:r>
            <w:r>
              <w:rPr>
                <w:b/>
                <w:bCs/>
                <w:sz w:val="24"/>
              </w:rPr>
              <w:t xml:space="preserve">  危险废物贮存场所基本情况一览表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940"/>
              <w:gridCol w:w="1251"/>
              <w:gridCol w:w="727"/>
              <w:gridCol w:w="913"/>
              <w:gridCol w:w="1174"/>
              <w:gridCol w:w="899"/>
              <w:gridCol w:w="1455"/>
            </w:tblGrid>
            <w:tr w14:paraId="39BCB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tcBorders>
                    <w:tl2br w:val="nil"/>
                    <w:tr2bl w:val="nil"/>
                  </w:tcBorders>
                  <w:vAlign w:val="center"/>
                </w:tcPr>
                <w:p w14:paraId="6FE0013C">
                  <w:pPr>
                    <w:autoSpaceDE w:val="0"/>
                    <w:autoSpaceDN w:val="0"/>
                    <w:jc w:val="center"/>
                    <w:rPr>
                      <w:b/>
                    </w:rPr>
                  </w:pPr>
                  <w:r>
                    <w:rPr>
                      <w:b/>
                    </w:rPr>
                    <w:t>危险废物名称</w:t>
                  </w:r>
                </w:p>
              </w:tc>
              <w:tc>
                <w:tcPr>
                  <w:tcW w:w="543" w:type="pct"/>
                  <w:tcBorders>
                    <w:tl2br w:val="nil"/>
                    <w:tr2bl w:val="nil"/>
                  </w:tcBorders>
                  <w:vAlign w:val="center"/>
                </w:tcPr>
                <w:p w14:paraId="7F9C518E">
                  <w:pPr>
                    <w:autoSpaceDE w:val="0"/>
                    <w:autoSpaceDN w:val="0"/>
                    <w:jc w:val="center"/>
                    <w:rPr>
                      <w:b/>
                    </w:rPr>
                  </w:pPr>
                  <w:r>
                    <w:rPr>
                      <w:b/>
                    </w:rPr>
                    <w:t>危险废物类别</w:t>
                  </w:r>
                </w:p>
              </w:tc>
              <w:tc>
                <w:tcPr>
                  <w:tcW w:w="722" w:type="pct"/>
                  <w:tcBorders>
                    <w:tl2br w:val="nil"/>
                    <w:tr2bl w:val="nil"/>
                  </w:tcBorders>
                  <w:vAlign w:val="center"/>
                </w:tcPr>
                <w:p w14:paraId="2AF1B10B">
                  <w:pPr>
                    <w:autoSpaceDE w:val="0"/>
                    <w:autoSpaceDN w:val="0"/>
                    <w:jc w:val="center"/>
                    <w:rPr>
                      <w:b/>
                    </w:rPr>
                  </w:pPr>
                  <w:r>
                    <w:rPr>
                      <w:b/>
                    </w:rPr>
                    <w:t>危险废物代码</w:t>
                  </w:r>
                </w:p>
              </w:tc>
              <w:tc>
                <w:tcPr>
                  <w:tcW w:w="420" w:type="pct"/>
                  <w:tcBorders>
                    <w:tl2br w:val="nil"/>
                    <w:tr2bl w:val="nil"/>
                  </w:tcBorders>
                  <w:vAlign w:val="center"/>
                </w:tcPr>
                <w:p w14:paraId="1521C199">
                  <w:pPr>
                    <w:autoSpaceDE w:val="0"/>
                    <w:autoSpaceDN w:val="0"/>
                    <w:jc w:val="center"/>
                    <w:rPr>
                      <w:b/>
                    </w:rPr>
                  </w:pPr>
                  <w:r>
                    <w:rPr>
                      <w:b/>
                    </w:rPr>
                    <w:t>位置</w:t>
                  </w:r>
                </w:p>
              </w:tc>
              <w:tc>
                <w:tcPr>
                  <w:tcW w:w="527" w:type="pct"/>
                  <w:tcBorders>
                    <w:tl2br w:val="nil"/>
                    <w:tr2bl w:val="nil"/>
                  </w:tcBorders>
                  <w:vAlign w:val="center"/>
                </w:tcPr>
                <w:p w14:paraId="4B0CD2D0">
                  <w:pPr>
                    <w:autoSpaceDE w:val="0"/>
                    <w:autoSpaceDN w:val="0"/>
                    <w:jc w:val="center"/>
                    <w:rPr>
                      <w:b/>
                    </w:rPr>
                  </w:pPr>
                  <w:r>
                    <w:rPr>
                      <w:b/>
                    </w:rPr>
                    <w:t>占地</w:t>
                  </w:r>
                </w:p>
                <w:p w14:paraId="4600534C">
                  <w:pPr>
                    <w:autoSpaceDE w:val="0"/>
                    <w:autoSpaceDN w:val="0"/>
                    <w:jc w:val="center"/>
                    <w:rPr>
                      <w:b/>
                    </w:rPr>
                  </w:pPr>
                  <w:r>
                    <w:rPr>
                      <w:b/>
                    </w:rPr>
                    <w:t>面积</w:t>
                  </w:r>
                </w:p>
              </w:tc>
              <w:tc>
                <w:tcPr>
                  <w:tcW w:w="678" w:type="pct"/>
                  <w:tcBorders>
                    <w:tl2br w:val="nil"/>
                    <w:tr2bl w:val="nil"/>
                  </w:tcBorders>
                  <w:vAlign w:val="center"/>
                </w:tcPr>
                <w:p w14:paraId="15886D5E">
                  <w:pPr>
                    <w:autoSpaceDE w:val="0"/>
                    <w:autoSpaceDN w:val="0"/>
                    <w:jc w:val="center"/>
                    <w:rPr>
                      <w:b/>
                    </w:rPr>
                  </w:pPr>
                  <w:r>
                    <w:rPr>
                      <w:b/>
                    </w:rPr>
                    <w:t>贮存方式</w:t>
                  </w:r>
                </w:p>
              </w:tc>
              <w:tc>
                <w:tcPr>
                  <w:tcW w:w="519" w:type="pct"/>
                  <w:tcBorders>
                    <w:tl2br w:val="nil"/>
                    <w:tr2bl w:val="nil"/>
                  </w:tcBorders>
                  <w:vAlign w:val="center"/>
                </w:tcPr>
                <w:p w14:paraId="2DD87210">
                  <w:pPr>
                    <w:autoSpaceDE w:val="0"/>
                    <w:autoSpaceDN w:val="0"/>
                    <w:jc w:val="center"/>
                    <w:rPr>
                      <w:b/>
                    </w:rPr>
                  </w:pPr>
                  <w:r>
                    <w:rPr>
                      <w:b/>
                    </w:rPr>
                    <w:t>贮存</w:t>
                  </w:r>
                </w:p>
                <w:p w14:paraId="639C8B27">
                  <w:pPr>
                    <w:autoSpaceDE w:val="0"/>
                    <w:autoSpaceDN w:val="0"/>
                    <w:jc w:val="center"/>
                    <w:rPr>
                      <w:b/>
                    </w:rPr>
                  </w:pPr>
                  <w:r>
                    <w:rPr>
                      <w:b/>
                    </w:rPr>
                    <w:t>能力</w:t>
                  </w:r>
                </w:p>
              </w:tc>
              <w:tc>
                <w:tcPr>
                  <w:tcW w:w="840" w:type="pct"/>
                  <w:tcBorders>
                    <w:tl2br w:val="nil"/>
                    <w:tr2bl w:val="nil"/>
                  </w:tcBorders>
                  <w:vAlign w:val="center"/>
                </w:tcPr>
                <w:p w14:paraId="079351FB">
                  <w:pPr>
                    <w:autoSpaceDE w:val="0"/>
                    <w:autoSpaceDN w:val="0"/>
                    <w:jc w:val="center"/>
                    <w:rPr>
                      <w:b/>
                    </w:rPr>
                  </w:pPr>
                  <w:r>
                    <w:rPr>
                      <w:b/>
                    </w:rPr>
                    <w:t>贮存周期</w:t>
                  </w:r>
                </w:p>
              </w:tc>
            </w:tr>
            <w:tr w14:paraId="16F84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vMerge w:val="restart"/>
                  <w:tcBorders>
                    <w:tl2br w:val="nil"/>
                    <w:tr2bl w:val="nil"/>
                  </w:tcBorders>
                  <w:vAlign w:val="center"/>
                </w:tcPr>
                <w:p w14:paraId="17188157">
                  <w:pPr>
                    <w:autoSpaceDE w:val="0"/>
                    <w:autoSpaceDN w:val="0"/>
                    <w:jc w:val="center"/>
                  </w:pPr>
                  <w:r>
                    <w:t>医疗废物</w:t>
                  </w:r>
                </w:p>
              </w:tc>
              <w:tc>
                <w:tcPr>
                  <w:tcW w:w="543" w:type="pct"/>
                  <w:vMerge w:val="restart"/>
                  <w:tcBorders>
                    <w:tl2br w:val="nil"/>
                    <w:tr2bl w:val="nil"/>
                  </w:tcBorders>
                  <w:vAlign w:val="center"/>
                </w:tcPr>
                <w:p w14:paraId="222699DC">
                  <w:pPr>
                    <w:autoSpaceDE w:val="0"/>
                    <w:autoSpaceDN w:val="0"/>
                    <w:jc w:val="center"/>
                  </w:pPr>
                  <w:r>
                    <w:t>HW01</w:t>
                  </w:r>
                </w:p>
              </w:tc>
              <w:tc>
                <w:tcPr>
                  <w:tcW w:w="722" w:type="pct"/>
                  <w:tcBorders>
                    <w:tl2br w:val="nil"/>
                    <w:tr2bl w:val="nil"/>
                  </w:tcBorders>
                  <w:vAlign w:val="center"/>
                </w:tcPr>
                <w:p w14:paraId="3DE949B0">
                  <w:pPr>
                    <w:autoSpaceDE w:val="0"/>
                    <w:autoSpaceDN w:val="0"/>
                    <w:jc w:val="center"/>
                  </w:pPr>
                  <w:r>
                    <w:t>841-001-01</w:t>
                  </w:r>
                </w:p>
              </w:tc>
              <w:tc>
                <w:tcPr>
                  <w:tcW w:w="420" w:type="pct"/>
                  <w:vMerge w:val="restart"/>
                  <w:tcBorders>
                    <w:tl2br w:val="nil"/>
                    <w:tr2bl w:val="nil"/>
                  </w:tcBorders>
                  <w:vAlign w:val="center"/>
                </w:tcPr>
                <w:p w14:paraId="39BCCAB1">
                  <w:pPr>
                    <w:jc w:val="center"/>
                  </w:pPr>
                  <w:r>
                    <w:t>医疗废物暂存间</w:t>
                  </w:r>
                </w:p>
              </w:tc>
              <w:tc>
                <w:tcPr>
                  <w:tcW w:w="527" w:type="pct"/>
                  <w:vMerge w:val="restart"/>
                  <w:tcBorders>
                    <w:tl2br w:val="nil"/>
                    <w:tr2bl w:val="nil"/>
                  </w:tcBorders>
                  <w:vAlign w:val="center"/>
                </w:tcPr>
                <w:p w14:paraId="1AB8B568">
                  <w:pPr>
                    <w:jc w:val="center"/>
                  </w:pPr>
                  <w:r>
                    <w:rPr>
                      <w:rFonts w:hint="eastAsia"/>
                    </w:rPr>
                    <w:t>7.77</w:t>
                  </w:r>
                  <w:r>
                    <w:t>m</w:t>
                  </w:r>
                  <w:r>
                    <w:rPr>
                      <w:vertAlign w:val="superscript"/>
                    </w:rPr>
                    <w:t>2</w:t>
                  </w:r>
                </w:p>
              </w:tc>
              <w:tc>
                <w:tcPr>
                  <w:tcW w:w="678" w:type="pct"/>
                  <w:vMerge w:val="restart"/>
                  <w:tcBorders>
                    <w:tl2br w:val="nil"/>
                    <w:tr2bl w:val="nil"/>
                  </w:tcBorders>
                  <w:vAlign w:val="center"/>
                </w:tcPr>
                <w:p w14:paraId="3B1406BC">
                  <w:pPr>
                    <w:autoSpaceDE w:val="0"/>
                    <w:autoSpaceDN w:val="0"/>
                    <w:jc w:val="center"/>
                  </w:pPr>
                  <w:r>
                    <w:t>密封桶装</w:t>
                  </w:r>
                </w:p>
              </w:tc>
              <w:tc>
                <w:tcPr>
                  <w:tcW w:w="519" w:type="pct"/>
                  <w:vMerge w:val="restart"/>
                  <w:tcBorders>
                    <w:tl2br w:val="nil"/>
                    <w:tr2bl w:val="nil"/>
                  </w:tcBorders>
                  <w:vAlign w:val="center"/>
                </w:tcPr>
                <w:p w14:paraId="0A533DBB">
                  <w:pPr>
                    <w:autoSpaceDE w:val="0"/>
                    <w:autoSpaceDN w:val="0"/>
                    <w:jc w:val="center"/>
                  </w:pPr>
                  <w:r>
                    <w:t>0.3t</w:t>
                  </w:r>
                </w:p>
              </w:tc>
              <w:tc>
                <w:tcPr>
                  <w:tcW w:w="840" w:type="pct"/>
                  <w:vMerge w:val="restart"/>
                  <w:tcBorders>
                    <w:tl2br w:val="nil"/>
                    <w:tr2bl w:val="nil"/>
                  </w:tcBorders>
                  <w:vAlign w:val="center"/>
                </w:tcPr>
                <w:p w14:paraId="3673E3D5">
                  <w:pPr>
                    <w:autoSpaceDE w:val="0"/>
                    <w:autoSpaceDN w:val="0"/>
                    <w:jc w:val="center"/>
                  </w:pPr>
                  <w:r>
                    <w:t>2天</w:t>
                  </w:r>
                </w:p>
              </w:tc>
            </w:tr>
            <w:tr w14:paraId="183C6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vMerge w:val="continue"/>
                  <w:tcBorders>
                    <w:tl2br w:val="nil"/>
                    <w:tr2bl w:val="nil"/>
                  </w:tcBorders>
                  <w:vAlign w:val="center"/>
                </w:tcPr>
                <w:p w14:paraId="4D89B23D">
                  <w:pPr>
                    <w:autoSpaceDE w:val="0"/>
                    <w:autoSpaceDN w:val="0"/>
                    <w:jc w:val="center"/>
                  </w:pPr>
                </w:p>
              </w:tc>
              <w:tc>
                <w:tcPr>
                  <w:tcW w:w="543" w:type="pct"/>
                  <w:vMerge w:val="continue"/>
                  <w:tcBorders>
                    <w:tl2br w:val="nil"/>
                    <w:tr2bl w:val="nil"/>
                  </w:tcBorders>
                  <w:vAlign w:val="center"/>
                </w:tcPr>
                <w:p w14:paraId="3687A381">
                  <w:pPr>
                    <w:autoSpaceDE w:val="0"/>
                    <w:autoSpaceDN w:val="0"/>
                    <w:jc w:val="center"/>
                  </w:pPr>
                </w:p>
              </w:tc>
              <w:tc>
                <w:tcPr>
                  <w:tcW w:w="722" w:type="pct"/>
                  <w:tcBorders>
                    <w:tl2br w:val="nil"/>
                    <w:tr2bl w:val="nil"/>
                  </w:tcBorders>
                  <w:vAlign w:val="center"/>
                </w:tcPr>
                <w:p w14:paraId="0C98616F">
                  <w:pPr>
                    <w:autoSpaceDE w:val="0"/>
                    <w:autoSpaceDN w:val="0"/>
                    <w:jc w:val="center"/>
                  </w:pPr>
                  <w:r>
                    <w:t>841-002-01</w:t>
                  </w:r>
                </w:p>
              </w:tc>
              <w:tc>
                <w:tcPr>
                  <w:tcW w:w="420" w:type="pct"/>
                  <w:vMerge w:val="continue"/>
                  <w:tcBorders>
                    <w:tl2br w:val="nil"/>
                    <w:tr2bl w:val="nil"/>
                  </w:tcBorders>
                  <w:vAlign w:val="center"/>
                </w:tcPr>
                <w:p w14:paraId="4CDEA36F">
                  <w:pPr>
                    <w:jc w:val="center"/>
                  </w:pPr>
                </w:p>
              </w:tc>
              <w:tc>
                <w:tcPr>
                  <w:tcW w:w="527" w:type="pct"/>
                  <w:vMerge w:val="continue"/>
                  <w:tcBorders>
                    <w:tl2br w:val="nil"/>
                    <w:tr2bl w:val="nil"/>
                  </w:tcBorders>
                  <w:vAlign w:val="center"/>
                </w:tcPr>
                <w:p w14:paraId="1430B770">
                  <w:pPr>
                    <w:jc w:val="center"/>
                  </w:pPr>
                </w:p>
              </w:tc>
              <w:tc>
                <w:tcPr>
                  <w:tcW w:w="678" w:type="pct"/>
                  <w:vMerge w:val="continue"/>
                  <w:tcBorders>
                    <w:tl2br w:val="nil"/>
                    <w:tr2bl w:val="nil"/>
                  </w:tcBorders>
                  <w:vAlign w:val="center"/>
                </w:tcPr>
                <w:p w14:paraId="2BF9FC8F">
                  <w:pPr>
                    <w:autoSpaceDE w:val="0"/>
                    <w:autoSpaceDN w:val="0"/>
                    <w:jc w:val="center"/>
                  </w:pPr>
                </w:p>
              </w:tc>
              <w:tc>
                <w:tcPr>
                  <w:tcW w:w="519" w:type="pct"/>
                  <w:vMerge w:val="continue"/>
                  <w:tcBorders>
                    <w:tl2br w:val="nil"/>
                    <w:tr2bl w:val="nil"/>
                  </w:tcBorders>
                  <w:vAlign w:val="center"/>
                </w:tcPr>
                <w:p w14:paraId="305ACE9F">
                  <w:pPr>
                    <w:autoSpaceDE w:val="0"/>
                    <w:autoSpaceDN w:val="0"/>
                    <w:jc w:val="center"/>
                  </w:pPr>
                </w:p>
              </w:tc>
              <w:tc>
                <w:tcPr>
                  <w:tcW w:w="840" w:type="pct"/>
                  <w:vMerge w:val="continue"/>
                  <w:tcBorders>
                    <w:tl2br w:val="nil"/>
                    <w:tr2bl w:val="nil"/>
                  </w:tcBorders>
                  <w:vAlign w:val="center"/>
                </w:tcPr>
                <w:p w14:paraId="26B566FB">
                  <w:pPr>
                    <w:autoSpaceDE w:val="0"/>
                    <w:autoSpaceDN w:val="0"/>
                    <w:jc w:val="center"/>
                  </w:pPr>
                </w:p>
              </w:tc>
            </w:tr>
            <w:tr w14:paraId="43D2B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vMerge w:val="continue"/>
                  <w:tcBorders>
                    <w:tl2br w:val="nil"/>
                    <w:tr2bl w:val="nil"/>
                  </w:tcBorders>
                  <w:vAlign w:val="center"/>
                </w:tcPr>
                <w:p w14:paraId="6155908E">
                  <w:pPr>
                    <w:autoSpaceDE w:val="0"/>
                    <w:autoSpaceDN w:val="0"/>
                    <w:jc w:val="center"/>
                  </w:pPr>
                </w:p>
              </w:tc>
              <w:tc>
                <w:tcPr>
                  <w:tcW w:w="543" w:type="pct"/>
                  <w:vMerge w:val="continue"/>
                  <w:tcBorders>
                    <w:tl2br w:val="nil"/>
                    <w:tr2bl w:val="nil"/>
                  </w:tcBorders>
                  <w:vAlign w:val="center"/>
                </w:tcPr>
                <w:p w14:paraId="2A977027">
                  <w:pPr>
                    <w:autoSpaceDE w:val="0"/>
                    <w:autoSpaceDN w:val="0"/>
                    <w:jc w:val="center"/>
                  </w:pPr>
                </w:p>
              </w:tc>
              <w:tc>
                <w:tcPr>
                  <w:tcW w:w="722" w:type="pct"/>
                  <w:tcBorders>
                    <w:tl2br w:val="nil"/>
                    <w:tr2bl w:val="nil"/>
                  </w:tcBorders>
                  <w:vAlign w:val="center"/>
                </w:tcPr>
                <w:p w14:paraId="0EB65679">
                  <w:pPr>
                    <w:autoSpaceDE w:val="0"/>
                    <w:autoSpaceDN w:val="0"/>
                    <w:jc w:val="center"/>
                  </w:pPr>
                  <w:r>
                    <w:t>841-00</w:t>
                  </w:r>
                  <w:r>
                    <w:rPr>
                      <w:rFonts w:hint="eastAsia"/>
                    </w:rPr>
                    <w:t>5</w:t>
                  </w:r>
                  <w:r>
                    <w:t>-01</w:t>
                  </w:r>
                </w:p>
              </w:tc>
              <w:tc>
                <w:tcPr>
                  <w:tcW w:w="420" w:type="pct"/>
                  <w:vMerge w:val="continue"/>
                  <w:tcBorders>
                    <w:tl2br w:val="nil"/>
                    <w:tr2bl w:val="nil"/>
                  </w:tcBorders>
                  <w:vAlign w:val="center"/>
                </w:tcPr>
                <w:p w14:paraId="04200C52">
                  <w:pPr>
                    <w:jc w:val="center"/>
                  </w:pPr>
                </w:p>
              </w:tc>
              <w:tc>
                <w:tcPr>
                  <w:tcW w:w="527" w:type="pct"/>
                  <w:vMerge w:val="continue"/>
                  <w:tcBorders>
                    <w:tl2br w:val="nil"/>
                    <w:tr2bl w:val="nil"/>
                  </w:tcBorders>
                  <w:vAlign w:val="center"/>
                </w:tcPr>
                <w:p w14:paraId="5C854748">
                  <w:pPr>
                    <w:jc w:val="center"/>
                  </w:pPr>
                </w:p>
              </w:tc>
              <w:tc>
                <w:tcPr>
                  <w:tcW w:w="678" w:type="pct"/>
                  <w:vMerge w:val="continue"/>
                  <w:tcBorders>
                    <w:tl2br w:val="nil"/>
                    <w:tr2bl w:val="nil"/>
                  </w:tcBorders>
                  <w:vAlign w:val="center"/>
                </w:tcPr>
                <w:p w14:paraId="000C766B">
                  <w:pPr>
                    <w:autoSpaceDE w:val="0"/>
                    <w:autoSpaceDN w:val="0"/>
                    <w:jc w:val="center"/>
                  </w:pPr>
                </w:p>
              </w:tc>
              <w:tc>
                <w:tcPr>
                  <w:tcW w:w="519" w:type="pct"/>
                  <w:vMerge w:val="continue"/>
                  <w:tcBorders>
                    <w:tl2br w:val="nil"/>
                    <w:tr2bl w:val="nil"/>
                  </w:tcBorders>
                  <w:vAlign w:val="center"/>
                </w:tcPr>
                <w:p w14:paraId="79279181">
                  <w:pPr>
                    <w:autoSpaceDE w:val="0"/>
                    <w:autoSpaceDN w:val="0"/>
                    <w:jc w:val="center"/>
                  </w:pPr>
                </w:p>
              </w:tc>
              <w:tc>
                <w:tcPr>
                  <w:tcW w:w="840" w:type="pct"/>
                  <w:vMerge w:val="continue"/>
                  <w:tcBorders>
                    <w:tl2br w:val="nil"/>
                    <w:tr2bl w:val="nil"/>
                  </w:tcBorders>
                  <w:vAlign w:val="center"/>
                </w:tcPr>
                <w:p w14:paraId="7E05E943">
                  <w:pPr>
                    <w:autoSpaceDE w:val="0"/>
                    <w:autoSpaceDN w:val="0"/>
                    <w:jc w:val="center"/>
                  </w:pPr>
                </w:p>
              </w:tc>
            </w:tr>
            <w:tr w14:paraId="19881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tcBorders>
                    <w:tl2br w:val="nil"/>
                    <w:tr2bl w:val="nil"/>
                  </w:tcBorders>
                  <w:vAlign w:val="center"/>
                </w:tcPr>
                <w:p w14:paraId="04C7B7B2">
                  <w:pPr>
                    <w:jc w:val="center"/>
                  </w:pPr>
                  <w:r>
                    <w:t>废紫外灯管</w:t>
                  </w:r>
                </w:p>
              </w:tc>
              <w:tc>
                <w:tcPr>
                  <w:tcW w:w="543" w:type="pct"/>
                  <w:tcBorders>
                    <w:tl2br w:val="nil"/>
                    <w:tr2bl w:val="nil"/>
                  </w:tcBorders>
                  <w:vAlign w:val="center"/>
                </w:tcPr>
                <w:p w14:paraId="7CDED691">
                  <w:pPr>
                    <w:jc w:val="center"/>
                  </w:pPr>
                  <w:r>
                    <w:t>HW29</w:t>
                  </w:r>
                </w:p>
              </w:tc>
              <w:tc>
                <w:tcPr>
                  <w:tcW w:w="722" w:type="pct"/>
                  <w:tcBorders>
                    <w:tl2br w:val="nil"/>
                    <w:tr2bl w:val="nil"/>
                  </w:tcBorders>
                  <w:vAlign w:val="center"/>
                </w:tcPr>
                <w:p w14:paraId="0BDA6DA4">
                  <w:pPr>
                    <w:autoSpaceDE w:val="0"/>
                    <w:autoSpaceDN w:val="0"/>
                    <w:jc w:val="center"/>
                  </w:pPr>
                  <w:r>
                    <w:t>900-023-29</w:t>
                  </w:r>
                </w:p>
              </w:tc>
              <w:tc>
                <w:tcPr>
                  <w:tcW w:w="420" w:type="pct"/>
                  <w:vMerge w:val="continue"/>
                  <w:tcBorders>
                    <w:tl2br w:val="nil"/>
                    <w:tr2bl w:val="nil"/>
                  </w:tcBorders>
                  <w:vAlign w:val="center"/>
                </w:tcPr>
                <w:p w14:paraId="55ACF4E2">
                  <w:pPr>
                    <w:widowControl/>
                    <w:jc w:val="center"/>
                  </w:pPr>
                </w:p>
              </w:tc>
              <w:tc>
                <w:tcPr>
                  <w:tcW w:w="527" w:type="pct"/>
                  <w:vMerge w:val="continue"/>
                  <w:tcBorders>
                    <w:tl2br w:val="nil"/>
                    <w:tr2bl w:val="nil"/>
                  </w:tcBorders>
                  <w:vAlign w:val="center"/>
                </w:tcPr>
                <w:p w14:paraId="673B66CE">
                  <w:pPr>
                    <w:widowControl/>
                    <w:jc w:val="center"/>
                  </w:pPr>
                </w:p>
              </w:tc>
              <w:tc>
                <w:tcPr>
                  <w:tcW w:w="678" w:type="pct"/>
                  <w:tcBorders>
                    <w:tl2br w:val="nil"/>
                    <w:tr2bl w:val="nil"/>
                  </w:tcBorders>
                  <w:vAlign w:val="center"/>
                </w:tcPr>
                <w:p w14:paraId="6CE3CB78">
                  <w:pPr>
                    <w:autoSpaceDE w:val="0"/>
                    <w:autoSpaceDN w:val="0"/>
                    <w:jc w:val="center"/>
                  </w:pPr>
                  <w:r>
                    <w:t>袋装</w:t>
                  </w:r>
                </w:p>
              </w:tc>
              <w:tc>
                <w:tcPr>
                  <w:tcW w:w="519" w:type="pct"/>
                  <w:tcBorders>
                    <w:tl2br w:val="nil"/>
                    <w:tr2bl w:val="nil"/>
                  </w:tcBorders>
                  <w:vAlign w:val="center"/>
                </w:tcPr>
                <w:p w14:paraId="7A01A43D">
                  <w:pPr>
                    <w:autoSpaceDE w:val="0"/>
                    <w:autoSpaceDN w:val="0"/>
                    <w:jc w:val="center"/>
                  </w:pPr>
                  <w:r>
                    <w:t>0.1t</w:t>
                  </w:r>
                </w:p>
              </w:tc>
              <w:tc>
                <w:tcPr>
                  <w:tcW w:w="840" w:type="pct"/>
                  <w:tcBorders>
                    <w:tl2br w:val="nil"/>
                    <w:tr2bl w:val="nil"/>
                  </w:tcBorders>
                  <w:vAlign w:val="center"/>
                </w:tcPr>
                <w:p w14:paraId="2C06BCDC">
                  <w:pPr>
                    <w:autoSpaceDE w:val="0"/>
                    <w:autoSpaceDN w:val="0"/>
                    <w:jc w:val="center"/>
                  </w:pPr>
                  <w:r>
                    <w:t>1年</w:t>
                  </w:r>
                </w:p>
              </w:tc>
            </w:tr>
            <w:tr w14:paraId="0760E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tcBorders>
                    <w:tl2br w:val="nil"/>
                    <w:tr2bl w:val="nil"/>
                  </w:tcBorders>
                  <w:vAlign w:val="center"/>
                </w:tcPr>
                <w:p w14:paraId="141EA835">
                  <w:pPr>
                    <w:jc w:val="center"/>
                  </w:pPr>
                  <w:r>
                    <w:rPr>
                      <w:rFonts w:hint="eastAsia"/>
                    </w:rPr>
                    <w:t>废活性炭</w:t>
                  </w:r>
                </w:p>
              </w:tc>
              <w:tc>
                <w:tcPr>
                  <w:tcW w:w="543" w:type="pct"/>
                  <w:tcBorders>
                    <w:tl2br w:val="nil"/>
                    <w:tr2bl w:val="nil"/>
                  </w:tcBorders>
                  <w:vAlign w:val="center"/>
                </w:tcPr>
                <w:p w14:paraId="7727B378">
                  <w:pPr>
                    <w:jc w:val="center"/>
                  </w:pPr>
                  <w:r>
                    <w:rPr>
                      <w:rFonts w:hint="eastAsia"/>
                    </w:rPr>
                    <w:t>HW49</w:t>
                  </w:r>
                </w:p>
              </w:tc>
              <w:tc>
                <w:tcPr>
                  <w:tcW w:w="722" w:type="pct"/>
                  <w:tcBorders>
                    <w:tl2br w:val="nil"/>
                    <w:tr2bl w:val="nil"/>
                  </w:tcBorders>
                  <w:vAlign w:val="center"/>
                </w:tcPr>
                <w:p w14:paraId="491D07F7">
                  <w:pPr>
                    <w:autoSpaceDE w:val="0"/>
                    <w:autoSpaceDN w:val="0"/>
                    <w:jc w:val="center"/>
                  </w:pPr>
                  <w:r>
                    <w:rPr>
                      <w:rFonts w:hint="eastAsia"/>
                    </w:rPr>
                    <w:t>900-041-49</w:t>
                  </w:r>
                </w:p>
              </w:tc>
              <w:tc>
                <w:tcPr>
                  <w:tcW w:w="420" w:type="pct"/>
                  <w:vMerge w:val="continue"/>
                  <w:tcBorders>
                    <w:tl2br w:val="nil"/>
                    <w:tr2bl w:val="nil"/>
                  </w:tcBorders>
                  <w:vAlign w:val="center"/>
                </w:tcPr>
                <w:p w14:paraId="79C774DB">
                  <w:pPr>
                    <w:widowControl/>
                    <w:jc w:val="center"/>
                  </w:pPr>
                </w:p>
              </w:tc>
              <w:tc>
                <w:tcPr>
                  <w:tcW w:w="527" w:type="pct"/>
                  <w:vMerge w:val="continue"/>
                  <w:tcBorders>
                    <w:tl2br w:val="nil"/>
                    <w:tr2bl w:val="nil"/>
                  </w:tcBorders>
                  <w:vAlign w:val="center"/>
                </w:tcPr>
                <w:p w14:paraId="73DAE580">
                  <w:pPr>
                    <w:widowControl/>
                    <w:jc w:val="center"/>
                  </w:pPr>
                </w:p>
              </w:tc>
              <w:tc>
                <w:tcPr>
                  <w:tcW w:w="678" w:type="pct"/>
                  <w:tcBorders>
                    <w:tl2br w:val="nil"/>
                    <w:tr2bl w:val="nil"/>
                  </w:tcBorders>
                  <w:vAlign w:val="center"/>
                </w:tcPr>
                <w:p w14:paraId="2FA347BA">
                  <w:pPr>
                    <w:autoSpaceDE w:val="0"/>
                    <w:autoSpaceDN w:val="0"/>
                    <w:jc w:val="center"/>
                  </w:pPr>
                  <w:r>
                    <w:t>密封桶装</w:t>
                  </w:r>
                </w:p>
              </w:tc>
              <w:tc>
                <w:tcPr>
                  <w:tcW w:w="519" w:type="pct"/>
                  <w:tcBorders>
                    <w:tl2br w:val="nil"/>
                    <w:tr2bl w:val="nil"/>
                  </w:tcBorders>
                  <w:vAlign w:val="center"/>
                </w:tcPr>
                <w:p w14:paraId="26037786">
                  <w:pPr>
                    <w:autoSpaceDE w:val="0"/>
                    <w:autoSpaceDN w:val="0"/>
                    <w:jc w:val="center"/>
                  </w:pPr>
                  <w:r>
                    <w:rPr>
                      <w:rFonts w:hint="eastAsia"/>
                    </w:rPr>
                    <w:t>0.2t</w:t>
                  </w:r>
                </w:p>
              </w:tc>
              <w:tc>
                <w:tcPr>
                  <w:tcW w:w="840" w:type="pct"/>
                  <w:tcBorders>
                    <w:tl2br w:val="nil"/>
                    <w:tr2bl w:val="nil"/>
                  </w:tcBorders>
                  <w:vAlign w:val="center"/>
                </w:tcPr>
                <w:p w14:paraId="6E0D180F">
                  <w:pPr>
                    <w:autoSpaceDE w:val="0"/>
                    <w:autoSpaceDN w:val="0"/>
                    <w:jc w:val="center"/>
                  </w:pPr>
                  <w:r>
                    <w:rPr>
                      <w:rFonts w:hint="eastAsia"/>
                    </w:rPr>
                    <w:t>半年</w:t>
                  </w:r>
                </w:p>
              </w:tc>
            </w:tr>
            <w:tr w14:paraId="230E5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pct"/>
                  <w:tcBorders>
                    <w:tl2br w:val="nil"/>
                    <w:tr2bl w:val="nil"/>
                  </w:tcBorders>
                  <w:vAlign w:val="center"/>
                </w:tcPr>
                <w:p w14:paraId="2AF5F6DA">
                  <w:pPr>
                    <w:autoSpaceDE w:val="0"/>
                    <w:autoSpaceDN w:val="0"/>
                    <w:jc w:val="center"/>
                  </w:pPr>
                  <w:r>
                    <w:t>化粪池及污水处理站污泥</w:t>
                  </w:r>
                </w:p>
              </w:tc>
              <w:tc>
                <w:tcPr>
                  <w:tcW w:w="543" w:type="pct"/>
                  <w:tcBorders>
                    <w:tl2br w:val="nil"/>
                    <w:tr2bl w:val="nil"/>
                  </w:tcBorders>
                  <w:vAlign w:val="center"/>
                </w:tcPr>
                <w:p w14:paraId="390BD3D3">
                  <w:pPr>
                    <w:autoSpaceDE w:val="0"/>
                    <w:autoSpaceDN w:val="0"/>
                    <w:jc w:val="center"/>
                  </w:pPr>
                  <w:r>
                    <w:t>HW01</w:t>
                  </w:r>
                </w:p>
              </w:tc>
              <w:tc>
                <w:tcPr>
                  <w:tcW w:w="722" w:type="pct"/>
                  <w:tcBorders>
                    <w:tl2br w:val="nil"/>
                    <w:tr2bl w:val="nil"/>
                  </w:tcBorders>
                  <w:vAlign w:val="center"/>
                </w:tcPr>
                <w:p w14:paraId="15CA1C33">
                  <w:pPr>
                    <w:autoSpaceDE w:val="0"/>
                    <w:autoSpaceDN w:val="0"/>
                    <w:jc w:val="center"/>
                  </w:pPr>
                  <w:r>
                    <w:t>841-001-01</w:t>
                  </w:r>
                </w:p>
              </w:tc>
              <w:tc>
                <w:tcPr>
                  <w:tcW w:w="420" w:type="pct"/>
                  <w:tcBorders>
                    <w:tl2br w:val="nil"/>
                    <w:tr2bl w:val="nil"/>
                  </w:tcBorders>
                  <w:vAlign w:val="center"/>
                </w:tcPr>
                <w:p w14:paraId="05A87C24">
                  <w:pPr>
                    <w:widowControl/>
                    <w:jc w:val="center"/>
                  </w:pPr>
                  <w:r>
                    <w:t>/</w:t>
                  </w:r>
                </w:p>
              </w:tc>
              <w:tc>
                <w:tcPr>
                  <w:tcW w:w="527" w:type="pct"/>
                  <w:tcBorders>
                    <w:tl2br w:val="nil"/>
                    <w:tr2bl w:val="nil"/>
                  </w:tcBorders>
                  <w:vAlign w:val="center"/>
                </w:tcPr>
                <w:p w14:paraId="2BAF199E">
                  <w:pPr>
                    <w:widowControl/>
                    <w:jc w:val="center"/>
                  </w:pPr>
                  <w:r>
                    <w:t>/</w:t>
                  </w:r>
                </w:p>
              </w:tc>
              <w:tc>
                <w:tcPr>
                  <w:tcW w:w="678" w:type="pct"/>
                  <w:tcBorders>
                    <w:tl2br w:val="nil"/>
                    <w:tr2bl w:val="nil"/>
                  </w:tcBorders>
                  <w:vAlign w:val="center"/>
                </w:tcPr>
                <w:p w14:paraId="77768023">
                  <w:pPr>
                    <w:autoSpaceDE w:val="0"/>
                    <w:autoSpaceDN w:val="0"/>
                    <w:jc w:val="center"/>
                  </w:pPr>
                  <w:r>
                    <w:t>密闭桶装</w:t>
                  </w:r>
                </w:p>
              </w:tc>
              <w:tc>
                <w:tcPr>
                  <w:tcW w:w="519" w:type="pct"/>
                  <w:tcBorders>
                    <w:tl2br w:val="nil"/>
                    <w:tr2bl w:val="nil"/>
                  </w:tcBorders>
                  <w:vAlign w:val="center"/>
                </w:tcPr>
                <w:p w14:paraId="181EB255">
                  <w:pPr>
                    <w:autoSpaceDE w:val="0"/>
                    <w:autoSpaceDN w:val="0"/>
                    <w:jc w:val="center"/>
                  </w:pPr>
                  <w:r>
                    <w:t>/</w:t>
                  </w:r>
                </w:p>
              </w:tc>
              <w:tc>
                <w:tcPr>
                  <w:tcW w:w="840" w:type="pct"/>
                  <w:tcBorders>
                    <w:tl2br w:val="nil"/>
                    <w:tr2bl w:val="nil"/>
                  </w:tcBorders>
                  <w:vAlign w:val="center"/>
                </w:tcPr>
                <w:p w14:paraId="6CAC24D8">
                  <w:pPr>
                    <w:autoSpaceDE w:val="0"/>
                    <w:autoSpaceDN w:val="0"/>
                    <w:jc w:val="center"/>
                  </w:pPr>
                  <w:r>
                    <w:t>定期清掏后直接运走，不在项目内暂存</w:t>
                  </w:r>
                </w:p>
              </w:tc>
            </w:tr>
          </w:tbl>
          <w:p w14:paraId="77D1562A">
            <w:pPr>
              <w:spacing w:line="360" w:lineRule="auto"/>
              <w:jc w:val="center"/>
              <w:rPr>
                <w:b/>
                <w:bCs/>
                <w:sz w:val="24"/>
              </w:rPr>
            </w:pPr>
            <w:r>
              <w:rPr>
                <w:b/>
                <w:bCs/>
                <w:sz w:val="24"/>
              </w:rPr>
              <w:t>表4-</w:t>
            </w:r>
            <w:r>
              <w:rPr>
                <w:rFonts w:hint="eastAsia"/>
                <w:b/>
                <w:bCs/>
                <w:sz w:val="24"/>
                <w:lang w:val="en-US" w:eastAsia="zh-CN"/>
              </w:rPr>
              <w:t>20</w:t>
            </w:r>
            <w:r>
              <w:rPr>
                <w:b/>
                <w:bCs/>
                <w:sz w:val="24"/>
              </w:rPr>
              <w:t xml:space="preserve">  危险废物治理措施一览表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650"/>
              <w:gridCol w:w="776"/>
              <w:gridCol w:w="1196"/>
              <w:gridCol w:w="778"/>
              <w:gridCol w:w="813"/>
              <w:gridCol w:w="464"/>
              <w:gridCol w:w="847"/>
              <w:gridCol w:w="835"/>
              <w:gridCol w:w="600"/>
              <w:gridCol w:w="600"/>
              <w:gridCol w:w="700"/>
            </w:tblGrid>
            <w:tr w14:paraId="1BAC5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9" w:type="pct"/>
                  <w:tcBorders>
                    <w:tl2br w:val="nil"/>
                    <w:tr2bl w:val="nil"/>
                  </w:tcBorders>
                  <w:vAlign w:val="center"/>
                </w:tcPr>
                <w:p w14:paraId="34E37382">
                  <w:pPr>
                    <w:jc w:val="center"/>
                    <w:rPr>
                      <w:b/>
                      <w:bCs/>
                      <w:sz w:val="18"/>
                      <w:szCs w:val="18"/>
                    </w:rPr>
                  </w:pPr>
                  <w:r>
                    <w:rPr>
                      <w:b/>
                      <w:bCs/>
                      <w:sz w:val="18"/>
                      <w:szCs w:val="18"/>
                    </w:rPr>
                    <w:t>序号</w:t>
                  </w:r>
                </w:p>
              </w:tc>
              <w:tc>
                <w:tcPr>
                  <w:tcW w:w="375" w:type="pct"/>
                  <w:tcBorders>
                    <w:tl2br w:val="nil"/>
                    <w:tr2bl w:val="nil"/>
                  </w:tcBorders>
                  <w:vAlign w:val="center"/>
                </w:tcPr>
                <w:p w14:paraId="14D30B96">
                  <w:pPr>
                    <w:jc w:val="center"/>
                    <w:rPr>
                      <w:b/>
                      <w:bCs/>
                      <w:sz w:val="18"/>
                      <w:szCs w:val="18"/>
                    </w:rPr>
                  </w:pPr>
                  <w:r>
                    <w:rPr>
                      <w:b/>
                      <w:bCs/>
                      <w:sz w:val="18"/>
                      <w:szCs w:val="18"/>
                    </w:rPr>
                    <w:t>危险废物名称</w:t>
                  </w:r>
                </w:p>
              </w:tc>
              <w:tc>
                <w:tcPr>
                  <w:tcW w:w="448" w:type="pct"/>
                  <w:tcBorders>
                    <w:tl2br w:val="nil"/>
                    <w:tr2bl w:val="nil"/>
                  </w:tcBorders>
                  <w:vAlign w:val="center"/>
                </w:tcPr>
                <w:p w14:paraId="7F70264C">
                  <w:pPr>
                    <w:jc w:val="center"/>
                    <w:rPr>
                      <w:b/>
                      <w:bCs/>
                      <w:sz w:val="18"/>
                      <w:szCs w:val="18"/>
                    </w:rPr>
                  </w:pPr>
                  <w:r>
                    <w:rPr>
                      <w:b/>
                      <w:bCs/>
                      <w:sz w:val="18"/>
                      <w:szCs w:val="18"/>
                    </w:rPr>
                    <w:t>危险废物类别</w:t>
                  </w:r>
                </w:p>
              </w:tc>
              <w:tc>
                <w:tcPr>
                  <w:tcW w:w="690" w:type="pct"/>
                  <w:tcBorders>
                    <w:tl2br w:val="nil"/>
                    <w:tr2bl w:val="nil"/>
                  </w:tcBorders>
                  <w:vAlign w:val="center"/>
                </w:tcPr>
                <w:p w14:paraId="0C7A2347">
                  <w:pPr>
                    <w:jc w:val="center"/>
                    <w:rPr>
                      <w:b/>
                      <w:bCs/>
                      <w:sz w:val="18"/>
                      <w:szCs w:val="18"/>
                    </w:rPr>
                  </w:pPr>
                  <w:r>
                    <w:rPr>
                      <w:b/>
                      <w:bCs/>
                      <w:sz w:val="18"/>
                      <w:szCs w:val="18"/>
                    </w:rPr>
                    <w:t>危险废物代码</w:t>
                  </w:r>
                </w:p>
              </w:tc>
              <w:tc>
                <w:tcPr>
                  <w:tcW w:w="449" w:type="pct"/>
                  <w:tcBorders>
                    <w:tl2br w:val="nil"/>
                    <w:tr2bl w:val="nil"/>
                  </w:tcBorders>
                  <w:vAlign w:val="center"/>
                </w:tcPr>
                <w:p w14:paraId="44A82366">
                  <w:pPr>
                    <w:jc w:val="center"/>
                    <w:rPr>
                      <w:b/>
                      <w:bCs/>
                      <w:sz w:val="18"/>
                      <w:szCs w:val="18"/>
                    </w:rPr>
                  </w:pPr>
                  <w:r>
                    <w:rPr>
                      <w:b/>
                      <w:bCs/>
                      <w:sz w:val="18"/>
                      <w:szCs w:val="18"/>
                    </w:rPr>
                    <w:t>产生量（t/a）</w:t>
                  </w:r>
                </w:p>
              </w:tc>
              <w:tc>
                <w:tcPr>
                  <w:tcW w:w="469" w:type="pct"/>
                  <w:tcBorders>
                    <w:tl2br w:val="nil"/>
                    <w:tr2bl w:val="nil"/>
                  </w:tcBorders>
                  <w:vAlign w:val="center"/>
                </w:tcPr>
                <w:p w14:paraId="0162DA46">
                  <w:pPr>
                    <w:jc w:val="center"/>
                    <w:rPr>
                      <w:b/>
                      <w:bCs/>
                      <w:sz w:val="18"/>
                      <w:szCs w:val="18"/>
                    </w:rPr>
                  </w:pPr>
                  <w:r>
                    <w:rPr>
                      <w:b/>
                      <w:bCs/>
                      <w:sz w:val="18"/>
                      <w:szCs w:val="18"/>
                    </w:rPr>
                    <w:t>产生工序及装置</w:t>
                  </w:r>
                </w:p>
              </w:tc>
              <w:tc>
                <w:tcPr>
                  <w:tcW w:w="268" w:type="pct"/>
                  <w:tcBorders>
                    <w:tl2br w:val="nil"/>
                    <w:tr2bl w:val="nil"/>
                  </w:tcBorders>
                  <w:vAlign w:val="center"/>
                </w:tcPr>
                <w:p w14:paraId="485C5737">
                  <w:pPr>
                    <w:jc w:val="center"/>
                    <w:rPr>
                      <w:b/>
                      <w:bCs/>
                      <w:sz w:val="18"/>
                      <w:szCs w:val="18"/>
                    </w:rPr>
                  </w:pPr>
                  <w:r>
                    <w:rPr>
                      <w:b/>
                      <w:bCs/>
                      <w:sz w:val="18"/>
                      <w:szCs w:val="18"/>
                    </w:rPr>
                    <w:t>形态</w:t>
                  </w:r>
                </w:p>
              </w:tc>
              <w:tc>
                <w:tcPr>
                  <w:tcW w:w="489" w:type="pct"/>
                  <w:tcBorders>
                    <w:tl2br w:val="nil"/>
                    <w:tr2bl w:val="nil"/>
                  </w:tcBorders>
                  <w:vAlign w:val="center"/>
                </w:tcPr>
                <w:p w14:paraId="198AC422">
                  <w:pPr>
                    <w:jc w:val="center"/>
                    <w:rPr>
                      <w:b/>
                      <w:bCs/>
                      <w:sz w:val="18"/>
                      <w:szCs w:val="18"/>
                    </w:rPr>
                  </w:pPr>
                  <w:r>
                    <w:rPr>
                      <w:b/>
                      <w:bCs/>
                      <w:sz w:val="18"/>
                      <w:szCs w:val="18"/>
                    </w:rPr>
                    <w:t>主要</w:t>
                  </w:r>
                </w:p>
                <w:p w14:paraId="7B93018C">
                  <w:pPr>
                    <w:jc w:val="center"/>
                    <w:rPr>
                      <w:b/>
                      <w:bCs/>
                      <w:sz w:val="18"/>
                      <w:szCs w:val="18"/>
                    </w:rPr>
                  </w:pPr>
                  <w:r>
                    <w:rPr>
                      <w:b/>
                      <w:bCs/>
                      <w:sz w:val="18"/>
                      <w:szCs w:val="18"/>
                    </w:rPr>
                    <w:t>成分</w:t>
                  </w:r>
                </w:p>
              </w:tc>
              <w:tc>
                <w:tcPr>
                  <w:tcW w:w="482" w:type="pct"/>
                  <w:tcBorders>
                    <w:tl2br w:val="nil"/>
                    <w:tr2bl w:val="nil"/>
                  </w:tcBorders>
                  <w:vAlign w:val="center"/>
                </w:tcPr>
                <w:p w14:paraId="51AF56B6">
                  <w:pPr>
                    <w:jc w:val="center"/>
                    <w:rPr>
                      <w:b/>
                      <w:bCs/>
                      <w:sz w:val="18"/>
                      <w:szCs w:val="18"/>
                    </w:rPr>
                  </w:pPr>
                  <w:r>
                    <w:rPr>
                      <w:b/>
                      <w:bCs/>
                      <w:sz w:val="18"/>
                      <w:szCs w:val="18"/>
                    </w:rPr>
                    <w:t>有害</w:t>
                  </w:r>
                </w:p>
                <w:p w14:paraId="4E9E71E3">
                  <w:pPr>
                    <w:jc w:val="center"/>
                    <w:rPr>
                      <w:b/>
                      <w:bCs/>
                      <w:sz w:val="18"/>
                      <w:szCs w:val="18"/>
                    </w:rPr>
                  </w:pPr>
                  <w:r>
                    <w:rPr>
                      <w:b/>
                      <w:bCs/>
                      <w:sz w:val="18"/>
                      <w:szCs w:val="18"/>
                    </w:rPr>
                    <w:t>成分</w:t>
                  </w:r>
                </w:p>
              </w:tc>
              <w:tc>
                <w:tcPr>
                  <w:tcW w:w="346" w:type="pct"/>
                  <w:tcBorders>
                    <w:tl2br w:val="nil"/>
                    <w:tr2bl w:val="nil"/>
                  </w:tcBorders>
                  <w:vAlign w:val="center"/>
                </w:tcPr>
                <w:p w14:paraId="2F83EF47">
                  <w:pPr>
                    <w:jc w:val="center"/>
                    <w:rPr>
                      <w:b/>
                      <w:bCs/>
                      <w:sz w:val="18"/>
                      <w:szCs w:val="18"/>
                    </w:rPr>
                  </w:pPr>
                  <w:r>
                    <w:rPr>
                      <w:b/>
                      <w:bCs/>
                      <w:sz w:val="18"/>
                      <w:szCs w:val="18"/>
                    </w:rPr>
                    <w:t>产废周期</w:t>
                  </w:r>
                </w:p>
              </w:tc>
              <w:tc>
                <w:tcPr>
                  <w:tcW w:w="346" w:type="pct"/>
                  <w:tcBorders>
                    <w:tl2br w:val="nil"/>
                    <w:tr2bl w:val="nil"/>
                  </w:tcBorders>
                  <w:vAlign w:val="center"/>
                </w:tcPr>
                <w:p w14:paraId="737F3A27">
                  <w:pPr>
                    <w:jc w:val="center"/>
                    <w:rPr>
                      <w:b/>
                      <w:bCs/>
                      <w:sz w:val="18"/>
                      <w:szCs w:val="18"/>
                    </w:rPr>
                  </w:pPr>
                  <w:r>
                    <w:rPr>
                      <w:b/>
                      <w:bCs/>
                      <w:sz w:val="18"/>
                      <w:szCs w:val="18"/>
                    </w:rPr>
                    <w:t>危险特性</w:t>
                  </w:r>
                </w:p>
              </w:tc>
              <w:tc>
                <w:tcPr>
                  <w:tcW w:w="404" w:type="pct"/>
                  <w:tcBorders>
                    <w:tl2br w:val="nil"/>
                    <w:tr2bl w:val="nil"/>
                  </w:tcBorders>
                  <w:vAlign w:val="center"/>
                </w:tcPr>
                <w:p w14:paraId="72E6CF52">
                  <w:pPr>
                    <w:jc w:val="center"/>
                    <w:rPr>
                      <w:b/>
                      <w:bCs/>
                      <w:sz w:val="18"/>
                      <w:szCs w:val="18"/>
                    </w:rPr>
                  </w:pPr>
                  <w:r>
                    <w:rPr>
                      <w:b/>
                      <w:bCs/>
                      <w:sz w:val="18"/>
                      <w:szCs w:val="18"/>
                    </w:rPr>
                    <w:t>污染防治措施</w:t>
                  </w:r>
                </w:p>
              </w:tc>
            </w:tr>
            <w:tr w14:paraId="09438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vMerge w:val="restart"/>
                  <w:tcBorders>
                    <w:tl2br w:val="nil"/>
                    <w:tr2bl w:val="nil"/>
                  </w:tcBorders>
                  <w:vAlign w:val="center"/>
                </w:tcPr>
                <w:p w14:paraId="3EC621C0">
                  <w:pPr>
                    <w:jc w:val="center"/>
                    <w:rPr>
                      <w:sz w:val="18"/>
                      <w:szCs w:val="18"/>
                    </w:rPr>
                  </w:pPr>
                  <w:r>
                    <w:rPr>
                      <w:sz w:val="18"/>
                      <w:szCs w:val="18"/>
                    </w:rPr>
                    <w:t>1</w:t>
                  </w:r>
                </w:p>
              </w:tc>
              <w:tc>
                <w:tcPr>
                  <w:tcW w:w="375" w:type="pct"/>
                  <w:vMerge w:val="restart"/>
                  <w:tcBorders>
                    <w:tl2br w:val="nil"/>
                    <w:tr2bl w:val="nil"/>
                  </w:tcBorders>
                  <w:vAlign w:val="center"/>
                </w:tcPr>
                <w:p w14:paraId="5209A1E8">
                  <w:pPr>
                    <w:jc w:val="center"/>
                    <w:rPr>
                      <w:sz w:val="18"/>
                      <w:szCs w:val="18"/>
                    </w:rPr>
                  </w:pPr>
                  <w:r>
                    <w:rPr>
                      <w:sz w:val="18"/>
                      <w:szCs w:val="18"/>
                    </w:rPr>
                    <w:t>医疗废物</w:t>
                  </w:r>
                </w:p>
              </w:tc>
              <w:tc>
                <w:tcPr>
                  <w:tcW w:w="448" w:type="pct"/>
                  <w:vMerge w:val="restart"/>
                  <w:tcBorders>
                    <w:tl2br w:val="nil"/>
                    <w:tr2bl w:val="nil"/>
                  </w:tcBorders>
                  <w:vAlign w:val="center"/>
                </w:tcPr>
                <w:p w14:paraId="56953558">
                  <w:pPr>
                    <w:jc w:val="center"/>
                    <w:rPr>
                      <w:sz w:val="18"/>
                      <w:szCs w:val="18"/>
                    </w:rPr>
                  </w:pPr>
                  <w:r>
                    <w:rPr>
                      <w:sz w:val="18"/>
                      <w:szCs w:val="18"/>
                    </w:rPr>
                    <w:t>HW01</w:t>
                  </w:r>
                </w:p>
              </w:tc>
              <w:tc>
                <w:tcPr>
                  <w:tcW w:w="690" w:type="pct"/>
                  <w:tcBorders>
                    <w:tl2br w:val="nil"/>
                    <w:tr2bl w:val="nil"/>
                  </w:tcBorders>
                  <w:vAlign w:val="center"/>
                </w:tcPr>
                <w:p w14:paraId="352C58AC">
                  <w:pPr>
                    <w:jc w:val="center"/>
                    <w:rPr>
                      <w:sz w:val="18"/>
                      <w:szCs w:val="18"/>
                    </w:rPr>
                  </w:pPr>
                  <w:r>
                    <w:rPr>
                      <w:sz w:val="18"/>
                      <w:szCs w:val="18"/>
                    </w:rPr>
                    <w:t>841-001-01</w:t>
                  </w:r>
                </w:p>
              </w:tc>
              <w:tc>
                <w:tcPr>
                  <w:tcW w:w="449" w:type="pct"/>
                  <w:vMerge w:val="restart"/>
                  <w:tcBorders>
                    <w:tl2br w:val="nil"/>
                    <w:tr2bl w:val="nil"/>
                  </w:tcBorders>
                  <w:vAlign w:val="center"/>
                </w:tcPr>
                <w:p w14:paraId="015280F3">
                  <w:pPr>
                    <w:jc w:val="center"/>
                    <w:rPr>
                      <w:sz w:val="18"/>
                      <w:szCs w:val="18"/>
                    </w:rPr>
                  </w:pPr>
                  <w:r>
                    <w:rPr>
                      <w:rFonts w:hint="eastAsia"/>
                      <w:sz w:val="18"/>
                      <w:szCs w:val="18"/>
                    </w:rPr>
                    <w:t>18.205</w:t>
                  </w:r>
                </w:p>
              </w:tc>
              <w:tc>
                <w:tcPr>
                  <w:tcW w:w="469" w:type="pct"/>
                  <w:vMerge w:val="restart"/>
                  <w:tcBorders>
                    <w:tl2br w:val="nil"/>
                    <w:tr2bl w:val="nil"/>
                  </w:tcBorders>
                  <w:vAlign w:val="center"/>
                </w:tcPr>
                <w:p w14:paraId="5529A22C">
                  <w:pPr>
                    <w:jc w:val="center"/>
                    <w:rPr>
                      <w:sz w:val="18"/>
                      <w:szCs w:val="18"/>
                    </w:rPr>
                  </w:pPr>
                  <w:r>
                    <w:rPr>
                      <w:sz w:val="18"/>
                      <w:szCs w:val="18"/>
                    </w:rPr>
                    <w:t>门诊、病房、医学检验科等</w:t>
                  </w:r>
                </w:p>
              </w:tc>
              <w:tc>
                <w:tcPr>
                  <w:tcW w:w="268" w:type="pct"/>
                  <w:vMerge w:val="restart"/>
                  <w:tcBorders>
                    <w:tl2br w:val="nil"/>
                    <w:tr2bl w:val="nil"/>
                  </w:tcBorders>
                  <w:vAlign w:val="center"/>
                </w:tcPr>
                <w:p w14:paraId="393F5F28">
                  <w:pPr>
                    <w:jc w:val="center"/>
                    <w:rPr>
                      <w:sz w:val="18"/>
                      <w:szCs w:val="18"/>
                    </w:rPr>
                  </w:pPr>
                  <w:r>
                    <w:rPr>
                      <w:sz w:val="18"/>
                      <w:szCs w:val="18"/>
                    </w:rPr>
                    <w:t>固/液态</w:t>
                  </w:r>
                </w:p>
              </w:tc>
              <w:tc>
                <w:tcPr>
                  <w:tcW w:w="489" w:type="pct"/>
                  <w:vMerge w:val="restart"/>
                  <w:tcBorders>
                    <w:tl2br w:val="nil"/>
                    <w:tr2bl w:val="nil"/>
                  </w:tcBorders>
                  <w:vAlign w:val="center"/>
                </w:tcPr>
                <w:p w14:paraId="4F32596C">
                  <w:pPr>
                    <w:rPr>
                      <w:sz w:val="18"/>
                      <w:szCs w:val="18"/>
                    </w:rPr>
                  </w:pPr>
                  <w:r>
                    <w:rPr>
                      <w:sz w:val="18"/>
                      <w:szCs w:val="18"/>
                    </w:rPr>
                    <w:t>棉签、纱布、血液、针头等</w:t>
                  </w:r>
                </w:p>
              </w:tc>
              <w:tc>
                <w:tcPr>
                  <w:tcW w:w="482" w:type="pct"/>
                  <w:vMerge w:val="restart"/>
                  <w:tcBorders>
                    <w:tl2br w:val="nil"/>
                    <w:tr2bl w:val="nil"/>
                  </w:tcBorders>
                  <w:vAlign w:val="center"/>
                </w:tcPr>
                <w:p w14:paraId="599D608B">
                  <w:pPr>
                    <w:rPr>
                      <w:sz w:val="18"/>
                      <w:szCs w:val="18"/>
                    </w:rPr>
                  </w:pPr>
                  <w:r>
                    <w:rPr>
                      <w:sz w:val="18"/>
                      <w:szCs w:val="18"/>
                    </w:rPr>
                    <w:t>棉签、纱布、血液、针头等</w:t>
                  </w:r>
                </w:p>
              </w:tc>
              <w:tc>
                <w:tcPr>
                  <w:tcW w:w="346" w:type="pct"/>
                  <w:tcBorders>
                    <w:tl2br w:val="nil"/>
                    <w:tr2bl w:val="nil"/>
                  </w:tcBorders>
                  <w:vAlign w:val="center"/>
                </w:tcPr>
                <w:p w14:paraId="058DAC4F">
                  <w:pPr>
                    <w:jc w:val="center"/>
                    <w:rPr>
                      <w:sz w:val="18"/>
                      <w:szCs w:val="18"/>
                    </w:rPr>
                  </w:pPr>
                  <w:r>
                    <w:rPr>
                      <w:sz w:val="18"/>
                      <w:szCs w:val="18"/>
                    </w:rPr>
                    <w:t>每天</w:t>
                  </w:r>
                </w:p>
              </w:tc>
              <w:tc>
                <w:tcPr>
                  <w:tcW w:w="346" w:type="pct"/>
                  <w:tcBorders>
                    <w:tl2br w:val="nil"/>
                    <w:tr2bl w:val="nil"/>
                  </w:tcBorders>
                  <w:vAlign w:val="center"/>
                </w:tcPr>
                <w:p w14:paraId="2718172F">
                  <w:pPr>
                    <w:jc w:val="center"/>
                    <w:rPr>
                      <w:sz w:val="18"/>
                      <w:szCs w:val="18"/>
                    </w:rPr>
                  </w:pPr>
                  <w:r>
                    <w:rPr>
                      <w:sz w:val="18"/>
                      <w:szCs w:val="18"/>
                    </w:rPr>
                    <w:t>In</w:t>
                  </w:r>
                </w:p>
              </w:tc>
              <w:tc>
                <w:tcPr>
                  <w:tcW w:w="404" w:type="pct"/>
                  <w:vMerge w:val="restart"/>
                  <w:tcBorders>
                    <w:tl2br w:val="nil"/>
                    <w:tr2bl w:val="nil"/>
                  </w:tcBorders>
                  <w:vAlign w:val="center"/>
                </w:tcPr>
                <w:p w14:paraId="623E40A9">
                  <w:pPr>
                    <w:jc w:val="center"/>
                    <w:rPr>
                      <w:sz w:val="18"/>
                      <w:szCs w:val="18"/>
                    </w:rPr>
                  </w:pPr>
                  <w:r>
                    <w:rPr>
                      <w:sz w:val="18"/>
                      <w:szCs w:val="18"/>
                    </w:rPr>
                    <w:t>作为危险废物交由有资质单位处置</w:t>
                  </w:r>
                </w:p>
              </w:tc>
            </w:tr>
            <w:tr w14:paraId="61C7B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vMerge w:val="continue"/>
                  <w:tcBorders>
                    <w:tl2br w:val="nil"/>
                    <w:tr2bl w:val="nil"/>
                  </w:tcBorders>
                  <w:vAlign w:val="center"/>
                </w:tcPr>
                <w:p w14:paraId="7E3AA081">
                  <w:pPr>
                    <w:jc w:val="center"/>
                    <w:rPr>
                      <w:sz w:val="18"/>
                      <w:szCs w:val="18"/>
                    </w:rPr>
                  </w:pPr>
                </w:p>
              </w:tc>
              <w:tc>
                <w:tcPr>
                  <w:tcW w:w="375" w:type="pct"/>
                  <w:vMerge w:val="continue"/>
                  <w:tcBorders>
                    <w:tl2br w:val="nil"/>
                    <w:tr2bl w:val="nil"/>
                  </w:tcBorders>
                  <w:vAlign w:val="center"/>
                </w:tcPr>
                <w:p w14:paraId="2A2C6D33">
                  <w:pPr>
                    <w:jc w:val="center"/>
                    <w:rPr>
                      <w:sz w:val="18"/>
                      <w:szCs w:val="18"/>
                    </w:rPr>
                  </w:pPr>
                </w:p>
              </w:tc>
              <w:tc>
                <w:tcPr>
                  <w:tcW w:w="448" w:type="pct"/>
                  <w:vMerge w:val="continue"/>
                  <w:tcBorders>
                    <w:tl2br w:val="nil"/>
                    <w:tr2bl w:val="nil"/>
                  </w:tcBorders>
                  <w:vAlign w:val="center"/>
                </w:tcPr>
                <w:p w14:paraId="05660C95">
                  <w:pPr>
                    <w:jc w:val="center"/>
                    <w:rPr>
                      <w:sz w:val="18"/>
                      <w:szCs w:val="18"/>
                    </w:rPr>
                  </w:pPr>
                </w:p>
              </w:tc>
              <w:tc>
                <w:tcPr>
                  <w:tcW w:w="690" w:type="pct"/>
                  <w:tcBorders>
                    <w:tl2br w:val="nil"/>
                    <w:tr2bl w:val="nil"/>
                  </w:tcBorders>
                  <w:vAlign w:val="center"/>
                </w:tcPr>
                <w:p w14:paraId="36FD5572">
                  <w:pPr>
                    <w:jc w:val="center"/>
                    <w:rPr>
                      <w:sz w:val="18"/>
                      <w:szCs w:val="18"/>
                    </w:rPr>
                  </w:pPr>
                  <w:r>
                    <w:rPr>
                      <w:sz w:val="18"/>
                      <w:szCs w:val="18"/>
                    </w:rPr>
                    <w:t>841-002-01</w:t>
                  </w:r>
                </w:p>
              </w:tc>
              <w:tc>
                <w:tcPr>
                  <w:tcW w:w="449" w:type="pct"/>
                  <w:vMerge w:val="continue"/>
                  <w:tcBorders>
                    <w:tl2br w:val="nil"/>
                    <w:tr2bl w:val="nil"/>
                  </w:tcBorders>
                  <w:vAlign w:val="center"/>
                </w:tcPr>
                <w:p w14:paraId="2FC3BB6D">
                  <w:pPr>
                    <w:jc w:val="center"/>
                    <w:rPr>
                      <w:sz w:val="18"/>
                      <w:szCs w:val="18"/>
                    </w:rPr>
                  </w:pPr>
                </w:p>
              </w:tc>
              <w:tc>
                <w:tcPr>
                  <w:tcW w:w="469" w:type="pct"/>
                  <w:vMerge w:val="continue"/>
                  <w:tcBorders>
                    <w:tl2br w:val="nil"/>
                    <w:tr2bl w:val="nil"/>
                  </w:tcBorders>
                  <w:vAlign w:val="center"/>
                </w:tcPr>
                <w:p w14:paraId="02FA033E">
                  <w:pPr>
                    <w:jc w:val="center"/>
                    <w:rPr>
                      <w:sz w:val="18"/>
                      <w:szCs w:val="18"/>
                    </w:rPr>
                  </w:pPr>
                </w:p>
              </w:tc>
              <w:tc>
                <w:tcPr>
                  <w:tcW w:w="268" w:type="pct"/>
                  <w:vMerge w:val="continue"/>
                  <w:tcBorders>
                    <w:tl2br w:val="nil"/>
                    <w:tr2bl w:val="nil"/>
                  </w:tcBorders>
                  <w:vAlign w:val="center"/>
                </w:tcPr>
                <w:p w14:paraId="4C5B0F4E">
                  <w:pPr>
                    <w:jc w:val="center"/>
                    <w:rPr>
                      <w:sz w:val="18"/>
                      <w:szCs w:val="18"/>
                    </w:rPr>
                  </w:pPr>
                </w:p>
              </w:tc>
              <w:tc>
                <w:tcPr>
                  <w:tcW w:w="489" w:type="pct"/>
                  <w:vMerge w:val="continue"/>
                  <w:tcBorders>
                    <w:tl2br w:val="nil"/>
                    <w:tr2bl w:val="nil"/>
                  </w:tcBorders>
                  <w:vAlign w:val="center"/>
                </w:tcPr>
                <w:p w14:paraId="5C66FC80">
                  <w:pPr>
                    <w:jc w:val="center"/>
                    <w:rPr>
                      <w:sz w:val="18"/>
                      <w:szCs w:val="18"/>
                    </w:rPr>
                  </w:pPr>
                </w:p>
              </w:tc>
              <w:tc>
                <w:tcPr>
                  <w:tcW w:w="482" w:type="pct"/>
                  <w:vMerge w:val="continue"/>
                  <w:tcBorders>
                    <w:tl2br w:val="nil"/>
                    <w:tr2bl w:val="nil"/>
                  </w:tcBorders>
                  <w:vAlign w:val="center"/>
                </w:tcPr>
                <w:p w14:paraId="75F1B12F">
                  <w:pPr>
                    <w:jc w:val="center"/>
                    <w:rPr>
                      <w:sz w:val="18"/>
                      <w:szCs w:val="18"/>
                    </w:rPr>
                  </w:pPr>
                </w:p>
              </w:tc>
              <w:tc>
                <w:tcPr>
                  <w:tcW w:w="346" w:type="pct"/>
                  <w:tcBorders>
                    <w:tl2br w:val="nil"/>
                    <w:tr2bl w:val="nil"/>
                  </w:tcBorders>
                  <w:vAlign w:val="center"/>
                </w:tcPr>
                <w:p w14:paraId="54274D7C">
                  <w:pPr>
                    <w:jc w:val="center"/>
                    <w:rPr>
                      <w:sz w:val="18"/>
                      <w:szCs w:val="18"/>
                    </w:rPr>
                  </w:pPr>
                  <w:r>
                    <w:rPr>
                      <w:sz w:val="18"/>
                      <w:szCs w:val="18"/>
                    </w:rPr>
                    <w:t>每天</w:t>
                  </w:r>
                </w:p>
              </w:tc>
              <w:tc>
                <w:tcPr>
                  <w:tcW w:w="346" w:type="pct"/>
                  <w:tcBorders>
                    <w:tl2br w:val="nil"/>
                    <w:tr2bl w:val="nil"/>
                  </w:tcBorders>
                  <w:vAlign w:val="center"/>
                </w:tcPr>
                <w:p w14:paraId="02D4802B">
                  <w:pPr>
                    <w:jc w:val="center"/>
                    <w:rPr>
                      <w:sz w:val="18"/>
                      <w:szCs w:val="18"/>
                    </w:rPr>
                  </w:pPr>
                  <w:r>
                    <w:rPr>
                      <w:sz w:val="18"/>
                      <w:szCs w:val="18"/>
                    </w:rPr>
                    <w:t>In</w:t>
                  </w:r>
                </w:p>
              </w:tc>
              <w:tc>
                <w:tcPr>
                  <w:tcW w:w="404" w:type="pct"/>
                  <w:vMerge w:val="continue"/>
                  <w:tcBorders>
                    <w:tl2br w:val="nil"/>
                    <w:tr2bl w:val="nil"/>
                  </w:tcBorders>
                  <w:vAlign w:val="center"/>
                </w:tcPr>
                <w:p w14:paraId="2D45973D">
                  <w:pPr>
                    <w:jc w:val="center"/>
                    <w:rPr>
                      <w:sz w:val="18"/>
                      <w:szCs w:val="18"/>
                    </w:rPr>
                  </w:pPr>
                </w:p>
              </w:tc>
            </w:tr>
            <w:tr w14:paraId="355EB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vMerge w:val="continue"/>
                  <w:tcBorders>
                    <w:tl2br w:val="nil"/>
                    <w:tr2bl w:val="nil"/>
                  </w:tcBorders>
                  <w:vAlign w:val="center"/>
                </w:tcPr>
                <w:p w14:paraId="462B33BC">
                  <w:pPr>
                    <w:jc w:val="center"/>
                    <w:rPr>
                      <w:sz w:val="18"/>
                      <w:szCs w:val="18"/>
                    </w:rPr>
                  </w:pPr>
                </w:p>
              </w:tc>
              <w:tc>
                <w:tcPr>
                  <w:tcW w:w="375" w:type="pct"/>
                  <w:vMerge w:val="continue"/>
                  <w:tcBorders>
                    <w:tl2br w:val="nil"/>
                    <w:tr2bl w:val="nil"/>
                  </w:tcBorders>
                  <w:vAlign w:val="center"/>
                </w:tcPr>
                <w:p w14:paraId="026C7FE1">
                  <w:pPr>
                    <w:jc w:val="center"/>
                    <w:rPr>
                      <w:sz w:val="18"/>
                      <w:szCs w:val="18"/>
                    </w:rPr>
                  </w:pPr>
                </w:p>
              </w:tc>
              <w:tc>
                <w:tcPr>
                  <w:tcW w:w="448" w:type="pct"/>
                  <w:vMerge w:val="continue"/>
                  <w:tcBorders>
                    <w:tl2br w:val="nil"/>
                    <w:tr2bl w:val="nil"/>
                  </w:tcBorders>
                  <w:vAlign w:val="center"/>
                </w:tcPr>
                <w:p w14:paraId="17728048">
                  <w:pPr>
                    <w:jc w:val="center"/>
                    <w:rPr>
                      <w:sz w:val="18"/>
                      <w:szCs w:val="18"/>
                    </w:rPr>
                  </w:pPr>
                </w:p>
              </w:tc>
              <w:tc>
                <w:tcPr>
                  <w:tcW w:w="690" w:type="pct"/>
                  <w:tcBorders>
                    <w:tl2br w:val="nil"/>
                    <w:tr2bl w:val="nil"/>
                  </w:tcBorders>
                  <w:vAlign w:val="center"/>
                </w:tcPr>
                <w:p w14:paraId="1EAFFDB6">
                  <w:pPr>
                    <w:jc w:val="center"/>
                    <w:rPr>
                      <w:sz w:val="18"/>
                      <w:szCs w:val="18"/>
                    </w:rPr>
                  </w:pPr>
                  <w:r>
                    <w:rPr>
                      <w:sz w:val="18"/>
                      <w:szCs w:val="18"/>
                    </w:rPr>
                    <w:t>841-00</w:t>
                  </w:r>
                  <w:r>
                    <w:rPr>
                      <w:rFonts w:hint="eastAsia"/>
                      <w:sz w:val="18"/>
                      <w:szCs w:val="18"/>
                    </w:rPr>
                    <w:t>5</w:t>
                  </w:r>
                  <w:r>
                    <w:rPr>
                      <w:sz w:val="18"/>
                      <w:szCs w:val="18"/>
                    </w:rPr>
                    <w:t>-01</w:t>
                  </w:r>
                </w:p>
              </w:tc>
              <w:tc>
                <w:tcPr>
                  <w:tcW w:w="449" w:type="pct"/>
                  <w:vMerge w:val="continue"/>
                  <w:tcBorders>
                    <w:tl2br w:val="nil"/>
                    <w:tr2bl w:val="nil"/>
                  </w:tcBorders>
                  <w:vAlign w:val="center"/>
                </w:tcPr>
                <w:p w14:paraId="60A4F865">
                  <w:pPr>
                    <w:jc w:val="center"/>
                    <w:rPr>
                      <w:sz w:val="18"/>
                      <w:szCs w:val="18"/>
                    </w:rPr>
                  </w:pPr>
                </w:p>
              </w:tc>
              <w:tc>
                <w:tcPr>
                  <w:tcW w:w="469" w:type="pct"/>
                  <w:vMerge w:val="continue"/>
                  <w:tcBorders>
                    <w:tl2br w:val="nil"/>
                    <w:tr2bl w:val="nil"/>
                  </w:tcBorders>
                  <w:vAlign w:val="center"/>
                </w:tcPr>
                <w:p w14:paraId="33DA2D42">
                  <w:pPr>
                    <w:jc w:val="center"/>
                    <w:rPr>
                      <w:sz w:val="18"/>
                      <w:szCs w:val="18"/>
                    </w:rPr>
                  </w:pPr>
                </w:p>
              </w:tc>
              <w:tc>
                <w:tcPr>
                  <w:tcW w:w="268" w:type="pct"/>
                  <w:vMerge w:val="continue"/>
                  <w:tcBorders>
                    <w:tl2br w:val="nil"/>
                    <w:tr2bl w:val="nil"/>
                  </w:tcBorders>
                  <w:vAlign w:val="center"/>
                </w:tcPr>
                <w:p w14:paraId="54070C66">
                  <w:pPr>
                    <w:jc w:val="center"/>
                    <w:rPr>
                      <w:sz w:val="18"/>
                      <w:szCs w:val="18"/>
                    </w:rPr>
                  </w:pPr>
                </w:p>
              </w:tc>
              <w:tc>
                <w:tcPr>
                  <w:tcW w:w="489" w:type="pct"/>
                  <w:vMerge w:val="continue"/>
                  <w:tcBorders>
                    <w:tl2br w:val="nil"/>
                    <w:tr2bl w:val="nil"/>
                  </w:tcBorders>
                  <w:vAlign w:val="center"/>
                </w:tcPr>
                <w:p w14:paraId="2D739393">
                  <w:pPr>
                    <w:jc w:val="center"/>
                    <w:rPr>
                      <w:sz w:val="18"/>
                      <w:szCs w:val="18"/>
                    </w:rPr>
                  </w:pPr>
                </w:p>
              </w:tc>
              <w:tc>
                <w:tcPr>
                  <w:tcW w:w="482" w:type="pct"/>
                  <w:vMerge w:val="continue"/>
                  <w:tcBorders>
                    <w:tl2br w:val="nil"/>
                    <w:tr2bl w:val="nil"/>
                  </w:tcBorders>
                  <w:vAlign w:val="center"/>
                </w:tcPr>
                <w:p w14:paraId="45F1452B">
                  <w:pPr>
                    <w:jc w:val="center"/>
                    <w:rPr>
                      <w:sz w:val="18"/>
                      <w:szCs w:val="18"/>
                    </w:rPr>
                  </w:pPr>
                </w:p>
              </w:tc>
              <w:tc>
                <w:tcPr>
                  <w:tcW w:w="346" w:type="pct"/>
                  <w:tcBorders>
                    <w:tl2br w:val="nil"/>
                    <w:tr2bl w:val="nil"/>
                  </w:tcBorders>
                  <w:vAlign w:val="center"/>
                </w:tcPr>
                <w:p w14:paraId="53F7697F">
                  <w:pPr>
                    <w:jc w:val="center"/>
                    <w:rPr>
                      <w:sz w:val="18"/>
                      <w:szCs w:val="18"/>
                    </w:rPr>
                  </w:pPr>
                  <w:r>
                    <w:rPr>
                      <w:sz w:val="18"/>
                      <w:szCs w:val="18"/>
                    </w:rPr>
                    <w:t>每天</w:t>
                  </w:r>
                </w:p>
              </w:tc>
              <w:tc>
                <w:tcPr>
                  <w:tcW w:w="346" w:type="pct"/>
                  <w:tcBorders>
                    <w:tl2br w:val="nil"/>
                    <w:tr2bl w:val="nil"/>
                  </w:tcBorders>
                  <w:vAlign w:val="center"/>
                </w:tcPr>
                <w:p w14:paraId="55971609">
                  <w:pPr>
                    <w:jc w:val="center"/>
                    <w:rPr>
                      <w:sz w:val="18"/>
                      <w:szCs w:val="18"/>
                    </w:rPr>
                  </w:pPr>
                  <w:r>
                    <w:rPr>
                      <w:rFonts w:hint="eastAsia"/>
                      <w:sz w:val="18"/>
                      <w:szCs w:val="18"/>
                    </w:rPr>
                    <w:t>T</w:t>
                  </w:r>
                </w:p>
              </w:tc>
              <w:tc>
                <w:tcPr>
                  <w:tcW w:w="404" w:type="pct"/>
                  <w:vMerge w:val="continue"/>
                  <w:tcBorders>
                    <w:tl2br w:val="nil"/>
                    <w:tr2bl w:val="nil"/>
                  </w:tcBorders>
                  <w:vAlign w:val="center"/>
                </w:tcPr>
                <w:p w14:paraId="20353C80">
                  <w:pPr>
                    <w:jc w:val="center"/>
                    <w:rPr>
                      <w:sz w:val="18"/>
                      <w:szCs w:val="18"/>
                    </w:rPr>
                  </w:pPr>
                </w:p>
              </w:tc>
            </w:tr>
            <w:tr w14:paraId="33E48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vAlign w:val="center"/>
                </w:tcPr>
                <w:p w14:paraId="0E8CA73E">
                  <w:pPr>
                    <w:jc w:val="center"/>
                    <w:rPr>
                      <w:sz w:val="18"/>
                      <w:szCs w:val="18"/>
                    </w:rPr>
                  </w:pPr>
                  <w:r>
                    <w:rPr>
                      <w:sz w:val="18"/>
                      <w:szCs w:val="18"/>
                    </w:rPr>
                    <w:t>2</w:t>
                  </w:r>
                </w:p>
              </w:tc>
              <w:tc>
                <w:tcPr>
                  <w:tcW w:w="375" w:type="pct"/>
                  <w:tcBorders>
                    <w:tl2br w:val="nil"/>
                    <w:tr2bl w:val="nil"/>
                  </w:tcBorders>
                  <w:vAlign w:val="center"/>
                </w:tcPr>
                <w:p w14:paraId="44F8AFF8">
                  <w:pPr>
                    <w:autoSpaceDE w:val="0"/>
                    <w:autoSpaceDN w:val="0"/>
                    <w:jc w:val="center"/>
                    <w:rPr>
                      <w:sz w:val="18"/>
                      <w:szCs w:val="18"/>
                    </w:rPr>
                  </w:pPr>
                  <w:r>
                    <w:rPr>
                      <w:sz w:val="18"/>
                      <w:szCs w:val="18"/>
                    </w:rPr>
                    <w:t>废紫外灯管</w:t>
                  </w:r>
                </w:p>
              </w:tc>
              <w:tc>
                <w:tcPr>
                  <w:tcW w:w="448" w:type="pct"/>
                  <w:tcBorders>
                    <w:tl2br w:val="nil"/>
                    <w:tr2bl w:val="nil"/>
                  </w:tcBorders>
                  <w:vAlign w:val="center"/>
                </w:tcPr>
                <w:p w14:paraId="13838AA6">
                  <w:pPr>
                    <w:jc w:val="center"/>
                    <w:rPr>
                      <w:sz w:val="18"/>
                      <w:szCs w:val="18"/>
                    </w:rPr>
                  </w:pPr>
                  <w:r>
                    <w:rPr>
                      <w:sz w:val="18"/>
                      <w:szCs w:val="18"/>
                    </w:rPr>
                    <w:t>HW29</w:t>
                  </w:r>
                </w:p>
              </w:tc>
              <w:tc>
                <w:tcPr>
                  <w:tcW w:w="690" w:type="pct"/>
                  <w:tcBorders>
                    <w:tl2br w:val="nil"/>
                    <w:tr2bl w:val="nil"/>
                  </w:tcBorders>
                  <w:vAlign w:val="center"/>
                </w:tcPr>
                <w:p w14:paraId="386AB5B5">
                  <w:pPr>
                    <w:autoSpaceDE w:val="0"/>
                    <w:autoSpaceDN w:val="0"/>
                    <w:jc w:val="center"/>
                    <w:rPr>
                      <w:sz w:val="18"/>
                      <w:szCs w:val="18"/>
                    </w:rPr>
                  </w:pPr>
                  <w:r>
                    <w:rPr>
                      <w:sz w:val="18"/>
                      <w:szCs w:val="18"/>
                    </w:rPr>
                    <w:t>900-023-29</w:t>
                  </w:r>
                </w:p>
              </w:tc>
              <w:tc>
                <w:tcPr>
                  <w:tcW w:w="449" w:type="pct"/>
                  <w:tcBorders>
                    <w:tl2br w:val="nil"/>
                    <w:tr2bl w:val="nil"/>
                  </w:tcBorders>
                  <w:vAlign w:val="center"/>
                </w:tcPr>
                <w:p w14:paraId="70C9AB74">
                  <w:pPr>
                    <w:jc w:val="center"/>
                    <w:rPr>
                      <w:sz w:val="18"/>
                      <w:szCs w:val="18"/>
                    </w:rPr>
                  </w:pPr>
                  <w:r>
                    <w:rPr>
                      <w:sz w:val="18"/>
                      <w:szCs w:val="18"/>
                    </w:rPr>
                    <w:t>0.05</w:t>
                  </w:r>
                </w:p>
              </w:tc>
              <w:tc>
                <w:tcPr>
                  <w:tcW w:w="469" w:type="pct"/>
                  <w:tcBorders>
                    <w:tl2br w:val="nil"/>
                    <w:tr2bl w:val="nil"/>
                  </w:tcBorders>
                  <w:vAlign w:val="center"/>
                </w:tcPr>
                <w:p w14:paraId="03C38505">
                  <w:pPr>
                    <w:jc w:val="center"/>
                    <w:rPr>
                      <w:sz w:val="18"/>
                      <w:szCs w:val="18"/>
                    </w:rPr>
                  </w:pPr>
                  <w:r>
                    <w:rPr>
                      <w:sz w:val="18"/>
                      <w:szCs w:val="18"/>
                    </w:rPr>
                    <w:t>紫外灯</w:t>
                  </w:r>
                </w:p>
              </w:tc>
              <w:tc>
                <w:tcPr>
                  <w:tcW w:w="268" w:type="pct"/>
                  <w:tcBorders>
                    <w:tl2br w:val="nil"/>
                    <w:tr2bl w:val="nil"/>
                  </w:tcBorders>
                  <w:vAlign w:val="center"/>
                </w:tcPr>
                <w:p w14:paraId="7ED2B84D">
                  <w:pPr>
                    <w:jc w:val="center"/>
                    <w:rPr>
                      <w:sz w:val="18"/>
                      <w:szCs w:val="18"/>
                    </w:rPr>
                  </w:pPr>
                  <w:r>
                    <w:rPr>
                      <w:sz w:val="18"/>
                      <w:szCs w:val="18"/>
                    </w:rPr>
                    <w:t>固态</w:t>
                  </w:r>
                </w:p>
              </w:tc>
              <w:tc>
                <w:tcPr>
                  <w:tcW w:w="489" w:type="pct"/>
                  <w:tcBorders>
                    <w:tl2br w:val="nil"/>
                    <w:tr2bl w:val="nil"/>
                  </w:tcBorders>
                  <w:vAlign w:val="center"/>
                </w:tcPr>
                <w:p w14:paraId="74F5579B">
                  <w:pPr>
                    <w:jc w:val="center"/>
                    <w:rPr>
                      <w:sz w:val="18"/>
                      <w:szCs w:val="18"/>
                    </w:rPr>
                  </w:pPr>
                  <w:r>
                    <w:rPr>
                      <w:sz w:val="18"/>
                      <w:szCs w:val="18"/>
                    </w:rPr>
                    <w:t>含汞电光源</w:t>
                  </w:r>
                </w:p>
              </w:tc>
              <w:tc>
                <w:tcPr>
                  <w:tcW w:w="482" w:type="pct"/>
                  <w:tcBorders>
                    <w:tl2br w:val="nil"/>
                    <w:tr2bl w:val="nil"/>
                  </w:tcBorders>
                  <w:vAlign w:val="center"/>
                </w:tcPr>
                <w:p w14:paraId="032EDC69">
                  <w:pPr>
                    <w:jc w:val="center"/>
                    <w:rPr>
                      <w:sz w:val="18"/>
                      <w:szCs w:val="18"/>
                    </w:rPr>
                  </w:pPr>
                  <w:r>
                    <w:rPr>
                      <w:sz w:val="18"/>
                      <w:szCs w:val="18"/>
                    </w:rPr>
                    <w:t>含汞电光源</w:t>
                  </w:r>
                </w:p>
              </w:tc>
              <w:tc>
                <w:tcPr>
                  <w:tcW w:w="346" w:type="pct"/>
                  <w:tcBorders>
                    <w:tl2br w:val="nil"/>
                    <w:tr2bl w:val="nil"/>
                  </w:tcBorders>
                  <w:vAlign w:val="center"/>
                </w:tcPr>
                <w:p w14:paraId="37CA4871">
                  <w:pPr>
                    <w:jc w:val="center"/>
                    <w:rPr>
                      <w:sz w:val="18"/>
                      <w:szCs w:val="18"/>
                    </w:rPr>
                  </w:pPr>
                  <w:r>
                    <w:rPr>
                      <w:sz w:val="18"/>
                      <w:szCs w:val="18"/>
                    </w:rPr>
                    <w:t>1年</w:t>
                  </w:r>
                </w:p>
              </w:tc>
              <w:tc>
                <w:tcPr>
                  <w:tcW w:w="346" w:type="pct"/>
                  <w:tcBorders>
                    <w:tl2br w:val="nil"/>
                    <w:tr2bl w:val="nil"/>
                  </w:tcBorders>
                  <w:vAlign w:val="center"/>
                </w:tcPr>
                <w:p w14:paraId="6649D58B">
                  <w:pPr>
                    <w:jc w:val="center"/>
                    <w:rPr>
                      <w:sz w:val="18"/>
                      <w:szCs w:val="18"/>
                    </w:rPr>
                  </w:pPr>
                  <w:r>
                    <w:rPr>
                      <w:sz w:val="18"/>
                      <w:szCs w:val="18"/>
                    </w:rPr>
                    <w:t>T</w:t>
                  </w:r>
                </w:p>
              </w:tc>
              <w:tc>
                <w:tcPr>
                  <w:tcW w:w="404" w:type="pct"/>
                  <w:vMerge w:val="continue"/>
                  <w:tcBorders>
                    <w:tl2br w:val="nil"/>
                    <w:tr2bl w:val="nil"/>
                  </w:tcBorders>
                  <w:vAlign w:val="center"/>
                </w:tcPr>
                <w:p w14:paraId="399212B5">
                  <w:pPr>
                    <w:jc w:val="center"/>
                    <w:rPr>
                      <w:sz w:val="18"/>
                      <w:szCs w:val="18"/>
                    </w:rPr>
                  </w:pPr>
                </w:p>
              </w:tc>
            </w:tr>
            <w:tr w14:paraId="005A8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vAlign w:val="center"/>
                </w:tcPr>
                <w:p w14:paraId="605FB27A">
                  <w:pPr>
                    <w:jc w:val="center"/>
                    <w:rPr>
                      <w:sz w:val="18"/>
                      <w:szCs w:val="18"/>
                    </w:rPr>
                  </w:pPr>
                  <w:r>
                    <w:rPr>
                      <w:sz w:val="18"/>
                      <w:szCs w:val="18"/>
                    </w:rPr>
                    <w:t>3</w:t>
                  </w:r>
                </w:p>
              </w:tc>
              <w:tc>
                <w:tcPr>
                  <w:tcW w:w="375" w:type="pct"/>
                  <w:tcBorders>
                    <w:tl2br w:val="nil"/>
                    <w:tr2bl w:val="nil"/>
                  </w:tcBorders>
                  <w:vAlign w:val="center"/>
                </w:tcPr>
                <w:p w14:paraId="524ED167">
                  <w:pPr>
                    <w:jc w:val="center"/>
                    <w:rPr>
                      <w:sz w:val="18"/>
                      <w:szCs w:val="18"/>
                    </w:rPr>
                  </w:pPr>
                  <w:r>
                    <w:rPr>
                      <w:sz w:val="18"/>
                      <w:szCs w:val="18"/>
                    </w:rPr>
                    <w:t>污泥</w:t>
                  </w:r>
                </w:p>
              </w:tc>
              <w:tc>
                <w:tcPr>
                  <w:tcW w:w="448" w:type="pct"/>
                  <w:tcBorders>
                    <w:tl2br w:val="nil"/>
                    <w:tr2bl w:val="nil"/>
                  </w:tcBorders>
                  <w:vAlign w:val="center"/>
                </w:tcPr>
                <w:p w14:paraId="34C44984">
                  <w:pPr>
                    <w:jc w:val="center"/>
                    <w:rPr>
                      <w:sz w:val="18"/>
                      <w:szCs w:val="18"/>
                    </w:rPr>
                  </w:pPr>
                  <w:r>
                    <w:rPr>
                      <w:sz w:val="18"/>
                      <w:szCs w:val="18"/>
                    </w:rPr>
                    <w:t>HW01</w:t>
                  </w:r>
                </w:p>
              </w:tc>
              <w:tc>
                <w:tcPr>
                  <w:tcW w:w="690" w:type="pct"/>
                  <w:tcBorders>
                    <w:tl2br w:val="nil"/>
                    <w:tr2bl w:val="nil"/>
                  </w:tcBorders>
                  <w:vAlign w:val="center"/>
                </w:tcPr>
                <w:p w14:paraId="69451269">
                  <w:pPr>
                    <w:jc w:val="center"/>
                    <w:rPr>
                      <w:sz w:val="18"/>
                      <w:szCs w:val="18"/>
                    </w:rPr>
                  </w:pPr>
                  <w:r>
                    <w:rPr>
                      <w:sz w:val="18"/>
                      <w:szCs w:val="18"/>
                    </w:rPr>
                    <w:t>841-001-01</w:t>
                  </w:r>
                </w:p>
              </w:tc>
              <w:tc>
                <w:tcPr>
                  <w:tcW w:w="449" w:type="pct"/>
                  <w:tcBorders>
                    <w:tl2br w:val="nil"/>
                    <w:tr2bl w:val="nil"/>
                  </w:tcBorders>
                  <w:vAlign w:val="center"/>
                </w:tcPr>
                <w:p w14:paraId="19E02E99">
                  <w:pPr>
                    <w:jc w:val="center"/>
                    <w:rPr>
                      <w:sz w:val="18"/>
                      <w:szCs w:val="18"/>
                    </w:rPr>
                  </w:pPr>
                  <w:r>
                    <w:rPr>
                      <w:rFonts w:hint="eastAsia"/>
                      <w:sz w:val="18"/>
                      <w:szCs w:val="18"/>
                    </w:rPr>
                    <w:t>2.0</w:t>
                  </w:r>
                </w:p>
              </w:tc>
              <w:tc>
                <w:tcPr>
                  <w:tcW w:w="469" w:type="pct"/>
                  <w:vMerge w:val="restart"/>
                  <w:tcBorders>
                    <w:tl2br w:val="nil"/>
                    <w:tr2bl w:val="nil"/>
                  </w:tcBorders>
                  <w:vAlign w:val="center"/>
                </w:tcPr>
                <w:p w14:paraId="48685F00">
                  <w:pPr>
                    <w:jc w:val="center"/>
                    <w:rPr>
                      <w:sz w:val="18"/>
                      <w:szCs w:val="18"/>
                    </w:rPr>
                  </w:pPr>
                  <w:r>
                    <w:rPr>
                      <w:sz w:val="18"/>
                      <w:szCs w:val="18"/>
                    </w:rPr>
                    <w:t>污水处理系统</w:t>
                  </w:r>
                </w:p>
              </w:tc>
              <w:tc>
                <w:tcPr>
                  <w:tcW w:w="268" w:type="pct"/>
                  <w:tcBorders>
                    <w:tl2br w:val="nil"/>
                    <w:tr2bl w:val="nil"/>
                  </w:tcBorders>
                  <w:vAlign w:val="center"/>
                </w:tcPr>
                <w:p w14:paraId="67115E69">
                  <w:pPr>
                    <w:jc w:val="center"/>
                    <w:rPr>
                      <w:sz w:val="18"/>
                      <w:szCs w:val="18"/>
                    </w:rPr>
                  </w:pPr>
                  <w:r>
                    <w:rPr>
                      <w:sz w:val="18"/>
                      <w:szCs w:val="18"/>
                    </w:rPr>
                    <w:t>固态</w:t>
                  </w:r>
                </w:p>
              </w:tc>
              <w:tc>
                <w:tcPr>
                  <w:tcW w:w="489" w:type="pct"/>
                  <w:tcBorders>
                    <w:tl2br w:val="nil"/>
                    <w:tr2bl w:val="nil"/>
                  </w:tcBorders>
                  <w:vAlign w:val="center"/>
                </w:tcPr>
                <w:p w14:paraId="205FD310">
                  <w:pPr>
                    <w:jc w:val="center"/>
                    <w:rPr>
                      <w:sz w:val="18"/>
                      <w:szCs w:val="18"/>
                    </w:rPr>
                  </w:pPr>
                  <w:r>
                    <w:rPr>
                      <w:sz w:val="18"/>
                      <w:szCs w:val="18"/>
                    </w:rPr>
                    <w:t>含病原菌污泥</w:t>
                  </w:r>
                </w:p>
              </w:tc>
              <w:tc>
                <w:tcPr>
                  <w:tcW w:w="482" w:type="pct"/>
                  <w:tcBorders>
                    <w:tl2br w:val="nil"/>
                    <w:tr2bl w:val="nil"/>
                  </w:tcBorders>
                  <w:vAlign w:val="center"/>
                </w:tcPr>
                <w:p w14:paraId="1730DC64">
                  <w:pPr>
                    <w:jc w:val="center"/>
                    <w:rPr>
                      <w:sz w:val="18"/>
                      <w:szCs w:val="18"/>
                    </w:rPr>
                  </w:pPr>
                  <w:r>
                    <w:rPr>
                      <w:sz w:val="18"/>
                      <w:szCs w:val="18"/>
                    </w:rPr>
                    <w:t>含病原菌污泥</w:t>
                  </w:r>
                </w:p>
              </w:tc>
              <w:tc>
                <w:tcPr>
                  <w:tcW w:w="346" w:type="pct"/>
                  <w:tcBorders>
                    <w:tl2br w:val="nil"/>
                    <w:tr2bl w:val="nil"/>
                  </w:tcBorders>
                  <w:vAlign w:val="center"/>
                </w:tcPr>
                <w:p w14:paraId="4883980F">
                  <w:pPr>
                    <w:jc w:val="center"/>
                    <w:rPr>
                      <w:sz w:val="18"/>
                      <w:szCs w:val="18"/>
                    </w:rPr>
                  </w:pPr>
                  <w:r>
                    <w:rPr>
                      <w:sz w:val="18"/>
                      <w:szCs w:val="18"/>
                    </w:rPr>
                    <w:t>每月</w:t>
                  </w:r>
                </w:p>
              </w:tc>
              <w:tc>
                <w:tcPr>
                  <w:tcW w:w="346" w:type="pct"/>
                  <w:tcBorders>
                    <w:tl2br w:val="nil"/>
                    <w:tr2bl w:val="nil"/>
                  </w:tcBorders>
                  <w:vAlign w:val="center"/>
                </w:tcPr>
                <w:p w14:paraId="7B6D45F9">
                  <w:pPr>
                    <w:jc w:val="center"/>
                    <w:rPr>
                      <w:sz w:val="18"/>
                      <w:szCs w:val="18"/>
                    </w:rPr>
                  </w:pPr>
                  <w:r>
                    <w:rPr>
                      <w:sz w:val="18"/>
                      <w:szCs w:val="18"/>
                    </w:rPr>
                    <w:t>In</w:t>
                  </w:r>
                </w:p>
              </w:tc>
              <w:tc>
                <w:tcPr>
                  <w:tcW w:w="404" w:type="pct"/>
                  <w:vMerge w:val="continue"/>
                  <w:tcBorders>
                    <w:tl2br w:val="nil"/>
                    <w:tr2bl w:val="nil"/>
                  </w:tcBorders>
                  <w:vAlign w:val="center"/>
                </w:tcPr>
                <w:p w14:paraId="2A224916">
                  <w:pPr>
                    <w:jc w:val="center"/>
                    <w:rPr>
                      <w:sz w:val="18"/>
                      <w:szCs w:val="18"/>
                    </w:rPr>
                  </w:pPr>
                </w:p>
              </w:tc>
            </w:tr>
            <w:tr w14:paraId="1F5B7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 w:type="pct"/>
                  <w:tcBorders>
                    <w:tl2br w:val="nil"/>
                    <w:tr2bl w:val="nil"/>
                  </w:tcBorders>
                  <w:vAlign w:val="center"/>
                </w:tcPr>
                <w:p w14:paraId="2CCF334D">
                  <w:pPr>
                    <w:jc w:val="center"/>
                    <w:rPr>
                      <w:sz w:val="18"/>
                      <w:szCs w:val="18"/>
                    </w:rPr>
                  </w:pPr>
                  <w:r>
                    <w:rPr>
                      <w:rFonts w:hint="eastAsia"/>
                      <w:sz w:val="18"/>
                      <w:szCs w:val="18"/>
                    </w:rPr>
                    <w:t>4</w:t>
                  </w:r>
                </w:p>
              </w:tc>
              <w:tc>
                <w:tcPr>
                  <w:tcW w:w="375" w:type="pct"/>
                  <w:tcBorders>
                    <w:tl2br w:val="nil"/>
                    <w:tr2bl w:val="nil"/>
                  </w:tcBorders>
                  <w:shd w:val="clear" w:color="auto" w:fill="auto"/>
                  <w:vAlign w:val="center"/>
                </w:tcPr>
                <w:p w14:paraId="23EFD34A">
                  <w:pPr>
                    <w:jc w:val="center"/>
                  </w:pPr>
                  <w:r>
                    <w:rPr>
                      <w:rFonts w:hint="eastAsia"/>
                    </w:rPr>
                    <w:t>废活性炭</w:t>
                  </w:r>
                </w:p>
              </w:tc>
              <w:tc>
                <w:tcPr>
                  <w:tcW w:w="448" w:type="pct"/>
                  <w:tcBorders>
                    <w:tl2br w:val="nil"/>
                    <w:tr2bl w:val="nil"/>
                  </w:tcBorders>
                  <w:shd w:val="clear" w:color="auto" w:fill="auto"/>
                  <w:vAlign w:val="center"/>
                </w:tcPr>
                <w:p w14:paraId="4289763B">
                  <w:pPr>
                    <w:jc w:val="center"/>
                  </w:pPr>
                  <w:r>
                    <w:rPr>
                      <w:rFonts w:hint="eastAsia"/>
                    </w:rPr>
                    <w:t>HW49</w:t>
                  </w:r>
                </w:p>
              </w:tc>
              <w:tc>
                <w:tcPr>
                  <w:tcW w:w="690" w:type="pct"/>
                  <w:tcBorders>
                    <w:tl2br w:val="nil"/>
                    <w:tr2bl w:val="nil"/>
                  </w:tcBorders>
                  <w:shd w:val="clear" w:color="auto" w:fill="auto"/>
                  <w:vAlign w:val="center"/>
                </w:tcPr>
                <w:p w14:paraId="2E897FB0">
                  <w:pPr>
                    <w:autoSpaceDE w:val="0"/>
                    <w:autoSpaceDN w:val="0"/>
                    <w:jc w:val="center"/>
                  </w:pPr>
                  <w:r>
                    <w:rPr>
                      <w:rFonts w:hint="eastAsia"/>
                    </w:rPr>
                    <w:t>900-041-49</w:t>
                  </w:r>
                </w:p>
              </w:tc>
              <w:tc>
                <w:tcPr>
                  <w:tcW w:w="449" w:type="pct"/>
                  <w:tcBorders>
                    <w:tl2br w:val="nil"/>
                    <w:tr2bl w:val="nil"/>
                  </w:tcBorders>
                  <w:vAlign w:val="center"/>
                </w:tcPr>
                <w:p w14:paraId="6BF45D00">
                  <w:pPr>
                    <w:jc w:val="center"/>
                    <w:rPr>
                      <w:sz w:val="18"/>
                      <w:szCs w:val="18"/>
                    </w:rPr>
                  </w:pPr>
                  <w:r>
                    <w:rPr>
                      <w:rFonts w:hint="eastAsia"/>
                      <w:sz w:val="18"/>
                      <w:szCs w:val="18"/>
                    </w:rPr>
                    <w:t>0.2</w:t>
                  </w:r>
                </w:p>
              </w:tc>
              <w:tc>
                <w:tcPr>
                  <w:tcW w:w="469" w:type="pct"/>
                  <w:vMerge w:val="continue"/>
                  <w:tcBorders>
                    <w:tl2br w:val="nil"/>
                    <w:tr2bl w:val="nil"/>
                  </w:tcBorders>
                  <w:vAlign w:val="center"/>
                </w:tcPr>
                <w:p w14:paraId="18A0AF94">
                  <w:pPr>
                    <w:jc w:val="center"/>
                    <w:rPr>
                      <w:sz w:val="18"/>
                      <w:szCs w:val="18"/>
                    </w:rPr>
                  </w:pPr>
                </w:p>
              </w:tc>
              <w:tc>
                <w:tcPr>
                  <w:tcW w:w="268" w:type="pct"/>
                  <w:tcBorders>
                    <w:tl2br w:val="nil"/>
                    <w:tr2bl w:val="nil"/>
                  </w:tcBorders>
                  <w:vAlign w:val="center"/>
                </w:tcPr>
                <w:p w14:paraId="677C8DDD">
                  <w:pPr>
                    <w:jc w:val="center"/>
                    <w:rPr>
                      <w:sz w:val="18"/>
                      <w:szCs w:val="18"/>
                    </w:rPr>
                  </w:pPr>
                  <w:r>
                    <w:rPr>
                      <w:rFonts w:hint="eastAsia"/>
                      <w:sz w:val="18"/>
                      <w:szCs w:val="18"/>
                    </w:rPr>
                    <w:t>固态</w:t>
                  </w:r>
                </w:p>
              </w:tc>
              <w:tc>
                <w:tcPr>
                  <w:tcW w:w="489" w:type="pct"/>
                  <w:tcBorders>
                    <w:tl2br w:val="nil"/>
                    <w:tr2bl w:val="nil"/>
                  </w:tcBorders>
                  <w:vAlign w:val="center"/>
                </w:tcPr>
                <w:p w14:paraId="305B53F8">
                  <w:pPr>
                    <w:jc w:val="center"/>
                    <w:rPr>
                      <w:sz w:val="18"/>
                      <w:szCs w:val="18"/>
                    </w:rPr>
                  </w:pPr>
                  <w:r>
                    <w:rPr>
                      <w:rFonts w:hint="eastAsia"/>
                      <w:sz w:val="18"/>
                      <w:szCs w:val="18"/>
                    </w:rPr>
                    <w:t>含恶臭废气</w:t>
                  </w:r>
                </w:p>
              </w:tc>
              <w:tc>
                <w:tcPr>
                  <w:tcW w:w="482" w:type="pct"/>
                  <w:tcBorders>
                    <w:tl2br w:val="nil"/>
                    <w:tr2bl w:val="nil"/>
                  </w:tcBorders>
                  <w:vAlign w:val="center"/>
                </w:tcPr>
                <w:p w14:paraId="3AB10E29">
                  <w:pPr>
                    <w:jc w:val="center"/>
                    <w:rPr>
                      <w:sz w:val="18"/>
                      <w:szCs w:val="18"/>
                    </w:rPr>
                  </w:pPr>
                  <w:r>
                    <w:rPr>
                      <w:rFonts w:hint="eastAsia"/>
                      <w:sz w:val="18"/>
                      <w:szCs w:val="18"/>
                    </w:rPr>
                    <w:t>含恶臭废气</w:t>
                  </w:r>
                </w:p>
              </w:tc>
              <w:tc>
                <w:tcPr>
                  <w:tcW w:w="346" w:type="pct"/>
                  <w:tcBorders>
                    <w:tl2br w:val="nil"/>
                    <w:tr2bl w:val="nil"/>
                  </w:tcBorders>
                  <w:vAlign w:val="center"/>
                </w:tcPr>
                <w:p w14:paraId="35791628">
                  <w:pPr>
                    <w:jc w:val="center"/>
                    <w:rPr>
                      <w:sz w:val="18"/>
                      <w:szCs w:val="18"/>
                    </w:rPr>
                  </w:pPr>
                  <w:r>
                    <w:rPr>
                      <w:rFonts w:hint="eastAsia"/>
                      <w:sz w:val="18"/>
                      <w:szCs w:val="18"/>
                    </w:rPr>
                    <w:t>半年</w:t>
                  </w:r>
                </w:p>
              </w:tc>
              <w:tc>
                <w:tcPr>
                  <w:tcW w:w="346" w:type="pct"/>
                  <w:tcBorders>
                    <w:tl2br w:val="nil"/>
                    <w:tr2bl w:val="nil"/>
                  </w:tcBorders>
                  <w:vAlign w:val="center"/>
                </w:tcPr>
                <w:p w14:paraId="0153DF84">
                  <w:pPr>
                    <w:jc w:val="center"/>
                    <w:rPr>
                      <w:sz w:val="18"/>
                      <w:szCs w:val="18"/>
                    </w:rPr>
                  </w:pPr>
                  <w:r>
                    <w:rPr>
                      <w:rFonts w:hint="eastAsia"/>
                      <w:sz w:val="18"/>
                      <w:szCs w:val="18"/>
                    </w:rPr>
                    <w:t>T/In</w:t>
                  </w:r>
                </w:p>
              </w:tc>
              <w:tc>
                <w:tcPr>
                  <w:tcW w:w="404" w:type="pct"/>
                  <w:vMerge w:val="continue"/>
                  <w:tcBorders>
                    <w:tl2br w:val="nil"/>
                    <w:tr2bl w:val="nil"/>
                  </w:tcBorders>
                  <w:vAlign w:val="center"/>
                </w:tcPr>
                <w:p w14:paraId="09B27C69">
                  <w:pPr>
                    <w:jc w:val="center"/>
                    <w:rPr>
                      <w:sz w:val="18"/>
                      <w:szCs w:val="18"/>
                    </w:rPr>
                  </w:pPr>
                </w:p>
              </w:tc>
            </w:tr>
          </w:tbl>
          <w:p w14:paraId="12F5E7B3">
            <w:pPr>
              <w:spacing w:line="360" w:lineRule="auto"/>
              <w:ind w:firstLine="482" w:firstLineChars="200"/>
              <w:rPr>
                <w:b/>
                <w:bCs/>
                <w:sz w:val="24"/>
              </w:rPr>
            </w:pPr>
            <w:r>
              <w:rPr>
                <w:b/>
                <w:bCs/>
                <w:sz w:val="24"/>
              </w:rPr>
              <w:t>2、固体废物存储及管理要求</w:t>
            </w:r>
          </w:p>
          <w:p w14:paraId="7EC66A6B">
            <w:pPr>
              <w:spacing w:line="360" w:lineRule="auto"/>
              <w:ind w:firstLine="480" w:firstLineChars="200"/>
              <w:rPr>
                <w:sz w:val="24"/>
              </w:rPr>
            </w:pPr>
            <w:r>
              <w:rPr>
                <w:sz w:val="24"/>
              </w:rPr>
              <w:t>（1）一般固废</w:t>
            </w:r>
          </w:p>
          <w:p w14:paraId="1CED8FC2">
            <w:pPr>
              <w:spacing w:line="360" w:lineRule="auto"/>
              <w:ind w:firstLine="480" w:firstLineChars="200"/>
              <w:rPr>
                <w:sz w:val="24"/>
              </w:rPr>
            </w:pPr>
            <w:r>
              <w:rPr>
                <w:sz w:val="24"/>
              </w:rPr>
              <w:t>本项目生活垃圾袋装收集、桶装储存，禁止垃圾随地堆砌、乱倒乱放，并严格做到日产日清；废包装材料经收集后外售废品回收站；未感染的输液瓶（袋）经统一容器收集后，定期交由</w:t>
            </w:r>
            <w:r>
              <w:rPr>
                <w:rFonts w:hint="eastAsia"/>
                <w:sz w:val="24"/>
              </w:rPr>
              <w:t>有资质单位</w:t>
            </w:r>
            <w:r>
              <w:rPr>
                <w:sz w:val="24"/>
              </w:rPr>
              <w:t>处理，并建立管理台账。废过滤材料和废反渗透膜属于一般固废，由厂家回收利用。</w:t>
            </w:r>
          </w:p>
          <w:p w14:paraId="60B0D187">
            <w:pPr>
              <w:pStyle w:val="8"/>
              <w:spacing w:after="0" w:line="360" w:lineRule="auto"/>
              <w:ind w:firstLine="482" w:firstLineChars="200"/>
              <w:rPr>
                <w:b/>
                <w:bCs/>
                <w:sz w:val="24"/>
              </w:rPr>
            </w:pPr>
            <w:r>
              <w:rPr>
                <w:b/>
                <w:bCs/>
                <w:sz w:val="24"/>
              </w:rPr>
              <w:t>餐厨垃圾</w:t>
            </w:r>
            <w:r>
              <w:rPr>
                <w:rFonts w:hint="eastAsia"/>
                <w:b/>
                <w:bCs/>
                <w:sz w:val="24"/>
              </w:rPr>
              <w:t>：</w:t>
            </w:r>
          </w:p>
          <w:p w14:paraId="7A630FE4">
            <w:pPr>
              <w:pStyle w:val="8"/>
              <w:spacing w:after="0" w:line="360" w:lineRule="auto"/>
              <w:ind w:firstLine="480" w:firstLineChars="200"/>
              <w:rPr>
                <w:sz w:val="24"/>
              </w:rPr>
            </w:pPr>
            <w:r>
              <w:rPr>
                <w:sz w:val="24"/>
              </w:rPr>
              <w:t>营运期应落实以下餐厨垃圾贮存、转运要求：</w:t>
            </w:r>
          </w:p>
          <w:p w14:paraId="45659497">
            <w:pPr>
              <w:pStyle w:val="8"/>
              <w:spacing w:after="0" w:line="360" w:lineRule="auto"/>
              <w:ind w:firstLine="480" w:firstLineChars="200"/>
              <w:rPr>
                <w:sz w:val="24"/>
              </w:rPr>
            </w:pPr>
            <w:r>
              <w:rPr>
                <w:sz w:val="24"/>
              </w:rPr>
              <w:t>①设置餐厨垃圾贮存间等收集设施设备；使用符合标准、有醒目标识的餐厨垃圾专用收集容器；产生废弃食用油脂的，还应当按照环保部门的规定设置油水分离器或</w:t>
            </w:r>
            <w:r>
              <w:rPr>
                <w:rFonts w:hint="eastAsia"/>
                <w:sz w:val="24"/>
              </w:rPr>
              <w:t>油水分离器</w:t>
            </w:r>
            <w:r>
              <w:rPr>
                <w:sz w:val="24"/>
              </w:rPr>
              <w:t>等污染防治设施，避免废弃食用油脂和油水混合物直接排放。</w:t>
            </w:r>
          </w:p>
          <w:p w14:paraId="65023AF2">
            <w:pPr>
              <w:pStyle w:val="8"/>
              <w:spacing w:after="0" w:line="360" w:lineRule="auto"/>
              <w:ind w:firstLine="480" w:firstLineChars="200"/>
              <w:rPr>
                <w:sz w:val="24"/>
              </w:rPr>
            </w:pPr>
            <w:r>
              <w:rPr>
                <w:sz w:val="24"/>
              </w:rPr>
              <w:t>②保持餐厨垃圾收集、存放设施设备功能完好、正常使用、干净整洁。</w:t>
            </w:r>
          </w:p>
          <w:p w14:paraId="219C4ACE">
            <w:pPr>
              <w:pStyle w:val="8"/>
              <w:spacing w:after="0" w:line="360" w:lineRule="auto"/>
              <w:ind w:firstLine="480" w:firstLineChars="200"/>
              <w:rPr>
                <w:sz w:val="24"/>
              </w:rPr>
            </w:pPr>
            <w:r>
              <w:rPr>
                <w:sz w:val="24"/>
              </w:rPr>
              <w:t>③按规定分类收集、密闭存放餐厨垃圾。</w:t>
            </w:r>
          </w:p>
          <w:p w14:paraId="03EE821A">
            <w:pPr>
              <w:pStyle w:val="8"/>
              <w:spacing w:after="0" w:line="360" w:lineRule="auto"/>
              <w:ind w:firstLine="480" w:firstLineChars="200"/>
              <w:rPr>
                <w:sz w:val="24"/>
              </w:rPr>
            </w:pPr>
            <w:r>
              <w:rPr>
                <w:sz w:val="24"/>
              </w:rPr>
              <w:t>④与取得经营许可的餐厨垃圾收运单位签订书面收运协议，并在餐厨垃圾产生后24小时内交其收运，并落实联单制度。</w:t>
            </w:r>
          </w:p>
          <w:p w14:paraId="7001DAF0">
            <w:pPr>
              <w:pStyle w:val="8"/>
              <w:spacing w:after="0" w:line="360" w:lineRule="auto"/>
              <w:ind w:firstLine="480" w:firstLineChars="200"/>
              <w:rPr>
                <w:sz w:val="24"/>
              </w:rPr>
            </w:pPr>
            <w:r>
              <w:rPr>
                <w:sz w:val="24"/>
              </w:rPr>
              <w:t>⑤餐厨垃圾收运单位应密闭化运输餐厨垃圾，并保持车况良好、车容整洁，按照规定的时间和路线将餐厨垃圾清运至取得经营许可的餐厨垃圾处理单位处理。</w:t>
            </w:r>
          </w:p>
          <w:p w14:paraId="12390B92">
            <w:pPr>
              <w:spacing w:line="360" w:lineRule="auto"/>
              <w:ind w:firstLine="480" w:firstLineChars="200"/>
              <w:rPr>
                <w:sz w:val="24"/>
              </w:rPr>
            </w:pPr>
            <w:r>
              <w:rPr>
                <w:sz w:val="24"/>
                <w:szCs w:val="24"/>
              </w:rPr>
              <w:t>⑥餐厨垃圾产生单位应当建立餐厨垃圾产生、交运台账，真实、完整记录餐厨垃圾的种类、产量和去向等情况。餐厨垃圾收运、处理单位应当建立收运、处理台账，真实、完整记录收运的餐厨垃圾来源、数量、去向、处置方法、产品流向、运行数据等情况，并每月向城管部门报告登记。</w:t>
            </w:r>
          </w:p>
          <w:p w14:paraId="317DA68C">
            <w:pPr>
              <w:spacing w:line="360" w:lineRule="auto"/>
              <w:ind w:firstLine="480" w:firstLineChars="200"/>
              <w:rPr>
                <w:sz w:val="24"/>
              </w:rPr>
            </w:pPr>
            <w:r>
              <w:rPr>
                <w:sz w:val="24"/>
              </w:rPr>
              <w:t>（2）危险废物</w:t>
            </w:r>
          </w:p>
          <w:p w14:paraId="3C6B1FC7">
            <w:pPr>
              <w:spacing w:line="360" w:lineRule="auto"/>
              <w:ind w:firstLine="480" w:firstLineChars="200"/>
              <w:rPr>
                <w:sz w:val="24"/>
              </w:rPr>
            </w:pPr>
            <w:r>
              <w:rPr>
                <w:sz w:val="24"/>
              </w:rPr>
              <w:t>1）医疗废物</w:t>
            </w:r>
          </w:p>
          <w:p w14:paraId="74AEE3BD">
            <w:pPr>
              <w:spacing w:line="360" w:lineRule="auto"/>
              <w:ind w:firstLine="480" w:firstLineChars="200"/>
              <w:rPr>
                <w:sz w:val="24"/>
              </w:rPr>
            </w:pPr>
            <w:r>
              <w:rPr>
                <w:sz w:val="24"/>
              </w:rPr>
              <w:t>①储存要求</w:t>
            </w:r>
          </w:p>
          <w:p w14:paraId="7463D0AE">
            <w:pPr>
              <w:spacing w:line="360" w:lineRule="auto"/>
              <w:ind w:firstLine="480" w:firstLineChars="200"/>
              <w:rPr>
                <w:sz w:val="24"/>
              </w:rPr>
            </w:pPr>
            <w:r>
              <w:rPr>
                <w:sz w:val="24"/>
              </w:rPr>
              <w:t>本项目营运期医疗废物应分类收集储存在医废暂存间，医废暂存间应采用符合《医疗废物专用包装物、容器标准和警示标识规定》（环发〔2003〕188号）要求的专用容器进行分类收集、贮存和管理，地面及1m高防渗墙裙应采用耐酸HDPE防渗膜进行防渗处理；医废暂存间需落实“防风、防雨、防晒、防渗漏”的“四防”措施，设置警示标识和防渗漏、防鼠、防蚊蝇、防蟑螂、防盗以及预防儿童接触等安全措施，并定期进行消毒和清洁。根据《医疗废物管理条例》（国务院令第380号</w:t>
            </w:r>
            <w:r>
              <w:rPr>
                <w:rFonts w:hint="eastAsia"/>
                <w:sz w:val="24"/>
                <w:lang w:eastAsia="zh-CN"/>
              </w:rPr>
              <w:t>，</w:t>
            </w:r>
            <w:r>
              <w:rPr>
                <w:rFonts w:hint="eastAsia"/>
                <w:sz w:val="24"/>
                <w:lang w:val="en-US" w:eastAsia="zh-CN"/>
              </w:rPr>
              <w:t>2011年11月8日修订</w:t>
            </w:r>
            <w:r>
              <w:rPr>
                <w:sz w:val="24"/>
              </w:rPr>
              <w:t>）、《医疗卫生机构医疗废物管理办法》（卫生部令第36号）、《医疗废物集中处置技术规范（试行）》（环发〔2003〕206号）等规范要求，医疗废物必须严格按照以下要求执行：</w:t>
            </w:r>
          </w:p>
          <w:p w14:paraId="34498957">
            <w:pPr>
              <w:spacing w:line="360" w:lineRule="auto"/>
              <w:ind w:firstLine="480" w:firstLineChars="200"/>
              <w:rPr>
                <w:sz w:val="24"/>
              </w:rPr>
            </w:pPr>
            <w:r>
              <w:rPr>
                <w:sz w:val="24"/>
              </w:rPr>
              <w:t>A、医疗卫生机构应当建立、健全医疗废物管理责任制，其法定代表人为第一责任人，切实履行职责，防止因医疗废物导致传染病传播和环境污染事故。</w:t>
            </w:r>
          </w:p>
          <w:p w14:paraId="04269844">
            <w:pPr>
              <w:spacing w:line="360" w:lineRule="auto"/>
              <w:ind w:firstLine="480" w:firstLineChars="200"/>
              <w:rPr>
                <w:sz w:val="24"/>
              </w:rPr>
            </w:pPr>
            <w:r>
              <w:rPr>
                <w:sz w:val="24"/>
              </w:rPr>
              <w:t>B、医疗卫生机构应当制定与医疗废物安全处置有关的规章制度和在发生意外事故时的应急方案；设置监控部门或者专（兼）职人员，负责检查、督促、落实本单位医疗废物的管理工作。</w:t>
            </w:r>
          </w:p>
          <w:p w14:paraId="57AC0B05">
            <w:pPr>
              <w:spacing w:line="360" w:lineRule="auto"/>
              <w:ind w:firstLine="480" w:firstLineChars="200"/>
              <w:rPr>
                <w:sz w:val="24"/>
              </w:rPr>
            </w:pPr>
            <w:r>
              <w:rPr>
                <w:sz w:val="24"/>
              </w:rPr>
              <w:t>C、医疗卫生机构应当对本单位从事医疗废物收集、运送、贮存、处置等工作的人员和管理人员，进行相关法律和专业技术、安全防护以及紧急处理等知识的培训。</w:t>
            </w:r>
          </w:p>
          <w:p w14:paraId="7E2F9FFF">
            <w:pPr>
              <w:spacing w:line="360" w:lineRule="auto"/>
              <w:ind w:firstLine="480" w:firstLineChars="200"/>
              <w:rPr>
                <w:sz w:val="24"/>
              </w:rPr>
            </w:pPr>
            <w:r>
              <w:rPr>
                <w:sz w:val="24"/>
              </w:rPr>
              <w:t>D、医疗卫生机构应当采取有效的职业卫生防护措施，为从事医疗废物收集、运送、贮存、处置等工作的人员和管理人员，配备必要的防护用品，定期进行健康检查；必要时，对有关人员进行免疫接种，防止其受到健康损害。</w:t>
            </w:r>
          </w:p>
          <w:p w14:paraId="0419EA08">
            <w:pPr>
              <w:spacing w:line="360" w:lineRule="auto"/>
              <w:ind w:firstLine="480" w:firstLineChars="200"/>
              <w:rPr>
                <w:sz w:val="24"/>
              </w:rPr>
            </w:pPr>
            <w:r>
              <w:rPr>
                <w:sz w:val="24"/>
              </w:rPr>
              <w:t>E、医疗卫生机构应当依照《中华人民共和国固体废物污染环境防治法》的规定，执行危险废物转移联单管理制度。</w:t>
            </w:r>
          </w:p>
          <w:p w14:paraId="7133FA10">
            <w:pPr>
              <w:spacing w:line="360" w:lineRule="auto"/>
              <w:ind w:firstLine="480" w:firstLineChars="200"/>
              <w:rPr>
                <w:sz w:val="24"/>
              </w:rPr>
            </w:pPr>
            <w:r>
              <w:rPr>
                <w:sz w:val="24"/>
              </w:rPr>
              <w:t>F、医疗卫生机构应当对医疗废物进行登记，登记内容应当包括医疗废物的来源、种类、重量或者数量、交接时间、处置方法、最终去向以及经办人签名等项目。登记资料至少保存3年。</w:t>
            </w:r>
          </w:p>
          <w:p w14:paraId="720D2AC0">
            <w:pPr>
              <w:spacing w:line="360" w:lineRule="auto"/>
              <w:ind w:firstLine="480" w:firstLineChars="200"/>
              <w:rPr>
                <w:sz w:val="24"/>
              </w:rPr>
            </w:pPr>
            <w:r>
              <w:rPr>
                <w:sz w:val="24"/>
              </w:rPr>
              <w:t>G、医疗卫生机构应当采取有效措施，防止医疗废物流失、泄漏、扩散。发生医疗废物流失、泄漏、扩散时，医疗卫生机构应当采取减少危害的紧急处理措施，对致病人员提供医疗救护和现场救援；同时向所在地的县级人民政府卫生行政主管部门、环境保护行政主管部门报告，并向可能受到危害的单位和居民通报。</w:t>
            </w:r>
          </w:p>
          <w:p w14:paraId="7E2DFA29">
            <w:pPr>
              <w:spacing w:line="360" w:lineRule="auto"/>
              <w:ind w:firstLine="480" w:firstLineChars="200"/>
              <w:rPr>
                <w:sz w:val="24"/>
              </w:rPr>
            </w:pPr>
            <w:r>
              <w:rPr>
                <w:sz w:val="24"/>
              </w:rPr>
              <w:t>H、医疗卫生机构应当及时收集本单位产生的医疗废物，并按照类别分置于防渗漏、防锐器穿透的专用包装物或者密闭的容器内。医疗废物专用包装物、容器，应当有明显的警示标识和警示说明。</w:t>
            </w:r>
          </w:p>
          <w:p w14:paraId="44E3052F">
            <w:pPr>
              <w:spacing w:line="360" w:lineRule="auto"/>
              <w:ind w:firstLine="480" w:firstLineChars="200"/>
              <w:rPr>
                <w:sz w:val="24"/>
              </w:rPr>
            </w:pPr>
            <w:r>
              <w:rPr>
                <w:sz w:val="24"/>
              </w:rPr>
              <w:t>I、医疗卫生机构应当建立医疗废物的暂时贮存设施、设备，不得露天存放医疗废物；医疗废物暂时贮存的时间不得超过24h。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p w14:paraId="544AB384">
            <w:pPr>
              <w:spacing w:line="360" w:lineRule="auto"/>
              <w:ind w:firstLine="480" w:firstLineChars="200"/>
              <w:rPr>
                <w:sz w:val="24"/>
              </w:rPr>
            </w:pPr>
            <w:r>
              <w:rPr>
                <w:sz w:val="24"/>
              </w:rPr>
              <w:t>J、医疗卫生机构应当使用防渗漏、防遗撒的专用运送工具，按照本单位确定的内部医疗废物运送时间、路线，将医疗废物收集、运送至暂时贮存地点。运送工具使用后应当在医疗卫生机构内指定的地点及时消毒和清洁。</w:t>
            </w:r>
          </w:p>
          <w:p w14:paraId="50D5A7D1">
            <w:pPr>
              <w:spacing w:line="360" w:lineRule="auto"/>
              <w:ind w:firstLine="480" w:firstLineChars="200"/>
              <w:rPr>
                <w:sz w:val="24"/>
              </w:rPr>
            </w:pPr>
            <w:r>
              <w:rPr>
                <w:sz w:val="24"/>
              </w:rPr>
              <w:t>K、医疗卫生机构应当按照以下要求，及时分类收集医疗废物：</w:t>
            </w:r>
          </w:p>
          <w:p w14:paraId="2F93E71A">
            <w:pPr>
              <w:spacing w:line="360" w:lineRule="auto"/>
              <w:ind w:firstLine="480" w:firstLineChars="200"/>
              <w:rPr>
                <w:sz w:val="24"/>
              </w:rPr>
            </w:pPr>
            <w:r>
              <w:rPr>
                <w:sz w:val="24"/>
              </w:rPr>
              <w:t>a.根据医疗废物的类别，将医疗废物分置于符合《医疗废物专用包装物、容器标准和警示标识规定》（环发〔2003〕188号）的包装物或者容器内。</w:t>
            </w:r>
          </w:p>
          <w:p w14:paraId="581592AE">
            <w:pPr>
              <w:spacing w:line="360" w:lineRule="auto"/>
              <w:ind w:firstLine="480" w:firstLineChars="200"/>
              <w:rPr>
                <w:sz w:val="24"/>
              </w:rPr>
            </w:pPr>
            <w:r>
              <w:rPr>
                <w:sz w:val="24"/>
              </w:rPr>
              <w:t>b.在盛装医疗废物前，应当对医疗废物包装物或者容器进行认真检查，确保无破损、渗漏和其他缺陷。</w:t>
            </w:r>
          </w:p>
          <w:p w14:paraId="4EA90CEE">
            <w:pPr>
              <w:spacing w:line="360" w:lineRule="auto"/>
              <w:ind w:firstLine="480" w:firstLineChars="200"/>
              <w:rPr>
                <w:sz w:val="24"/>
              </w:rPr>
            </w:pPr>
            <w:r>
              <w:rPr>
                <w:sz w:val="24"/>
              </w:rPr>
              <w:t>c.感染性废物、病理性废物、损伤性废物、药物性废物及化学性废物不能混合收集。少量的药物性废物可以混入感染性废物，但应当在标签上注明。</w:t>
            </w:r>
          </w:p>
          <w:p w14:paraId="4661D9A2">
            <w:pPr>
              <w:spacing w:line="360" w:lineRule="auto"/>
              <w:ind w:firstLine="480" w:firstLineChars="200"/>
              <w:rPr>
                <w:sz w:val="24"/>
              </w:rPr>
            </w:pPr>
            <w:r>
              <w:rPr>
                <w:sz w:val="24"/>
              </w:rPr>
              <w:t>d.废弃的麻醉、精神、放射性、毒性等药品及其相关的废物的管理，依照有关法律、行政法规和国家有关规定、标准执行。</w:t>
            </w:r>
          </w:p>
          <w:p w14:paraId="32E6E728">
            <w:pPr>
              <w:spacing w:line="360" w:lineRule="auto"/>
              <w:ind w:firstLine="480" w:firstLineChars="200"/>
              <w:rPr>
                <w:sz w:val="24"/>
              </w:rPr>
            </w:pPr>
            <w:r>
              <w:rPr>
                <w:sz w:val="24"/>
              </w:rPr>
              <w:t>e.化学性废物中批量的废化学试剂、废消毒剂应当交由专门机构处置。</w:t>
            </w:r>
          </w:p>
          <w:p w14:paraId="5F3EB20F">
            <w:pPr>
              <w:spacing w:line="360" w:lineRule="auto"/>
              <w:ind w:firstLine="480" w:firstLineChars="200"/>
              <w:rPr>
                <w:sz w:val="24"/>
              </w:rPr>
            </w:pPr>
            <w:r>
              <w:rPr>
                <w:sz w:val="24"/>
              </w:rPr>
              <w:t>f.批量的含有汞的体温计、血压计等医疗器具报废时，应当交由专门机构处置。</w:t>
            </w:r>
          </w:p>
          <w:p w14:paraId="0341E310">
            <w:pPr>
              <w:spacing w:line="360" w:lineRule="auto"/>
              <w:ind w:firstLine="480" w:firstLineChars="200"/>
              <w:rPr>
                <w:sz w:val="24"/>
              </w:rPr>
            </w:pPr>
            <w:r>
              <w:rPr>
                <w:sz w:val="24"/>
              </w:rPr>
              <w:t>g.放入包装物或者容器内的感染性废物、病理性废物、损伤性废物不得取出。</w:t>
            </w:r>
          </w:p>
          <w:p w14:paraId="11B088B9">
            <w:pPr>
              <w:spacing w:line="360" w:lineRule="auto"/>
              <w:ind w:firstLine="480" w:firstLineChars="200"/>
              <w:rPr>
                <w:sz w:val="24"/>
              </w:rPr>
            </w:pPr>
            <w:r>
              <w:rPr>
                <w:sz w:val="24"/>
              </w:rPr>
              <w:t>L、医疗卫生机构内医疗废物产生地点应当有医疗废物分类收集方法的示意图或者文字说明。</w:t>
            </w:r>
          </w:p>
          <w:p w14:paraId="3C79E59F">
            <w:pPr>
              <w:spacing w:line="360" w:lineRule="auto"/>
              <w:ind w:firstLine="480" w:firstLineChars="200"/>
              <w:rPr>
                <w:sz w:val="24"/>
              </w:rPr>
            </w:pPr>
            <w:r>
              <w:rPr>
                <w:sz w:val="24"/>
              </w:rPr>
              <w:t>M、盛装的医疗废物达到包装物或者容器的3/4时，应当使用有效的封口方式，使包装物或者容器的封口紧实、严密。</w:t>
            </w:r>
          </w:p>
          <w:p w14:paraId="2B6AC906">
            <w:pPr>
              <w:spacing w:line="360" w:lineRule="auto"/>
              <w:ind w:firstLine="480" w:firstLineChars="200"/>
              <w:rPr>
                <w:sz w:val="24"/>
              </w:rPr>
            </w:pPr>
            <w:r>
              <w:rPr>
                <w:sz w:val="24"/>
              </w:rPr>
              <w:t>N、盛装医疗废物的每个包装物、容器外表面应当有警示标识，在每个包装物、容器上应当系中文标签，中文标签的内容应当包括：医疗废物产生单位、产生日期、类别及需要的特别说明等。</w:t>
            </w:r>
          </w:p>
          <w:p w14:paraId="3AAEB0DD">
            <w:pPr>
              <w:spacing w:line="360" w:lineRule="auto"/>
              <w:ind w:firstLine="480" w:firstLineChars="200"/>
              <w:rPr>
                <w:sz w:val="24"/>
              </w:rPr>
            </w:pPr>
            <w:r>
              <w:rPr>
                <w:sz w:val="24"/>
              </w:rPr>
              <w:t>②转运要求</w:t>
            </w:r>
          </w:p>
          <w:p w14:paraId="5AC3E547">
            <w:pPr>
              <w:spacing w:line="360" w:lineRule="auto"/>
              <w:ind w:firstLine="480" w:firstLineChars="200"/>
              <w:rPr>
                <w:sz w:val="24"/>
              </w:rPr>
            </w:pPr>
            <w:r>
              <w:rPr>
                <w:sz w:val="24"/>
              </w:rPr>
              <w:t>医疗废物转运时必须安全转移，防止撒漏，且由具有处理资质的单位接收，并严格落实以下要求：</w:t>
            </w:r>
          </w:p>
          <w:p w14:paraId="283FAA37">
            <w:pPr>
              <w:spacing w:line="360" w:lineRule="auto"/>
              <w:ind w:firstLine="480" w:firstLineChars="200"/>
              <w:rPr>
                <w:sz w:val="24"/>
              </w:rPr>
            </w:pPr>
            <w:r>
              <w:rPr>
                <w:sz w:val="24"/>
              </w:rPr>
              <w:t>A、运送人员每天从医疗废物产生地点将分类包装的医疗废物按照规定的时间和路线运送至内部指定的暂时贮存地点。</w:t>
            </w:r>
          </w:p>
          <w:p w14:paraId="2D71B628">
            <w:pPr>
              <w:spacing w:line="360" w:lineRule="auto"/>
              <w:ind w:firstLine="480" w:firstLineChars="200"/>
              <w:rPr>
                <w:sz w:val="24"/>
              </w:rPr>
            </w:pPr>
            <w:r>
              <w:rPr>
                <w:sz w:val="24"/>
              </w:rPr>
              <w:t>B、运送人员在运送医疗废物前，应当检查包装物或者容器的标识、标签及封口是否符合要求，不得将不符合要求的医疗废物运送至暂时贮存地点。</w:t>
            </w:r>
          </w:p>
          <w:p w14:paraId="7E65DC84">
            <w:pPr>
              <w:spacing w:line="360" w:lineRule="auto"/>
              <w:ind w:firstLine="480" w:firstLineChars="200"/>
              <w:rPr>
                <w:sz w:val="24"/>
              </w:rPr>
            </w:pPr>
            <w:r>
              <w:rPr>
                <w:sz w:val="24"/>
              </w:rPr>
              <w:t>C、运送人员在运送医疗废物时，应当防止造成包装物或容器破损和医疗废物的流失、泄漏和扩散，并防止医疗废物直接接触身体。</w:t>
            </w:r>
          </w:p>
          <w:p w14:paraId="24C9B8CE">
            <w:pPr>
              <w:spacing w:line="360" w:lineRule="auto"/>
              <w:ind w:firstLine="480" w:firstLineChars="200"/>
              <w:rPr>
                <w:sz w:val="24"/>
              </w:rPr>
            </w:pPr>
            <w:r>
              <w:rPr>
                <w:sz w:val="24"/>
              </w:rPr>
              <w:t>D、运送医疗废物应当使用防渗漏、防遗撒、无锐利边角、易于装卸和清洁的专用运送工具。每天运送工作结束后，应当对运送工具及时进行清洁和消毒。</w:t>
            </w:r>
          </w:p>
          <w:p w14:paraId="69C36C42">
            <w:pPr>
              <w:spacing w:line="360" w:lineRule="auto"/>
              <w:ind w:firstLine="480" w:firstLineChars="200"/>
              <w:rPr>
                <w:sz w:val="24"/>
              </w:rPr>
            </w:pPr>
            <w:r>
              <w:rPr>
                <w:sz w:val="24"/>
              </w:rPr>
              <w:t>2）其他危险废物</w:t>
            </w:r>
          </w:p>
          <w:p w14:paraId="091D0D60">
            <w:pPr>
              <w:spacing w:line="360" w:lineRule="auto"/>
              <w:ind w:firstLine="480" w:firstLineChars="200"/>
              <w:rPr>
                <w:sz w:val="24"/>
              </w:rPr>
            </w:pPr>
            <w:r>
              <w:rPr>
                <w:sz w:val="24"/>
              </w:rPr>
              <w:t>储存要求：危险废物应分类收集储存在医废暂存间，其应采取防风、防雨、防晒、防渗漏的“四防”措施，按照《危险废物识别标志设置技术规范 （HJ 1276—2022）》设置警示标识，由专人负责管理。危险废物贮存必须严格按照《危险废物贮存污染控制标准》（GB18597-2023）要求执行：</w:t>
            </w:r>
          </w:p>
          <w:p w14:paraId="3A96D6D8">
            <w:pPr>
              <w:spacing w:line="360" w:lineRule="auto"/>
              <w:ind w:firstLine="480" w:firstLineChars="200"/>
              <w:rPr>
                <w:sz w:val="24"/>
              </w:rPr>
            </w:pPr>
            <w:r>
              <w:rPr>
                <w:sz w:val="24"/>
              </w:rPr>
              <w:t>①使用符合标准的容器盛装危险废物。</w:t>
            </w:r>
          </w:p>
          <w:p w14:paraId="47BCF46F">
            <w:pPr>
              <w:spacing w:line="360" w:lineRule="auto"/>
              <w:ind w:firstLine="480" w:firstLineChars="200"/>
              <w:rPr>
                <w:sz w:val="24"/>
              </w:rPr>
            </w:pPr>
            <w:r>
              <w:rPr>
                <w:sz w:val="24"/>
              </w:rPr>
              <w:t>②装载危险废物的容器及材质要满足相应的强度要求。</w:t>
            </w:r>
          </w:p>
          <w:p w14:paraId="36FA299B">
            <w:pPr>
              <w:spacing w:line="360" w:lineRule="auto"/>
              <w:ind w:firstLine="480" w:firstLineChars="200"/>
              <w:rPr>
                <w:sz w:val="24"/>
              </w:rPr>
            </w:pPr>
            <w:r>
              <w:rPr>
                <w:sz w:val="24"/>
              </w:rPr>
              <w:t>③装载危险废物的容器必须完好无损。</w:t>
            </w:r>
          </w:p>
          <w:p w14:paraId="361AECA3">
            <w:pPr>
              <w:spacing w:line="360" w:lineRule="auto"/>
              <w:ind w:firstLine="480" w:firstLineChars="200"/>
              <w:rPr>
                <w:sz w:val="24"/>
              </w:rPr>
            </w:pPr>
            <w:r>
              <w:rPr>
                <w:sz w:val="24"/>
              </w:rPr>
              <w:t>④盛装危险废物的容器材质和衬里要与危险废物相容（不相互反应）。</w:t>
            </w:r>
          </w:p>
          <w:p w14:paraId="41F4EE13">
            <w:pPr>
              <w:spacing w:line="360" w:lineRule="auto"/>
              <w:ind w:firstLine="480" w:firstLineChars="200"/>
              <w:rPr>
                <w:sz w:val="24"/>
              </w:rPr>
            </w:pPr>
            <w:r>
              <w:rPr>
                <w:sz w:val="24"/>
              </w:rPr>
              <w:t>⑤液体危险废物可注入开孔直径不超过70mm并有放气孔的桶中。</w:t>
            </w:r>
          </w:p>
          <w:p w14:paraId="6C5E25F7">
            <w:pPr>
              <w:spacing w:line="360" w:lineRule="auto"/>
              <w:ind w:firstLine="480" w:firstLineChars="200"/>
              <w:rPr>
                <w:sz w:val="24"/>
              </w:rPr>
            </w:pPr>
            <w:r>
              <w:rPr>
                <w:sz w:val="24"/>
              </w:rPr>
              <w:t>同时，本环评要求各类危险废物应进行分类收集，并贴上相应的标签，指定专人负责管理，落实责任制。</w:t>
            </w:r>
          </w:p>
          <w:p w14:paraId="72E3777A">
            <w:pPr>
              <w:spacing w:line="360" w:lineRule="auto"/>
              <w:ind w:firstLine="480" w:firstLineChars="200"/>
              <w:rPr>
                <w:sz w:val="24"/>
              </w:rPr>
            </w:pPr>
            <w:r>
              <w:rPr>
                <w:sz w:val="24"/>
              </w:rPr>
              <w:t>转运要求：危险废物转运时必须安全转移，防止撒漏，且由具有处理资质的单位接收，并严格落实以下要求：</w:t>
            </w:r>
          </w:p>
          <w:p w14:paraId="1B6B822D">
            <w:pPr>
              <w:spacing w:line="360" w:lineRule="auto"/>
              <w:ind w:firstLine="480" w:firstLineChars="200"/>
              <w:rPr>
                <w:sz w:val="24"/>
              </w:rPr>
            </w:pPr>
            <w:r>
              <w:rPr>
                <w:sz w:val="24"/>
              </w:rPr>
              <w:t>①危险废物每次外运处置均需做好运输登记，认真填写危险废物转移联单。</w:t>
            </w:r>
          </w:p>
          <w:p w14:paraId="066DBFC2">
            <w:pPr>
              <w:spacing w:line="360" w:lineRule="auto"/>
              <w:ind w:firstLine="480" w:firstLineChars="200"/>
              <w:rPr>
                <w:sz w:val="24"/>
              </w:rPr>
            </w:pPr>
            <w:r>
              <w:rPr>
                <w:sz w:val="24"/>
              </w:rPr>
              <w:t>②废弃物运输必须由已签订的危废处置单位负责，处置单位每次处置应以书面形式告知建设单位危险废物最终去向。</w:t>
            </w:r>
          </w:p>
          <w:p w14:paraId="3B622CED">
            <w:pPr>
              <w:spacing w:line="360" w:lineRule="auto"/>
              <w:ind w:firstLine="480" w:firstLineChars="200"/>
              <w:rPr>
                <w:sz w:val="24"/>
              </w:rPr>
            </w:pPr>
            <w:r>
              <w:rPr>
                <w:sz w:val="24"/>
              </w:rPr>
              <w:t>③危险废物运输路线必须严格按照有关部门批准的路线运输；若必须更改运输路线，需经有关部门同意后才可实施。</w:t>
            </w:r>
          </w:p>
          <w:p w14:paraId="40624375">
            <w:pPr>
              <w:spacing w:line="360" w:lineRule="auto"/>
              <w:ind w:firstLine="480" w:firstLineChars="200"/>
              <w:rPr>
                <w:sz w:val="24"/>
              </w:rPr>
            </w:pPr>
            <w:r>
              <w:rPr>
                <w:sz w:val="24"/>
              </w:rPr>
              <w:t>综上所述，本项目营运期严格落实本环评中提出的各类废物处置措施，落实危险废物储存和转运要求，可防止因处置不当出现的环境二次污染。</w:t>
            </w:r>
          </w:p>
          <w:p w14:paraId="14C2C4A9">
            <w:pPr>
              <w:spacing w:line="360" w:lineRule="auto"/>
              <w:ind w:firstLine="482" w:firstLineChars="200"/>
              <w:rPr>
                <w:b/>
                <w:bCs/>
                <w:sz w:val="24"/>
              </w:rPr>
            </w:pPr>
            <w:r>
              <w:rPr>
                <w:b/>
                <w:bCs/>
                <w:sz w:val="24"/>
              </w:rPr>
              <w:t>五、地下水、土壤污染及防治措施</w:t>
            </w:r>
          </w:p>
          <w:p w14:paraId="0EFF431E">
            <w:pPr>
              <w:spacing w:line="360" w:lineRule="auto"/>
              <w:ind w:firstLine="482" w:firstLineChars="200"/>
              <w:rPr>
                <w:b/>
                <w:bCs/>
                <w:sz w:val="24"/>
              </w:rPr>
            </w:pPr>
            <w:r>
              <w:rPr>
                <w:rFonts w:hint="eastAsia"/>
                <w:b/>
                <w:sz w:val="24"/>
                <w:szCs w:val="24"/>
              </w:rPr>
              <w:t>1、</w:t>
            </w:r>
            <w:r>
              <w:rPr>
                <w:b/>
                <w:sz w:val="24"/>
                <w:szCs w:val="24"/>
              </w:rPr>
              <w:t>污染途径</w:t>
            </w:r>
          </w:p>
          <w:p w14:paraId="71BE8074">
            <w:pPr>
              <w:spacing w:line="360" w:lineRule="auto"/>
              <w:ind w:firstLine="480" w:firstLineChars="200"/>
              <w:rPr>
                <w:sz w:val="24"/>
              </w:rPr>
            </w:pPr>
            <w:r>
              <w:rPr>
                <w:sz w:val="24"/>
                <w:szCs w:val="24"/>
              </w:rPr>
              <w:t>运营期污染物进入地下水环境的途径主要是</w:t>
            </w:r>
            <w:r>
              <w:rPr>
                <w:sz w:val="24"/>
              </w:rPr>
              <w:t>废水排放或原料泄漏</w:t>
            </w:r>
            <w:r>
              <w:rPr>
                <w:rFonts w:hint="eastAsia"/>
                <w:sz w:val="24"/>
              </w:rPr>
              <w:t>等</w:t>
            </w:r>
            <w:r>
              <w:rPr>
                <w:sz w:val="24"/>
                <w:szCs w:val="24"/>
              </w:rPr>
              <w:t>通过垂直渗透进入包气带，进入包气带的污染物在物理、化学和生物作用下经吸附、转化、迁移和分解后输入地下水</w:t>
            </w:r>
            <w:r>
              <w:rPr>
                <w:rFonts w:hint="eastAsia"/>
                <w:sz w:val="24"/>
                <w:szCs w:val="24"/>
              </w:rPr>
              <w:t>。</w:t>
            </w:r>
            <w:r>
              <w:rPr>
                <w:sz w:val="24"/>
              </w:rPr>
              <w:t>根据本项目特点，营运期因渗漏可能产生的污染地下水环节有：①污水管网、污水处理设施、医疗废物暂存间</w:t>
            </w:r>
            <w:r>
              <w:rPr>
                <w:rFonts w:hint="eastAsia"/>
                <w:sz w:val="24"/>
              </w:rPr>
              <w:t>、柴油发电机</w:t>
            </w:r>
            <w:r>
              <w:rPr>
                <w:sz w:val="24"/>
              </w:rPr>
              <w:t>发生“跑、冒、滴、漏”使污染物进入地下水环境。②突发环境风险事故导致原料外溢，进入地下水环境</w:t>
            </w:r>
            <w:r>
              <w:rPr>
                <w:rFonts w:hint="eastAsia"/>
                <w:sz w:val="24"/>
              </w:rPr>
              <w:t>。</w:t>
            </w:r>
          </w:p>
          <w:p w14:paraId="3452E8F0">
            <w:pPr>
              <w:pStyle w:val="8"/>
              <w:spacing w:after="0" w:line="360" w:lineRule="auto"/>
              <w:ind w:firstLine="480" w:firstLineChars="200"/>
              <w:rPr>
                <w:sz w:val="24"/>
              </w:rPr>
            </w:pPr>
            <w:r>
              <w:rPr>
                <w:sz w:val="24"/>
              </w:rPr>
              <w:t>根据分析，本项目土壤环境影响类型为污染影响型，项目污染途径和污染物类型详见下表所示。</w:t>
            </w:r>
          </w:p>
          <w:p w14:paraId="1BE28238">
            <w:pPr>
              <w:spacing w:line="360" w:lineRule="auto"/>
              <w:jc w:val="center"/>
              <w:rPr>
                <w:b/>
                <w:bCs/>
                <w:sz w:val="24"/>
              </w:rPr>
            </w:pPr>
            <w:r>
              <w:rPr>
                <w:b/>
                <w:bCs/>
                <w:sz w:val="24"/>
              </w:rPr>
              <w:t>表4-</w:t>
            </w:r>
            <w:r>
              <w:rPr>
                <w:rFonts w:hint="eastAsia"/>
                <w:b/>
                <w:bCs/>
                <w:sz w:val="24"/>
                <w:lang w:val="en-US" w:eastAsia="zh-CN"/>
              </w:rPr>
              <w:t>21</w:t>
            </w:r>
            <w:r>
              <w:rPr>
                <w:b/>
                <w:bCs/>
                <w:sz w:val="24"/>
              </w:rPr>
              <w:t xml:space="preserve"> 土壤污染源、污染物及污染途径情况表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519"/>
              <w:gridCol w:w="1168"/>
              <w:gridCol w:w="2489"/>
              <w:gridCol w:w="1012"/>
              <w:gridCol w:w="889"/>
            </w:tblGrid>
            <w:tr w14:paraId="66DAA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2" w:type="pct"/>
                  <w:tcBorders>
                    <w:tl2br w:val="nil"/>
                    <w:tr2bl w:val="nil"/>
                  </w:tcBorders>
                  <w:vAlign w:val="center"/>
                </w:tcPr>
                <w:p w14:paraId="5BAA6334">
                  <w:pPr>
                    <w:jc w:val="center"/>
                    <w:rPr>
                      <w:b/>
                      <w:bCs/>
                    </w:rPr>
                  </w:pPr>
                  <w:r>
                    <w:rPr>
                      <w:b/>
                      <w:bCs/>
                    </w:rPr>
                    <w:t>污染源</w:t>
                  </w:r>
                </w:p>
              </w:tc>
              <w:tc>
                <w:tcPr>
                  <w:tcW w:w="877" w:type="pct"/>
                  <w:tcBorders>
                    <w:tl2br w:val="nil"/>
                    <w:tr2bl w:val="nil"/>
                  </w:tcBorders>
                  <w:vAlign w:val="center"/>
                </w:tcPr>
                <w:p w14:paraId="32AC98F5">
                  <w:pPr>
                    <w:jc w:val="center"/>
                    <w:rPr>
                      <w:b/>
                      <w:bCs/>
                    </w:rPr>
                  </w:pPr>
                  <w:r>
                    <w:rPr>
                      <w:b/>
                      <w:bCs/>
                    </w:rPr>
                    <w:t>工艺流程/节点</w:t>
                  </w:r>
                </w:p>
              </w:tc>
              <w:tc>
                <w:tcPr>
                  <w:tcW w:w="674" w:type="pct"/>
                  <w:tcBorders>
                    <w:tl2br w:val="nil"/>
                    <w:tr2bl w:val="nil"/>
                  </w:tcBorders>
                  <w:vAlign w:val="center"/>
                </w:tcPr>
                <w:p w14:paraId="2274CB65">
                  <w:pPr>
                    <w:jc w:val="center"/>
                    <w:rPr>
                      <w:b/>
                      <w:bCs/>
                    </w:rPr>
                  </w:pPr>
                  <w:r>
                    <w:rPr>
                      <w:b/>
                      <w:bCs/>
                    </w:rPr>
                    <w:t>污染途径</w:t>
                  </w:r>
                </w:p>
              </w:tc>
              <w:tc>
                <w:tcPr>
                  <w:tcW w:w="1437" w:type="pct"/>
                  <w:tcBorders>
                    <w:tl2br w:val="nil"/>
                    <w:tr2bl w:val="nil"/>
                  </w:tcBorders>
                  <w:vAlign w:val="center"/>
                </w:tcPr>
                <w:p w14:paraId="75AB93BE">
                  <w:pPr>
                    <w:jc w:val="center"/>
                    <w:rPr>
                      <w:b/>
                      <w:bCs/>
                    </w:rPr>
                  </w:pPr>
                  <w:r>
                    <w:rPr>
                      <w:b/>
                      <w:bCs/>
                    </w:rPr>
                    <w:t>全部污染物指标</w:t>
                  </w:r>
                </w:p>
              </w:tc>
              <w:tc>
                <w:tcPr>
                  <w:tcW w:w="584" w:type="pct"/>
                  <w:tcBorders>
                    <w:tl2br w:val="nil"/>
                    <w:tr2bl w:val="nil"/>
                  </w:tcBorders>
                  <w:vAlign w:val="center"/>
                </w:tcPr>
                <w:p w14:paraId="524FC6C0">
                  <w:pPr>
                    <w:jc w:val="center"/>
                    <w:rPr>
                      <w:b/>
                      <w:bCs/>
                    </w:rPr>
                  </w:pPr>
                  <w:r>
                    <w:rPr>
                      <w:b/>
                      <w:bCs/>
                    </w:rPr>
                    <w:t>特征因子</w:t>
                  </w:r>
                </w:p>
              </w:tc>
              <w:tc>
                <w:tcPr>
                  <w:tcW w:w="513" w:type="pct"/>
                  <w:tcBorders>
                    <w:tl2br w:val="nil"/>
                    <w:tr2bl w:val="nil"/>
                  </w:tcBorders>
                  <w:vAlign w:val="center"/>
                </w:tcPr>
                <w:p w14:paraId="59888EC9">
                  <w:pPr>
                    <w:jc w:val="center"/>
                    <w:rPr>
                      <w:b/>
                      <w:bCs/>
                    </w:rPr>
                  </w:pPr>
                  <w:r>
                    <w:rPr>
                      <w:b/>
                      <w:bCs/>
                    </w:rPr>
                    <w:t>备注</w:t>
                  </w:r>
                </w:p>
              </w:tc>
            </w:tr>
            <w:tr w14:paraId="7CB09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2" w:type="pct"/>
                  <w:tcBorders>
                    <w:tl2br w:val="nil"/>
                    <w:tr2bl w:val="nil"/>
                  </w:tcBorders>
                  <w:vAlign w:val="center"/>
                </w:tcPr>
                <w:p w14:paraId="6DA3D1AE">
                  <w:pPr>
                    <w:jc w:val="center"/>
                  </w:pPr>
                  <w:r>
                    <w:rPr>
                      <w:rFonts w:hint="eastAsia"/>
                    </w:rPr>
                    <w:t>柴油发电机房</w:t>
                  </w:r>
                </w:p>
              </w:tc>
              <w:tc>
                <w:tcPr>
                  <w:tcW w:w="877" w:type="pct"/>
                  <w:tcBorders>
                    <w:tl2br w:val="nil"/>
                    <w:tr2bl w:val="nil"/>
                  </w:tcBorders>
                  <w:vAlign w:val="center"/>
                </w:tcPr>
                <w:p w14:paraId="40AFFACB">
                  <w:pPr>
                    <w:jc w:val="center"/>
                  </w:pPr>
                  <w:r>
                    <w:rPr>
                      <w:rFonts w:hint="eastAsia"/>
                    </w:rPr>
                    <w:t>/</w:t>
                  </w:r>
                </w:p>
              </w:tc>
              <w:tc>
                <w:tcPr>
                  <w:tcW w:w="674" w:type="pct"/>
                  <w:tcBorders>
                    <w:tl2br w:val="nil"/>
                    <w:tr2bl w:val="nil"/>
                  </w:tcBorders>
                  <w:vAlign w:val="center"/>
                </w:tcPr>
                <w:p w14:paraId="3A351DE1">
                  <w:pPr>
                    <w:jc w:val="center"/>
                  </w:pPr>
                  <w:r>
                    <w:t>垂直入渗</w:t>
                  </w:r>
                </w:p>
              </w:tc>
              <w:tc>
                <w:tcPr>
                  <w:tcW w:w="1437" w:type="pct"/>
                  <w:tcBorders>
                    <w:tl2br w:val="nil"/>
                    <w:tr2bl w:val="nil"/>
                  </w:tcBorders>
                  <w:vAlign w:val="center"/>
                </w:tcPr>
                <w:p w14:paraId="22C81C4E">
                  <w:pPr>
                    <w:jc w:val="center"/>
                    <w:rPr>
                      <w:b/>
                      <w:bCs/>
                    </w:rPr>
                  </w:pPr>
                  <w:r>
                    <w:rPr>
                      <w:rFonts w:hint="eastAsia"/>
                    </w:rPr>
                    <w:t>石油类</w:t>
                  </w:r>
                </w:p>
              </w:tc>
              <w:tc>
                <w:tcPr>
                  <w:tcW w:w="584" w:type="pct"/>
                  <w:tcBorders>
                    <w:tl2br w:val="nil"/>
                    <w:tr2bl w:val="nil"/>
                  </w:tcBorders>
                  <w:vAlign w:val="center"/>
                </w:tcPr>
                <w:p w14:paraId="71F28E76">
                  <w:pPr>
                    <w:jc w:val="center"/>
                  </w:pPr>
                  <w:r>
                    <w:t>/</w:t>
                  </w:r>
                </w:p>
              </w:tc>
              <w:tc>
                <w:tcPr>
                  <w:tcW w:w="513" w:type="pct"/>
                  <w:tcBorders>
                    <w:tl2br w:val="nil"/>
                    <w:tr2bl w:val="nil"/>
                  </w:tcBorders>
                  <w:vAlign w:val="center"/>
                </w:tcPr>
                <w:p w14:paraId="01503291">
                  <w:pPr>
                    <w:jc w:val="center"/>
                  </w:pPr>
                  <w:r>
                    <w:t>事故</w:t>
                  </w:r>
                </w:p>
              </w:tc>
            </w:tr>
            <w:tr w14:paraId="27385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tcBorders>
                    <w:tl2br w:val="nil"/>
                    <w:tr2bl w:val="nil"/>
                  </w:tcBorders>
                  <w:vAlign w:val="center"/>
                </w:tcPr>
                <w:p w14:paraId="1D56E704">
                  <w:pPr>
                    <w:jc w:val="center"/>
                  </w:pPr>
                  <w:r>
                    <w:t>化粪池</w:t>
                  </w:r>
                </w:p>
              </w:tc>
              <w:tc>
                <w:tcPr>
                  <w:tcW w:w="877" w:type="pct"/>
                  <w:tcBorders>
                    <w:tl2br w:val="nil"/>
                    <w:tr2bl w:val="nil"/>
                  </w:tcBorders>
                  <w:vAlign w:val="center"/>
                </w:tcPr>
                <w:p w14:paraId="29E94E69">
                  <w:pPr>
                    <w:jc w:val="center"/>
                  </w:pPr>
                  <w:r>
                    <w:t>预处理</w:t>
                  </w:r>
                </w:p>
              </w:tc>
              <w:tc>
                <w:tcPr>
                  <w:tcW w:w="674" w:type="pct"/>
                  <w:tcBorders>
                    <w:tl2br w:val="nil"/>
                    <w:tr2bl w:val="nil"/>
                  </w:tcBorders>
                  <w:vAlign w:val="center"/>
                </w:tcPr>
                <w:p w14:paraId="7671D055">
                  <w:pPr>
                    <w:jc w:val="center"/>
                  </w:pPr>
                  <w:r>
                    <w:t>垂直入渗</w:t>
                  </w:r>
                </w:p>
              </w:tc>
              <w:tc>
                <w:tcPr>
                  <w:tcW w:w="1437" w:type="pct"/>
                  <w:vMerge w:val="restart"/>
                  <w:tcBorders>
                    <w:tl2br w:val="nil"/>
                    <w:tr2bl w:val="nil"/>
                  </w:tcBorders>
                  <w:vAlign w:val="center"/>
                </w:tcPr>
                <w:p w14:paraId="075243F2">
                  <w:pPr>
                    <w:jc w:val="center"/>
                  </w:pPr>
                  <w:r>
                    <w:t>pH、COD、BOD</w:t>
                  </w:r>
                  <w:r>
                    <w:rPr>
                      <w:vertAlign w:val="subscript"/>
                    </w:rPr>
                    <w:t>5</w:t>
                  </w:r>
                  <w:r>
                    <w:t>、SS、NH</w:t>
                  </w:r>
                  <w:r>
                    <w:rPr>
                      <w:vertAlign w:val="subscript"/>
                    </w:rPr>
                    <w:t>3</w:t>
                  </w:r>
                  <w:r>
                    <w:t>-N、TP、动植物油、粪大肠菌群</w:t>
                  </w:r>
                  <w:r>
                    <w:rPr>
                      <w:rFonts w:hint="eastAsia"/>
                    </w:rPr>
                    <w:t>、总余氯</w:t>
                  </w:r>
                  <w:r>
                    <w:t>等</w:t>
                  </w:r>
                </w:p>
              </w:tc>
              <w:tc>
                <w:tcPr>
                  <w:tcW w:w="584" w:type="pct"/>
                  <w:tcBorders>
                    <w:tl2br w:val="nil"/>
                    <w:tr2bl w:val="nil"/>
                  </w:tcBorders>
                  <w:vAlign w:val="center"/>
                </w:tcPr>
                <w:p w14:paraId="7A054026">
                  <w:pPr>
                    <w:jc w:val="center"/>
                  </w:pPr>
                  <w:r>
                    <w:t>/</w:t>
                  </w:r>
                </w:p>
              </w:tc>
              <w:tc>
                <w:tcPr>
                  <w:tcW w:w="513" w:type="pct"/>
                  <w:tcBorders>
                    <w:tl2br w:val="nil"/>
                    <w:tr2bl w:val="nil"/>
                  </w:tcBorders>
                  <w:vAlign w:val="center"/>
                </w:tcPr>
                <w:p w14:paraId="367AFC93">
                  <w:pPr>
                    <w:jc w:val="center"/>
                  </w:pPr>
                  <w:r>
                    <w:t>事故</w:t>
                  </w:r>
                </w:p>
              </w:tc>
            </w:tr>
            <w:tr w14:paraId="3970F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tcBorders>
                    <w:tl2br w:val="nil"/>
                    <w:tr2bl w:val="nil"/>
                  </w:tcBorders>
                  <w:vAlign w:val="center"/>
                </w:tcPr>
                <w:p w14:paraId="374E5D07">
                  <w:pPr>
                    <w:jc w:val="center"/>
                  </w:pPr>
                  <w:r>
                    <w:t>污水处理</w:t>
                  </w:r>
                  <w:r>
                    <w:rPr>
                      <w:rFonts w:hint="eastAsia"/>
                    </w:rPr>
                    <w:t>设施</w:t>
                  </w:r>
                </w:p>
              </w:tc>
              <w:tc>
                <w:tcPr>
                  <w:tcW w:w="877" w:type="pct"/>
                  <w:tcBorders>
                    <w:tl2br w:val="nil"/>
                    <w:tr2bl w:val="nil"/>
                  </w:tcBorders>
                  <w:vAlign w:val="center"/>
                </w:tcPr>
                <w:p w14:paraId="5453B23A">
                  <w:pPr>
                    <w:jc w:val="center"/>
                  </w:pPr>
                  <w:r>
                    <w:t>预处理</w:t>
                  </w:r>
                </w:p>
              </w:tc>
              <w:tc>
                <w:tcPr>
                  <w:tcW w:w="674" w:type="pct"/>
                  <w:tcBorders>
                    <w:tl2br w:val="nil"/>
                    <w:tr2bl w:val="nil"/>
                  </w:tcBorders>
                  <w:vAlign w:val="center"/>
                </w:tcPr>
                <w:p w14:paraId="29E94F5C">
                  <w:pPr>
                    <w:jc w:val="center"/>
                  </w:pPr>
                  <w:r>
                    <w:t>垂直入渗</w:t>
                  </w:r>
                </w:p>
              </w:tc>
              <w:tc>
                <w:tcPr>
                  <w:tcW w:w="1437" w:type="pct"/>
                  <w:vMerge w:val="continue"/>
                  <w:tcBorders>
                    <w:tl2br w:val="nil"/>
                    <w:tr2bl w:val="nil"/>
                  </w:tcBorders>
                  <w:vAlign w:val="center"/>
                </w:tcPr>
                <w:p w14:paraId="769652A9">
                  <w:pPr>
                    <w:jc w:val="center"/>
                  </w:pPr>
                </w:p>
              </w:tc>
              <w:tc>
                <w:tcPr>
                  <w:tcW w:w="584" w:type="pct"/>
                  <w:tcBorders>
                    <w:tl2br w:val="nil"/>
                    <w:tr2bl w:val="nil"/>
                  </w:tcBorders>
                  <w:vAlign w:val="center"/>
                </w:tcPr>
                <w:p w14:paraId="7FEE2037">
                  <w:pPr>
                    <w:jc w:val="center"/>
                  </w:pPr>
                  <w:r>
                    <w:t>/</w:t>
                  </w:r>
                </w:p>
              </w:tc>
              <w:tc>
                <w:tcPr>
                  <w:tcW w:w="513" w:type="pct"/>
                  <w:tcBorders>
                    <w:tl2br w:val="nil"/>
                    <w:tr2bl w:val="nil"/>
                  </w:tcBorders>
                  <w:vAlign w:val="center"/>
                </w:tcPr>
                <w:p w14:paraId="6D56E3E0">
                  <w:pPr>
                    <w:jc w:val="center"/>
                  </w:pPr>
                  <w:r>
                    <w:t>事故</w:t>
                  </w:r>
                </w:p>
              </w:tc>
            </w:tr>
            <w:tr w14:paraId="6E33C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2" w:type="pct"/>
                  <w:tcBorders>
                    <w:tl2br w:val="nil"/>
                    <w:tr2bl w:val="nil"/>
                  </w:tcBorders>
                  <w:vAlign w:val="center"/>
                </w:tcPr>
                <w:p w14:paraId="3E0D026A">
                  <w:pPr>
                    <w:jc w:val="center"/>
                  </w:pPr>
                  <w:r>
                    <w:rPr>
                      <w:rFonts w:hint="eastAsia"/>
                    </w:rPr>
                    <w:t>医疗废物</w:t>
                  </w:r>
                  <w:r>
                    <w:t>暂存间</w:t>
                  </w:r>
                </w:p>
              </w:tc>
              <w:tc>
                <w:tcPr>
                  <w:tcW w:w="877" w:type="pct"/>
                  <w:tcBorders>
                    <w:tl2br w:val="nil"/>
                    <w:tr2bl w:val="nil"/>
                  </w:tcBorders>
                  <w:vAlign w:val="center"/>
                </w:tcPr>
                <w:p w14:paraId="142263B1">
                  <w:pPr>
                    <w:jc w:val="center"/>
                  </w:pPr>
                  <w:r>
                    <w:t>医疗废物储存</w:t>
                  </w:r>
                </w:p>
              </w:tc>
              <w:tc>
                <w:tcPr>
                  <w:tcW w:w="674" w:type="pct"/>
                  <w:tcBorders>
                    <w:tl2br w:val="nil"/>
                    <w:tr2bl w:val="nil"/>
                  </w:tcBorders>
                  <w:vAlign w:val="center"/>
                </w:tcPr>
                <w:p w14:paraId="06574636">
                  <w:pPr>
                    <w:jc w:val="center"/>
                  </w:pPr>
                  <w:r>
                    <w:t>垂直入渗、地面漫流</w:t>
                  </w:r>
                </w:p>
              </w:tc>
              <w:tc>
                <w:tcPr>
                  <w:tcW w:w="1437" w:type="pct"/>
                  <w:tcBorders>
                    <w:tl2br w:val="nil"/>
                    <w:tr2bl w:val="nil"/>
                  </w:tcBorders>
                  <w:vAlign w:val="center"/>
                </w:tcPr>
                <w:p w14:paraId="5D2D2EFA">
                  <w:pPr>
                    <w:jc w:val="center"/>
                  </w:pPr>
                  <w:r>
                    <w:t>COD、BOD</w:t>
                  </w:r>
                  <w:r>
                    <w:rPr>
                      <w:vertAlign w:val="subscript"/>
                    </w:rPr>
                    <w:t>5</w:t>
                  </w:r>
                  <w:r>
                    <w:t>、SS、NH</w:t>
                  </w:r>
                  <w:r>
                    <w:rPr>
                      <w:vertAlign w:val="subscript"/>
                    </w:rPr>
                    <w:t>3</w:t>
                  </w:r>
                  <w:r>
                    <w:t>-N、TP、粪大肠菌群等</w:t>
                  </w:r>
                </w:p>
              </w:tc>
              <w:tc>
                <w:tcPr>
                  <w:tcW w:w="584" w:type="pct"/>
                  <w:tcBorders>
                    <w:tl2br w:val="nil"/>
                    <w:tr2bl w:val="nil"/>
                  </w:tcBorders>
                  <w:vAlign w:val="center"/>
                </w:tcPr>
                <w:p w14:paraId="297010DA">
                  <w:pPr>
                    <w:jc w:val="center"/>
                  </w:pPr>
                  <w:r>
                    <w:t>/</w:t>
                  </w:r>
                </w:p>
              </w:tc>
              <w:tc>
                <w:tcPr>
                  <w:tcW w:w="513" w:type="pct"/>
                  <w:tcBorders>
                    <w:tl2br w:val="nil"/>
                    <w:tr2bl w:val="nil"/>
                  </w:tcBorders>
                  <w:vAlign w:val="center"/>
                </w:tcPr>
                <w:p w14:paraId="4B43417A">
                  <w:pPr>
                    <w:jc w:val="center"/>
                  </w:pPr>
                  <w:r>
                    <w:t>事故</w:t>
                  </w:r>
                </w:p>
              </w:tc>
            </w:tr>
          </w:tbl>
          <w:p w14:paraId="5467007A">
            <w:pPr>
              <w:spacing w:line="360" w:lineRule="auto"/>
              <w:ind w:firstLine="482" w:firstLineChars="200"/>
              <w:rPr>
                <w:b/>
                <w:bCs/>
                <w:sz w:val="24"/>
              </w:rPr>
            </w:pPr>
            <w:r>
              <w:rPr>
                <w:rFonts w:hint="eastAsia"/>
                <w:b/>
                <w:bCs/>
                <w:sz w:val="24"/>
              </w:rPr>
              <w:t>2、</w:t>
            </w:r>
            <w:r>
              <w:rPr>
                <w:b/>
                <w:bCs/>
                <w:sz w:val="24"/>
              </w:rPr>
              <w:t>源头控制措施</w:t>
            </w:r>
          </w:p>
          <w:p w14:paraId="0E8A27DB">
            <w:pPr>
              <w:spacing w:line="360" w:lineRule="auto"/>
              <w:ind w:firstLine="480" w:firstLineChars="200"/>
              <w:rPr>
                <w:sz w:val="24"/>
              </w:rPr>
            </w:pPr>
            <w:r>
              <w:rPr>
                <w:sz w:val="24"/>
              </w:rPr>
              <w:t>①积极推行实施清洁生产，实现各类废物循环利用，减少污染物的排放量；</w:t>
            </w:r>
          </w:p>
          <w:p w14:paraId="6527C6BC">
            <w:pPr>
              <w:spacing w:line="360" w:lineRule="auto"/>
              <w:ind w:firstLine="480" w:firstLineChars="200"/>
              <w:rPr>
                <w:sz w:val="24"/>
              </w:rPr>
            </w:pPr>
            <w:r>
              <w:rPr>
                <w:sz w:val="24"/>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420013C1">
            <w:pPr>
              <w:spacing w:line="360" w:lineRule="auto"/>
              <w:ind w:firstLine="480" w:firstLineChars="200"/>
              <w:rPr>
                <w:sz w:val="24"/>
              </w:rPr>
            </w:pPr>
            <w:r>
              <w:rPr>
                <w:sz w:val="24"/>
              </w:rPr>
              <w:t>③对工艺、管道、设备、污水储存及处理构筑物采取控制措施，防止污染物的跑、冒、滴、漏，将污染物泄漏的环境风险事故降到最低限度。</w:t>
            </w:r>
          </w:p>
          <w:p w14:paraId="1802BDD0">
            <w:pPr>
              <w:spacing w:line="360" w:lineRule="auto"/>
              <w:ind w:firstLine="482" w:firstLineChars="200"/>
              <w:rPr>
                <w:b/>
                <w:bCs/>
                <w:sz w:val="24"/>
              </w:rPr>
            </w:pPr>
            <w:r>
              <w:rPr>
                <w:rFonts w:hint="eastAsia"/>
                <w:b/>
                <w:bCs/>
                <w:sz w:val="24"/>
              </w:rPr>
              <w:t>3、</w:t>
            </w:r>
            <w:r>
              <w:rPr>
                <w:b/>
                <w:bCs/>
                <w:sz w:val="24"/>
              </w:rPr>
              <w:t>防渗分区及防治措施</w:t>
            </w:r>
          </w:p>
          <w:p w14:paraId="3C38A137">
            <w:pPr>
              <w:spacing w:line="360" w:lineRule="auto"/>
              <w:ind w:firstLine="482" w:firstLineChars="200"/>
              <w:rPr>
                <w:b/>
                <w:bCs/>
                <w:sz w:val="24"/>
              </w:rPr>
            </w:pPr>
            <w:r>
              <w:rPr>
                <w:rFonts w:hint="eastAsia"/>
                <w:b/>
                <w:bCs/>
                <w:sz w:val="24"/>
              </w:rPr>
              <w:t>（1）地下水防治措施</w:t>
            </w:r>
          </w:p>
          <w:p w14:paraId="638D8DD9">
            <w:pPr>
              <w:spacing w:line="360" w:lineRule="auto"/>
              <w:ind w:firstLine="480" w:firstLineChars="200"/>
              <w:rPr>
                <w:sz w:val="24"/>
              </w:rPr>
            </w:pPr>
            <w:r>
              <w:rPr>
                <w:sz w:val="24"/>
              </w:rPr>
              <w:t>根据《环境影响评价技术导则 地下水环境》（HJ610-2016）防渗分区原则，将本项目</w:t>
            </w:r>
            <w:r>
              <w:rPr>
                <w:rFonts w:hint="eastAsia"/>
                <w:sz w:val="24"/>
              </w:rPr>
              <w:t>划分</w:t>
            </w:r>
            <w:r>
              <w:rPr>
                <w:sz w:val="24"/>
              </w:rPr>
              <w:t>为重点防渗区、一般防渗区和简单防渗区，划分区域如下：</w:t>
            </w:r>
          </w:p>
          <w:p w14:paraId="4887B9FD">
            <w:pPr>
              <w:spacing w:line="360" w:lineRule="auto"/>
              <w:ind w:firstLine="482" w:firstLineChars="200"/>
              <w:rPr>
                <w:sz w:val="24"/>
              </w:rPr>
            </w:pPr>
            <w:r>
              <w:rPr>
                <w:b/>
                <w:bCs/>
                <w:sz w:val="24"/>
              </w:rPr>
              <w:t>重点防渗区：</w:t>
            </w:r>
            <w:r>
              <w:rPr>
                <w:sz w:val="24"/>
              </w:rPr>
              <w:t>包括</w:t>
            </w:r>
            <w:r>
              <w:rPr>
                <w:rFonts w:hint="eastAsia"/>
                <w:sz w:val="24"/>
              </w:rPr>
              <w:t>医疗废物</w:t>
            </w:r>
            <w:r>
              <w:rPr>
                <w:sz w:val="24"/>
              </w:rPr>
              <w:t>暂存间、</w:t>
            </w:r>
            <w:r>
              <w:rPr>
                <w:rFonts w:hint="eastAsia"/>
                <w:sz w:val="24"/>
              </w:rPr>
              <w:t>柴油</w:t>
            </w:r>
            <w:r>
              <w:rPr>
                <w:sz w:val="24"/>
              </w:rPr>
              <w:t>发电机房、污水处理设施池体、化粪池等。</w:t>
            </w:r>
            <w:r>
              <w:rPr>
                <w:rFonts w:hint="eastAsia"/>
                <w:sz w:val="24"/>
              </w:rPr>
              <w:t>拟</w:t>
            </w:r>
            <w:r>
              <w:rPr>
                <w:sz w:val="24"/>
              </w:rPr>
              <w:t>采用防渗混凝土+</w:t>
            </w:r>
            <w:r>
              <w:rPr>
                <w:rFonts w:hint="eastAsia"/>
                <w:sz w:val="24"/>
              </w:rPr>
              <w:t>环氧树脂防渗层或</w:t>
            </w:r>
            <w:r>
              <w:rPr>
                <w:sz w:val="24"/>
              </w:rPr>
              <w:t>2mm厚HDPE防渗层</w:t>
            </w:r>
            <w:r>
              <w:rPr>
                <w:rFonts w:hint="eastAsia"/>
                <w:sz w:val="24"/>
              </w:rPr>
              <w:t>或其他同等级防渗材料进行防渗、防腐处理</w:t>
            </w:r>
            <w:r>
              <w:rPr>
                <w:sz w:val="24"/>
              </w:rPr>
              <w:t>，防渗技术要求为等效黏土防渗层Mb≥6.0m，K≤10</w:t>
            </w:r>
            <w:r>
              <w:rPr>
                <w:sz w:val="24"/>
                <w:vertAlign w:val="superscript"/>
              </w:rPr>
              <w:t>-</w:t>
            </w:r>
            <w:r>
              <w:rPr>
                <w:rFonts w:hint="eastAsia"/>
                <w:sz w:val="24"/>
                <w:vertAlign w:val="superscript"/>
              </w:rPr>
              <w:t>7</w:t>
            </w:r>
            <w:r>
              <w:rPr>
                <w:sz w:val="24"/>
              </w:rPr>
              <w:t>cm/s。</w:t>
            </w:r>
          </w:p>
          <w:p w14:paraId="19F6F7ED">
            <w:pPr>
              <w:spacing w:line="360" w:lineRule="auto"/>
              <w:ind w:firstLine="482" w:firstLineChars="200"/>
              <w:rPr>
                <w:sz w:val="24"/>
              </w:rPr>
            </w:pPr>
            <w:r>
              <w:rPr>
                <w:b/>
                <w:bCs/>
                <w:sz w:val="24"/>
              </w:rPr>
              <w:t>一般防渗区：</w:t>
            </w:r>
            <w:r>
              <w:rPr>
                <w:rFonts w:hint="eastAsia"/>
                <w:sz w:val="24"/>
              </w:rPr>
              <w:t>综合楼内其他区域进行一般防渗</w:t>
            </w:r>
            <w:r>
              <w:rPr>
                <w:sz w:val="24"/>
              </w:rPr>
              <w:t>区域，采用防渗混凝土+泥砂浆地坪，确保防渗技术要求为等效黏土防渗层Mb≥1.5m，K≤10</w:t>
            </w:r>
            <w:r>
              <w:rPr>
                <w:sz w:val="24"/>
                <w:vertAlign w:val="superscript"/>
              </w:rPr>
              <w:t>-7</w:t>
            </w:r>
            <w:r>
              <w:rPr>
                <w:sz w:val="24"/>
              </w:rPr>
              <w:t>cm/s。</w:t>
            </w:r>
          </w:p>
          <w:p w14:paraId="329210D8">
            <w:pPr>
              <w:spacing w:line="360" w:lineRule="auto"/>
              <w:ind w:firstLine="482"/>
              <w:rPr>
                <w:bCs/>
                <w:sz w:val="24"/>
              </w:rPr>
            </w:pPr>
            <w:r>
              <w:rPr>
                <w:b/>
                <w:sz w:val="24"/>
              </w:rPr>
              <w:t>简单防渗区：</w:t>
            </w:r>
            <w:r>
              <w:rPr>
                <w:rFonts w:hint="eastAsia"/>
                <w:bCs/>
                <w:sz w:val="24"/>
              </w:rPr>
              <w:t>院</w:t>
            </w:r>
            <w:r>
              <w:rPr>
                <w:bCs/>
                <w:sz w:val="24"/>
              </w:rPr>
              <w:t>区道路采取一般水泥地硬化。</w:t>
            </w:r>
          </w:p>
          <w:p w14:paraId="289D0ED4">
            <w:pPr>
              <w:spacing w:line="360" w:lineRule="auto"/>
              <w:ind w:firstLine="480" w:firstLineChars="200"/>
              <w:rPr>
                <w:sz w:val="24"/>
              </w:rPr>
            </w:pPr>
            <w:r>
              <w:rPr>
                <w:rFonts w:hint="eastAsia"/>
                <w:sz w:val="24"/>
              </w:rPr>
              <w:t>本项目</w:t>
            </w:r>
            <w:r>
              <w:rPr>
                <w:sz w:val="24"/>
              </w:rPr>
              <w:t>分区情况见下表4-</w:t>
            </w:r>
            <w:r>
              <w:rPr>
                <w:rFonts w:hint="eastAsia"/>
                <w:sz w:val="24"/>
              </w:rPr>
              <w:t>2</w:t>
            </w:r>
            <w:r>
              <w:rPr>
                <w:rFonts w:hint="eastAsia"/>
                <w:sz w:val="24"/>
                <w:lang w:val="en-US" w:eastAsia="zh-CN"/>
              </w:rPr>
              <w:t>2</w:t>
            </w:r>
            <w:r>
              <w:rPr>
                <w:sz w:val="24"/>
              </w:rPr>
              <w:t>。</w:t>
            </w:r>
          </w:p>
          <w:p w14:paraId="2C4EA51F">
            <w:pPr>
              <w:spacing w:line="360" w:lineRule="auto"/>
              <w:jc w:val="center"/>
              <w:rPr>
                <w:b/>
                <w:bCs/>
                <w:sz w:val="24"/>
              </w:rPr>
            </w:pPr>
            <w:r>
              <w:rPr>
                <w:b/>
                <w:bCs/>
                <w:sz w:val="24"/>
              </w:rPr>
              <w:t>表4-</w:t>
            </w:r>
            <w:r>
              <w:rPr>
                <w:rFonts w:hint="eastAsia"/>
                <w:b/>
                <w:bCs/>
                <w:sz w:val="24"/>
              </w:rPr>
              <w:t>2</w:t>
            </w:r>
            <w:r>
              <w:rPr>
                <w:rFonts w:hint="eastAsia"/>
                <w:b/>
                <w:bCs/>
                <w:sz w:val="24"/>
                <w:lang w:val="en-US" w:eastAsia="zh-CN"/>
              </w:rPr>
              <w:t>2</w:t>
            </w:r>
            <w:r>
              <w:rPr>
                <w:b/>
                <w:bCs/>
                <w:sz w:val="24"/>
              </w:rPr>
              <w:t xml:space="preserve">  项目院区污染防治分区情况一览表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805"/>
              <w:gridCol w:w="2619"/>
              <w:gridCol w:w="1410"/>
            </w:tblGrid>
            <w:tr w14:paraId="53071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73" w:type="pct"/>
                  <w:tcBorders>
                    <w:tl2br w:val="nil"/>
                    <w:tr2bl w:val="nil"/>
                  </w:tcBorders>
                  <w:vAlign w:val="center"/>
                </w:tcPr>
                <w:p w14:paraId="60216263">
                  <w:pPr>
                    <w:jc w:val="center"/>
                    <w:rPr>
                      <w:b/>
                      <w:bCs/>
                    </w:rPr>
                  </w:pPr>
                  <w:r>
                    <w:rPr>
                      <w:b/>
                      <w:bCs/>
                    </w:rPr>
                    <w:t>序号</w:t>
                  </w:r>
                </w:p>
              </w:tc>
              <w:tc>
                <w:tcPr>
                  <w:tcW w:w="2198" w:type="pct"/>
                  <w:tcBorders>
                    <w:tl2br w:val="nil"/>
                    <w:tr2bl w:val="nil"/>
                  </w:tcBorders>
                  <w:vAlign w:val="center"/>
                </w:tcPr>
                <w:p w14:paraId="7BC85EC8">
                  <w:pPr>
                    <w:jc w:val="center"/>
                    <w:rPr>
                      <w:b/>
                      <w:bCs/>
                    </w:rPr>
                  </w:pPr>
                  <w:r>
                    <w:rPr>
                      <w:b/>
                      <w:bCs/>
                    </w:rPr>
                    <w:t>构建筑物</w:t>
                  </w:r>
                </w:p>
              </w:tc>
              <w:tc>
                <w:tcPr>
                  <w:tcW w:w="1513" w:type="pct"/>
                  <w:tcBorders>
                    <w:tl2br w:val="nil"/>
                    <w:tr2bl w:val="nil"/>
                  </w:tcBorders>
                  <w:vAlign w:val="center"/>
                </w:tcPr>
                <w:p w14:paraId="50E9114C">
                  <w:pPr>
                    <w:jc w:val="center"/>
                    <w:rPr>
                      <w:b/>
                      <w:bCs/>
                    </w:rPr>
                  </w:pPr>
                  <w:r>
                    <w:rPr>
                      <w:b/>
                      <w:bCs/>
                    </w:rPr>
                    <w:t>主要污染介质</w:t>
                  </w:r>
                </w:p>
              </w:tc>
              <w:tc>
                <w:tcPr>
                  <w:tcW w:w="814" w:type="pct"/>
                  <w:tcBorders>
                    <w:tl2br w:val="nil"/>
                    <w:tr2bl w:val="nil"/>
                  </w:tcBorders>
                  <w:vAlign w:val="center"/>
                </w:tcPr>
                <w:p w14:paraId="18496728">
                  <w:pPr>
                    <w:jc w:val="center"/>
                    <w:rPr>
                      <w:b/>
                      <w:bCs/>
                    </w:rPr>
                  </w:pPr>
                  <w:r>
                    <w:rPr>
                      <w:b/>
                      <w:bCs/>
                    </w:rPr>
                    <w:t>分区类别</w:t>
                  </w:r>
                </w:p>
              </w:tc>
            </w:tr>
            <w:tr w14:paraId="7BA9D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pct"/>
                  <w:tcBorders>
                    <w:tl2br w:val="nil"/>
                    <w:tr2bl w:val="nil"/>
                  </w:tcBorders>
                  <w:vAlign w:val="center"/>
                </w:tcPr>
                <w:p w14:paraId="51C2D4FA">
                  <w:pPr>
                    <w:jc w:val="center"/>
                  </w:pPr>
                  <w:r>
                    <w:t>1</w:t>
                  </w:r>
                </w:p>
              </w:tc>
              <w:tc>
                <w:tcPr>
                  <w:tcW w:w="2198" w:type="pct"/>
                  <w:tcBorders>
                    <w:tl2br w:val="nil"/>
                    <w:tr2bl w:val="nil"/>
                  </w:tcBorders>
                  <w:vAlign w:val="center"/>
                </w:tcPr>
                <w:p w14:paraId="3A715EED">
                  <w:pPr>
                    <w:jc w:val="center"/>
                  </w:pPr>
                  <w:r>
                    <w:t>医疗废物暂存间、污水处理站池体、化粪池、污水埋地管道、</w:t>
                  </w:r>
                  <w:r>
                    <w:rPr>
                      <w:rFonts w:hint="eastAsia"/>
                    </w:rPr>
                    <w:t>柴油</w:t>
                  </w:r>
                  <w:r>
                    <w:t>发电机房等</w:t>
                  </w:r>
                </w:p>
              </w:tc>
              <w:tc>
                <w:tcPr>
                  <w:tcW w:w="1513" w:type="pct"/>
                  <w:tcBorders>
                    <w:tl2br w:val="nil"/>
                    <w:tr2bl w:val="nil"/>
                  </w:tcBorders>
                  <w:vAlign w:val="center"/>
                </w:tcPr>
                <w:p w14:paraId="2A53775A">
                  <w:pPr>
                    <w:jc w:val="center"/>
                  </w:pPr>
                  <w:r>
                    <w:t>危险物质、医疗废水、</w:t>
                  </w:r>
                  <w:r>
                    <w:rPr>
                      <w:rFonts w:hint="eastAsia"/>
                    </w:rPr>
                    <w:t>汽油</w:t>
                  </w:r>
                </w:p>
              </w:tc>
              <w:tc>
                <w:tcPr>
                  <w:tcW w:w="814" w:type="pct"/>
                  <w:tcBorders>
                    <w:tl2br w:val="nil"/>
                    <w:tr2bl w:val="nil"/>
                  </w:tcBorders>
                  <w:vAlign w:val="center"/>
                </w:tcPr>
                <w:p w14:paraId="5F167596">
                  <w:pPr>
                    <w:jc w:val="center"/>
                  </w:pPr>
                  <w:r>
                    <w:t>重点防渗区</w:t>
                  </w:r>
                </w:p>
              </w:tc>
            </w:tr>
            <w:tr w14:paraId="3E379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pct"/>
                  <w:tcBorders>
                    <w:tl2br w:val="nil"/>
                    <w:tr2bl w:val="nil"/>
                  </w:tcBorders>
                  <w:vAlign w:val="center"/>
                </w:tcPr>
                <w:p w14:paraId="3D9DAD39">
                  <w:pPr>
                    <w:jc w:val="center"/>
                  </w:pPr>
                  <w:r>
                    <w:t>2</w:t>
                  </w:r>
                </w:p>
              </w:tc>
              <w:tc>
                <w:tcPr>
                  <w:tcW w:w="2198" w:type="pct"/>
                  <w:tcBorders>
                    <w:tl2br w:val="nil"/>
                    <w:tr2bl w:val="nil"/>
                  </w:tcBorders>
                  <w:vAlign w:val="center"/>
                </w:tcPr>
                <w:p w14:paraId="650B3FA4">
                  <w:pPr>
                    <w:autoSpaceDE w:val="0"/>
                    <w:autoSpaceDN w:val="0"/>
                    <w:jc w:val="center"/>
                  </w:pPr>
                  <w:r>
                    <w:rPr>
                      <w:rFonts w:hint="eastAsia"/>
                    </w:rPr>
                    <w:t>综合楼内其他区域</w:t>
                  </w:r>
                </w:p>
              </w:tc>
              <w:tc>
                <w:tcPr>
                  <w:tcW w:w="1513" w:type="pct"/>
                  <w:tcBorders>
                    <w:tl2br w:val="nil"/>
                    <w:tr2bl w:val="nil"/>
                  </w:tcBorders>
                  <w:vAlign w:val="center"/>
                </w:tcPr>
                <w:p w14:paraId="7B9571E8">
                  <w:pPr>
                    <w:autoSpaceDE w:val="0"/>
                    <w:autoSpaceDN w:val="0"/>
                    <w:jc w:val="center"/>
                  </w:pPr>
                  <w:r>
                    <w:t>少量固废等</w:t>
                  </w:r>
                </w:p>
              </w:tc>
              <w:tc>
                <w:tcPr>
                  <w:tcW w:w="814" w:type="pct"/>
                  <w:tcBorders>
                    <w:tl2br w:val="nil"/>
                    <w:tr2bl w:val="nil"/>
                  </w:tcBorders>
                  <w:vAlign w:val="center"/>
                </w:tcPr>
                <w:p w14:paraId="2F3FD0BC">
                  <w:pPr>
                    <w:autoSpaceDE w:val="0"/>
                    <w:autoSpaceDN w:val="0"/>
                    <w:jc w:val="center"/>
                  </w:pPr>
                  <w:r>
                    <w:t>一般防渗区</w:t>
                  </w:r>
                </w:p>
              </w:tc>
            </w:tr>
            <w:tr w14:paraId="308C6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pct"/>
                  <w:tcBorders>
                    <w:tl2br w:val="nil"/>
                    <w:tr2bl w:val="nil"/>
                  </w:tcBorders>
                  <w:vAlign w:val="center"/>
                </w:tcPr>
                <w:p w14:paraId="755F5032">
                  <w:pPr>
                    <w:jc w:val="center"/>
                  </w:pPr>
                  <w:r>
                    <w:t>3</w:t>
                  </w:r>
                </w:p>
              </w:tc>
              <w:tc>
                <w:tcPr>
                  <w:tcW w:w="2198" w:type="pct"/>
                  <w:tcBorders>
                    <w:tl2br w:val="nil"/>
                    <w:tr2bl w:val="nil"/>
                  </w:tcBorders>
                  <w:vAlign w:val="center"/>
                </w:tcPr>
                <w:p w14:paraId="64947AE2">
                  <w:pPr>
                    <w:jc w:val="center"/>
                  </w:pPr>
                  <w:r>
                    <w:t>院</w:t>
                  </w:r>
                  <w:r>
                    <w:rPr>
                      <w:rFonts w:hint="eastAsia"/>
                    </w:rPr>
                    <w:t>区</w:t>
                  </w:r>
                  <w:r>
                    <w:t>道路</w:t>
                  </w:r>
                </w:p>
              </w:tc>
              <w:tc>
                <w:tcPr>
                  <w:tcW w:w="1513" w:type="pct"/>
                  <w:tcBorders>
                    <w:tl2br w:val="nil"/>
                    <w:tr2bl w:val="nil"/>
                  </w:tcBorders>
                  <w:vAlign w:val="center"/>
                </w:tcPr>
                <w:p w14:paraId="2F3B1F85">
                  <w:pPr>
                    <w:jc w:val="center"/>
                  </w:pPr>
                  <w:r>
                    <w:t>少量固废等</w:t>
                  </w:r>
                </w:p>
              </w:tc>
              <w:tc>
                <w:tcPr>
                  <w:tcW w:w="814" w:type="pct"/>
                  <w:tcBorders>
                    <w:tl2br w:val="nil"/>
                    <w:tr2bl w:val="nil"/>
                  </w:tcBorders>
                  <w:vAlign w:val="center"/>
                </w:tcPr>
                <w:p w14:paraId="0A350EFB">
                  <w:pPr>
                    <w:jc w:val="center"/>
                  </w:pPr>
                  <w:r>
                    <w:t>简单防渗区</w:t>
                  </w:r>
                </w:p>
              </w:tc>
            </w:tr>
          </w:tbl>
          <w:p w14:paraId="1595EFB5">
            <w:pPr>
              <w:spacing w:line="360" w:lineRule="auto"/>
              <w:ind w:firstLine="480" w:firstLineChars="200"/>
              <w:rPr>
                <w:sz w:val="24"/>
                <w:szCs w:val="24"/>
              </w:rPr>
            </w:pPr>
            <w:r>
              <w:rPr>
                <w:sz w:val="24"/>
                <w:szCs w:val="24"/>
              </w:rPr>
              <w:t>本项目采取的分区防渗措施见下表。</w:t>
            </w:r>
          </w:p>
          <w:p w14:paraId="3419ADB9">
            <w:pPr>
              <w:spacing w:line="360" w:lineRule="auto"/>
              <w:jc w:val="center"/>
              <w:rPr>
                <w:b/>
                <w:sz w:val="24"/>
                <w:szCs w:val="24"/>
              </w:rPr>
            </w:pPr>
            <w:r>
              <w:rPr>
                <w:b/>
                <w:sz w:val="24"/>
                <w:szCs w:val="24"/>
              </w:rPr>
              <w:t>表4-</w:t>
            </w:r>
            <w:r>
              <w:rPr>
                <w:rFonts w:hint="eastAsia"/>
                <w:b/>
                <w:sz w:val="24"/>
                <w:szCs w:val="24"/>
              </w:rPr>
              <w:t>2</w:t>
            </w:r>
            <w:r>
              <w:rPr>
                <w:rFonts w:hint="eastAsia"/>
                <w:b/>
                <w:sz w:val="24"/>
                <w:szCs w:val="24"/>
                <w:lang w:val="en-US" w:eastAsia="zh-CN"/>
              </w:rPr>
              <w:t>3</w:t>
            </w:r>
            <w:r>
              <w:rPr>
                <w:b/>
                <w:sz w:val="24"/>
                <w:szCs w:val="24"/>
              </w:rPr>
              <w:t xml:space="preserve"> 本项目地下水防渗分区表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96"/>
              <w:gridCol w:w="2100"/>
              <w:gridCol w:w="1319"/>
              <w:gridCol w:w="2436"/>
              <w:gridCol w:w="2202"/>
            </w:tblGrid>
            <w:tr w14:paraId="0E292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44" w:type="pct"/>
                  <w:tcBorders>
                    <w:tl2br w:val="nil"/>
                    <w:tr2bl w:val="nil"/>
                  </w:tcBorders>
                  <w:shd w:val="clear" w:color="000000" w:themeColor="text1" w:fill="auto"/>
                  <w:vAlign w:val="center"/>
                </w:tcPr>
                <w:p w14:paraId="582A6A2C">
                  <w:pPr>
                    <w:jc w:val="center"/>
                    <w:rPr>
                      <w:b/>
                      <w:bCs/>
                    </w:rPr>
                  </w:pPr>
                  <w:r>
                    <w:rPr>
                      <w:b/>
                      <w:bCs/>
                    </w:rPr>
                    <w:t>序号</w:t>
                  </w:r>
                </w:p>
              </w:tc>
              <w:tc>
                <w:tcPr>
                  <w:tcW w:w="1213" w:type="pct"/>
                  <w:tcBorders>
                    <w:tl2br w:val="nil"/>
                    <w:tr2bl w:val="nil"/>
                  </w:tcBorders>
                  <w:shd w:val="clear" w:color="000000" w:themeColor="text1" w:fill="auto"/>
                  <w:vAlign w:val="center"/>
                </w:tcPr>
                <w:p w14:paraId="6E37FD43">
                  <w:pPr>
                    <w:jc w:val="center"/>
                    <w:rPr>
                      <w:b/>
                      <w:bCs/>
                    </w:rPr>
                  </w:pPr>
                  <w:r>
                    <w:rPr>
                      <w:b/>
                      <w:bCs/>
                    </w:rPr>
                    <w:t>车间名称</w:t>
                  </w:r>
                </w:p>
              </w:tc>
              <w:tc>
                <w:tcPr>
                  <w:tcW w:w="762" w:type="pct"/>
                  <w:tcBorders>
                    <w:tl2br w:val="nil"/>
                    <w:tr2bl w:val="nil"/>
                  </w:tcBorders>
                  <w:shd w:val="clear" w:color="000000" w:themeColor="text1" w:fill="auto"/>
                  <w:vAlign w:val="center"/>
                </w:tcPr>
                <w:p w14:paraId="74FBE707">
                  <w:pPr>
                    <w:jc w:val="center"/>
                    <w:rPr>
                      <w:b/>
                      <w:bCs/>
                    </w:rPr>
                  </w:pPr>
                  <w:r>
                    <w:rPr>
                      <w:b/>
                      <w:bCs/>
                    </w:rPr>
                    <w:t>分区类别</w:t>
                  </w:r>
                </w:p>
              </w:tc>
              <w:tc>
                <w:tcPr>
                  <w:tcW w:w="1407" w:type="pct"/>
                  <w:tcBorders>
                    <w:tl2br w:val="nil"/>
                    <w:tr2bl w:val="nil"/>
                  </w:tcBorders>
                  <w:shd w:val="clear" w:color="000000" w:themeColor="text1" w:fill="auto"/>
                  <w:vAlign w:val="center"/>
                </w:tcPr>
                <w:p w14:paraId="7EDAE2C3">
                  <w:pPr>
                    <w:jc w:val="center"/>
                    <w:rPr>
                      <w:b/>
                      <w:bCs/>
                    </w:rPr>
                  </w:pPr>
                  <w:r>
                    <w:rPr>
                      <w:b/>
                      <w:bCs/>
                    </w:rPr>
                    <w:t>防渗要求</w:t>
                  </w:r>
                </w:p>
              </w:tc>
              <w:tc>
                <w:tcPr>
                  <w:tcW w:w="1272" w:type="pct"/>
                  <w:tcBorders>
                    <w:tl2br w:val="nil"/>
                    <w:tr2bl w:val="nil"/>
                  </w:tcBorders>
                  <w:shd w:val="clear" w:color="000000" w:themeColor="text1" w:fill="auto"/>
                  <w:vAlign w:val="center"/>
                </w:tcPr>
                <w:p w14:paraId="2E3A5059">
                  <w:pPr>
                    <w:jc w:val="center"/>
                    <w:rPr>
                      <w:b/>
                      <w:bCs/>
                    </w:rPr>
                  </w:pPr>
                  <w:r>
                    <w:rPr>
                      <w:b/>
                      <w:bCs/>
                    </w:rPr>
                    <w:t>采取措施</w:t>
                  </w:r>
                </w:p>
              </w:tc>
            </w:tr>
            <w:tr w14:paraId="59B9D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5B3FDB51">
                  <w:pPr>
                    <w:jc w:val="center"/>
                  </w:pPr>
                  <w:r>
                    <w:t>1</w:t>
                  </w:r>
                </w:p>
              </w:tc>
              <w:tc>
                <w:tcPr>
                  <w:tcW w:w="1213" w:type="pct"/>
                  <w:tcBorders>
                    <w:tl2br w:val="nil"/>
                    <w:tr2bl w:val="nil"/>
                  </w:tcBorders>
                  <w:shd w:val="clear" w:color="auto" w:fill="auto"/>
                  <w:vAlign w:val="center"/>
                </w:tcPr>
                <w:p w14:paraId="3BCD9568">
                  <w:pPr>
                    <w:jc w:val="center"/>
                    <w:rPr>
                      <w:lang w:bidi="ar"/>
                    </w:rPr>
                  </w:pPr>
                  <w:r>
                    <w:rPr>
                      <w:rFonts w:hint="eastAsia"/>
                      <w:lang w:bidi="ar"/>
                    </w:rPr>
                    <w:t>医疗废物</w:t>
                  </w:r>
                  <w:r>
                    <w:rPr>
                      <w:lang w:bidi="ar"/>
                    </w:rPr>
                    <w:t>暂存间</w:t>
                  </w:r>
                </w:p>
              </w:tc>
              <w:tc>
                <w:tcPr>
                  <w:tcW w:w="762" w:type="pct"/>
                  <w:vMerge w:val="restart"/>
                  <w:tcBorders>
                    <w:tl2br w:val="nil"/>
                    <w:tr2bl w:val="nil"/>
                  </w:tcBorders>
                  <w:shd w:val="clear" w:color="auto" w:fill="auto"/>
                  <w:vAlign w:val="center"/>
                </w:tcPr>
                <w:p w14:paraId="58E98E99">
                  <w:pPr>
                    <w:jc w:val="center"/>
                  </w:pPr>
                  <w:r>
                    <w:t>重点防渗</w:t>
                  </w:r>
                </w:p>
              </w:tc>
              <w:tc>
                <w:tcPr>
                  <w:tcW w:w="1407" w:type="pct"/>
                  <w:tcBorders>
                    <w:tl2br w:val="nil"/>
                    <w:tr2bl w:val="nil"/>
                  </w:tcBorders>
                  <w:shd w:val="clear" w:color="auto" w:fill="auto"/>
                  <w:vAlign w:val="center"/>
                </w:tcPr>
                <w:p w14:paraId="131058EE">
                  <w:pPr>
                    <w:jc w:val="center"/>
                  </w:pPr>
                  <w:r>
                    <w:t>15mm厚的防渗混凝土+高密度聚乙烯膜，达到等效黏土防渗层M≧6.0m，K≤10</w:t>
                  </w:r>
                  <w:r>
                    <w:rPr>
                      <w:vertAlign w:val="superscript"/>
                    </w:rPr>
                    <w:t>-10</w:t>
                  </w:r>
                  <w:r>
                    <w:t>cm/s的要求</w:t>
                  </w:r>
                </w:p>
              </w:tc>
              <w:tc>
                <w:tcPr>
                  <w:tcW w:w="1272" w:type="pct"/>
                  <w:tcBorders>
                    <w:tl2br w:val="nil"/>
                    <w:tr2bl w:val="nil"/>
                  </w:tcBorders>
                  <w:shd w:val="clear" w:color="auto" w:fill="auto"/>
                  <w:vAlign w:val="center"/>
                </w:tcPr>
                <w:p w14:paraId="753051AA">
                  <w:pPr>
                    <w:jc w:val="center"/>
                  </w:pPr>
                  <w:r>
                    <w:rPr>
                      <w:rFonts w:hint="eastAsia" w:cs="宋体"/>
                      <w:color w:val="000000"/>
                      <w:kern w:val="0"/>
                      <w:lang w:bidi="ar"/>
                    </w:rPr>
                    <w:t>铺设防渗混凝土+</w:t>
                  </w:r>
                  <w:r>
                    <w:rPr>
                      <w:color w:val="000000"/>
                      <w:kern w:val="0"/>
                      <w:lang w:bidi="ar"/>
                    </w:rPr>
                    <w:t>2mm</w:t>
                  </w:r>
                  <w:r>
                    <w:rPr>
                      <w:rFonts w:hint="eastAsia" w:cs="宋体"/>
                      <w:color w:val="000000"/>
                      <w:kern w:val="0"/>
                      <w:lang w:bidi="ar"/>
                    </w:rPr>
                    <w:t>厚</w:t>
                  </w:r>
                  <w:r>
                    <w:rPr>
                      <w:color w:val="000000"/>
                      <w:kern w:val="0"/>
                      <w:lang w:bidi="ar"/>
                    </w:rPr>
                    <w:t>HDPE</w:t>
                  </w:r>
                  <w:r>
                    <w:rPr>
                      <w:rFonts w:hint="eastAsia" w:cs="宋体"/>
                      <w:color w:val="000000"/>
                      <w:kern w:val="0"/>
                      <w:lang w:bidi="ar"/>
                    </w:rPr>
                    <w:t>防渗层</w:t>
                  </w:r>
                  <w:r>
                    <w:rPr>
                      <w:rFonts w:hint="eastAsia"/>
                      <w:kern w:val="0"/>
                    </w:rPr>
                    <w:t>+0.1m高围堰+</w:t>
                  </w:r>
                  <w:r>
                    <w:rPr>
                      <w:kern w:val="0"/>
                    </w:rPr>
                    <w:t>防渗金属托盘和备用收容设施</w:t>
                  </w:r>
                </w:p>
              </w:tc>
            </w:tr>
            <w:tr w14:paraId="5B550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489CA29E">
                  <w:pPr>
                    <w:jc w:val="center"/>
                  </w:pPr>
                  <w:r>
                    <w:t>2</w:t>
                  </w:r>
                </w:p>
              </w:tc>
              <w:tc>
                <w:tcPr>
                  <w:tcW w:w="1213" w:type="pct"/>
                  <w:tcBorders>
                    <w:tl2br w:val="nil"/>
                    <w:tr2bl w:val="nil"/>
                  </w:tcBorders>
                  <w:shd w:val="clear" w:color="auto" w:fill="auto"/>
                  <w:vAlign w:val="center"/>
                </w:tcPr>
                <w:p w14:paraId="3C176D9A">
                  <w:pPr>
                    <w:jc w:val="center"/>
                    <w:rPr>
                      <w:lang w:bidi="ar"/>
                    </w:rPr>
                  </w:pPr>
                  <w:r>
                    <w:rPr>
                      <w:lang w:bidi="ar"/>
                    </w:rPr>
                    <w:t>化粪池</w:t>
                  </w:r>
                  <w:r>
                    <w:rPr>
                      <w:rFonts w:hint="eastAsia"/>
                      <w:lang w:bidi="ar"/>
                    </w:rPr>
                    <w:t>、</w:t>
                  </w:r>
                  <w:r>
                    <w:t>污水处理站池体</w:t>
                  </w:r>
                </w:p>
              </w:tc>
              <w:tc>
                <w:tcPr>
                  <w:tcW w:w="762" w:type="pct"/>
                  <w:vMerge w:val="continue"/>
                  <w:tcBorders>
                    <w:tl2br w:val="nil"/>
                    <w:tr2bl w:val="nil"/>
                  </w:tcBorders>
                  <w:shd w:val="clear" w:color="auto" w:fill="auto"/>
                  <w:vAlign w:val="center"/>
                </w:tcPr>
                <w:p w14:paraId="69D47D7E">
                  <w:pPr>
                    <w:jc w:val="center"/>
                  </w:pPr>
                </w:p>
              </w:tc>
              <w:tc>
                <w:tcPr>
                  <w:tcW w:w="1407" w:type="pct"/>
                  <w:vMerge w:val="restart"/>
                  <w:tcBorders>
                    <w:tl2br w:val="nil"/>
                    <w:tr2bl w:val="nil"/>
                  </w:tcBorders>
                  <w:shd w:val="clear" w:color="auto" w:fill="auto"/>
                  <w:vAlign w:val="center"/>
                </w:tcPr>
                <w:p w14:paraId="17DF2EBB">
                  <w:pPr>
                    <w:jc w:val="center"/>
                  </w:pPr>
                  <w:r>
                    <w:t>等效粘土防渗层Mb≥6.0m，K≤10</w:t>
                  </w:r>
                  <w:r>
                    <w:rPr>
                      <w:vertAlign w:val="superscript"/>
                    </w:rPr>
                    <w:t>-7</w:t>
                  </w:r>
                  <w:r>
                    <w:t xml:space="preserve"> cm/s</w:t>
                  </w:r>
                </w:p>
              </w:tc>
              <w:tc>
                <w:tcPr>
                  <w:tcW w:w="1272" w:type="pct"/>
                  <w:tcBorders>
                    <w:tl2br w:val="nil"/>
                    <w:tr2bl w:val="nil"/>
                  </w:tcBorders>
                  <w:shd w:val="clear" w:color="auto" w:fill="auto"/>
                  <w:vAlign w:val="center"/>
                </w:tcPr>
                <w:p w14:paraId="68107B3F">
                  <w:pPr>
                    <w:jc w:val="center"/>
                  </w:pPr>
                  <w:r>
                    <w:rPr>
                      <w:lang w:bidi="ar"/>
                    </w:rPr>
                    <w:t>25cmC30防渗混凝土</w:t>
                  </w:r>
                </w:p>
              </w:tc>
            </w:tr>
            <w:tr w14:paraId="3D1DD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68C8E60A">
                  <w:pPr>
                    <w:jc w:val="center"/>
                  </w:pPr>
                  <w:r>
                    <w:rPr>
                      <w:rFonts w:hint="eastAsia"/>
                    </w:rPr>
                    <w:t>3</w:t>
                  </w:r>
                </w:p>
              </w:tc>
              <w:tc>
                <w:tcPr>
                  <w:tcW w:w="1213" w:type="pct"/>
                  <w:tcBorders>
                    <w:tl2br w:val="nil"/>
                    <w:tr2bl w:val="nil"/>
                  </w:tcBorders>
                  <w:shd w:val="clear" w:color="auto" w:fill="auto"/>
                  <w:vAlign w:val="center"/>
                </w:tcPr>
                <w:p w14:paraId="7E2DF0AF">
                  <w:pPr>
                    <w:jc w:val="center"/>
                  </w:pPr>
                  <w:r>
                    <w:rPr>
                      <w:rFonts w:hint="eastAsia"/>
                    </w:rPr>
                    <w:t>污水管道</w:t>
                  </w:r>
                </w:p>
              </w:tc>
              <w:tc>
                <w:tcPr>
                  <w:tcW w:w="762" w:type="pct"/>
                  <w:vMerge w:val="continue"/>
                  <w:tcBorders>
                    <w:tl2br w:val="nil"/>
                    <w:tr2bl w:val="nil"/>
                  </w:tcBorders>
                  <w:shd w:val="clear" w:color="auto" w:fill="auto"/>
                  <w:vAlign w:val="center"/>
                </w:tcPr>
                <w:p w14:paraId="43776EB9">
                  <w:pPr>
                    <w:jc w:val="center"/>
                  </w:pPr>
                </w:p>
              </w:tc>
              <w:tc>
                <w:tcPr>
                  <w:tcW w:w="1407" w:type="pct"/>
                  <w:vMerge w:val="continue"/>
                  <w:tcBorders>
                    <w:tl2br w:val="nil"/>
                    <w:tr2bl w:val="nil"/>
                  </w:tcBorders>
                  <w:shd w:val="clear" w:color="auto" w:fill="auto"/>
                  <w:vAlign w:val="center"/>
                </w:tcPr>
                <w:p w14:paraId="57DF8081">
                  <w:pPr>
                    <w:jc w:val="center"/>
                  </w:pPr>
                </w:p>
              </w:tc>
              <w:tc>
                <w:tcPr>
                  <w:tcW w:w="1272" w:type="pct"/>
                  <w:tcBorders>
                    <w:tl2br w:val="nil"/>
                    <w:tr2bl w:val="nil"/>
                  </w:tcBorders>
                  <w:shd w:val="clear" w:color="auto" w:fill="auto"/>
                  <w:vAlign w:val="center"/>
                </w:tcPr>
                <w:p w14:paraId="3451B1C7">
                  <w:pPr>
                    <w:jc w:val="center"/>
                    <w:rPr>
                      <w:lang w:bidi="ar"/>
                    </w:rPr>
                  </w:pPr>
                  <w:r>
                    <w:rPr>
                      <w:rFonts w:hint="eastAsia"/>
                    </w:rPr>
                    <w:t>HDPE管道收集</w:t>
                  </w:r>
                </w:p>
              </w:tc>
            </w:tr>
            <w:tr w14:paraId="0D0FC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3D8491B8">
                  <w:pPr>
                    <w:jc w:val="center"/>
                  </w:pPr>
                  <w:r>
                    <w:rPr>
                      <w:rFonts w:hint="eastAsia"/>
                    </w:rPr>
                    <w:t>4</w:t>
                  </w:r>
                </w:p>
              </w:tc>
              <w:tc>
                <w:tcPr>
                  <w:tcW w:w="1213" w:type="pct"/>
                  <w:tcBorders>
                    <w:tl2br w:val="nil"/>
                    <w:tr2bl w:val="nil"/>
                  </w:tcBorders>
                  <w:shd w:val="clear" w:color="auto" w:fill="auto"/>
                  <w:vAlign w:val="center"/>
                </w:tcPr>
                <w:p w14:paraId="21D71D6E">
                  <w:pPr>
                    <w:jc w:val="center"/>
                  </w:pPr>
                  <w:r>
                    <w:rPr>
                      <w:rFonts w:hint="eastAsia"/>
                    </w:rPr>
                    <w:t>柴油发电机房</w:t>
                  </w:r>
                </w:p>
              </w:tc>
              <w:tc>
                <w:tcPr>
                  <w:tcW w:w="762" w:type="pct"/>
                  <w:vMerge w:val="continue"/>
                  <w:tcBorders>
                    <w:tl2br w:val="nil"/>
                    <w:tr2bl w:val="nil"/>
                  </w:tcBorders>
                  <w:shd w:val="clear" w:color="auto" w:fill="auto"/>
                  <w:vAlign w:val="center"/>
                </w:tcPr>
                <w:p w14:paraId="5490D9C7">
                  <w:pPr>
                    <w:jc w:val="center"/>
                  </w:pPr>
                </w:p>
              </w:tc>
              <w:tc>
                <w:tcPr>
                  <w:tcW w:w="1407" w:type="pct"/>
                  <w:vMerge w:val="continue"/>
                  <w:tcBorders>
                    <w:tl2br w:val="nil"/>
                    <w:tr2bl w:val="nil"/>
                  </w:tcBorders>
                  <w:shd w:val="clear" w:color="auto" w:fill="auto"/>
                  <w:vAlign w:val="center"/>
                </w:tcPr>
                <w:p w14:paraId="53FF98CF">
                  <w:pPr>
                    <w:jc w:val="center"/>
                  </w:pPr>
                </w:p>
              </w:tc>
              <w:tc>
                <w:tcPr>
                  <w:tcW w:w="1272" w:type="pct"/>
                  <w:tcBorders>
                    <w:tl2br w:val="nil"/>
                    <w:tr2bl w:val="nil"/>
                  </w:tcBorders>
                  <w:shd w:val="clear" w:color="auto" w:fill="auto"/>
                  <w:vAlign w:val="center"/>
                </w:tcPr>
                <w:p w14:paraId="0F961E29">
                  <w:pPr>
                    <w:jc w:val="center"/>
                    <w:rPr>
                      <w:lang w:bidi="ar"/>
                    </w:rPr>
                  </w:pPr>
                  <w:r>
                    <w:t>防渗混凝土+2mmHDPE土工膜或其他同等级防渗材料</w:t>
                  </w:r>
                </w:p>
              </w:tc>
            </w:tr>
            <w:tr w14:paraId="6C2D5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30465157">
                  <w:pPr>
                    <w:jc w:val="center"/>
                  </w:pPr>
                  <w:r>
                    <w:rPr>
                      <w:rFonts w:hint="eastAsia"/>
                    </w:rPr>
                    <w:t>5</w:t>
                  </w:r>
                </w:p>
              </w:tc>
              <w:tc>
                <w:tcPr>
                  <w:tcW w:w="1213" w:type="pct"/>
                  <w:tcBorders>
                    <w:tl2br w:val="nil"/>
                    <w:tr2bl w:val="nil"/>
                  </w:tcBorders>
                  <w:shd w:val="clear" w:color="auto" w:fill="auto"/>
                  <w:vAlign w:val="center"/>
                </w:tcPr>
                <w:p w14:paraId="14AB4210">
                  <w:pPr>
                    <w:jc w:val="center"/>
                  </w:pPr>
                  <w:r>
                    <w:rPr>
                      <w:rFonts w:hint="eastAsia"/>
                    </w:rPr>
                    <w:t>综合楼内其他区域</w:t>
                  </w:r>
                </w:p>
              </w:tc>
              <w:tc>
                <w:tcPr>
                  <w:tcW w:w="762" w:type="pct"/>
                  <w:tcBorders>
                    <w:tl2br w:val="nil"/>
                    <w:tr2bl w:val="nil"/>
                  </w:tcBorders>
                  <w:shd w:val="clear" w:color="auto" w:fill="auto"/>
                  <w:vAlign w:val="center"/>
                </w:tcPr>
                <w:p w14:paraId="09120FEC">
                  <w:pPr>
                    <w:jc w:val="center"/>
                  </w:pPr>
                  <w:r>
                    <w:t>一般防渗</w:t>
                  </w:r>
                </w:p>
              </w:tc>
              <w:tc>
                <w:tcPr>
                  <w:tcW w:w="1407" w:type="pct"/>
                  <w:tcBorders>
                    <w:tl2br w:val="nil"/>
                    <w:tr2bl w:val="nil"/>
                  </w:tcBorders>
                  <w:shd w:val="clear" w:color="auto" w:fill="auto"/>
                  <w:vAlign w:val="center"/>
                </w:tcPr>
                <w:p w14:paraId="14F97561">
                  <w:pPr>
                    <w:jc w:val="center"/>
                  </w:pPr>
                  <w:r>
                    <w:t>满足等效黏土防渗层Mb≥1.50m、防渗层渗透系数K≤1.0×10</w:t>
                  </w:r>
                  <w:r>
                    <w:rPr>
                      <w:vertAlign w:val="superscript"/>
                    </w:rPr>
                    <w:t>-7</w:t>
                  </w:r>
                  <w:r>
                    <w:t>cm/s的要求</w:t>
                  </w:r>
                </w:p>
              </w:tc>
              <w:tc>
                <w:tcPr>
                  <w:tcW w:w="1272" w:type="pct"/>
                  <w:tcBorders>
                    <w:tl2br w:val="nil"/>
                    <w:tr2bl w:val="nil"/>
                  </w:tcBorders>
                  <w:shd w:val="clear" w:color="auto" w:fill="auto"/>
                  <w:vAlign w:val="center"/>
                </w:tcPr>
                <w:p w14:paraId="4118B6E5">
                  <w:pPr>
                    <w:jc w:val="center"/>
                    <w:rPr>
                      <w:lang w:bidi="ar"/>
                    </w:rPr>
                  </w:pPr>
                  <w:r>
                    <w:rPr>
                      <w:lang w:bidi="ar"/>
                    </w:rPr>
                    <w:t>25cmC30防渗混凝土</w:t>
                  </w:r>
                  <w:r>
                    <w:rPr>
                      <w:rFonts w:hint="eastAsia"/>
                    </w:rPr>
                    <w:t>+铺贴地砖</w:t>
                  </w:r>
                </w:p>
              </w:tc>
            </w:tr>
            <w:tr w14:paraId="5CB26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4" w:type="pct"/>
                  <w:tcBorders>
                    <w:tl2br w:val="nil"/>
                    <w:tr2bl w:val="nil"/>
                  </w:tcBorders>
                  <w:vAlign w:val="center"/>
                </w:tcPr>
                <w:p w14:paraId="21D2F882">
                  <w:pPr>
                    <w:jc w:val="center"/>
                  </w:pPr>
                  <w:r>
                    <w:rPr>
                      <w:rFonts w:hint="eastAsia"/>
                    </w:rPr>
                    <w:t>6</w:t>
                  </w:r>
                </w:p>
              </w:tc>
              <w:tc>
                <w:tcPr>
                  <w:tcW w:w="1213" w:type="pct"/>
                  <w:tcBorders>
                    <w:tl2br w:val="nil"/>
                    <w:tr2bl w:val="nil"/>
                  </w:tcBorders>
                  <w:shd w:val="clear" w:color="auto" w:fill="auto"/>
                  <w:vAlign w:val="center"/>
                </w:tcPr>
                <w:p w14:paraId="359465E0">
                  <w:pPr>
                    <w:jc w:val="center"/>
                    <w:rPr>
                      <w:lang w:bidi="ar"/>
                    </w:rPr>
                  </w:pPr>
                  <w:r>
                    <w:rPr>
                      <w:rFonts w:hint="eastAsia"/>
                      <w:lang w:bidi="ar"/>
                    </w:rPr>
                    <w:t>道路</w:t>
                  </w:r>
                </w:p>
              </w:tc>
              <w:tc>
                <w:tcPr>
                  <w:tcW w:w="762" w:type="pct"/>
                  <w:tcBorders>
                    <w:tl2br w:val="nil"/>
                    <w:tr2bl w:val="nil"/>
                  </w:tcBorders>
                  <w:shd w:val="clear" w:color="auto" w:fill="auto"/>
                  <w:vAlign w:val="center"/>
                </w:tcPr>
                <w:p w14:paraId="19150344">
                  <w:pPr>
                    <w:jc w:val="center"/>
                  </w:pPr>
                  <w:r>
                    <w:rPr>
                      <w:rFonts w:hint="eastAsia"/>
                    </w:rPr>
                    <w:t>简单防渗</w:t>
                  </w:r>
                </w:p>
              </w:tc>
              <w:tc>
                <w:tcPr>
                  <w:tcW w:w="1407" w:type="pct"/>
                  <w:tcBorders>
                    <w:tl2br w:val="nil"/>
                    <w:tr2bl w:val="nil"/>
                  </w:tcBorders>
                  <w:shd w:val="clear" w:color="auto" w:fill="auto"/>
                  <w:vAlign w:val="center"/>
                </w:tcPr>
                <w:p w14:paraId="562B06B7">
                  <w:pPr>
                    <w:jc w:val="center"/>
                  </w:pPr>
                  <w:r>
                    <w:rPr>
                      <w:rFonts w:hint="eastAsia"/>
                    </w:rPr>
                    <w:t>水泥硬化</w:t>
                  </w:r>
                </w:p>
              </w:tc>
              <w:tc>
                <w:tcPr>
                  <w:tcW w:w="1272" w:type="pct"/>
                  <w:tcBorders>
                    <w:tl2br w:val="nil"/>
                    <w:tr2bl w:val="nil"/>
                  </w:tcBorders>
                  <w:shd w:val="clear" w:color="auto" w:fill="auto"/>
                  <w:vAlign w:val="center"/>
                </w:tcPr>
                <w:p w14:paraId="4BAD9177">
                  <w:pPr>
                    <w:jc w:val="center"/>
                  </w:pPr>
                  <w:r>
                    <w:rPr>
                      <w:rFonts w:hint="eastAsia"/>
                    </w:rPr>
                    <w:t>水泥硬化</w:t>
                  </w:r>
                </w:p>
              </w:tc>
            </w:tr>
          </w:tbl>
          <w:p w14:paraId="441252BA">
            <w:pPr>
              <w:spacing w:line="360" w:lineRule="auto"/>
              <w:ind w:firstLine="480" w:firstLineChars="200"/>
              <w:rPr>
                <w:sz w:val="24"/>
                <w:szCs w:val="24"/>
              </w:rPr>
            </w:pPr>
            <w:r>
              <w:rPr>
                <w:sz w:val="24"/>
                <w:szCs w:val="24"/>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14:paraId="0DFC7015">
            <w:pPr>
              <w:spacing w:line="360" w:lineRule="auto"/>
              <w:ind w:firstLine="482" w:firstLineChars="200"/>
              <w:rPr>
                <w:b/>
                <w:bCs/>
                <w:sz w:val="24"/>
              </w:rPr>
            </w:pPr>
            <w:r>
              <w:rPr>
                <w:rFonts w:hint="eastAsia"/>
                <w:b/>
                <w:bCs/>
                <w:sz w:val="24"/>
              </w:rPr>
              <w:t>4、</w:t>
            </w:r>
            <w:r>
              <w:rPr>
                <w:b/>
                <w:bCs/>
                <w:sz w:val="24"/>
              </w:rPr>
              <w:t>管理措施</w:t>
            </w:r>
          </w:p>
          <w:p w14:paraId="2864862F">
            <w:pPr>
              <w:autoSpaceDE w:val="0"/>
              <w:autoSpaceDN w:val="0"/>
              <w:adjustRightInd w:val="0"/>
              <w:spacing w:line="360" w:lineRule="auto"/>
              <w:ind w:firstLine="480" w:firstLineChars="200"/>
              <w:jc w:val="left"/>
              <w:rPr>
                <w:kern w:val="0"/>
                <w:sz w:val="24"/>
              </w:rPr>
            </w:pPr>
            <w:r>
              <w:rPr>
                <w:kern w:val="0"/>
                <w:sz w:val="24"/>
              </w:rPr>
              <w:t>①医疗废物暂存间定期进行消毒、清洗。</w:t>
            </w:r>
          </w:p>
          <w:p w14:paraId="337C8786">
            <w:pPr>
              <w:spacing w:line="360" w:lineRule="auto"/>
              <w:ind w:firstLine="480" w:firstLineChars="200"/>
              <w:rPr>
                <w:sz w:val="24"/>
              </w:rPr>
            </w:pPr>
            <w:r>
              <w:rPr>
                <w:kern w:val="0"/>
                <w:sz w:val="24"/>
              </w:rPr>
              <w:t>②</w:t>
            </w:r>
            <w:r>
              <w:rPr>
                <w:sz w:val="24"/>
              </w:rPr>
              <w:t>严格按照地下水防渗措施落实各个单元进行防腐、防渗处置，防止污染物“跑、冒、滴、漏”；设置专人定期对设备进行巡查，发现问题及时检修。</w:t>
            </w:r>
          </w:p>
          <w:p w14:paraId="4B680056">
            <w:pPr>
              <w:pStyle w:val="8"/>
              <w:spacing w:after="0" w:line="360" w:lineRule="auto"/>
              <w:ind w:firstLine="480" w:firstLineChars="200"/>
              <w:rPr>
                <w:sz w:val="24"/>
              </w:rPr>
            </w:pPr>
            <w:r>
              <w:rPr>
                <w:sz w:val="24"/>
              </w:rPr>
              <w:t>③制定环境风险应急预案，防范风险事故对地下水、土壤的影响。</w:t>
            </w:r>
          </w:p>
          <w:p w14:paraId="6FE1C938">
            <w:pPr>
              <w:spacing w:line="360" w:lineRule="auto"/>
              <w:ind w:firstLine="482" w:firstLineChars="200"/>
              <w:rPr>
                <w:b/>
                <w:bCs/>
                <w:sz w:val="24"/>
              </w:rPr>
            </w:pPr>
            <w:r>
              <w:rPr>
                <w:b/>
                <w:bCs/>
                <w:sz w:val="24"/>
              </w:rPr>
              <w:t>（5）监测要求</w:t>
            </w:r>
          </w:p>
          <w:p w14:paraId="43F14B5A">
            <w:pPr>
              <w:spacing w:line="360" w:lineRule="auto"/>
              <w:ind w:firstLine="480" w:firstLineChars="200"/>
              <w:rPr>
                <w:sz w:val="24"/>
              </w:rPr>
            </w:pPr>
            <w:r>
              <w:rPr>
                <w:sz w:val="24"/>
                <w:szCs w:val="24"/>
              </w:rPr>
              <w:t>本项目</w:t>
            </w:r>
            <w:r>
              <w:rPr>
                <w:rFonts w:hint="eastAsia"/>
                <w:sz w:val="24"/>
                <w:szCs w:val="24"/>
              </w:rPr>
              <w:t>为专科医院建设项目</w:t>
            </w:r>
            <w:r>
              <w:rPr>
                <w:sz w:val="24"/>
                <w:szCs w:val="24"/>
              </w:rPr>
              <w:t>，根据《环境影响评价技术导则</w:t>
            </w:r>
            <w:r>
              <w:rPr>
                <w:rFonts w:hint="eastAsia"/>
                <w:sz w:val="24"/>
                <w:szCs w:val="24"/>
              </w:rPr>
              <w:t xml:space="preserve"> </w:t>
            </w:r>
            <w:r>
              <w:rPr>
                <w:sz w:val="24"/>
                <w:szCs w:val="24"/>
              </w:rPr>
              <w:t>地下水环境》（HJ610-2016）附录A，本项目地下水环境影响评价项目类别为“1</w:t>
            </w:r>
            <w:r>
              <w:rPr>
                <w:rFonts w:hint="eastAsia"/>
                <w:sz w:val="24"/>
                <w:szCs w:val="24"/>
              </w:rPr>
              <w:t>59</w:t>
            </w:r>
            <w:r>
              <w:rPr>
                <w:sz w:val="24"/>
                <w:szCs w:val="24"/>
              </w:rPr>
              <w:t>、</w:t>
            </w:r>
            <w:r>
              <w:rPr>
                <w:rFonts w:hint="eastAsia"/>
                <w:sz w:val="24"/>
                <w:szCs w:val="24"/>
              </w:rPr>
              <w:t>专科防治院（所、站）</w:t>
            </w:r>
            <w:r>
              <w:rPr>
                <w:sz w:val="24"/>
                <w:szCs w:val="24"/>
              </w:rPr>
              <w:t>，Ⅳ类建设项目”。根据《环境影响评价技术导则 地下水环境》（HJ610-2016），Ⅳ类建设项目不开展地下水环境影响评价，</w:t>
            </w:r>
            <w:r>
              <w:rPr>
                <w:sz w:val="24"/>
              </w:rPr>
              <w:t>因此本次评价不设置地下水监测要求。</w:t>
            </w:r>
          </w:p>
          <w:p w14:paraId="1AE485A7">
            <w:pPr>
              <w:pStyle w:val="8"/>
              <w:spacing w:after="0" w:line="360" w:lineRule="auto"/>
              <w:ind w:firstLine="480" w:firstLineChars="200"/>
              <w:rPr>
                <w:sz w:val="24"/>
              </w:rPr>
            </w:pPr>
            <w:r>
              <w:rPr>
                <w:sz w:val="24"/>
              </w:rPr>
              <w:t>根据《环境影响评价技术导则</w:t>
            </w:r>
            <w:r>
              <w:rPr>
                <w:rFonts w:hint="eastAsia"/>
                <w:sz w:val="24"/>
              </w:rPr>
              <w:t xml:space="preserve"> </w:t>
            </w:r>
            <w:r>
              <w:rPr>
                <w:sz w:val="24"/>
              </w:rPr>
              <w:t>土壤导则》（HJ964-2018）中建设项目类别划分，本项目属于附录A中其他项目，属于Ⅳ类项目，项目不开展土壤环境影响评价，因此，本次评价不设置土壤监测要求，不开展土壤环境跟踪监测。</w:t>
            </w:r>
          </w:p>
          <w:p w14:paraId="4BE815DC">
            <w:pPr>
              <w:pStyle w:val="8"/>
              <w:spacing w:after="0" w:line="360" w:lineRule="auto"/>
              <w:ind w:firstLine="482" w:firstLineChars="200"/>
              <w:rPr>
                <w:b/>
                <w:sz w:val="24"/>
              </w:rPr>
            </w:pPr>
            <w:r>
              <w:rPr>
                <w:b/>
                <w:sz w:val="24"/>
              </w:rPr>
              <w:t>六、生态环境保护措施</w:t>
            </w:r>
          </w:p>
          <w:p w14:paraId="219B699F">
            <w:pPr>
              <w:pStyle w:val="8"/>
              <w:spacing w:after="0" w:line="360" w:lineRule="auto"/>
              <w:ind w:firstLine="480" w:firstLineChars="200"/>
              <w:rPr>
                <w:bCs/>
                <w:sz w:val="24"/>
              </w:rPr>
            </w:pPr>
            <w:r>
              <w:rPr>
                <w:bCs/>
                <w:sz w:val="24"/>
              </w:rPr>
              <w:t>本项目位于</w:t>
            </w:r>
            <w:r>
              <w:rPr>
                <w:rFonts w:hint="eastAsia"/>
                <w:sz w:val="24"/>
              </w:rPr>
              <w:t>通川区罗江镇高岩村</w:t>
            </w:r>
            <w:r>
              <w:rPr>
                <w:sz w:val="24"/>
              </w:rPr>
              <w:t>，</w:t>
            </w:r>
            <w:r>
              <w:rPr>
                <w:bCs/>
                <w:sz w:val="24"/>
              </w:rPr>
              <w:t>根据现场踏勘，项目区所在地植被稀疏，区域内系统生物多样性程度较低，受人类活动影响，无需保护的珍稀野生动植物存在。本项目在该地建设对当地生态环境现状影响较小。</w:t>
            </w:r>
          </w:p>
          <w:p w14:paraId="622FC44A">
            <w:pPr>
              <w:pStyle w:val="8"/>
              <w:spacing w:after="0" w:line="360" w:lineRule="auto"/>
              <w:ind w:firstLine="482" w:firstLineChars="200"/>
              <w:rPr>
                <w:sz w:val="24"/>
              </w:rPr>
            </w:pPr>
            <w:r>
              <w:rPr>
                <w:b/>
                <w:sz w:val="24"/>
              </w:rPr>
              <w:t>七、环境风险</w:t>
            </w:r>
          </w:p>
          <w:p w14:paraId="5D8A2851">
            <w:pPr>
              <w:spacing w:line="360" w:lineRule="auto"/>
              <w:ind w:firstLine="482" w:firstLineChars="200"/>
              <w:outlineLvl w:val="1"/>
              <w:rPr>
                <w:b/>
                <w:sz w:val="24"/>
              </w:rPr>
            </w:pPr>
            <w:r>
              <w:rPr>
                <w:b/>
                <w:sz w:val="24"/>
              </w:rPr>
              <w:t>1、风险识别</w:t>
            </w:r>
          </w:p>
          <w:p w14:paraId="183998AD">
            <w:pPr>
              <w:pStyle w:val="8"/>
              <w:spacing w:after="0" w:line="360" w:lineRule="auto"/>
              <w:ind w:firstLine="480" w:firstLineChars="200"/>
              <w:rPr>
                <w:sz w:val="24"/>
              </w:rPr>
            </w:pPr>
            <w:r>
              <w:rPr>
                <w:sz w:val="24"/>
              </w:rPr>
              <w:t>项目运营过程中的安全事故</w:t>
            </w:r>
            <w:r>
              <w:rPr>
                <w:rFonts w:hint="eastAsia"/>
                <w:sz w:val="24"/>
              </w:rPr>
              <w:t>或其他</w:t>
            </w:r>
            <w:r>
              <w:rPr>
                <w:sz w:val="24"/>
              </w:rPr>
              <w:t>的一些突发性事故会导致环境风险物质泄漏到环境中，从而引起环境质量的下降，本项目风险源主要有：</w:t>
            </w:r>
          </w:p>
          <w:p w14:paraId="74A2D1E0">
            <w:pPr>
              <w:pStyle w:val="8"/>
              <w:spacing w:after="0" w:line="360" w:lineRule="auto"/>
              <w:ind w:firstLine="480" w:firstLineChars="200"/>
              <w:rPr>
                <w:sz w:val="24"/>
              </w:rPr>
            </w:pPr>
            <w:r>
              <w:rPr>
                <w:sz w:val="24"/>
              </w:rPr>
              <w:t>（1）化学品</w:t>
            </w:r>
          </w:p>
          <w:p w14:paraId="255A84F3">
            <w:pPr>
              <w:pStyle w:val="8"/>
              <w:spacing w:after="0" w:line="360" w:lineRule="auto"/>
              <w:ind w:firstLine="480" w:firstLineChars="200"/>
              <w:rPr>
                <w:sz w:val="24"/>
              </w:rPr>
            </w:pPr>
            <w:r>
              <w:rPr>
                <w:sz w:val="24"/>
              </w:rPr>
              <w:t>根据《化学品分类和危险性公示通则》（GB13690-2009）内容，危险化学品包括16类；本项目使用的危险化学品包括3%过氧化氢消毒液、75%医用酒精、碘伏消毒液、次氯酸钠等。医院危化品较分散，分别储存在药房、氧气供应室、医学检验科、住院等各科室。医院危化品种类繁多，但用量均很少。</w:t>
            </w:r>
            <w:r>
              <w:rPr>
                <w:rFonts w:hint="eastAsia"/>
                <w:sz w:val="24"/>
              </w:rPr>
              <w:t>本项目虽设置有柴油发电机房，但未储存有柴油，现用现买。</w:t>
            </w:r>
          </w:p>
          <w:p w14:paraId="1CAB1A72">
            <w:pPr>
              <w:pStyle w:val="8"/>
              <w:spacing w:after="0" w:line="360" w:lineRule="auto"/>
              <w:ind w:firstLine="480" w:firstLineChars="200"/>
              <w:rPr>
                <w:sz w:val="24"/>
              </w:rPr>
            </w:pPr>
            <w:r>
              <w:rPr>
                <w:sz w:val="24"/>
              </w:rPr>
              <w:t>（2）氧气</w:t>
            </w:r>
          </w:p>
          <w:p w14:paraId="6B225BC8">
            <w:pPr>
              <w:pStyle w:val="8"/>
              <w:spacing w:after="0" w:line="360" w:lineRule="auto"/>
              <w:ind w:firstLine="480" w:firstLineChars="200"/>
              <w:rPr>
                <w:sz w:val="24"/>
              </w:rPr>
            </w:pPr>
            <w:r>
              <w:rPr>
                <w:sz w:val="24"/>
              </w:rPr>
              <w:t>本项目不自行制备氧气，所用氧气全部外购。根据医院用氧情况，本项目氧气储存量为</w:t>
            </w:r>
            <w:r>
              <w:rPr>
                <w:rFonts w:hint="eastAsia"/>
                <w:sz w:val="24"/>
              </w:rPr>
              <w:t>10</w:t>
            </w:r>
            <w:r>
              <w:rPr>
                <w:sz w:val="24"/>
              </w:rPr>
              <w:t>瓶，存放于氧气供应室，项目使用中心供氧系统对病人供氧。</w:t>
            </w:r>
          </w:p>
          <w:p w14:paraId="2027F5BA">
            <w:pPr>
              <w:pStyle w:val="8"/>
              <w:spacing w:after="0" w:line="360" w:lineRule="auto"/>
              <w:ind w:firstLine="480" w:firstLineChars="200"/>
              <w:rPr>
                <w:sz w:val="24"/>
              </w:rPr>
            </w:pPr>
            <w:r>
              <w:rPr>
                <w:sz w:val="24"/>
              </w:rPr>
              <w:t>（3）危险废物</w:t>
            </w:r>
          </w:p>
          <w:p w14:paraId="380AB3F7">
            <w:pPr>
              <w:pStyle w:val="8"/>
              <w:spacing w:after="0" w:line="360" w:lineRule="auto"/>
              <w:ind w:firstLine="480" w:firstLineChars="200"/>
              <w:rPr>
                <w:sz w:val="24"/>
              </w:rPr>
            </w:pPr>
            <w:r>
              <w:rPr>
                <w:sz w:val="24"/>
              </w:rPr>
              <w:t>根据《国家危险废物名录》（2021版），本项目医疗废物（废物类别为HW01医疗废物）属于危险废物，项目医疗废物的产生量为</w:t>
            </w:r>
            <w:r>
              <w:rPr>
                <w:rFonts w:hint="eastAsia"/>
                <w:sz w:val="24"/>
              </w:rPr>
              <w:t>18.205t</w:t>
            </w:r>
            <w:r>
              <w:rPr>
                <w:sz w:val="24"/>
              </w:rPr>
              <w:t>/a。根据《医疗机构水污染物排放标准》（18466-2005），污水处理系统污泥属于危险废物，污水处理系统污泥产生量为</w:t>
            </w:r>
            <w:r>
              <w:rPr>
                <w:rFonts w:hint="eastAsia"/>
                <w:sz w:val="24"/>
              </w:rPr>
              <w:t>2.0</w:t>
            </w:r>
            <w:r>
              <w:rPr>
                <w:sz w:val="24"/>
              </w:rPr>
              <w:t>t/a。废紫外灯管属于危险废物，废紫外灯管产生量为0.05t/a。</w:t>
            </w:r>
          </w:p>
          <w:p w14:paraId="0DA6EAF1">
            <w:pPr>
              <w:pStyle w:val="8"/>
              <w:spacing w:after="0" w:line="360" w:lineRule="auto"/>
              <w:ind w:firstLine="480" w:firstLineChars="200"/>
              <w:rPr>
                <w:sz w:val="24"/>
              </w:rPr>
            </w:pPr>
            <w:r>
              <w:rPr>
                <w:sz w:val="24"/>
              </w:rPr>
              <w:t>（4）医疗废水</w:t>
            </w:r>
          </w:p>
          <w:p w14:paraId="578FDBB8">
            <w:pPr>
              <w:pStyle w:val="8"/>
              <w:spacing w:after="0" w:line="360" w:lineRule="auto"/>
              <w:ind w:firstLine="480" w:firstLineChars="200"/>
              <w:rPr>
                <w:sz w:val="24"/>
              </w:rPr>
            </w:pPr>
            <w:r>
              <w:rPr>
                <w:sz w:val="24"/>
              </w:rPr>
              <w:t>医疗污水含有病原性微生物、有毒、有害的物理化学污染物等，具有空间污染、急性传染和潜伏性传染等特征，不经有效处理会成为一条疫病扩散的重要途径，并可能带来严重的污染环境。</w:t>
            </w:r>
          </w:p>
          <w:p w14:paraId="2A332A42">
            <w:pPr>
              <w:pStyle w:val="8"/>
              <w:spacing w:after="0" w:line="360" w:lineRule="auto"/>
              <w:jc w:val="center"/>
              <w:rPr>
                <w:b/>
                <w:bCs/>
                <w:sz w:val="24"/>
              </w:rPr>
            </w:pPr>
            <w:r>
              <w:rPr>
                <w:b/>
                <w:bCs/>
                <w:sz w:val="24"/>
              </w:rPr>
              <w:t>表4-</w:t>
            </w:r>
            <w:r>
              <w:rPr>
                <w:rFonts w:hint="eastAsia"/>
                <w:b/>
                <w:bCs/>
                <w:sz w:val="24"/>
              </w:rPr>
              <w:t>2</w:t>
            </w:r>
            <w:r>
              <w:rPr>
                <w:rFonts w:hint="eastAsia"/>
                <w:b/>
                <w:bCs/>
                <w:sz w:val="24"/>
                <w:lang w:val="en-US" w:eastAsia="zh-CN"/>
              </w:rPr>
              <w:t>4</w:t>
            </w:r>
            <w:r>
              <w:rPr>
                <w:b/>
                <w:bCs/>
                <w:sz w:val="24"/>
              </w:rPr>
              <w:t xml:space="preserve"> 主要危险物质储存及危险特性</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308"/>
              <w:gridCol w:w="1779"/>
              <w:gridCol w:w="1666"/>
              <w:gridCol w:w="1866"/>
              <w:gridCol w:w="1233"/>
            </w:tblGrid>
            <w:tr w14:paraId="5C5CD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64" w:type="pct"/>
                  <w:tcBorders>
                    <w:tl2br w:val="nil"/>
                    <w:tr2bl w:val="nil"/>
                  </w:tcBorders>
                  <w:vAlign w:val="center"/>
                </w:tcPr>
                <w:p w14:paraId="07E8FF38">
                  <w:pPr>
                    <w:jc w:val="center"/>
                    <w:rPr>
                      <w:b/>
                      <w:bCs/>
                    </w:rPr>
                  </w:pPr>
                  <w:r>
                    <w:rPr>
                      <w:b/>
                      <w:bCs/>
                    </w:rPr>
                    <w:t>序号</w:t>
                  </w:r>
                </w:p>
              </w:tc>
              <w:tc>
                <w:tcPr>
                  <w:tcW w:w="755" w:type="pct"/>
                  <w:tcBorders>
                    <w:tl2br w:val="nil"/>
                    <w:tr2bl w:val="nil"/>
                  </w:tcBorders>
                  <w:vAlign w:val="center"/>
                </w:tcPr>
                <w:p w14:paraId="1093C7A3">
                  <w:pPr>
                    <w:jc w:val="center"/>
                    <w:rPr>
                      <w:b/>
                      <w:bCs/>
                    </w:rPr>
                  </w:pPr>
                  <w:r>
                    <w:rPr>
                      <w:b/>
                      <w:bCs/>
                    </w:rPr>
                    <w:t>物质名称</w:t>
                  </w:r>
                </w:p>
              </w:tc>
              <w:tc>
                <w:tcPr>
                  <w:tcW w:w="1027" w:type="pct"/>
                  <w:tcBorders>
                    <w:tl2br w:val="nil"/>
                    <w:tr2bl w:val="nil"/>
                  </w:tcBorders>
                  <w:vAlign w:val="center"/>
                </w:tcPr>
                <w:p w14:paraId="105E65D9">
                  <w:pPr>
                    <w:jc w:val="center"/>
                    <w:rPr>
                      <w:b/>
                      <w:bCs/>
                    </w:rPr>
                  </w:pPr>
                  <w:r>
                    <w:rPr>
                      <w:b/>
                      <w:bCs/>
                    </w:rPr>
                    <w:t>最大储存量</w:t>
                  </w:r>
                </w:p>
              </w:tc>
              <w:tc>
                <w:tcPr>
                  <w:tcW w:w="962" w:type="pct"/>
                  <w:tcBorders>
                    <w:tl2br w:val="nil"/>
                    <w:tr2bl w:val="nil"/>
                  </w:tcBorders>
                  <w:vAlign w:val="center"/>
                </w:tcPr>
                <w:p w14:paraId="10760110">
                  <w:pPr>
                    <w:jc w:val="center"/>
                    <w:rPr>
                      <w:b/>
                      <w:bCs/>
                    </w:rPr>
                  </w:pPr>
                  <w:r>
                    <w:rPr>
                      <w:b/>
                      <w:bCs/>
                    </w:rPr>
                    <w:t>储存方式</w:t>
                  </w:r>
                </w:p>
              </w:tc>
              <w:tc>
                <w:tcPr>
                  <w:tcW w:w="1077" w:type="pct"/>
                  <w:tcBorders>
                    <w:tl2br w:val="nil"/>
                    <w:tr2bl w:val="nil"/>
                  </w:tcBorders>
                  <w:vAlign w:val="center"/>
                </w:tcPr>
                <w:p w14:paraId="1A138461">
                  <w:pPr>
                    <w:jc w:val="center"/>
                    <w:rPr>
                      <w:b/>
                      <w:bCs/>
                    </w:rPr>
                  </w:pPr>
                  <w:r>
                    <w:rPr>
                      <w:b/>
                      <w:bCs/>
                    </w:rPr>
                    <w:t>储存位置</w:t>
                  </w:r>
                </w:p>
              </w:tc>
              <w:tc>
                <w:tcPr>
                  <w:tcW w:w="712" w:type="pct"/>
                  <w:tcBorders>
                    <w:tl2br w:val="nil"/>
                    <w:tr2bl w:val="nil"/>
                  </w:tcBorders>
                  <w:vAlign w:val="center"/>
                </w:tcPr>
                <w:p w14:paraId="79CA2E3D">
                  <w:pPr>
                    <w:jc w:val="center"/>
                    <w:rPr>
                      <w:b/>
                      <w:bCs/>
                    </w:rPr>
                  </w:pPr>
                  <w:r>
                    <w:rPr>
                      <w:b/>
                      <w:bCs/>
                    </w:rPr>
                    <w:t>危险性</w:t>
                  </w:r>
                </w:p>
              </w:tc>
            </w:tr>
            <w:tr w14:paraId="12544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tcBorders>
                    <w:tl2br w:val="nil"/>
                    <w:tr2bl w:val="nil"/>
                  </w:tcBorders>
                  <w:vAlign w:val="center"/>
                </w:tcPr>
                <w:p w14:paraId="7001413D">
                  <w:pPr>
                    <w:jc w:val="center"/>
                  </w:pPr>
                  <w:r>
                    <w:t>1</w:t>
                  </w:r>
                </w:p>
              </w:tc>
              <w:tc>
                <w:tcPr>
                  <w:tcW w:w="755" w:type="pct"/>
                  <w:tcBorders>
                    <w:tl2br w:val="nil"/>
                    <w:tr2bl w:val="nil"/>
                  </w:tcBorders>
                  <w:vAlign w:val="center"/>
                </w:tcPr>
                <w:p w14:paraId="7B30B05A">
                  <w:pPr>
                    <w:jc w:val="center"/>
                  </w:pPr>
                  <w:r>
                    <w:t>医用酒精</w:t>
                  </w:r>
                </w:p>
              </w:tc>
              <w:tc>
                <w:tcPr>
                  <w:tcW w:w="1027" w:type="pct"/>
                  <w:tcBorders>
                    <w:tl2br w:val="nil"/>
                    <w:tr2bl w:val="nil"/>
                  </w:tcBorders>
                  <w:vAlign w:val="center"/>
                </w:tcPr>
                <w:p w14:paraId="15EA5BD1">
                  <w:pPr>
                    <w:jc w:val="center"/>
                  </w:pPr>
                  <w:r>
                    <w:t>0.05t</w:t>
                  </w:r>
                </w:p>
              </w:tc>
              <w:tc>
                <w:tcPr>
                  <w:tcW w:w="962" w:type="pct"/>
                  <w:tcBorders>
                    <w:tl2br w:val="nil"/>
                    <w:tr2bl w:val="nil"/>
                  </w:tcBorders>
                  <w:vAlign w:val="center"/>
                </w:tcPr>
                <w:p w14:paraId="5AD122C9">
                  <w:pPr>
                    <w:jc w:val="center"/>
                  </w:pPr>
                  <w:r>
                    <w:t>桶装</w:t>
                  </w:r>
                </w:p>
              </w:tc>
              <w:tc>
                <w:tcPr>
                  <w:tcW w:w="1077" w:type="pct"/>
                  <w:tcBorders>
                    <w:tl2br w:val="nil"/>
                    <w:tr2bl w:val="nil"/>
                  </w:tcBorders>
                  <w:vAlign w:val="center"/>
                </w:tcPr>
                <w:p w14:paraId="24306C43">
                  <w:pPr>
                    <w:jc w:val="center"/>
                  </w:pPr>
                  <w:r>
                    <w:rPr>
                      <w:rFonts w:hint="eastAsia"/>
                    </w:rPr>
                    <w:t>库房</w:t>
                  </w:r>
                </w:p>
              </w:tc>
              <w:tc>
                <w:tcPr>
                  <w:tcW w:w="712" w:type="pct"/>
                  <w:tcBorders>
                    <w:tl2br w:val="nil"/>
                    <w:tr2bl w:val="nil"/>
                  </w:tcBorders>
                  <w:vAlign w:val="center"/>
                </w:tcPr>
                <w:p w14:paraId="70B607C0">
                  <w:pPr>
                    <w:jc w:val="center"/>
                  </w:pPr>
                  <w:r>
                    <w:t>易燃性</w:t>
                  </w:r>
                </w:p>
              </w:tc>
            </w:tr>
            <w:tr w14:paraId="376D2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tcBorders>
                    <w:tl2br w:val="nil"/>
                    <w:tr2bl w:val="nil"/>
                  </w:tcBorders>
                  <w:vAlign w:val="center"/>
                </w:tcPr>
                <w:p w14:paraId="453CEEA3">
                  <w:pPr>
                    <w:jc w:val="center"/>
                  </w:pPr>
                  <w:r>
                    <w:t>2</w:t>
                  </w:r>
                </w:p>
              </w:tc>
              <w:tc>
                <w:tcPr>
                  <w:tcW w:w="755" w:type="pct"/>
                  <w:tcBorders>
                    <w:tl2br w:val="nil"/>
                    <w:tr2bl w:val="nil"/>
                  </w:tcBorders>
                  <w:vAlign w:val="center"/>
                </w:tcPr>
                <w:p w14:paraId="4D9BAA65">
                  <w:pPr>
                    <w:jc w:val="center"/>
                  </w:pPr>
                  <w:r>
                    <w:t>氧气</w:t>
                  </w:r>
                </w:p>
              </w:tc>
              <w:tc>
                <w:tcPr>
                  <w:tcW w:w="1027" w:type="pct"/>
                  <w:tcBorders>
                    <w:tl2br w:val="nil"/>
                    <w:tr2bl w:val="nil"/>
                  </w:tcBorders>
                  <w:vAlign w:val="center"/>
                </w:tcPr>
                <w:p w14:paraId="67E4D3F5">
                  <w:pPr>
                    <w:jc w:val="center"/>
                  </w:pPr>
                  <w:r>
                    <w:rPr>
                      <w:rFonts w:hint="eastAsia"/>
                    </w:rPr>
                    <w:t>1.0</w:t>
                  </w:r>
                  <w:r>
                    <w:t>t</w:t>
                  </w:r>
                </w:p>
              </w:tc>
              <w:tc>
                <w:tcPr>
                  <w:tcW w:w="962" w:type="pct"/>
                  <w:tcBorders>
                    <w:tl2br w:val="nil"/>
                    <w:tr2bl w:val="nil"/>
                  </w:tcBorders>
                  <w:vAlign w:val="center"/>
                </w:tcPr>
                <w:p w14:paraId="50A45417">
                  <w:pPr>
                    <w:jc w:val="center"/>
                  </w:pPr>
                  <w:r>
                    <w:t>瓶装</w:t>
                  </w:r>
                </w:p>
              </w:tc>
              <w:tc>
                <w:tcPr>
                  <w:tcW w:w="1077" w:type="pct"/>
                  <w:tcBorders>
                    <w:tl2br w:val="nil"/>
                    <w:tr2bl w:val="nil"/>
                  </w:tcBorders>
                  <w:vAlign w:val="center"/>
                </w:tcPr>
                <w:p w14:paraId="4B3ADA62">
                  <w:pPr>
                    <w:jc w:val="center"/>
                  </w:pPr>
                  <w:r>
                    <w:t>氧气供应室</w:t>
                  </w:r>
                </w:p>
              </w:tc>
              <w:tc>
                <w:tcPr>
                  <w:tcW w:w="712" w:type="pct"/>
                  <w:tcBorders>
                    <w:tl2br w:val="nil"/>
                    <w:tr2bl w:val="nil"/>
                  </w:tcBorders>
                  <w:vAlign w:val="center"/>
                </w:tcPr>
                <w:p w14:paraId="2BD8CE40">
                  <w:pPr>
                    <w:jc w:val="center"/>
                  </w:pPr>
                  <w:r>
                    <w:t>强助燃剂</w:t>
                  </w:r>
                </w:p>
              </w:tc>
            </w:tr>
            <w:tr w14:paraId="227F2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tcBorders>
                    <w:tl2br w:val="nil"/>
                    <w:tr2bl w:val="nil"/>
                  </w:tcBorders>
                  <w:vAlign w:val="center"/>
                </w:tcPr>
                <w:p w14:paraId="72BAF826">
                  <w:pPr>
                    <w:jc w:val="center"/>
                  </w:pPr>
                  <w:r>
                    <w:t>3</w:t>
                  </w:r>
                </w:p>
              </w:tc>
              <w:tc>
                <w:tcPr>
                  <w:tcW w:w="755" w:type="pct"/>
                  <w:tcBorders>
                    <w:tl2br w:val="nil"/>
                    <w:tr2bl w:val="nil"/>
                  </w:tcBorders>
                  <w:vAlign w:val="center"/>
                </w:tcPr>
                <w:p w14:paraId="09CECFB5">
                  <w:pPr>
                    <w:jc w:val="center"/>
                  </w:pPr>
                  <w:r>
                    <w:t>次氯酸钠</w:t>
                  </w:r>
                </w:p>
              </w:tc>
              <w:tc>
                <w:tcPr>
                  <w:tcW w:w="1027" w:type="pct"/>
                  <w:tcBorders>
                    <w:tl2br w:val="nil"/>
                    <w:tr2bl w:val="nil"/>
                  </w:tcBorders>
                  <w:vAlign w:val="center"/>
                </w:tcPr>
                <w:p w14:paraId="5E02F6A5">
                  <w:pPr>
                    <w:jc w:val="center"/>
                  </w:pPr>
                  <w:r>
                    <w:t>0.25t</w:t>
                  </w:r>
                </w:p>
              </w:tc>
              <w:tc>
                <w:tcPr>
                  <w:tcW w:w="962" w:type="pct"/>
                  <w:tcBorders>
                    <w:tl2br w:val="nil"/>
                    <w:tr2bl w:val="nil"/>
                  </w:tcBorders>
                  <w:vAlign w:val="center"/>
                </w:tcPr>
                <w:p w14:paraId="32BCF202">
                  <w:pPr>
                    <w:jc w:val="center"/>
                  </w:pPr>
                  <w:r>
                    <w:t>桶装</w:t>
                  </w:r>
                </w:p>
              </w:tc>
              <w:tc>
                <w:tcPr>
                  <w:tcW w:w="1077" w:type="pct"/>
                  <w:tcBorders>
                    <w:tl2br w:val="nil"/>
                    <w:tr2bl w:val="nil"/>
                  </w:tcBorders>
                  <w:vAlign w:val="center"/>
                </w:tcPr>
                <w:p w14:paraId="159CF6F1">
                  <w:pPr>
                    <w:jc w:val="center"/>
                  </w:pPr>
                  <w:r>
                    <w:t>污水处理站</w:t>
                  </w:r>
                </w:p>
              </w:tc>
              <w:tc>
                <w:tcPr>
                  <w:tcW w:w="712" w:type="pct"/>
                  <w:tcBorders>
                    <w:tl2br w:val="nil"/>
                    <w:tr2bl w:val="nil"/>
                  </w:tcBorders>
                  <w:vAlign w:val="center"/>
                </w:tcPr>
                <w:p w14:paraId="41BA4894">
                  <w:pPr>
                    <w:jc w:val="center"/>
                  </w:pPr>
                  <w:r>
                    <w:t>腐蚀性</w:t>
                  </w:r>
                </w:p>
              </w:tc>
            </w:tr>
          </w:tbl>
          <w:p w14:paraId="02BFB117">
            <w:pPr>
              <w:pStyle w:val="8"/>
              <w:spacing w:after="0" w:line="360" w:lineRule="auto"/>
              <w:ind w:firstLine="482" w:firstLineChars="200"/>
              <w:rPr>
                <w:sz w:val="24"/>
              </w:rPr>
            </w:pPr>
            <w:r>
              <w:rPr>
                <w:b/>
                <w:sz w:val="24"/>
              </w:rPr>
              <w:t>2、风险潜势分析</w:t>
            </w:r>
          </w:p>
          <w:p w14:paraId="0EF973E2">
            <w:pPr>
              <w:spacing w:line="360" w:lineRule="auto"/>
              <w:ind w:firstLine="480"/>
              <w:rPr>
                <w:sz w:val="24"/>
              </w:rPr>
            </w:pPr>
            <w:r>
              <w:rPr>
                <w:sz w:val="24"/>
              </w:rPr>
              <w:t>建设项目环境风险潜势划分为I、II、III、IV/IV</w:t>
            </w:r>
            <w:r>
              <w:rPr>
                <w:sz w:val="24"/>
                <w:vertAlign w:val="superscript"/>
              </w:rPr>
              <w:t>+</w:t>
            </w:r>
            <w:r>
              <w:rPr>
                <w:sz w:val="24"/>
              </w:rPr>
              <w:t>级，主要根据建设项目涉及的物质和工艺系统的危险性及其所在地的环境敏感程度，结合事故情形下环境影响途径，按照《建设项目环境风险评价技术导则》（HJ169-2018）进行确定，其中：危险物质数量与临界量比值（</w:t>
            </w:r>
            <w:r>
              <w:rPr>
                <w:i/>
                <w:sz w:val="24"/>
              </w:rPr>
              <w:t>Q</w:t>
            </w:r>
            <w:r>
              <w:rPr>
                <w:sz w:val="24"/>
              </w:rPr>
              <w:t>）为每种危险物质在厂界内的最大存在总量与其在HJ169-2018附录B中对应临界量的比值，即：</w:t>
            </w:r>
          </w:p>
          <w:p w14:paraId="12DF653F">
            <w:pPr>
              <w:spacing w:line="360" w:lineRule="auto"/>
              <w:jc w:val="center"/>
              <w:rPr>
                <w:sz w:val="24"/>
              </w:rPr>
            </w:pPr>
            <w:r>
              <w:rPr>
                <w:position w:val="-30"/>
                <w:sz w:val="24"/>
              </w:rPr>
              <w:object>
                <v:shape id="_x0000_i1029" o:spt="75" type="#_x0000_t75" style="height:28.5pt;width:79.5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p>
          <w:p w14:paraId="1F3BD896">
            <w:pPr>
              <w:spacing w:line="360" w:lineRule="auto"/>
              <w:ind w:firstLine="480" w:firstLineChars="200"/>
              <w:rPr>
                <w:i/>
                <w:sz w:val="24"/>
              </w:rPr>
            </w:pPr>
            <w:r>
              <w:rPr>
                <w:sz w:val="24"/>
              </w:rPr>
              <w:t>式中：</w:t>
            </w:r>
            <w:r>
              <w:rPr>
                <w:i/>
                <w:sz w:val="24"/>
              </w:rPr>
              <w:t>q</w:t>
            </w:r>
            <w:r>
              <w:rPr>
                <w:sz w:val="24"/>
                <w:vertAlign w:val="subscript"/>
              </w:rPr>
              <w:t>1</w:t>
            </w:r>
            <w:r>
              <w:rPr>
                <w:sz w:val="24"/>
              </w:rPr>
              <w:t>，</w:t>
            </w:r>
            <w:r>
              <w:rPr>
                <w:i/>
                <w:sz w:val="24"/>
              </w:rPr>
              <w:t>q</w:t>
            </w:r>
            <w:r>
              <w:rPr>
                <w:sz w:val="24"/>
                <w:vertAlign w:val="subscript"/>
              </w:rPr>
              <w:t>2</w:t>
            </w:r>
            <w:r>
              <w:rPr>
                <w:sz w:val="24"/>
              </w:rPr>
              <w:t>，···，</w:t>
            </w:r>
            <w:r>
              <w:rPr>
                <w:i/>
                <w:sz w:val="24"/>
              </w:rPr>
              <w:t>q</w:t>
            </w:r>
            <w:r>
              <w:rPr>
                <w:i/>
                <w:sz w:val="24"/>
                <w:vertAlign w:val="subscript"/>
              </w:rPr>
              <w:t>n</w:t>
            </w:r>
            <w:r>
              <w:rPr>
                <w:sz w:val="24"/>
              </w:rPr>
              <w:t>——每种危险物质的最大存在总量，t；</w:t>
            </w:r>
          </w:p>
          <w:p w14:paraId="55F0BCE5">
            <w:pPr>
              <w:spacing w:line="360" w:lineRule="auto"/>
              <w:ind w:firstLine="480" w:firstLineChars="200"/>
              <w:rPr>
                <w:sz w:val="24"/>
              </w:rPr>
            </w:pPr>
            <w:r>
              <w:rPr>
                <w:sz w:val="24"/>
              </w:rPr>
              <w:t xml:space="preserve">      </w:t>
            </w:r>
            <w:r>
              <w:rPr>
                <w:i/>
                <w:sz w:val="24"/>
              </w:rPr>
              <w:t>Q</w:t>
            </w:r>
            <w:r>
              <w:rPr>
                <w:sz w:val="24"/>
                <w:vertAlign w:val="subscript"/>
              </w:rPr>
              <w:t>1</w:t>
            </w:r>
            <w:r>
              <w:rPr>
                <w:sz w:val="24"/>
              </w:rPr>
              <w:t>，</w:t>
            </w:r>
            <w:r>
              <w:rPr>
                <w:i/>
                <w:sz w:val="24"/>
              </w:rPr>
              <w:t>Q</w:t>
            </w:r>
            <w:r>
              <w:rPr>
                <w:sz w:val="24"/>
                <w:vertAlign w:val="subscript"/>
              </w:rPr>
              <w:t>2</w:t>
            </w:r>
            <w:r>
              <w:rPr>
                <w:sz w:val="24"/>
              </w:rPr>
              <w:t>，···，</w:t>
            </w:r>
            <w:r>
              <w:rPr>
                <w:i/>
                <w:sz w:val="24"/>
              </w:rPr>
              <w:t>Q</w:t>
            </w:r>
            <w:r>
              <w:rPr>
                <w:i/>
                <w:sz w:val="24"/>
                <w:vertAlign w:val="subscript"/>
              </w:rPr>
              <w:t>n</w:t>
            </w:r>
            <w:r>
              <w:rPr>
                <w:sz w:val="24"/>
              </w:rPr>
              <w:t>——每种危险物质的临界量，t。</w:t>
            </w:r>
          </w:p>
          <w:p w14:paraId="0F8B8532">
            <w:pPr>
              <w:spacing w:line="360" w:lineRule="auto"/>
              <w:ind w:firstLine="480" w:firstLineChars="200"/>
              <w:rPr>
                <w:sz w:val="24"/>
              </w:rPr>
            </w:pPr>
            <w:r>
              <w:rPr>
                <w:sz w:val="24"/>
              </w:rPr>
              <w:t>当</w:t>
            </w:r>
            <w:r>
              <w:rPr>
                <w:i/>
                <w:sz w:val="24"/>
              </w:rPr>
              <w:t>Q</w:t>
            </w:r>
            <w:r>
              <w:rPr>
                <w:sz w:val="24"/>
              </w:rPr>
              <w:t>&lt;1时，该项目环境风险潜势为I；当</w:t>
            </w:r>
            <w:r>
              <w:rPr>
                <w:i/>
                <w:sz w:val="24"/>
              </w:rPr>
              <w:t>Q</w:t>
            </w:r>
            <w:r>
              <w:rPr>
                <w:sz w:val="24"/>
              </w:rPr>
              <w:t>≥1时，将</w:t>
            </w:r>
            <w:r>
              <w:rPr>
                <w:i/>
                <w:sz w:val="24"/>
              </w:rPr>
              <w:t>Q</w:t>
            </w:r>
            <w:r>
              <w:rPr>
                <w:sz w:val="24"/>
              </w:rPr>
              <w:t>值划分为：a.1≤</w:t>
            </w:r>
            <w:r>
              <w:rPr>
                <w:i/>
                <w:sz w:val="24"/>
              </w:rPr>
              <w:t>Q</w:t>
            </w:r>
            <w:r>
              <w:rPr>
                <w:sz w:val="24"/>
              </w:rPr>
              <w:t>&lt;10；b. 10≤</w:t>
            </w:r>
            <w:r>
              <w:rPr>
                <w:i/>
                <w:sz w:val="24"/>
              </w:rPr>
              <w:t>Q</w:t>
            </w:r>
            <w:r>
              <w:rPr>
                <w:sz w:val="24"/>
              </w:rPr>
              <w:t>&lt;100；c.</w:t>
            </w:r>
            <w:r>
              <w:rPr>
                <w:i/>
                <w:sz w:val="24"/>
              </w:rPr>
              <w:t>Q</w:t>
            </w:r>
            <w:r>
              <w:rPr>
                <w:sz w:val="24"/>
              </w:rPr>
              <w:t>≥100。</w:t>
            </w:r>
          </w:p>
          <w:p w14:paraId="76818722">
            <w:pPr>
              <w:pStyle w:val="8"/>
              <w:spacing w:after="0" w:line="360" w:lineRule="auto"/>
              <w:ind w:firstLine="480" w:firstLineChars="200"/>
              <w:rPr>
                <w:sz w:val="24"/>
              </w:rPr>
            </w:pPr>
            <w:r>
              <w:rPr>
                <w:sz w:val="24"/>
              </w:rPr>
              <w:t>根据计算，本项目危险物质数量与临界量比值见表4-</w:t>
            </w:r>
            <w:r>
              <w:rPr>
                <w:rFonts w:hint="eastAsia"/>
                <w:sz w:val="24"/>
              </w:rPr>
              <w:t>2</w:t>
            </w:r>
            <w:r>
              <w:rPr>
                <w:rFonts w:hint="eastAsia"/>
                <w:sz w:val="24"/>
                <w:lang w:val="en-US" w:eastAsia="zh-CN"/>
              </w:rPr>
              <w:t>5</w:t>
            </w:r>
            <w:r>
              <w:rPr>
                <w:sz w:val="24"/>
              </w:rPr>
              <w:t>。</w:t>
            </w:r>
          </w:p>
          <w:p w14:paraId="622A177D">
            <w:pPr>
              <w:pStyle w:val="8"/>
              <w:spacing w:after="0" w:line="360" w:lineRule="auto"/>
              <w:jc w:val="center"/>
              <w:rPr>
                <w:b/>
                <w:bCs/>
                <w:sz w:val="24"/>
              </w:rPr>
            </w:pPr>
            <w:r>
              <w:rPr>
                <w:b/>
                <w:bCs/>
                <w:sz w:val="24"/>
              </w:rPr>
              <w:t>表4-</w:t>
            </w:r>
            <w:r>
              <w:rPr>
                <w:rFonts w:hint="eastAsia"/>
                <w:b/>
                <w:bCs/>
                <w:sz w:val="24"/>
              </w:rPr>
              <w:t>2</w:t>
            </w:r>
            <w:r>
              <w:rPr>
                <w:rFonts w:hint="eastAsia"/>
                <w:b/>
                <w:bCs/>
                <w:sz w:val="24"/>
                <w:lang w:val="en-US" w:eastAsia="zh-CN"/>
              </w:rPr>
              <w:t>5</w:t>
            </w:r>
            <w:r>
              <w:rPr>
                <w:b/>
                <w:bCs/>
                <w:sz w:val="24"/>
              </w:rPr>
              <w:t xml:space="preserve"> 危险物质数量与临界量比值表</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09"/>
              <w:gridCol w:w="1698"/>
              <w:gridCol w:w="1622"/>
              <w:gridCol w:w="1622"/>
              <w:gridCol w:w="1626"/>
            </w:tblGrid>
            <w:tr w14:paraId="203E6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tcBorders>
                    <w:tl2br w:val="nil"/>
                    <w:tr2bl w:val="nil"/>
                  </w:tcBorders>
                  <w:vAlign w:val="center"/>
                </w:tcPr>
                <w:p w14:paraId="03D4053C">
                  <w:pPr>
                    <w:jc w:val="center"/>
                    <w:rPr>
                      <w:b/>
                      <w:bCs/>
                    </w:rPr>
                  </w:pPr>
                  <w:r>
                    <w:rPr>
                      <w:b/>
                      <w:bCs/>
                    </w:rPr>
                    <w:t>序号</w:t>
                  </w:r>
                </w:p>
              </w:tc>
              <w:tc>
                <w:tcPr>
                  <w:tcW w:w="813" w:type="pct"/>
                  <w:tcBorders>
                    <w:tl2br w:val="nil"/>
                    <w:tr2bl w:val="nil"/>
                  </w:tcBorders>
                  <w:vAlign w:val="center"/>
                </w:tcPr>
                <w:p w14:paraId="77D974B5">
                  <w:pPr>
                    <w:jc w:val="center"/>
                    <w:rPr>
                      <w:b/>
                      <w:bCs/>
                    </w:rPr>
                  </w:pPr>
                  <w:r>
                    <w:rPr>
                      <w:b/>
                      <w:bCs/>
                    </w:rPr>
                    <w:t>物质名称</w:t>
                  </w:r>
                </w:p>
              </w:tc>
              <w:tc>
                <w:tcPr>
                  <w:tcW w:w="980" w:type="pct"/>
                  <w:tcBorders>
                    <w:tl2br w:val="nil"/>
                    <w:tr2bl w:val="nil"/>
                  </w:tcBorders>
                  <w:vAlign w:val="center"/>
                </w:tcPr>
                <w:p w14:paraId="6C5F4082">
                  <w:pPr>
                    <w:jc w:val="center"/>
                    <w:rPr>
                      <w:b/>
                      <w:bCs/>
                    </w:rPr>
                  </w:pPr>
                  <w:r>
                    <w:rPr>
                      <w:b/>
                      <w:bCs/>
                    </w:rPr>
                    <w:t>最大储存量（q）</w:t>
                  </w:r>
                </w:p>
              </w:tc>
              <w:tc>
                <w:tcPr>
                  <w:tcW w:w="936" w:type="pct"/>
                  <w:tcBorders>
                    <w:tl2br w:val="nil"/>
                    <w:tr2bl w:val="nil"/>
                  </w:tcBorders>
                  <w:vAlign w:val="center"/>
                </w:tcPr>
                <w:p w14:paraId="1D3AA5B4">
                  <w:pPr>
                    <w:jc w:val="center"/>
                    <w:rPr>
                      <w:b/>
                      <w:bCs/>
                    </w:rPr>
                  </w:pPr>
                  <w:r>
                    <w:rPr>
                      <w:b/>
                      <w:bCs/>
                    </w:rPr>
                    <w:t>临界量（Q）</w:t>
                  </w:r>
                </w:p>
              </w:tc>
              <w:tc>
                <w:tcPr>
                  <w:tcW w:w="936" w:type="pct"/>
                  <w:tcBorders>
                    <w:tl2br w:val="nil"/>
                    <w:tr2bl w:val="nil"/>
                  </w:tcBorders>
                  <w:vAlign w:val="center"/>
                </w:tcPr>
                <w:p w14:paraId="6DF3A236">
                  <w:pPr>
                    <w:jc w:val="center"/>
                    <w:rPr>
                      <w:b/>
                      <w:bCs/>
                    </w:rPr>
                  </w:pPr>
                  <w:r>
                    <w:rPr>
                      <w:b/>
                      <w:bCs/>
                    </w:rPr>
                    <w:t>比值（Q）</w:t>
                  </w:r>
                </w:p>
              </w:tc>
              <w:tc>
                <w:tcPr>
                  <w:tcW w:w="938" w:type="pct"/>
                  <w:tcBorders>
                    <w:tl2br w:val="nil"/>
                    <w:tr2bl w:val="nil"/>
                  </w:tcBorders>
                  <w:vAlign w:val="center"/>
                </w:tcPr>
                <w:p w14:paraId="36A2D7D2">
                  <w:pPr>
                    <w:jc w:val="center"/>
                    <w:rPr>
                      <w:b/>
                      <w:bCs/>
                    </w:rPr>
                  </w:pPr>
                  <w:r>
                    <w:rPr>
                      <w:b/>
                      <w:bCs/>
                    </w:rPr>
                    <w:t>合计</w:t>
                  </w:r>
                </w:p>
              </w:tc>
            </w:tr>
            <w:tr w14:paraId="40A48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tcBorders>
                    <w:tl2br w:val="nil"/>
                    <w:tr2bl w:val="nil"/>
                  </w:tcBorders>
                  <w:vAlign w:val="center"/>
                </w:tcPr>
                <w:p w14:paraId="1488ECB3">
                  <w:pPr>
                    <w:jc w:val="center"/>
                  </w:pPr>
                  <w:r>
                    <w:t>1</w:t>
                  </w:r>
                </w:p>
              </w:tc>
              <w:tc>
                <w:tcPr>
                  <w:tcW w:w="813" w:type="pct"/>
                  <w:tcBorders>
                    <w:tl2br w:val="nil"/>
                    <w:tr2bl w:val="nil"/>
                  </w:tcBorders>
                  <w:vAlign w:val="center"/>
                </w:tcPr>
                <w:p w14:paraId="63ED4E57">
                  <w:pPr>
                    <w:jc w:val="center"/>
                  </w:pPr>
                  <w:r>
                    <w:t>医用酒精</w:t>
                  </w:r>
                </w:p>
              </w:tc>
              <w:tc>
                <w:tcPr>
                  <w:tcW w:w="980" w:type="pct"/>
                  <w:tcBorders>
                    <w:tl2br w:val="nil"/>
                    <w:tr2bl w:val="nil"/>
                  </w:tcBorders>
                  <w:vAlign w:val="center"/>
                </w:tcPr>
                <w:p w14:paraId="21E34C1B">
                  <w:pPr>
                    <w:jc w:val="center"/>
                  </w:pPr>
                  <w:r>
                    <w:t>0.05t</w:t>
                  </w:r>
                </w:p>
              </w:tc>
              <w:tc>
                <w:tcPr>
                  <w:tcW w:w="936" w:type="pct"/>
                  <w:tcBorders>
                    <w:tl2br w:val="nil"/>
                    <w:tr2bl w:val="nil"/>
                  </w:tcBorders>
                  <w:vAlign w:val="center"/>
                </w:tcPr>
                <w:p w14:paraId="27EB5BE3">
                  <w:pPr>
                    <w:jc w:val="center"/>
                  </w:pPr>
                  <w:r>
                    <w:t>500</w:t>
                  </w:r>
                </w:p>
              </w:tc>
              <w:tc>
                <w:tcPr>
                  <w:tcW w:w="936" w:type="pct"/>
                  <w:tcBorders>
                    <w:tl2br w:val="nil"/>
                    <w:tr2bl w:val="nil"/>
                  </w:tcBorders>
                  <w:vAlign w:val="center"/>
                </w:tcPr>
                <w:p w14:paraId="0B30D029">
                  <w:pPr>
                    <w:jc w:val="center"/>
                  </w:pPr>
                  <w:r>
                    <w:t>0.0001</w:t>
                  </w:r>
                </w:p>
              </w:tc>
              <w:tc>
                <w:tcPr>
                  <w:tcW w:w="938" w:type="pct"/>
                  <w:vMerge w:val="restart"/>
                  <w:tcBorders>
                    <w:tl2br w:val="nil"/>
                    <w:tr2bl w:val="nil"/>
                  </w:tcBorders>
                  <w:vAlign w:val="center"/>
                </w:tcPr>
                <w:p w14:paraId="6AAE6D50">
                  <w:pPr>
                    <w:jc w:val="center"/>
                  </w:pPr>
                  <w:r>
                    <w:t>0.05</w:t>
                  </w:r>
                  <w:r>
                    <w:rPr>
                      <w:rFonts w:hint="eastAsia"/>
                    </w:rPr>
                    <w:t>26</w:t>
                  </w:r>
                </w:p>
              </w:tc>
            </w:tr>
            <w:tr w14:paraId="27DA1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tcBorders>
                    <w:tl2br w:val="nil"/>
                    <w:tr2bl w:val="nil"/>
                  </w:tcBorders>
                  <w:vAlign w:val="center"/>
                </w:tcPr>
                <w:p w14:paraId="03DAEF40">
                  <w:pPr>
                    <w:jc w:val="center"/>
                  </w:pPr>
                  <w:r>
                    <w:t>2</w:t>
                  </w:r>
                </w:p>
              </w:tc>
              <w:tc>
                <w:tcPr>
                  <w:tcW w:w="813" w:type="pct"/>
                  <w:tcBorders>
                    <w:tl2br w:val="nil"/>
                    <w:tr2bl w:val="nil"/>
                  </w:tcBorders>
                  <w:vAlign w:val="center"/>
                </w:tcPr>
                <w:p w14:paraId="01192AD8">
                  <w:pPr>
                    <w:jc w:val="center"/>
                  </w:pPr>
                  <w:r>
                    <w:t>氧气</w:t>
                  </w:r>
                </w:p>
              </w:tc>
              <w:tc>
                <w:tcPr>
                  <w:tcW w:w="980" w:type="pct"/>
                  <w:tcBorders>
                    <w:tl2br w:val="nil"/>
                    <w:tr2bl w:val="nil"/>
                  </w:tcBorders>
                  <w:vAlign w:val="center"/>
                </w:tcPr>
                <w:p w14:paraId="3D8D439C">
                  <w:pPr>
                    <w:jc w:val="center"/>
                  </w:pPr>
                  <w:r>
                    <w:rPr>
                      <w:rFonts w:hint="eastAsia"/>
                    </w:rPr>
                    <w:t>0.5</w:t>
                  </w:r>
                  <w:r>
                    <w:t>t</w:t>
                  </w:r>
                </w:p>
              </w:tc>
              <w:tc>
                <w:tcPr>
                  <w:tcW w:w="936" w:type="pct"/>
                  <w:tcBorders>
                    <w:tl2br w:val="nil"/>
                    <w:tr2bl w:val="nil"/>
                  </w:tcBorders>
                  <w:vAlign w:val="center"/>
                </w:tcPr>
                <w:p w14:paraId="6F6798C7">
                  <w:pPr>
                    <w:jc w:val="center"/>
                  </w:pPr>
                  <w:r>
                    <w:t>200t</w:t>
                  </w:r>
                </w:p>
              </w:tc>
              <w:tc>
                <w:tcPr>
                  <w:tcW w:w="936" w:type="pct"/>
                  <w:tcBorders>
                    <w:tl2br w:val="nil"/>
                    <w:tr2bl w:val="nil"/>
                  </w:tcBorders>
                  <w:vAlign w:val="center"/>
                </w:tcPr>
                <w:p w14:paraId="745CFF2E">
                  <w:pPr>
                    <w:jc w:val="center"/>
                  </w:pPr>
                  <w:r>
                    <w:t>0.00</w:t>
                  </w:r>
                  <w:r>
                    <w:rPr>
                      <w:rFonts w:hint="eastAsia"/>
                    </w:rPr>
                    <w:t>25</w:t>
                  </w:r>
                </w:p>
              </w:tc>
              <w:tc>
                <w:tcPr>
                  <w:tcW w:w="938" w:type="pct"/>
                  <w:vMerge w:val="continue"/>
                  <w:tcBorders>
                    <w:tl2br w:val="nil"/>
                    <w:tr2bl w:val="nil"/>
                  </w:tcBorders>
                  <w:vAlign w:val="center"/>
                </w:tcPr>
                <w:p w14:paraId="2EB66F57">
                  <w:pPr>
                    <w:jc w:val="center"/>
                  </w:pPr>
                </w:p>
              </w:tc>
            </w:tr>
            <w:tr w14:paraId="0287C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 w:type="pct"/>
                  <w:tcBorders>
                    <w:tl2br w:val="nil"/>
                    <w:tr2bl w:val="nil"/>
                  </w:tcBorders>
                  <w:vAlign w:val="center"/>
                </w:tcPr>
                <w:p w14:paraId="74DE3955">
                  <w:pPr>
                    <w:jc w:val="center"/>
                  </w:pPr>
                  <w:r>
                    <w:t>3</w:t>
                  </w:r>
                </w:p>
              </w:tc>
              <w:tc>
                <w:tcPr>
                  <w:tcW w:w="813" w:type="pct"/>
                  <w:tcBorders>
                    <w:tl2br w:val="nil"/>
                    <w:tr2bl w:val="nil"/>
                  </w:tcBorders>
                  <w:vAlign w:val="center"/>
                </w:tcPr>
                <w:p w14:paraId="0C4A5A8F">
                  <w:pPr>
                    <w:jc w:val="center"/>
                  </w:pPr>
                  <w:r>
                    <w:t>次氯酸钠</w:t>
                  </w:r>
                </w:p>
              </w:tc>
              <w:tc>
                <w:tcPr>
                  <w:tcW w:w="980" w:type="pct"/>
                  <w:tcBorders>
                    <w:tl2br w:val="nil"/>
                    <w:tr2bl w:val="nil"/>
                  </w:tcBorders>
                  <w:vAlign w:val="center"/>
                </w:tcPr>
                <w:p w14:paraId="1B80C9FD">
                  <w:pPr>
                    <w:jc w:val="center"/>
                  </w:pPr>
                  <w:r>
                    <w:t>0.25t</w:t>
                  </w:r>
                </w:p>
              </w:tc>
              <w:tc>
                <w:tcPr>
                  <w:tcW w:w="936" w:type="pct"/>
                  <w:tcBorders>
                    <w:tl2br w:val="nil"/>
                    <w:tr2bl w:val="nil"/>
                  </w:tcBorders>
                  <w:vAlign w:val="center"/>
                </w:tcPr>
                <w:p w14:paraId="36D19E91">
                  <w:pPr>
                    <w:jc w:val="center"/>
                  </w:pPr>
                  <w:r>
                    <w:t>5t</w:t>
                  </w:r>
                </w:p>
              </w:tc>
              <w:tc>
                <w:tcPr>
                  <w:tcW w:w="936" w:type="pct"/>
                  <w:tcBorders>
                    <w:tl2br w:val="nil"/>
                    <w:tr2bl w:val="nil"/>
                  </w:tcBorders>
                  <w:vAlign w:val="center"/>
                </w:tcPr>
                <w:p w14:paraId="22BCE83C">
                  <w:pPr>
                    <w:jc w:val="center"/>
                  </w:pPr>
                  <w:r>
                    <w:t>0.05</w:t>
                  </w:r>
                </w:p>
              </w:tc>
              <w:tc>
                <w:tcPr>
                  <w:tcW w:w="938" w:type="pct"/>
                  <w:vMerge w:val="continue"/>
                  <w:tcBorders>
                    <w:tl2br w:val="nil"/>
                    <w:tr2bl w:val="nil"/>
                  </w:tcBorders>
                  <w:vAlign w:val="center"/>
                </w:tcPr>
                <w:p w14:paraId="44260B2E">
                  <w:pPr>
                    <w:jc w:val="center"/>
                  </w:pPr>
                </w:p>
              </w:tc>
            </w:tr>
          </w:tbl>
          <w:p w14:paraId="2DA4CEB4">
            <w:pPr>
              <w:spacing w:line="360" w:lineRule="auto"/>
              <w:ind w:firstLine="480" w:firstLineChars="200"/>
              <w:rPr>
                <w:sz w:val="24"/>
              </w:rPr>
            </w:pPr>
            <w:r>
              <w:rPr>
                <w:sz w:val="24"/>
              </w:rPr>
              <w:t>由上表可知，本项目危险物质数量与临界量比值（Q）小于1。</w:t>
            </w:r>
          </w:p>
          <w:p w14:paraId="269AAA6F">
            <w:pPr>
              <w:spacing w:line="360" w:lineRule="auto"/>
              <w:ind w:firstLine="482" w:firstLineChars="200"/>
              <w:outlineLvl w:val="1"/>
              <w:rPr>
                <w:b/>
                <w:sz w:val="24"/>
              </w:rPr>
            </w:pPr>
            <w:r>
              <w:rPr>
                <w:b/>
                <w:sz w:val="24"/>
              </w:rPr>
              <w:t>3、环境风险识别</w:t>
            </w:r>
          </w:p>
          <w:p w14:paraId="1689230B">
            <w:pPr>
              <w:spacing w:line="360" w:lineRule="auto"/>
              <w:ind w:firstLine="482" w:firstLineChars="200"/>
              <w:rPr>
                <w:b/>
                <w:bCs/>
                <w:sz w:val="24"/>
              </w:rPr>
            </w:pPr>
            <w:r>
              <w:rPr>
                <w:b/>
                <w:bCs/>
                <w:sz w:val="24"/>
              </w:rPr>
              <w:t>（1）物质危险性识别</w:t>
            </w:r>
          </w:p>
          <w:p w14:paraId="261211BF">
            <w:pPr>
              <w:spacing w:line="360" w:lineRule="auto"/>
              <w:ind w:firstLine="480" w:firstLineChars="200"/>
              <w:rPr>
                <w:sz w:val="24"/>
              </w:rPr>
            </w:pPr>
            <w:r>
              <w:rPr>
                <w:sz w:val="24"/>
              </w:rPr>
              <w:t>根据对</w:t>
            </w:r>
            <w:r>
              <w:rPr>
                <w:rFonts w:hint="eastAsia"/>
                <w:sz w:val="24"/>
              </w:rPr>
              <w:t>运营</w:t>
            </w:r>
            <w:r>
              <w:rPr>
                <w:sz w:val="24"/>
              </w:rPr>
              <w:t>期主要原辅材料进行识别，运营期间使用的次氯酸钠、柴油属于《建设项目环境风险评价技术导则》（HJ169-2018）附录B中所列重点关注危险物质。</w:t>
            </w:r>
          </w:p>
          <w:p w14:paraId="1E3FA16F">
            <w:pPr>
              <w:spacing w:line="360" w:lineRule="auto"/>
              <w:ind w:firstLine="482" w:firstLineChars="200"/>
              <w:rPr>
                <w:b/>
                <w:bCs/>
                <w:sz w:val="24"/>
              </w:rPr>
            </w:pPr>
            <w:r>
              <w:rPr>
                <w:b/>
                <w:bCs/>
                <w:sz w:val="24"/>
              </w:rPr>
              <w:t>（2）生产系统危险性识别</w:t>
            </w:r>
          </w:p>
          <w:p w14:paraId="0A20D906">
            <w:pPr>
              <w:spacing w:line="360" w:lineRule="auto"/>
              <w:ind w:firstLine="480" w:firstLineChars="200"/>
              <w:rPr>
                <w:sz w:val="24"/>
              </w:rPr>
            </w:pPr>
            <w:r>
              <w:rPr>
                <w:sz w:val="24"/>
              </w:rPr>
              <w:t>本项目主要的生产系统危险性识别来源于环保设施不正常运行导致的。</w:t>
            </w:r>
          </w:p>
          <w:p w14:paraId="2932696A">
            <w:pPr>
              <w:spacing w:line="360" w:lineRule="auto"/>
              <w:ind w:firstLine="480" w:firstLineChars="200"/>
              <w:rPr>
                <w:sz w:val="24"/>
              </w:rPr>
            </w:pPr>
            <w:r>
              <w:rPr>
                <w:sz w:val="24"/>
              </w:rPr>
              <w:t>1）污水处理站</w:t>
            </w:r>
          </w:p>
          <w:p w14:paraId="0E02BDC2">
            <w:pPr>
              <w:spacing w:line="360" w:lineRule="auto"/>
              <w:ind w:firstLine="480" w:firstLineChars="200"/>
              <w:rPr>
                <w:sz w:val="24"/>
              </w:rPr>
            </w:pPr>
            <w:r>
              <w:rPr>
                <w:sz w:val="24"/>
              </w:rPr>
              <w:t>因污水处理系统不正常运行可能会发生：①由于管道堵塞、管道破裂等造成大量污水外溢，污染地表水、地下水环境；②由于管理不当污水处理站处理效率低，污水处理站因不及时的维护、保养、检修等造成污水处理站发生事故、医疗废水未及时收集处理而造成的废水超标排放；③次氯酸钠用于消毒，存放不妥当次氯酸钠受热或者受潮产生有毒的腐蚀性气体（Cl</w:t>
            </w:r>
            <w:r>
              <w:rPr>
                <w:sz w:val="24"/>
                <w:vertAlign w:val="subscript"/>
              </w:rPr>
              <w:t>2</w:t>
            </w:r>
            <w:r>
              <w:rPr>
                <w:sz w:val="24"/>
              </w:rPr>
              <w:t>）造成人员灼烧和呼吸中毒。</w:t>
            </w:r>
          </w:p>
          <w:p w14:paraId="1A368270">
            <w:pPr>
              <w:spacing w:line="360" w:lineRule="auto"/>
              <w:ind w:firstLine="480" w:firstLineChars="200"/>
              <w:rPr>
                <w:sz w:val="24"/>
              </w:rPr>
            </w:pPr>
            <w:r>
              <w:rPr>
                <w:sz w:val="24"/>
              </w:rPr>
              <w:t>2）医疗废物暂存间</w:t>
            </w:r>
          </w:p>
          <w:p w14:paraId="3836B6B0">
            <w:pPr>
              <w:spacing w:line="360" w:lineRule="auto"/>
              <w:ind w:firstLine="480" w:firstLineChars="200"/>
              <w:rPr>
                <w:sz w:val="24"/>
              </w:rPr>
            </w:pPr>
            <w:r>
              <w:rPr>
                <w:sz w:val="24"/>
              </w:rPr>
              <w:t>医院医疗废物因不是及时清运、或因其他因素混入生活垃圾后造成的污染环境风险。</w:t>
            </w:r>
          </w:p>
          <w:p w14:paraId="260B5A07">
            <w:pPr>
              <w:spacing w:line="360" w:lineRule="auto"/>
              <w:ind w:firstLine="480" w:firstLineChars="200"/>
              <w:rPr>
                <w:sz w:val="24"/>
              </w:rPr>
            </w:pPr>
            <w:r>
              <w:rPr>
                <w:rFonts w:hint="eastAsia"/>
                <w:sz w:val="24"/>
              </w:rPr>
              <w:t>3</w:t>
            </w:r>
            <w:r>
              <w:rPr>
                <w:sz w:val="24"/>
              </w:rPr>
              <w:t>）氧气供应室</w:t>
            </w:r>
          </w:p>
          <w:p w14:paraId="1C897B16">
            <w:pPr>
              <w:spacing w:line="360" w:lineRule="auto"/>
              <w:ind w:firstLine="480" w:firstLineChars="200"/>
              <w:rPr>
                <w:sz w:val="24"/>
              </w:rPr>
            </w:pPr>
            <w:r>
              <w:rPr>
                <w:sz w:val="24"/>
              </w:rPr>
              <w:t>氧气供应室中储存氧气为助燃物，若因供应室消防措施不完善、操作不当等原因可能会造成氧气泄漏，如遇明火可能会发生火灾和爆炸。</w:t>
            </w:r>
          </w:p>
          <w:p w14:paraId="6143CBD7">
            <w:pPr>
              <w:spacing w:line="360" w:lineRule="auto"/>
              <w:ind w:firstLine="480" w:firstLineChars="200"/>
              <w:rPr>
                <w:sz w:val="24"/>
              </w:rPr>
            </w:pPr>
            <w:r>
              <w:rPr>
                <w:rFonts w:hint="eastAsia"/>
                <w:sz w:val="24"/>
              </w:rPr>
              <w:t>4</w:t>
            </w:r>
            <w:r>
              <w:rPr>
                <w:sz w:val="24"/>
              </w:rPr>
              <w:t>）化学品储存</w:t>
            </w:r>
          </w:p>
          <w:p w14:paraId="00EFD093">
            <w:pPr>
              <w:pStyle w:val="8"/>
              <w:spacing w:after="0" w:line="360" w:lineRule="auto"/>
              <w:ind w:firstLine="480" w:firstLineChars="200"/>
              <w:rPr>
                <w:sz w:val="24"/>
              </w:rPr>
            </w:pPr>
            <w:r>
              <w:rPr>
                <w:sz w:val="24"/>
              </w:rPr>
              <w:t>本项目使用的化学品由人工运输至使用点，在存储、使用过程中可能由于储存不当、操作不当造成泄漏、人员中毒和环境污染。</w:t>
            </w:r>
          </w:p>
          <w:p w14:paraId="0B21463C">
            <w:pPr>
              <w:spacing w:line="360" w:lineRule="auto"/>
              <w:ind w:firstLine="482" w:firstLineChars="200"/>
              <w:rPr>
                <w:b/>
                <w:bCs/>
                <w:sz w:val="24"/>
              </w:rPr>
            </w:pPr>
            <w:r>
              <w:rPr>
                <w:b/>
                <w:bCs/>
                <w:sz w:val="24"/>
              </w:rPr>
              <w:t>（3）环境风险类型和危害性分析</w:t>
            </w:r>
          </w:p>
          <w:p w14:paraId="1690336F">
            <w:pPr>
              <w:spacing w:line="360" w:lineRule="auto"/>
              <w:ind w:firstLine="480" w:firstLineChars="200"/>
              <w:rPr>
                <w:sz w:val="24"/>
              </w:rPr>
            </w:pPr>
            <w:r>
              <w:rPr>
                <w:sz w:val="24"/>
              </w:rPr>
              <w:t>根据本项目污水处理设施的运行情况和原辅材料暂存使用情况，并结合国内同类装置的类比调查，列出本项目营运过程中的潜在危险种类、事故原因、易发场所见表4-</w:t>
            </w:r>
            <w:r>
              <w:rPr>
                <w:rFonts w:hint="eastAsia"/>
                <w:sz w:val="24"/>
              </w:rPr>
              <w:t>2</w:t>
            </w:r>
            <w:r>
              <w:rPr>
                <w:rFonts w:hint="eastAsia"/>
                <w:sz w:val="24"/>
                <w:lang w:val="en-US" w:eastAsia="zh-CN"/>
              </w:rPr>
              <w:t>6</w:t>
            </w:r>
            <w:r>
              <w:rPr>
                <w:sz w:val="24"/>
              </w:rPr>
              <w:t>。</w:t>
            </w:r>
          </w:p>
          <w:p w14:paraId="3511DAD1">
            <w:pPr>
              <w:pStyle w:val="8"/>
              <w:spacing w:after="0" w:line="360" w:lineRule="auto"/>
              <w:jc w:val="center"/>
              <w:rPr>
                <w:b/>
                <w:bCs/>
                <w:sz w:val="24"/>
              </w:rPr>
            </w:pPr>
            <w:r>
              <w:rPr>
                <w:b/>
                <w:bCs/>
                <w:sz w:val="24"/>
              </w:rPr>
              <w:t>表4-</w:t>
            </w:r>
            <w:r>
              <w:rPr>
                <w:rFonts w:hint="eastAsia"/>
                <w:b/>
                <w:bCs/>
                <w:sz w:val="24"/>
              </w:rPr>
              <w:t>2</w:t>
            </w:r>
            <w:r>
              <w:rPr>
                <w:rFonts w:hint="eastAsia"/>
                <w:b/>
                <w:bCs/>
                <w:sz w:val="24"/>
                <w:lang w:val="en-US" w:eastAsia="zh-CN"/>
              </w:rPr>
              <w:t>6</w:t>
            </w:r>
            <w:r>
              <w:rPr>
                <w:b/>
                <w:bCs/>
                <w:sz w:val="24"/>
              </w:rPr>
              <w:t xml:space="preserve"> 本项目环境风险识别</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5"/>
              <w:gridCol w:w="1628"/>
              <w:gridCol w:w="1940"/>
              <w:gridCol w:w="2270"/>
              <w:gridCol w:w="2063"/>
            </w:tblGrid>
            <w:tr w14:paraId="32D4B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09044993">
                  <w:pPr>
                    <w:jc w:val="center"/>
                    <w:rPr>
                      <w:b/>
                    </w:rPr>
                  </w:pPr>
                  <w:r>
                    <w:rPr>
                      <w:b/>
                    </w:rPr>
                    <w:t>序号</w:t>
                  </w:r>
                </w:p>
              </w:tc>
              <w:tc>
                <w:tcPr>
                  <w:tcW w:w="940" w:type="pct"/>
                  <w:tcBorders>
                    <w:tl2br w:val="nil"/>
                    <w:tr2bl w:val="nil"/>
                  </w:tcBorders>
                  <w:vAlign w:val="center"/>
                </w:tcPr>
                <w:p w14:paraId="04874CBB">
                  <w:pPr>
                    <w:pStyle w:val="35"/>
                    <w:kinsoku w:val="0"/>
                    <w:overflowPunct w:val="0"/>
                    <w:jc w:val="center"/>
                    <w:rPr>
                      <w:b/>
                    </w:rPr>
                  </w:pPr>
                  <w:r>
                    <w:rPr>
                      <w:b/>
                    </w:rPr>
                    <w:t>危险单元</w:t>
                  </w:r>
                </w:p>
              </w:tc>
              <w:tc>
                <w:tcPr>
                  <w:tcW w:w="1120" w:type="pct"/>
                  <w:tcBorders>
                    <w:tl2br w:val="nil"/>
                    <w:tr2bl w:val="nil"/>
                  </w:tcBorders>
                  <w:vAlign w:val="center"/>
                </w:tcPr>
                <w:p w14:paraId="5597663B">
                  <w:pPr>
                    <w:pStyle w:val="35"/>
                    <w:kinsoku w:val="0"/>
                    <w:overflowPunct w:val="0"/>
                    <w:jc w:val="center"/>
                    <w:rPr>
                      <w:b/>
                    </w:rPr>
                  </w:pPr>
                  <w:r>
                    <w:rPr>
                      <w:b/>
                    </w:rPr>
                    <w:t>风险源</w:t>
                  </w:r>
                </w:p>
              </w:tc>
              <w:tc>
                <w:tcPr>
                  <w:tcW w:w="1311" w:type="pct"/>
                  <w:tcBorders>
                    <w:tl2br w:val="nil"/>
                    <w:tr2bl w:val="nil"/>
                  </w:tcBorders>
                  <w:vAlign w:val="center"/>
                </w:tcPr>
                <w:p w14:paraId="2C39C1C9">
                  <w:pPr>
                    <w:pStyle w:val="35"/>
                    <w:kinsoku w:val="0"/>
                    <w:overflowPunct w:val="0"/>
                    <w:jc w:val="center"/>
                    <w:rPr>
                      <w:b/>
                    </w:rPr>
                  </w:pPr>
                  <w:r>
                    <w:rPr>
                      <w:b/>
                    </w:rPr>
                    <w:t>主要危险物质</w:t>
                  </w:r>
                </w:p>
              </w:tc>
              <w:tc>
                <w:tcPr>
                  <w:tcW w:w="1191" w:type="pct"/>
                  <w:tcBorders>
                    <w:tl2br w:val="nil"/>
                    <w:tr2bl w:val="nil"/>
                  </w:tcBorders>
                  <w:vAlign w:val="center"/>
                </w:tcPr>
                <w:p w14:paraId="3ECBFDCF">
                  <w:pPr>
                    <w:pStyle w:val="35"/>
                    <w:kinsoku w:val="0"/>
                    <w:overflowPunct w:val="0"/>
                    <w:jc w:val="center"/>
                    <w:rPr>
                      <w:b/>
                    </w:rPr>
                  </w:pPr>
                  <w:r>
                    <w:rPr>
                      <w:b/>
                    </w:rPr>
                    <w:t>环境风险类型</w:t>
                  </w:r>
                </w:p>
              </w:tc>
            </w:tr>
            <w:tr w14:paraId="06C7E8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250E5BB5">
                  <w:pPr>
                    <w:jc w:val="center"/>
                  </w:pPr>
                  <w:r>
                    <w:t>1</w:t>
                  </w:r>
                </w:p>
              </w:tc>
              <w:tc>
                <w:tcPr>
                  <w:tcW w:w="940" w:type="pct"/>
                  <w:tcBorders>
                    <w:tl2br w:val="nil"/>
                    <w:tr2bl w:val="nil"/>
                  </w:tcBorders>
                  <w:vAlign w:val="center"/>
                </w:tcPr>
                <w:p w14:paraId="32E0F7CF">
                  <w:pPr>
                    <w:jc w:val="center"/>
                  </w:pPr>
                  <w:r>
                    <w:t>医用酒精</w:t>
                  </w:r>
                </w:p>
              </w:tc>
              <w:tc>
                <w:tcPr>
                  <w:tcW w:w="1120" w:type="pct"/>
                  <w:tcBorders>
                    <w:tl2br w:val="nil"/>
                    <w:tr2bl w:val="nil"/>
                  </w:tcBorders>
                  <w:vAlign w:val="center"/>
                </w:tcPr>
                <w:p w14:paraId="7B8F9DDB">
                  <w:pPr>
                    <w:jc w:val="center"/>
                  </w:pPr>
                  <w:r>
                    <w:t>酒精</w:t>
                  </w:r>
                </w:p>
              </w:tc>
              <w:tc>
                <w:tcPr>
                  <w:tcW w:w="1311" w:type="pct"/>
                  <w:tcBorders>
                    <w:tl2br w:val="nil"/>
                    <w:tr2bl w:val="nil"/>
                  </w:tcBorders>
                  <w:vAlign w:val="center"/>
                </w:tcPr>
                <w:p w14:paraId="4FA7DCB5">
                  <w:pPr>
                    <w:jc w:val="center"/>
                  </w:pPr>
                  <w:r>
                    <w:t>乙醇</w:t>
                  </w:r>
                </w:p>
              </w:tc>
              <w:tc>
                <w:tcPr>
                  <w:tcW w:w="1191" w:type="pct"/>
                  <w:tcBorders>
                    <w:tl2br w:val="nil"/>
                    <w:tr2bl w:val="nil"/>
                  </w:tcBorders>
                  <w:vAlign w:val="center"/>
                </w:tcPr>
                <w:p w14:paraId="75CAF939">
                  <w:pPr>
                    <w:jc w:val="center"/>
                  </w:pPr>
                  <w:r>
                    <w:t>火灾</w:t>
                  </w:r>
                </w:p>
              </w:tc>
            </w:tr>
            <w:tr w14:paraId="1679E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3E1C6892">
                  <w:pPr>
                    <w:jc w:val="center"/>
                  </w:pPr>
                  <w:r>
                    <w:t>2</w:t>
                  </w:r>
                </w:p>
              </w:tc>
              <w:tc>
                <w:tcPr>
                  <w:tcW w:w="940" w:type="pct"/>
                  <w:tcBorders>
                    <w:tl2br w:val="nil"/>
                    <w:tr2bl w:val="nil"/>
                  </w:tcBorders>
                  <w:vAlign w:val="center"/>
                </w:tcPr>
                <w:p w14:paraId="62E48CB1">
                  <w:pPr>
                    <w:jc w:val="center"/>
                  </w:pPr>
                  <w:r>
                    <w:t>氧气供应室</w:t>
                  </w:r>
                </w:p>
              </w:tc>
              <w:tc>
                <w:tcPr>
                  <w:tcW w:w="1120" w:type="pct"/>
                  <w:tcBorders>
                    <w:tl2br w:val="nil"/>
                    <w:tr2bl w:val="nil"/>
                  </w:tcBorders>
                  <w:vAlign w:val="center"/>
                </w:tcPr>
                <w:p w14:paraId="74F65277">
                  <w:pPr>
                    <w:jc w:val="center"/>
                  </w:pPr>
                  <w:r>
                    <w:t>氧气罐</w:t>
                  </w:r>
                </w:p>
              </w:tc>
              <w:tc>
                <w:tcPr>
                  <w:tcW w:w="1311" w:type="pct"/>
                  <w:tcBorders>
                    <w:tl2br w:val="nil"/>
                    <w:tr2bl w:val="nil"/>
                  </w:tcBorders>
                  <w:vAlign w:val="center"/>
                </w:tcPr>
                <w:p w14:paraId="28C69C36">
                  <w:pPr>
                    <w:jc w:val="center"/>
                  </w:pPr>
                  <w:r>
                    <w:t>氧气</w:t>
                  </w:r>
                </w:p>
              </w:tc>
              <w:tc>
                <w:tcPr>
                  <w:tcW w:w="1191" w:type="pct"/>
                  <w:tcBorders>
                    <w:tl2br w:val="nil"/>
                    <w:tr2bl w:val="nil"/>
                  </w:tcBorders>
                  <w:vAlign w:val="center"/>
                </w:tcPr>
                <w:p w14:paraId="66639C8E">
                  <w:pPr>
                    <w:jc w:val="center"/>
                  </w:pPr>
                  <w:r>
                    <w:t>爆炸</w:t>
                  </w:r>
                </w:p>
              </w:tc>
            </w:tr>
            <w:tr w14:paraId="70771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5D48980C">
                  <w:pPr>
                    <w:jc w:val="center"/>
                  </w:pPr>
                  <w:r>
                    <w:rPr>
                      <w:rFonts w:hint="eastAsia"/>
                    </w:rPr>
                    <w:t>3</w:t>
                  </w:r>
                </w:p>
              </w:tc>
              <w:tc>
                <w:tcPr>
                  <w:tcW w:w="940" w:type="pct"/>
                  <w:tcBorders>
                    <w:tl2br w:val="nil"/>
                    <w:tr2bl w:val="nil"/>
                  </w:tcBorders>
                  <w:vAlign w:val="center"/>
                </w:tcPr>
                <w:p w14:paraId="44FDF474">
                  <w:pPr>
                    <w:jc w:val="center"/>
                  </w:pPr>
                  <w:r>
                    <w:t>污水处理站</w:t>
                  </w:r>
                </w:p>
              </w:tc>
              <w:tc>
                <w:tcPr>
                  <w:tcW w:w="1120" w:type="pct"/>
                  <w:tcBorders>
                    <w:tl2br w:val="nil"/>
                    <w:tr2bl w:val="nil"/>
                  </w:tcBorders>
                  <w:vAlign w:val="center"/>
                </w:tcPr>
                <w:p w14:paraId="5D97D5CA">
                  <w:pPr>
                    <w:jc w:val="center"/>
                  </w:pPr>
                  <w:r>
                    <w:t>污水处理控制室</w:t>
                  </w:r>
                </w:p>
              </w:tc>
              <w:tc>
                <w:tcPr>
                  <w:tcW w:w="1311" w:type="pct"/>
                  <w:tcBorders>
                    <w:tl2br w:val="nil"/>
                    <w:tr2bl w:val="nil"/>
                  </w:tcBorders>
                  <w:vAlign w:val="center"/>
                </w:tcPr>
                <w:p w14:paraId="24F18372">
                  <w:pPr>
                    <w:jc w:val="center"/>
                  </w:pPr>
                  <w:r>
                    <w:t>次氯酸钠</w:t>
                  </w:r>
                </w:p>
              </w:tc>
              <w:tc>
                <w:tcPr>
                  <w:tcW w:w="1191" w:type="pct"/>
                  <w:tcBorders>
                    <w:tl2br w:val="nil"/>
                    <w:tr2bl w:val="nil"/>
                  </w:tcBorders>
                  <w:vAlign w:val="center"/>
                </w:tcPr>
                <w:p w14:paraId="604C76D1">
                  <w:pPr>
                    <w:jc w:val="center"/>
                  </w:pPr>
                  <w:r>
                    <w:t>腐蚀性/毒性</w:t>
                  </w:r>
                </w:p>
              </w:tc>
            </w:tr>
            <w:tr w14:paraId="0728F0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23DDBD6F">
                  <w:pPr>
                    <w:jc w:val="center"/>
                  </w:pPr>
                  <w:r>
                    <w:rPr>
                      <w:rFonts w:hint="eastAsia"/>
                    </w:rPr>
                    <w:t>4</w:t>
                  </w:r>
                </w:p>
              </w:tc>
              <w:tc>
                <w:tcPr>
                  <w:tcW w:w="940" w:type="pct"/>
                  <w:tcBorders>
                    <w:tl2br w:val="nil"/>
                    <w:tr2bl w:val="nil"/>
                  </w:tcBorders>
                  <w:vAlign w:val="center"/>
                </w:tcPr>
                <w:p w14:paraId="0CB9192E">
                  <w:pPr>
                    <w:jc w:val="center"/>
                  </w:pPr>
                  <w:r>
                    <w:t>污水事故排放</w:t>
                  </w:r>
                </w:p>
              </w:tc>
              <w:tc>
                <w:tcPr>
                  <w:tcW w:w="1120" w:type="pct"/>
                  <w:tcBorders>
                    <w:tl2br w:val="nil"/>
                    <w:tr2bl w:val="nil"/>
                  </w:tcBorders>
                  <w:vAlign w:val="center"/>
                </w:tcPr>
                <w:p w14:paraId="3407A29F">
                  <w:pPr>
                    <w:jc w:val="center"/>
                  </w:pPr>
                  <w:r>
                    <w:t>污水处理构筑物</w:t>
                  </w:r>
                </w:p>
              </w:tc>
              <w:tc>
                <w:tcPr>
                  <w:tcW w:w="1311" w:type="pct"/>
                  <w:tcBorders>
                    <w:tl2br w:val="nil"/>
                    <w:tr2bl w:val="nil"/>
                  </w:tcBorders>
                  <w:vAlign w:val="center"/>
                </w:tcPr>
                <w:p w14:paraId="23F68E59">
                  <w:pPr>
                    <w:jc w:val="center"/>
                  </w:pPr>
                  <w:r>
                    <w:t>污水</w:t>
                  </w:r>
                </w:p>
              </w:tc>
              <w:tc>
                <w:tcPr>
                  <w:tcW w:w="1191" w:type="pct"/>
                  <w:tcBorders>
                    <w:tl2br w:val="nil"/>
                    <w:tr2bl w:val="nil"/>
                  </w:tcBorders>
                  <w:vAlign w:val="center"/>
                </w:tcPr>
                <w:p w14:paraId="44BFA4FA">
                  <w:pPr>
                    <w:jc w:val="center"/>
                  </w:pPr>
                  <w:r>
                    <w:t>事故排放</w:t>
                  </w:r>
                </w:p>
              </w:tc>
            </w:tr>
            <w:tr w14:paraId="69B5A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48B063DB">
                  <w:pPr>
                    <w:jc w:val="center"/>
                  </w:pPr>
                  <w:r>
                    <w:rPr>
                      <w:rFonts w:hint="eastAsia"/>
                    </w:rPr>
                    <w:t>5</w:t>
                  </w:r>
                </w:p>
              </w:tc>
              <w:tc>
                <w:tcPr>
                  <w:tcW w:w="940" w:type="pct"/>
                  <w:tcBorders>
                    <w:tl2br w:val="nil"/>
                    <w:tr2bl w:val="nil"/>
                  </w:tcBorders>
                  <w:vAlign w:val="center"/>
                </w:tcPr>
                <w:p w14:paraId="31F3B0A3">
                  <w:pPr>
                    <w:jc w:val="center"/>
                  </w:pPr>
                  <w:r>
                    <w:rPr>
                      <w:rFonts w:hint="eastAsia"/>
                    </w:rPr>
                    <w:t>柴油发电机房</w:t>
                  </w:r>
                </w:p>
              </w:tc>
              <w:tc>
                <w:tcPr>
                  <w:tcW w:w="1120" w:type="pct"/>
                  <w:tcBorders>
                    <w:tl2br w:val="nil"/>
                    <w:tr2bl w:val="nil"/>
                  </w:tcBorders>
                  <w:vAlign w:val="center"/>
                </w:tcPr>
                <w:p w14:paraId="6CCC1C27">
                  <w:pPr>
                    <w:jc w:val="center"/>
                  </w:pPr>
                  <w:r>
                    <w:rPr>
                      <w:rFonts w:hint="eastAsia"/>
                    </w:rPr>
                    <w:t>柴油</w:t>
                  </w:r>
                </w:p>
              </w:tc>
              <w:tc>
                <w:tcPr>
                  <w:tcW w:w="1311" w:type="pct"/>
                  <w:tcBorders>
                    <w:tl2br w:val="nil"/>
                    <w:tr2bl w:val="nil"/>
                  </w:tcBorders>
                  <w:vAlign w:val="center"/>
                </w:tcPr>
                <w:p w14:paraId="6D60F42F">
                  <w:pPr>
                    <w:jc w:val="center"/>
                  </w:pPr>
                  <w:r>
                    <w:rPr>
                      <w:rFonts w:hint="eastAsia"/>
                    </w:rPr>
                    <w:t>柴油</w:t>
                  </w:r>
                </w:p>
              </w:tc>
              <w:tc>
                <w:tcPr>
                  <w:tcW w:w="1191" w:type="pct"/>
                  <w:tcBorders>
                    <w:tl2br w:val="nil"/>
                    <w:tr2bl w:val="nil"/>
                  </w:tcBorders>
                  <w:vAlign w:val="center"/>
                </w:tcPr>
                <w:p w14:paraId="3B849E32">
                  <w:pPr>
                    <w:jc w:val="center"/>
                  </w:pPr>
                  <w:r>
                    <w:rPr>
                      <w:rFonts w:hint="eastAsia"/>
                    </w:rPr>
                    <w:t>火灾</w:t>
                  </w:r>
                </w:p>
              </w:tc>
            </w:tr>
            <w:tr w14:paraId="431AE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6" w:type="pct"/>
                  <w:tcBorders>
                    <w:tl2br w:val="nil"/>
                    <w:tr2bl w:val="nil"/>
                  </w:tcBorders>
                  <w:vAlign w:val="center"/>
                </w:tcPr>
                <w:p w14:paraId="78AF276B">
                  <w:pPr>
                    <w:jc w:val="center"/>
                  </w:pPr>
                  <w:r>
                    <w:rPr>
                      <w:rFonts w:hint="eastAsia"/>
                    </w:rPr>
                    <w:t>6</w:t>
                  </w:r>
                </w:p>
              </w:tc>
              <w:tc>
                <w:tcPr>
                  <w:tcW w:w="940" w:type="pct"/>
                  <w:tcBorders>
                    <w:tl2br w:val="nil"/>
                    <w:tr2bl w:val="nil"/>
                  </w:tcBorders>
                  <w:vAlign w:val="center"/>
                </w:tcPr>
                <w:p w14:paraId="72881BA5">
                  <w:pPr>
                    <w:jc w:val="center"/>
                  </w:pPr>
                  <w:r>
                    <w:rPr>
                      <w:rFonts w:hint="eastAsia"/>
                    </w:rPr>
                    <w:t>医疗废物暂存间</w:t>
                  </w:r>
                </w:p>
              </w:tc>
              <w:tc>
                <w:tcPr>
                  <w:tcW w:w="1120" w:type="pct"/>
                  <w:tcBorders>
                    <w:tl2br w:val="nil"/>
                    <w:tr2bl w:val="nil"/>
                  </w:tcBorders>
                  <w:vAlign w:val="center"/>
                </w:tcPr>
                <w:p w14:paraId="6A9978CF">
                  <w:pPr>
                    <w:jc w:val="center"/>
                  </w:pPr>
                  <w:r>
                    <w:rPr>
                      <w:rFonts w:hint="eastAsia"/>
                    </w:rPr>
                    <w:t>医疗废物、过期药品</w:t>
                  </w:r>
                </w:p>
              </w:tc>
              <w:tc>
                <w:tcPr>
                  <w:tcW w:w="1311" w:type="pct"/>
                  <w:tcBorders>
                    <w:tl2br w:val="nil"/>
                    <w:tr2bl w:val="nil"/>
                  </w:tcBorders>
                  <w:vAlign w:val="center"/>
                </w:tcPr>
                <w:p w14:paraId="1CBC7E62">
                  <w:pPr>
                    <w:jc w:val="center"/>
                  </w:pPr>
                  <w:r>
                    <w:rPr>
                      <w:rFonts w:hint="eastAsia"/>
                    </w:rPr>
                    <w:t>医疗废物、过期药品</w:t>
                  </w:r>
                </w:p>
              </w:tc>
              <w:tc>
                <w:tcPr>
                  <w:tcW w:w="1191" w:type="pct"/>
                  <w:tcBorders>
                    <w:tl2br w:val="nil"/>
                    <w:tr2bl w:val="nil"/>
                  </w:tcBorders>
                  <w:vAlign w:val="center"/>
                </w:tcPr>
                <w:p w14:paraId="06493FA2">
                  <w:pPr>
                    <w:jc w:val="center"/>
                  </w:pPr>
                  <w:r>
                    <w:rPr>
                      <w:rFonts w:hint="eastAsia"/>
                    </w:rPr>
                    <w:t>泄露</w:t>
                  </w:r>
                </w:p>
              </w:tc>
            </w:tr>
          </w:tbl>
          <w:p w14:paraId="7B5012AA">
            <w:pPr>
              <w:spacing w:line="360" w:lineRule="auto"/>
              <w:ind w:firstLine="482" w:firstLineChars="200"/>
              <w:outlineLvl w:val="1"/>
              <w:rPr>
                <w:b/>
                <w:sz w:val="24"/>
              </w:rPr>
            </w:pPr>
            <w:r>
              <w:rPr>
                <w:b/>
                <w:sz w:val="24"/>
              </w:rPr>
              <w:t>4、环境风险事故分析</w:t>
            </w:r>
          </w:p>
          <w:p w14:paraId="49E8F606">
            <w:pPr>
              <w:spacing w:line="360" w:lineRule="auto"/>
              <w:ind w:firstLine="482" w:firstLineChars="200"/>
              <w:rPr>
                <w:b/>
                <w:bCs/>
                <w:sz w:val="24"/>
              </w:rPr>
            </w:pPr>
            <w:r>
              <w:rPr>
                <w:b/>
                <w:bCs/>
                <w:sz w:val="24"/>
              </w:rPr>
              <w:t>（1）化学品</w:t>
            </w:r>
          </w:p>
          <w:p w14:paraId="09331E2C">
            <w:pPr>
              <w:spacing w:line="360" w:lineRule="auto"/>
              <w:ind w:firstLine="480" w:firstLineChars="200"/>
              <w:rPr>
                <w:sz w:val="24"/>
              </w:rPr>
            </w:pPr>
            <w:r>
              <w:rPr>
                <w:sz w:val="24"/>
              </w:rPr>
              <w:t>本项目原材料运输方式采用汽车运输，在运输过程中因意外交通事故，可能贮瓶被撞破，而造成3%过氧化氢消毒液、75%医用酒精、碘伏消毒液、次氯酸钠等化学品流出或逸出，导致运输人员和周围人员中毒，造成局部环境污染；或运输过程中因长时间震动可造成化学品逸散、泄漏，导致沿途环境污染或人员中毒。</w:t>
            </w:r>
          </w:p>
          <w:p w14:paraId="0919373C">
            <w:pPr>
              <w:spacing w:line="360" w:lineRule="auto"/>
              <w:ind w:firstLine="480" w:firstLineChars="200"/>
              <w:rPr>
                <w:sz w:val="24"/>
              </w:rPr>
            </w:pPr>
            <w:r>
              <w:rPr>
                <w:sz w:val="24"/>
              </w:rPr>
              <w:t>项目使用化学品由人工输送至使用点，在贮存、使用过程，可能由于贮存装置破裂、或操作不当，造成泄漏，导致人员中毒和环境污染，或在使用过程中由于操作人员失误造成</w:t>
            </w:r>
            <w:r>
              <w:rPr>
                <w:rFonts w:hint="eastAsia"/>
                <w:sz w:val="24"/>
              </w:rPr>
              <w:t>化学品泄漏</w:t>
            </w:r>
            <w:r>
              <w:rPr>
                <w:sz w:val="24"/>
              </w:rPr>
              <w:t>。</w:t>
            </w:r>
          </w:p>
          <w:p w14:paraId="2768A395">
            <w:pPr>
              <w:spacing w:line="360" w:lineRule="auto"/>
              <w:ind w:left="420" w:leftChars="200"/>
              <w:rPr>
                <w:b/>
                <w:bCs/>
                <w:sz w:val="24"/>
              </w:rPr>
            </w:pPr>
            <w:r>
              <w:rPr>
                <w:b/>
                <w:bCs/>
                <w:sz w:val="24"/>
              </w:rPr>
              <w:t>（2）大气环境污染影响分析</w:t>
            </w:r>
          </w:p>
          <w:p w14:paraId="74585A1A">
            <w:pPr>
              <w:spacing w:line="360" w:lineRule="auto"/>
              <w:ind w:firstLine="480" w:firstLineChars="200"/>
              <w:rPr>
                <w:sz w:val="24"/>
              </w:rPr>
            </w:pPr>
            <w:r>
              <w:rPr>
                <w:sz w:val="24"/>
              </w:rPr>
              <w:t>由于医疗废物和危险废物不及时清运产生含有害病菌的空气，从而对</w:t>
            </w:r>
            <w:r>
              <w:rPr>
                <w:rFonts w:hint="eastAsia"/>
                <w:sz w:val="24"/>
              </w:rPr>
              <w:t>医护人员</w:t>
            </w:r>
            <w:r>
              <w:rPr>
                <w:sz w:val="24"/>
              </w:rPr>
              <w:t>、病人和周围的环境和健康造成影响。</w:t>
            </w:r>
          </w:p>
          <w:p w14:paraId="7C858284">
            <w:pPr>
              <w:spacing w:line="360" w:lineRule="auto"/>
              <w:ind w:firstLine="480" w:firstLineChars="200"/>
              <w:rPr>
                <w:sz w:val="24"/>
              </w:rPr>
            </w:pPr>
            <w:r>
              <w:rPr>
                <w:sz w:val="24"/>
              </w:rPr>
              <w:t>由于氧气供应室等管理和操作不当，因物料泄漏遇明火后带来的火灾、爆炸等产生的大量有害气体对周围环境、</w:t>
            </w:r>
            <w:r>
              <w:rPr>
                <w:rFonts w:hint="eastAsia"/>
                <w:sz w:val="24"/>
              </w:rPr>
              <w:t>医护人员</w:t>
            </w:r>
            <w:r>
              <w:rPr>
                <w:sz w:val="24"/>
              </w:rPr>
              <w:t>和病区病人的身体健康带来较大威胁。</w:t>
            </w:r>
          </w:p>
          <w:p w14:paraId="28ECF186">
            <w:pPr>
              <w:spacing w:line="360" w:lineRule="auto"/>
              <w:ind w:firstLine="480" w:firstLineChars="200"/>
              <w:rPr>
                <w:sz w:val="24"/>
              </w:rPr>
            </w:pPr>
            <w:r>
              <w:rPr>
                <w:sz w:val="24"/>
              </w:rPr>
              <w:t>由于污水处理控制室内次氯酸钠储存不当受热或受潮产生有毒的腐蚀性气体，对人员造成灼伤和呼吸中毒。</w:t>
            </w:r>
          </w:p>
          <w:p w14:paraId="24FA66FE">
            <w:pPr>
              <w:spacing w:line="360" w:lineRule="auto"/>
              <w:ind w:firstLine="482" w:firstLineChars="200"/>
              <w:rPr>
                <w:b/>
                <w:bCs/>
                <w:sz w:val="24"/>
              </w:rPr>
            </w:pPr>
            <w:r>
              <w:rPr>
                <w:b/>
                <w:bCs/>
                <w:sz w:val="24"/>
              </w:rPr>
              <w:t>（3）地表水污染风险分析</w:t>
            </w:r>
          </w:p>
          <w:p w14:paraId="354DD26D">
            <w:pPr>
              <w:spacing w:line="360" w:lineRule="auto"/>
              <w:ind w:firstLine="480" w:firstLineChars="200"/>
              <w:rPr>
                <w:sz w:val="24"/>
              </w:rPr>
            </w:pPr>
            <w:r>
              <w:rPr>
                <w:sz w:val="24"/>
              </w:rPr>
              <w:t>本项目污水处理系统因事故或者处理</w:t>
            </w:r>
            <w:r>
              <w:rPr>
                <w:rFonts w:hint="eastAsia"/>
                <w:sz w:val="24"/>
              </w:rPr>
              <w:t>效率低下</w:t>
            </w:r>
            <w:r>
              <w:rPr>
                <w:sz w:val="24"/>
              </w:rPr>
              <w:t>造成医院废水不能及时处理、超标排放，对下游污水处理厂处理工艺和出水造成影响，从而影响受纳水体的水质。</w:t>
            </w:r>
          </w:p>
          <w:p w14:paraId="058E6343">
            <w:pPr>
              <w:spacing w:line="360" w:lineRule="auto"/>
              <w:ind w:firstLine="482" w:firstLineChars="200"/>
              <w:rPr>
                <w:b/>
                <w:bCs/>
                <w:sz w:val="24"/>
              </w:rPr>
            </w:pPr>
            <w:r>
              <w:rPr>
                <w:b/>
                <w:bCs/>
                <w:sz w:val="24"/>
              </w:rPr>
              <w:t>（4）地下水污染风险分析</w:t>
            </w:r>
          </w:p>
          <w:p w14:paraId="4282B5A4">
            <w:pPr>
              <w:spacing w:line="360" w:lineRule="auto"/>
              <w:ind w:firstLine="480" w:firstLineChars="200"/>
              <w:rPr>
                <w:sz w:val="24"/>
              </w:rPr>
            </w:pPr>
            <w:r>
              <w:rPr>
                <w:sz w:val="24"/>
              </w:rPr>
              <w:t>由于污水处理系统（包括构筑物、管网等）因不及时检修维护、质量问题等造成爆管、堵塞、接头破损等，造成污水外溢而污染地下水。</w:t>
            </w:r>
            <w:r>
              <w:rPr>
                <w:rFonts w:hint="eastAsia"/>
                <w:sz w:val="24"/>
              </w:rPr>
              <w:t>柴油发电机</w:t>
            </w:r>
            <w:r>
              <w:rPr>
                <w:sz w:val="24"/>
              </w:rPr>
              <w:t>房因设备故障等造成油污泄漏，若不及时清理会导致地下水污染。</w:t>
            </w:r>
          </w:p>
          <w:p w14:paraId="2B7F262D">
            <w:pPr>
              <w:spacing w:line="360" w:lineRule="auto"/>
              <w:ind w:firstLine="482" w:firstLineChars="200"/>
              <w:rPr>
                <w:b/>
                <w:bCs/>
                <w:sz w:val="24"/>
              </w:rPr>
            </w:pPr>
            <w:r>
              <w:rPr>
                <w:b/>
                <w:bCs/>
                <w:sz w:val="24"/>
              </w:rPr>
              <w:t>（5）次生/伴生环境风险分析</w:t>
            </w:r>
          </w:p>
          <w:p w14:paraId="47E85EC5">
            <w:pPr>
              <w:pStyle w:val="8"/>
              <w:spacing w:after="0" w:line="360" w:lineRule="auto"/>
              <w:ind w:firstLine="480" w:firstLineChars="200"/>
              <w:rPr>
                <w:sz w:val="24"/>
              </w:rPr>
            </w:pPr>
            <w:r>
              <w:rPr>
                <w:sz w:val="24"/>
              </w:rPr>
              <w:t>因污水处理站储存的次氯酸钠、药房储存的医用酒精因存储不当、管理不足和操作不当造成化学品洒落、泄漏造成对人员皮肤灼伤、呼吸中毒等健康危害，在不利情况下接触明火或者高温造成火灾等风险事故发生。</w:t>
            </w:r>
          </w:p>
          <w:p w14:paraId="38887DEA">
            <w:pPr>
              <w:pStyle w:val="8"/>
              <w:spacing w:after="0" w:line="360" w:lineRule="auto"/>
              <w:ind w:firstLine="482" w:firstLineChars="200"/>
              <w:rPr>
                <w:b/>
                <w:bCs/>
                <w:sz w:val="24"/>
              </w:rPr>
            </w:pPr>
            <w:r>
              <w:rPr>
                <w:rFonts w:hint="eastAsia"/>
                <w:b/>
                <w:bCs/>
                <w:sz w:val="24"/>
              </w:rPr>
              <w:t>（6）医疗废物暂存间事故风险分析</w:t>
            </w:r>
          </w:p>
          <w:p w14:paraId="67534562">
            <w:pPr>
              <w:autoSpaceDE w:val="0"/>
              <w:spacing w:line="360" w:lineRule="auto"/>
              <w:ind w:firstLine="480" w:firstLineChars="200"/>
              <w:rPr>
                <w:bCs/>
                <w:sz w:val="24"/>
                <w:szCs w:val="24"/>
              </w:rPr>
            </w:pPr>
            <w:r>
              <w:rPr>
                <w:rFonts w:hint="eastAsia" w:cs="宋体"/>
                <w:bCs/>
                <w:sz w:val="24"/>
                <w:szCs w:val="24"/>
                <w:lang w:bidi="ar"/>
              </w:rPr>
              <w:t>本项目设置一间</w:t>
            </w:r>
            <w:r>
              <w:rPr>
                <w:bCs/>
                <w:sz w:val="24"/>
                <w:szCs w:val="24"/>
                <w:lang w:bidi="ar"/>
              </w:rPr>
              <w:t>7.77m</w:t>
            </w:r>
            <w:r>
              <w:rPr>
                <w:bCs/>
                <w:sz w:val="24"/>
                <w:szCs w:val="24"/>
                <w:vertAlign w:val="superscript"/>
                <w:lang w:bidi="ar"/>
              </w:rPr>
              <w:t>2</w:t>
            </w:r>
            <w:r>
              <w:rPr>
                <w:rFonts w:hint="eastAsia" w:cs="宋体"/>
                <w:bCs/>
                <w:sz w:val="24"/>
                <w:szCs w:val="24"/>
                <w:lang w:bidi="ar"/>
              </w:rPr>
              <w:t>的</w:t>
            </w:r>
            <w:r>
              <w:rPr>
                <w:rFonts w:hint="eastAsia"/>
                <w:sz w:val="24"/>
              </w:rPr>
              <w:t>医疗废物暂存间</w:t>
            </w:r>
            <w:r>
              <w:rPr>
                <w:rFonts w:hint="eastAsia" w:cs="宋体"/>
                <w:bCs/>
                <w:sz w:val="24"/>
                <w:szCs w:val="24"/>
                <w:lang w:bidi="ar"/>
              </w:rPr>
              <w:t>，</w:t>
            </w:r>
            <w:r>
              <w:rPr>
                <w:rFonts w:hint="eastAsia"/>
                <w:sz w:val="24"/>
              </w:rPr>
              <w:t>医疗废物暂存间</w:t>
            </w:r>
            <w:r>
              <w:rPr>
                <w:sz w:val="24"/>
              </w:rPr>
              <w:t>按照《危险废物贮存污染控制标准》（GB1</w:t>
            </w:r>
            <w:r>
              <w:rPr>
                <w:rFonts w:hint="eastAsia"/>
                <w:sz w:val="24"/>
              </w:rPr>
              <w:t>859</w:t>
            </w:r>
            <w:r>
              <w:rPr>
                <w:sz w:val="24"/>
              </w:rPr>
              <w:t>7-20</w:t>
            </w:r>
            <w:r>
              <w:rPr>
                <w:rFonts w:hint="eastAsia"/>
                <w:sz w:val="24"/>
              </w:rPr>
              <w:t>23</w:t>
            </w:r>
            <w:r>
              <w:rPr>
                <w:sz w:val="24"/>
              </w:rPr>
              <w:t>）及修改清单设计要求</w:t>
            </w:r>
            <w:r>
              <w:rPr>
                <w:rFonts w:hint="eastAsia"/>
                <w:sz w:val="24"/>
              </w:rPr>
              <w:t>，</w:t>
            </w:r>
            <w:r>
              <w:rPr>
                <w:rFonts w:hint="eastAsia" w:cs="宋体"/>
                <w:bCs/>
                <w:sz w:val="24"/>
                <w:szCs w:val="24"/>
                <w:lang w:bidi="ar"/>
              </w:rPr>
              <w:t>地面及裙角均要求做耐腐蚀硬化、防渗漏处理，且表面无裂隙；危险废物储存于密闭容器中，在容器外表设置环境保护图形标志和警示标志；一旦出现盛装液态固体废物的容器发生破裂或渗漏情况，马上修复或更换破损容器，地面残留液体用布擦拭干净；不同类、不相容危险废物采取分区存放。且本项目危废暂存周期较短（</w:t>
            </w:r>
            <w:r>
              <w:rPr>
                <w:bCs/>
                <w:sz w:val="24"/>
                <w:szCs w:val="24"/>
                <w:lang w:bidi="ar"/>
              </w:rPr>
              <w:t>2</w:t>
            </w:r>
            <w:r>
              <w:rPr>
                <w:rFonts w:hint="eastAsia" w:cs="宋体"/>
                <w:bCs/>
                <w:sz w:val="24"/>
                <w:szCs w:val="24"/>
                <w:lang w:bidi="ar"/>
              </w:rPr>
              <w:t>天），发生泄漏的可能性极低，一般不会对土壤及地下水造成影响。</w:t>
            </w:r>
          </w:p>
          <w:p w14:paraId="0099B678">
            <w:pPr>
              <w:spacing w:line="360" w:lineRule="auto"/>
              <w:ind w:firstLine="482" w:firstLineChars="200"/>
              <w:outlineLvl w:val="1"/>
              <w:rPr>
                <w:b/>
                <w:sz w:val="24"/>
              </w:rPr>
            </w:pPr>
            <w:r>
              <w:rPr>
                <w:b/>
                <w:sz w:val="24"/>
              </w:rPr>
              <w:t>5、环境风险防范措施及应急要求</w:t>
            </w:r>
          </w:p>
          <w:p w14:paraId="23F9C25B">
            <w:pPr>
              <w:spacing w:line="360" w:lineRule="auto"/>
              <w:ind w:firstLine="482" w:firstLineChars="200"/>
              <w:outlineLvl w:val="1"/>
              <w:rPr>
                <w:b/>
                <w:bCs/>
                <w:sz w:val="24"/>
              </w:rPr>
            </w:pPr>
            <w:r>
              <w:rPr>
                <w:b/>
                <w:bCs/>
                <w:sz w:val="24"/>
              </w:rPr>
              <w:t>（1）环境风险防范措施</w:t>
            </w:r>
          </w:p>
          <w:p w14:paraId="3FA1EFB5">
            <w:pPr>
              <w:spacing w:line="360" w:lineRule="auto"/>
              <w:ind w:firstLine="480" w:firstLineChars="200"/>
              <w:rPr>
                <w:sz w:val="24"/>
              </w:rPr>
            </w:pPr>
            <w:r>
              <w:rPr>
                <w:sz w:val="24"/>
              </w:rPr>
              <w:t>1）危险化学品工程控制措施</w:t>
            </w:r>
          </w:p>
          <w:p w14:paraId="4275BF25">
            <w:pPr>
              <w:spacing w:line="360" w:lineRule="auto"/>
              <w:ind w:firstLine="482"/>
              <w:rPr>
                <w:sz w:val="24"/>
              </w:rPr>
            </w:pPr>
            <w:r>
              <w:rPr>
                <w:sz w:val="24"/>
              </w:rPr>
              <w:t>①化学品风险防范措施</w:t>
            </w:r>
          </w:p>
          <w:p w14:paraId="3A32BC11">
            <w:pPr>
              <w:spacing w:line="360" w:lineRule="auto"/>
              <w:ind w:firstLine="480"/>
              <w:rPr>
                <w:sz w:val="24"/>
              </w:rPr>
            </w:pPr>
            <w:r>
              <w:rPr>
                <w:sz w:val="24"/>
              </w:rPr>
              <w:t>对于危险化学品的购买、储存、保管、使用等需按照《危险化学品安全管理条例》之规定管理。危险化学品必须储存在专用仓库、专用场地或者专用储存室内，其储存方式、方法与储存数量必须符合国家有关规定，并由专人管理，危险化学品出入库，必须进行核查登记，并定期检查库存。项目医疗废物暂存间内进行重点防渗并设置20cm围堰，同时设置空桶作为应急收集设施，一旦发生泄漏事故，将泄漏物质引入空桶，交有资质单位处置。</w:t>
            </w:r>
          </w:p>
          <w:p w14:paraId="4765B8E8">
            <w:pPr>
              <w:spacing w:line="360" w:lineRule="auto"/>
              <w:ind w:firstLine="482"/>
              <w:rPr>
                <w:sz w:val="24"/>
              </w:rPr>
            </w:pPr>
            <w:r>
              <w:rPr>
                <w:sz w:val="24"/>
              </w:rPr>
              <w:t>②氧气供应室风险防范措施</w:t>
            </w:r>
          </w:p>
          <w:p w14:paraId="2473893B">
            <w:pPr>
              <w:spacing w:line="360" w:lineRule="auto"/>
              <w:ind w:firstLine="480"/>
              <w:rPr>
                <w:sz w:val="24"/>
              </w:rPr>
            </w:pPr>
            <w:r>
              <w:rPr>
                <w:sz w:val="24"/>
              </w:rPr>
              <w:t>本项目不设集中供养系统，外购小型液氧钢瓶供给医用氧。要求氧气钢瓶周围不得存放易燃物品；储存量不大于0.5t，且距离热源明火在10米以外。</w:t>
            </w:r>
          </w:p>
          <w:p w14:paraId="7F6453F4">
            <w:pPr>
              <w:spacing w:line="360" w:lineRule="auto"/>
              <w:ind w:firstLine="480"/>
              <w:rPr>
                <w:sz w:val="24"/>
              </w:rPr>
            </w:pPr>
            <w:r>
              <w:rPr>
                <w:sz w:val="24"/>
              </w:rPr>
              <w:t>使用氧气过程中要提供良好的自然通风条件。操作人员必须经过专门培训，严格遵守操作规程。使用时，应远离火种、热源，远离易燃、可燃物，避免与活性金属粉末接触。工作场所严禁吸烟，还要避免高浓度吸入。</w:t>
            </w:r>
          </w:p>
          <w:p w14:paraId="46F5A855">
            <w:pPr>
              <w:spacing w:line="360" w:lineRule="auto"/>
              <w:ind w:firstLine="480"/>
              <w:rPr>
                <w:sz w:val="24"/>
              </w:rPr>
            </w:pPr>
            <w:r>
              <w:rPr>
                <w:sz w:val="24"/>
              </w:rPr>
              <w:t>氧气</w:t>
            </w:r>
            <w:r>
              <w:rPr>
                <w:rFonts w:hint="eastAsia"/>
                <w:sz w:val="24"/>
              </w:rPr>
              <w:t>泄漏</w:t>
            </w:r>
            <w:r>
              <w:rPr>
                <w:sz w:val="24"/>
              </w:rPr>
              <w:t>时，要迅速撤离</w:t>
            </w:r>
            <w:r>
              <w:rPr>
                <w:rFonts w:hint="eastAsia"/>
                <w:sz w:val="24"/>
              </w:rPr>
              <w:t>泄漏</w:t>
            </w:r>
            <w:r>
              <w:rPr>
                <w:sz w:val="24"/>
              </w:rPr>
              <w:t>污染区人员至上风处，并对污染区进行隔离，切断火源。应急处理人员戴自给正压式呼吸器，避免与可燃物或易燃物接触。</w:t>
            </w:r>
          </w:p>
          <w:p w14:paraId="5947A5E9">
            <w:pPr>
              <w:spacing w:line="360" w:lineRule="auto"/>
              <w:ind w:firstLine="480" w:firstLineChars="200"/>
              <w:rPr>
                <w:sz w:val="24"/>
              </w:rPr>
            </w:pPr>
            <w:r>
              <w:rPr>
                <w:sz w:val="24"/>
              </w:rPr>
              <w:t>2）废气、废水处理系统运行的环境管理要求</w:t>
            </w:r>
          </w:p>
          <w:p w14:paraId="2CB4BE1A">
            <w:pPr>
              <w:spacing w:line="360" w:lineRule="auto"/>
              <w:ind w:firstLine="480"/>
              <w:rPr>
                <w:sz w:val="24"/>
              </w:rPr>
            </w:pPr>
            <w:r>
              <w:rPr>
                <w:sz w:val="24"/>
              </w:rPr>
              <w:t>①加强医疗污水处理设备的维护保养，对系统的薄弱环节、易出故障的地方，加强检查、维护保养，及时更新。对处理设备故障要及时抢修，防止因处理设备故障抢修不及时而造成污水超标排放；加强废气处理设施及设备的定期检修和维护工作，及时、足量更换活性炭，防止因废气治理设施非正常运行造成的废气污染事故。</w:t>
            </w:r>
          </w:p>
          <w:p w14:paraId="2CEDB8D9">
            <w:pPr>
              <w:spacing w:line="360" w:lineRule="auto"/>
              <w:ind w:firstLine="480"/>
              <w:rPr>
                <w:sz w:val="24"/>
              </w:rPr>
            </w:pPr>
            <w:r>
              <w:rPr>
                <w:sz w:val="24"/>
              </w:rPr>
              <w:t>②发生污水处理站事故时，立即通知院区内各用水科室，采取停止或减少用水的措施，减少污水处理站处理负荷。</w:t>
            </w:r>
          </w:p>
          <w:p w14:paraId="36D928A9">
            <w:pPr>
              <w:spacing w:line="360" w:lineRule="auto"/>
              <w:ind w:firstLine="480"/>
              <w:rPr>
                <w:sz w:val="24"/>
              </w:rPr>
            </w:pPr>
            <w:r>
              <w:rPr>
                <w:sz w:val="24"/>
              </w:rPr>
              <w:t>③当污水处理站发生事故停运时，应将污水立即引入格栅调节池（格栅调节池兼顾事故应急池）中暂存，根据医院污水处理工程技术规范（HJ2029-2013）：医院污水处理工程应设置应急事故池，非传染病区医院污水处理工程的应急事故池不应小于日排放量的30%，污水处理站发生事故停运时，应将污水立即引入格栅调节池中暂存，并对污水处理站进行紧急抢修，若还不能达到目的，则需要立即停止用水。待其污水处理站恢复正常工作后，将该部分临时储存的污水经污水处理站处理达标后再外排进入市政污水管网。严禁项目污水未经有效处理就直接外排进入市政污水管网。项目废水日排放量为</w:t>
            </w:r>
            <w:r>
              <w:rPr>
                <w:rFonts w:hint="eastAsia"/>
                <w:sz w:val="24"/>
                <w:lang w:eastAsia="zh-CN"/>
              </w:rPr>
              <w:t>42.25</w:t>
            </w:r>
            <w:r>
              <w:rPr>
                <w:sz w:val="24"/>
              </w:rPr>
              <w:t>m</w:t>
            </w:r>
            <w:r>
              <w:rPr>
                <w:sz w:val="24"/>
                <w:vertAlign w:val="superscript"/>
              </w:rPr>
              <w:t>3</w:t>
            </w:r>
            <w:r>
              <w:rPr>
                <w:sz w:val="24"/>
              </w:rPr>
              <w:t>/d，应急事故池至少需要</w:t>
            </w:r>
            <w:r>
              <w:rPr>
                <w:rFonts w:hint="eastAsia"/>
                <w:sz w:val="24"/>
              </w:rPr>
              <w:t>1</w:t>
            </w:r>
            <w:r>
              <w:rPr>
                <w:rFonts w:hint="eastAsia"/>
                <w:sz w:val="24"/>
                <w:lang w:val="en-US" w:eastAsia="zh-CN"/>
              </w:rPr>
              <w:t>2.68</w:t>
            </w:r>
            <w:r>
              <w:rPr>
                <w:sz w:val="24"/>
              </w:rPr>
              <w:t>m</w:t>
            </w:r>
            <w:r>
              <w:rPr>
                <w:sz w:val="24"/>
                <w:vertAlign w:val="superscript"/>
              </w:rPr>
              <w:t>3</w:t>
            </w:r>
            <w:r>
              <w:rPr>
                <w:sz w:val="24"/>
              </w:rPr>
              <w:t>/d，项目格栅调节池容积为</w:t>
            </w:r>
            <w:r>
              <w:rPr>
                <w:rFonts w:hint="eastAsia"/>
                <w:sz w:val="24"/>
              </w:rPr>
              <w:t>15</w:t>
            </w:r>
            <w:r>
              <w:rPr>
                <w:sz w:val="24"/>
              </w:rPr>
              <w:t>m</w:t>
            </w:r>
            <w:r>
              <w:rPr>
                <w:sz w:val="24"/>
                <w:vertAlign w:val="superscript"/>
              </w:rPr>
              <w:t>3</w:t>
            </w:r>
            <w:r>
              <w:rPr>
                <w:sz w:val="24"/>
              </w:rPr>
              <w:t>，因此本项目格栅调节池作为应急事故池是可行的。</w:t>
            </w:r>
          </w:p>
          <w:p w14:paraId="43F9AE57">
            <w:pPr>
              <w:spacing w:line="360" w:lineRule="auto"/>
              <w:ind w:firstLine="480"/>
              <w:rPr>
                <w:sz w:val="24"/>
              </w:rPr>
            </w:pPr>
            <w:r>
              <w:rPr>
                <w:sz w:val="24"/>
              </w:rPr>
              <w:t>④污水处理站运行自动化，采用自动投药、数据记录、专人专岗等，发生故障时，应及时停止向外排放废水。本项目采用次氯酸钠作为医疗废水消毒剂使用，次氯酸钠在水中产生次氯酸，其在水中极易产生氧原子和氯原子从而使得病原体蛋白</w:t>
            </w:r>
            <w:r>
              <w:rPr>
                <w:rFonts w:hint="eastAsia"/>
                <w:sz w:val="24"/>
              </w:rPr>
              <w:t>受到</w:t>
            </w:r>
            <w:r>
              <w:rPr>
                <w:sz w:val="24"/>
              </w:rPr>
              <w:t>氧化和部分氯化而死亡。次氯酸钠很不稳定，具有一定的腐蚀性，易分解生产氯酸钠放出氯气。因此，污水处理站采用次氯酸钠自动投加器，以控制投加量避免因投加过少导致角度效果不佳或投加过多导致出水余氯超标，还可以避免人工操作不当造成的环境风险事故发生</w:t>
            </w:r>
            <w:r>
              <w:rPr>
                <w:rFonts w:hint="eastAsia"/>
                <w:sz w:val="24"/>
              </w:rPr>
              <w:t>。</w:t>
            </w:r>
          </w:p>
          <w:p w14:paraId="5CA21C5E">
            <w:pPr>
              <w:spacing w:line="360" w:lineRule="auto"/>
              <w:ind w:firstLine="480"/>
              <w:rPr>
                <w:sz w:val="24"/>
              </w:rPr>
            </w:pPr>
            <w:r>
              <w:rPr>
                <w:sz w:val="24"/>
              </w:rPr>
              <w:t>⑤因发生停电导致的废气处理设备、污水处理站停止运行时，应立即启用备用</w:t>
            </w:r>
            <w:r>
              <w:rPr>
                <w:rFonts w:hint="eastAsia"/>
                <w:sz w:val="24"/>
              </w:rPr>
              <w:t>发电机</w:t>
            </w:r>
            <w:r>
              <w:rPr>
                <w:sz w:val="24"/>
              </w:rPr>
              <w:t>。确保污水站废水及污水站产生的恶臭污染物能够达标排放。</w:t>
            </w:r>
          </w:p>
          <w:p w14:paraId="5227170B">
            <w:pPr>
              <w:spacing w:line="360" w:lineRule="auto"/>
              <w:ind w:firstLine="480" w:firstLineChars="200"/>
              <w:rPr>
                <w:sz w:val="24"/>
              </w:rPr>
            </w:pPr>
            <w:r>
              <w:rPr>
                <w:sz w:val="24"/>
              </w:rPr>
              <w:t>4）其它</w:t>
            </w:r>
          </w:p>
          <w:p w14:paraId="40ABD31E">
            <w:pPr>
              <w:spacing w:line="360" w:lineRule="auto"/>
              <w:ind w:firstLine="482"/>
              <w:rPr>
                <w:sz w:val="24"/>
              </w:rPr>
            </w:pPr>
            <w:r>
              <w:rPr>
                <w:sz w:val="24"/>
              </w:rPr>
              <w:t>①严格落实医院危险废物</w:t>
            </w:r>
            <w:r>
              <w:rPr>
                <w:rFonts w:hint="eastAsia"/>
                <w:sz w:val="24"/>
              </w:rPr>
              <w:t>安全管理制度</w:t>
            </w:r>
            <w:r>
              <w:rPr>
                <w:sz w:val="24"/>
              </w:rPr>
              <w:t>。</w:t>
            </w:r>
          </w:p>
          <w:p w14:paraId="1ACF02BD">
            <w:pPr>
              <w:spacing w:line="360" w:lineRule="auto"/>
              <w:ind w:firstLine="480"/>
              <w:rPr>
                <w:sz w:val="24"/>
              </w:rPr>
            </w:pPr>
            <w:r>
              <w:rPr>
                <w:sz w:val="24"/>
              </w:rPr>
              <w:t>a、医院必须确保各类危险废物实现无害化处置。</w:t>
            </w:r>
          </w:p>
          <w:p w14:paraId="12A8C229">
            <w:pPr>
              <w:spacing w:line="360" w:lineRule="auto"/>
              <w:ind w:firstLine="480"/>
              <w:rPr>
                <w:sz w:val="24"/>
              </w:rPr>
            </w:pPr>
            <w:r>
              <w:rPr>
                <w:sz w:val="24"/>
              </w:rPr>
              <w:t>b、按照卫生部和国家环境保护总局制定的《医疗废物分类目录》《医疗废物管理条例》要求进行分类收集、处理。</w:t>
            </w:r>
          </w:p>
          <w:p w14:paraId="6F2D6CE4">
            <w:pPr>
              <w:spacing w:line="360" w:lineRule="auto"/>
              <w:ind w:firstLine="480"/>
              <w:rPr>
                <w:sz w:val="24"/>
              </w:rPr>
            </w:pPr>
            <w:r>
              <w:rPr>
                <w:sz w:val="24"/>
              </w:rPr>
              <w:t>c、严格执行《医疗废物管理条例》要求，</w:t>
            </w:r>
            <w:r>
              <w:rPr>
                <w:kern w:val="0"/>
                <w:sz w:val="24"/>
              </w:rPr>
              <w:t>加强环境管理，医疗废物暂存间四周设1m高的防渗墙裙，设置空桶作为备用收容设施；</w:t>
            </w:r>
            <w:r>
              <w:rPr>
                <w:sz w:val="24"/>
              </w:rPr>
              <w:t>医疗垃圾暂存间树立明确的标示牌，必须做到密闭和防渗漏，严格防止地下水污染和土壤污染，并且每天消毒、灭菌，防止病源扩散；做好医疗垃圾暂存和运出处理的管理工作，严格医疗垃圾的“日产日清”制度，暂存间每天专人负责清扫、消毒工作。</w:t>
            </w:r>
          </w:p>
          <w:p w14:paraId="3CB76A67">
            <w:pPr>
              <w:spacing w:line="360" w:lineRule="auto"/>
              <w:ind w:firstLine="482"/>
              <w:rPr>
                <w:sz w:val="24"/>
              </w:rPr>
            </w:pPr>
            <w:r>
              <w:rPr>
                <w:sz w:val="24"/>
              </w:rPr>
              <w:t>②建立完善整个医院的风险防范管理制度。</w:t>
            </w:r>
          </w:p>
          <w:p w14:paraId="6379C9C2">
            <w:pPr>
              <w:spacing w:line="360" w:lineRule="auto"/>
              <w:ind w:firstLine="482"/>
              <w:rPr>
                <w:sz w:val="24"/>
              </w:rPr>
            </w:pPr>
            <w:r>
              <w:rPr>
                <w:sz w:val="24"/>
              </w:rPr>
              <w:t>③加强氧气供应室管理。工人应严格按照规章制度进行操作，日常强化设备、容器等维护，定期检查管道、阀门、钢瓶或贮槽，严防意外泄漏。</w:t>
            </w:r>
          </w:p>
          <w:p w14:paraId="523DF73C">
            <w:pPr>
              <w:spacing w:line="360" w:lineRule="auto"/>
              <w:ind w:firstLine="480" w:firstLineChars="200"/>
              <w:outlineLvl w:val="1"/>
              <w:rPr>
                <w:sz w:val="24"/>
              </w:rPr>
            </w:pPr>
            <w:r>
              <w:rPr>
                <w:sz w:val="24"/>
              </w:rPr>
              <w:t>④污水处理系统、活性炭吸附装置由专人负责管理，确保其正常运行</w:t>
            </w:r>
            <w:r>
              <w:rPr>
                <w:bCs/>
                <w:sz w:val="24"/>
              </w:rPr>
              <w:t>。</w:t>
            </w:r>
          </w:p>
          <w:p w14:paraId="2E4297E2">
            <w:pPr>
              <w:spacing w:line="360" w:lineRule="auto"/>
              <w:ind w:firstLine="482" w:firstLineChars="200"/>
              <w:outlineLvl w:val="1"/>
              <w:rPr>
                <w:b/>
                <w:bCs/>
                <w:sz w:val="24"/>
              </w:rPr>
            </w:pPr>
            <w:r>
              <w:rPr>
                <w:b/>
                <w:bCs/>
                <w:sz w:val="24"/>
              </w:rPr>
              <w:t>（2）事故应急预案</w:t>
            </w:r>
          </w:p>
          <w:p w14:paraId="4BC97FD5">
            <w:pPr>
              <w:spacing w:line="360" w:lineRule="auto"/>
              <w:ind w:firstLine="480"/>
              <w:rPr>
                <w:sz w:val="24"/>
              </w:rPr>
            </w:pPr>
            <w:r>
              <w:rPr>
                <w:sz w:val="24"/>
              </w:rPr>
              <w:t>为了在突发性事故发生时，能迅速、准确地处理和控制事故扩大，把事故损失及危害降到</w:t>
            </w:r>
            <w:r>
              <w:rPr>
                <w:rFonts w:hint="eastAsia"/>
                <w:sz w:val="24"/>
              </w:rPr>
              <w:t>最低程度</w:t>
            </w:r>
            <w:r>
              <w:rPr>
                <w:sz w:val="24"/>
              </w:rPr>
              <w:t>，有效的应急救援行动是唯一可抵御事故灾害蔓延和减缓灾害后果的有力措施。</w:t>
            </w:r>
          </w:p>
          <w:p w14:paraId="0C39FA34">
            <w:pPr>
              <w:spacing w:line="360" w:lineRule="auto"/>
              <w:ind w:firstLine="482"/>
              <w:rPr>
                <w:sz w:val="24"/>
              </w:rPr>
            </w:pPr>
            <w:r>
              <w:rPr>
                <w:sz w:val="24"/>
              </w:rPr>
              <w:t>①氧气</w:t>
            </w:r>
          </w:p>
          <w:p w14:paraId="27405EFB">
            <w:pPr>
              <w:spacing w:line="360" w:lineRule="auto"/>
              <w:ind w:firstLine="482"/>
              <w:rPr>
                <w:sz w:val="24"/>
              </w:rPr>
            </w:pPr>
            <w:r>
              <w:rPr>
                <w:sz w:val="24"/>
              </w:rPr>
              <w:t>a、泄漏应急处理</w:t>
            </w:r>
          </w:p>
          <w:p w14:paraId="6B887E99">
            <w:pPr>
              <w:spacing w:line="360" w:lineRule="auto"/>
              <w:ind w:firstLine="480"/>
              <w:rPr>
                <w:sz w:val="24"/>
              </w:rPr>
            </w:pPr>
            <w:r>
              <w:rPr>
                <w:sz w:val="24"/>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p w14:paraId="6E6DB55B">
            <w:pPr>
              <w:spacing w:line="360" w:lineRule="auto"/>
              <w:ind w:firstLine="482"/>
              <w:rPr>
                <w:sz w:val="24"/>
              </w:rPr>
            </w:pPr>
            <w:r>
              <w:rPr>
                <w:sz w:val="24"/>
              </w:rPr>
              <w:t>b、急救措施</w:t>
            </w:r>
          </w:p>
          <w:p w14:paraId="01D354FB">
            <w:pPr>
              <w:spacing w:line="360" w:lineRule="auto"/>
              <w:ind w:firstLine="480"/>
              <w:rPr>
                <w:spacing w:val="-9"/>
                <w:sz w:val="24"/>
              </w:rPr>
            </w:pPr>
            <w:r>
              <w:rPr>
                <w:sz w:val="24"/>
              </w:rPr>
              <w:t>吸入：迅速脱离现场至空气新鲜处。保持呼吸道通畅。如呼吸停止，立即进行人工呼吸。就医</w:t>
            </w:r>
            <w:r>
              <w:rPr>
                <w:spacing w:val="-9"/>
                <w:sz w:val="24"/>
              </w:rPr>
              <w:t>。</w:t>
            </w:r>
          </w:p>
          <w:p w14:paraId="236FCA79">
            <w:pPr>
              <w:spacing w:line="360" w:lineRule="auto"/>
              <w:ind w:firstLine="482"/>
              <w:rPr>
                <w:sz w:val="24"/>
              </w:rPr>
            </w:pPr>
            <w:r>
              <w:rPr>
                <w:sz w:val="24"/>
              </w:rPr>
              <w:t>c、消防措施</w:t>
            </w:r>
          </w:p>
          <w:p w14:paraId="12B73AA9">
            <w:pPr>
              <w:spacing w:line="360" w:lineRule="auto"/>
              <w:ind w:firstLine="480"/>
              <w:rPr>
                <w:sz w:val="24"/>
              </w:rPr>
            </w:pPr>
            <w:r>
              <w:rPr>
                <w:sz w:val="24"/>
              </w:rPr>
              <w:t>灭火方法：用水保持容器冷却，以防受热爆炸，急剧助长火势。迅速切断气源，用水喷淋保护切断气源的人员，然后根据着火原因选择适当灭火剂灭火。</w:t>
            </w:r>
          </w:p>
          <w:p w14:paraId="1A522071">
            <w:pPr>
              <w:spacing w:line="360" w:lineRule="auto"/>
              <w:ind w:firstLine="480"/>
              <w:rPr>
                <w:sz w:val="24"/>
              </w:rPr>
            </w:pPr>
            <w:r>
              <w:rPr>
                <w:sz w:val="24"/>
              </w:rPr>
              <w:t>②污水处理系统事故状态下的应急措施</w:t>
            </w:r>
          </w:p>
          <w:p w14:paraId="5BB3479F">
            <w:pPr>
              <w:spacing w:line="360" w:lineRule="auto"/>
              <w:ind w:firstLine="480"/>
              <w:rPr>
                <w:sz w:val="24"/>
              </w:rPr>
            </w:pPr>
            <w:r>
              <w:rPr>
                <w:sz w:val="24"/>
              </w:rPr>
              <w:t>由于紧急事故造成病区污水处理设施停止运行时，应立即报告当地环保部门；同时应立即通知院内各用水科室，采取停止或减少用水的措施，以达到减少污水产生量的目的。污水站事故状态下污水应暂存于格栅调节池（兼事故应急池），在病区污水处理系统恢复使用后，暂存污水必须经病区污水处理系统进行有效处理并达标外排，严禁超标外排。</w:t>
            </w:r>
          </w:p>
          <w:p w14:paraId="07CF7DED">
            <w:pPr>
              <w:spacing w:line="360" w:lineRule="auto"/>
              <w:ind w:firstLine="480"/>
              <w:rPr>
                <w:sz w:val="24"/>
              </w:rPr>
            </w:pPr>
            <w:r>
              <w:rPr>
                <w:sz w:val="24"/>
              </w:rPr>
              <w:t>评价要求：项目除按照以上各类风险防范管理措施及要求加强管理防范外，还应根据医院实际情况以及消防、公安、环保等部门和</w:t>
            </w:r>
            <w:r>
              <w:rPr>
                <w:rFonts w:hint="eastAsia"/>
                <w:sz w:val="24"/>
              </w:rPr>
              <w:t>国家其他</w:t>
            </w:r>
            <w:r>
              <w:rPr>
                <w:sz w:val="24"/>
              </w:rPr>
              <w:t>相关规定，进一步制</w:t>
            </w:r>
            <w:r>
              <w:rPr>
                <w:rFonts w:hint="eastAsia"/>
                <w:sz w:val="24"/>
                <w:lang w:val="en-US" w:eastAsia="zh-CN"/>
              </w:rPr>
              <w:t>定</w:t>
            </w:r>
            <w:r>
              <w:rPr>
                <w:sz w:val="24"/>
              </w:rPr>
              <w:t>符合其自身实际情况和</w:t>
            </w:r>
            <w:r>
              <w:rPr>
                <w:rFonts w:hint="eastAsia"/>
                <w:sz w:val="24"/>
              </w:rPr>
              <w:t>运营</w:t>
            </w:r>
            <w:r>
              <w:rPr>
                <w:sz w:val="24"/>
              </w:rPr>
              <w:t>需要的紧急事故应急预案和应急组织系统，以期在发生环境风险事故时，将各类环境风险影响控制在可接受范围内。</w:t>
            </w:r>
          </w:p>
          <w:p w14:paraId="3E1E946F">
            <w:pPr>
              <w:spacing w:line="360" w:lineRule="auto"/>
              <w:ind w:firstLine="480" w:firstLineChars="200"/>
              <w:outlineLvl w:val="1"/>
              <w:rPr>
                <w:sz w:val="24"/>
              </w:rPr>
            </w:pPr>
            <w:r>
              <w:rPr>
                <w:rFonts w:hint="eastAsia"/>
                <w:sz w:val="24"/>
              </w:rPr>
              <w:t>③</w:t>
            </w:r>
            <w:r>
              <w:rPr>
                <w:sz w:val="24"/>
              </w:rPr>
              <w:t>次氯酸钠</w:t>
            </w:r>
          </w:p>
          <w:p w14:paraId="36314E07">
            <w:pPr>
              <w:spacing w:line="360" w:lineRule="auto"/>
              <w:ind w:firstLine="480" w:firstLineChars="200"/>
              <w:outlineLvl w:val="1"/>
              <w:rPr>
                <w:sz w:val="24"/>
              </w:rPr>
            </w:pPr>
            <w:r>
              <w:rPr>
                <w:sz w:val="24"/>
              </w:rPr>
              <w:t>a、急救措施</w:t>
            </w:r>
          </w:p>
          <w:p w14:paraId="1C8B2502">
            <w:pPr>
              <w:spacing w:line="360" w:lineRule="auto"/>
              <w:ind w:firstLine="480"/>
              <w:rPr>
                <w:sz w:val="24"/>
              </w:rPr>
            </w:pPr>
            <w:r>
              <w:rPr>
                <w:sz w:val="24"/>
              </w:rPr>
              <w:t>1&gt;皮肤接触：脱去污染的衣着，用大量流动清水冲洗。</w:t>
            </w:r>
          </w:p>
          <w:p w14:paraId="211775A0">
            <w:pPr>
              <w:spacing w:line="360" w:lineRule="auto"/>
              <w:ind w:firstLine="480"/>
              <w:rPr>
                <w:sz w:val="24"/>
              </w:rPr>
            </w:pPr>
            <w:r>
              <w:rPr>
                <w:sz w:val="24"/>
              </w:rPr>
              <w:t>2&gt;眼睛接触：提起眼睑，用流动清水或生理盐水冲洗。就医。</w:t>
            </w:r>
          </w:p>
          <w:p w14:paraId="1C0841EF">
            <w:pPr>
              <w:spacing w:line="360" w:lineRule="auto"/>
              <w:ind w:firstLine="480"/>
              <w:rPr>
                <w:sz w:val="24"/>
              </w:rPr>
            </w:pPr>
            <w:r>
              <w:rPr>
                <w:sz w:val="24"/>
              </w:rPr>
              <w:t>3&gt;吸入：迅速脱离现场至空气新鲜处。保持呼吸道通畅。如呼吸困难，给输氧。如呼吸停止，立即进行人工呼吸，就医。</w:t>
            </w:r>
          </w:p>
          <w:p w14:paraId="03D63A41">
            <w:pPr>
              <w:spacing w:line="360" w:lineRule="auto"/>
              <w:ind w:firstLine="480"/>
              <w:rPr>
                <w:sz w:val="24"/>
              </w:rPr>
            </w:pPr>
            <w:r>
              <w:rPr>
                <w:sz w:val="24"/>
              </w:rPr>
              <w:t>4&gt;食入：饮足量温水，禁止催吐。就医。</w:t>
            </w:r>
          </w:p>
          <w:p w14:paraId="4C858D94">
            <w:pPr>
              <w:spacing w:line="360" w:lineRule="auto"/>
              <w:ind w:firstLine="480" w:firstLineChars="200"/>
              <w:outlineLvl w:val="1"/>
              <w:rPr>
                <w:sz w:val="24"/>
              </w:rPr>
            </w:pPr>
            <w:r>
              <w:rPr>
                <w:sz w:val="24"/>
              </w:rPr>
              <w:t>b、消防措施</w:t>
            </w:r>
          </w:p>
          <w:p w14:paraId="3A9548EC">
            <w:pPr>
              <w:spacing w:line="360" w:lineRule="auto"/>
              <w:ind w:firstLine="480" w:firstLineChars="200"/>
              <w:outlineLvl w:val="1"/>
              <w:rPr>
                <w:sz w:val="24"/>
              </w:rPr>
            </w:pPr>
            <w:r>
              <w:rPr>
                <w:sz w:val="24"/>
              </w:rPr>
              <w:t>由于次氯酸钠受热分解产生有毒的腐蚀性烟气，火灾燃烧后产生有害燃烧物氯化物，因此消防灭火采用雾状水、二氧化碳或者砂土灭火。</w:t>
            </w:r>
          </w:p>
          <w:p w14:paraId="0C1B5DA1">
            <w:pPr>
              <w:spacing w:line="360" w:lineRule="auto"/>
              <w:ind w:firstLine="480" w:firstLineChars="200"/>
              <w:outlineLvl w:val="1"/>
              <w:rPr>
                <w:sz w:val="24"/>
              </w:rPr>
            </w:pPr>
            <w:r>
              <w:rPr>
                <w:sz w:val="24"/>
              </w:rPr>
              <w:t>c、泄漏应急处理</w:t>
            </w:r>
          </w:p>
          <w:p w14:paraId="10E39F71">
            <w:pPr>
              <w:spacing w:line="360" w:lineRule="auto"/>
              <w:ind w:firstLine="480" w:firstLineChars="200"/>
              <w:outlineLvl w:val="1"/>
              <w:rPr>
                <w:sz w:val="24"/>
              </w:rPr>
            </w:pPr>
            <w:r>
              <w:rPr>
                <w:sz w:val="24"/>
              </w:rPr>
              <w:t>1&gt;应急处理： 迅速撤离泄漏污染区人员至安全区，并进行隔离，严格限制出入。建议应急处理人员戴自给</w:t>
            </w:r>
            <w:r>
              <w:fldChar w:fldCharType="begin"/>
            </w:r>
            <w:r>
              <w:instrText xml:space="preserve"> HYPERLINK "https://baike.baidu.com/item/%E6%AD%A3%E5%8E%8B%E5%BC%8F%E5%91%BC%E5%90%B8%E5%99%A8" \t "_blank" </w:instrText>
            </w:r>
            <w:r>
              <w:fldChar w:fldCharType="separate"/>
            </w:r>
            <w:r>
              <w:rPr>
                <w:sz w:val="24"/>
              </w:rPr>
              <w:t>正压式呼吸器</w:t>
            </w:r>
            <w:r>
              <w:rPr>
                <w:sz w:val="24"/>
              </w:rPr>
              <w:fldChar w:fldCharType="end"/>
            </w:r>
            <w:r>
              <w:rPr>
                <w:sz w:val="24"/>
              </w:rPr>
              <w:t>，穿防酸碱工作服。不要直接接触泄漏物。尽可能切断泄漏源。</w:t>
            </w:r>
          </w:p>
          <w:p w14:paraId="07685D23">
            <w:pPr>
              <w:spacing w:line="360" w:lineRule="auto"/>
              <w:ind w:firstLine="480" w:firstLineChars="200"/>
              <w:outlineLvl w:val="1"/>
              <w:rPr>
                <w:sz w:val="24"/>
              </w:rPr>
            </w:pPr>
            <w:r>
              <w:rPr>
                <w:sz w:val="24"/>
              </w:rPr>
              <w:t>2&gt;小量泄漏：用砂土、</w:t>
            </w:r>
            <w:r>
              <w:fldChar w:fldCharType="begin"/>
            </w:r>
            <w:r>
              <w:instrText xml:space="preserve"> HYPERLINK "https://baike.baidu.com/item/%E8%9B%AD%E7%9F%B3" \t "_blank" </w:instrText>
            </w:r>
            <w:r>
              <w:fldChar w:fldCharType="separate"/>
            </w:r>
            <w:r>
              <w:rPr>
                <w:sz w:val="24"/>
              </w:rPr>
              <w:t>蛭石</w:t>
            </w:r>
            <w:r>
              <w:rPr>
                <w:rFonts w:hint="eastAsia"/>
                <w:sz w:val="24"/>
              </w:rPr>
              <w:t>或其他</w:t>
            </w:r>
            <w:r>
              <w:rPr>
                <w:rFonts w:hint="eastAsia"/>
                <w:sz w:val="24"/>
              </w:rPr>
              <w:fldChar w:fldCharType="end"/>
            </w:r>
            <w:r>
              <w:rPr>
                <w:sz w:val="24"/>
              </w:rPr>
              <w:t>惰性材料吸收。</w:t>
            </w:r>
          </w:p>
          <w:p w14:paraId="49C9CC33">
            <w:pPr>
              <w:spacing w:line="360" w:lineRule="auto"/>
              <w:ind w:firstLine="480" w:firstLineChars="200"/>
              <w:rPr>
                <w:sz w:val="24"/>
              </w:rPr>
            </w:pPr>
            <w:r>
              <w:rPr>
                <w:sz w:val="24"/>
              </w:rPr>
              <w:t>3&gt;大量泄漏：构筑围堤或挖坑收容。用泡沫覆盖，降低蒸气灾害。用泵转移至槽车或专用收集器内，回收或运至废物处理场所处置。</w:t>
            </w:r>
          </w:p>
          <w:p w14:paraId="5DAB9B1D">
            <w:pPr>
              <w:spacing w:line="360" w:lineRule="auto"/>
              <w:ind w:firstLine="480" w:firstLineChars="200"/>
              <w:rPr>
                <w:sz w:val="24"/>
              </w:rPr>
            </w:pPr>
            <w:r>
              <w:rPr>
                <w:sz w:val="24"/>
              </w:rPr>
              <w:t>为预防风险事故的发生，本项目需在环境风险防范上投入10万元，主要风险防范措施及投资估算见表4-</w:t>
            </w:r>
            <w:r>
              <w:rPr>
                <w:rFonts w:hint="eastAsia"/>
                <w:sz w:val="24"/>
              </w:rPr>
              <w:t>2</w:t>
            </w:r>
            <w:r>
              <w:rPr>
                <w:rFonts w:hint="eastAsia"/>
                <w:sz w:val="24"/>
                <w:lang w:val="en-US" w:eastAsia="zh-CN"/>
              </w:rPr>
              <w:t>7</w:t>
            </w:r>
            <w:r>
              <w:rPr>
                <w:sz w:val="24"/>
              </w:rPr>
              <w:t>。</w:t>
            </w:r>
          </w:p>
          <w:p w14:paraId="1B6A9888">
            <w:pPr>
              <w:spacing w:line="360" w:lineRule="auto"/>
              <w:jc w:val="center"/>
              <w:rPr>
                <w:b/>
                <w:bCs/>
                <w:sz w:val="24"/>
              </w:rPr>
            </w:pPr>
            <w:r>
              <w:rPr>
                <w:b/>
                <w:bCs/>
                <w:sz w:val="24"/>
              </w:rPr>
              <w:t>表4-</w:t>
            </w:r>
            <w:r>
              <w:rPr>
                <w:rFonts w:hint="eastAsia"/>
                <w:b/>
                <w:bCs/>
                <w:sz w:val="24"/>
              </w:rPr>
              <w:t>2</w:t>
            </w:r>
            <w:r>
              <w:rPr>
                <w:rFonts w:hint="eastAsia"/>
                <w:b/>
                <w:bCs/>
                <w:sz w:val="24"/>
                <w:lang w:val="en-US" w:eastAsia="zh-CN"/>
              </w:rPr>
              <w:t>7</w:t>
            </w:r>
            <w:r>
              <w:rPr>
                <w:b/>
                <w:bCs/>
                <w:sz w:val="24"/>
              </w:rPr>
              <w:t xml:space="preserve">  本项目风险防范措施一览表</w:t>
            </w:r>
          </w:p>
          <w:tbl>
            <w:tblPr>
              <w:tblStyle w:val="2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482"/>
              <w:gridCol w:w="2681"/>
              <w:gridCol w:w="1168"/>
              <w:gridCol w:w="945"/>
              <w:gridCol w:w="2390"/>
              <w:gridCol w:w="985"/>
            </w:tblGrid>
            <w:tr w14:paraId="12515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636A4995">
                  <w:pPr>
                    <w:jc w:val="center"/>
                    <w:rPr>
                      <w:b/>
                    </w:rPr>
                  </w:pPr>
                  <w:r>
                    <w:rPr>
                      <w:b/>
                    </w:rPr>
                    <w:t>序号</w:t>
                  </w:r>
                </w:p>
              </w:tc>
              <w:tc>
                <w:tcPr>
                  <w:tcW w:w="1549" w:type="pct"/>
                  <w:tcBorders>
                    <w:tl2br w:val="nil"/>
                    <w:tr2bl w:val="nil"/>
                  </w:tcBorders>
                  <w:vAlign w:val="center"/>
                </w:tcPr>
                <w:p w14:paraId="7F95D176">
                  <w:pPr>
                    <w:jc w:val="center"/>
                    <w:rPr>
                      <w:b/>
                    </w:rPr>
                  </w:pPr>
                  <w:r>
                    <w:rPr>
                      <w:b/>
                    </w:rPr>
                    <w:t>风险防范措施</w:t>
                  </w:r>
                </w:p>
              </w:tc>
              <w:tc>
                <w:tcPr>
                  <w:tcW w:w="675" w:type="pct"/>
                  <w:tcBorders>
                    <w:tl2br w:val="nil"/>
                    <w:tr2bl w:val="nil"/>
                  </w:tcBorders>
                  <w:vAlign w:val="center"/>
                </w:tcPr>
                <w:p w14:paraId="31919122">
                  <w:pPr>
                    <w:jc w:val="center"/>
                    <w:rPr>
                      <w:b/>
                    </w:rPr>
                  </w:pPr>
                  <w:r>
                    <w:rPr>
                      <w:b/>
                    </w:rPr>
                    <w:t>设置位置</w:t>
                  </w:r>
                </w:p>
              </w:tc>
              <w:tc>
                <w:tcPr>
                  <w:tcW w:w="546" w:type="pct"/>
                  <w:tcBorders>
                    <w:tl2br w:val="nil"/>
                    <w:tr2bl w:val="nil"/>
                  </w:tcBorders>
                  <w:vAlign w:val="center"/>
                </w:tcPr>
                <w:p w14:paraId="3879832B">
                  <w:pPr>
                    <w:jc w:val="center"/>
                    <w:rPr>
                      <w:b/>
                    </w:rPr>
                  </w:pPr>
                  <w:r>
                    <w:rPr>
                      <w:b/>
                    </w:rPr>
                    <w:t>结构要求</w:t>
                  </w:r>
                </w:p>
              </w:tc>
              <w:tc>
                <w:tcPr>
                  <w:tcW w:w="1379" w:type="pct"/>
                  <w:tcBorders>
                    <w:tl2br w:val="nil"/>
                    <w:tr2bl w:val="nil"/>
                  </w:tcBorders>
                  <w:vAlign w:val="center"/>
                </w:tcPr>
                <w:p w14:paraId="28A9DCD8">
                  <w:pPr>
                    <w:jc w:val="center"/>
                    <w:rPr>
                      <w:b/>
                    </w:rPr>
                  </w:pPr>
                  <w:r>
                    <w:rPr>
                      <w:b/>
                    </w:rPr>
                    <w:t>备注</w:t>
                  </w:r>
                </w:p>
              </w:tc>
              <w:tc>
                <w:tcPr>
                  <w:tcW w:w="569" w:type="pct"/>
                  <w:tcBorders>
                    <w:tl2br w:val="nil"/>
                    <w:tr2bl w:val="nil"/>
                  </w:tcBorders>
                  <w:vAlign w:val="center"/>
                </w:tcPr>
                <w:p w14:paraId="178A043E">
                  <w:pPr>
                    <w:jc w:val="center"/>
                    <w:rPr>
                      <w:b/>
                    </w:rPr>
                  </w:pPr>
                  <w:r>
                    <w:rPr>
                      <w:b/>
                    </w:rPr>
                    <w:t>风险投资</w:t>
                  </w:r>
                </w:p>
                <w:p w14:paraId="24D173B9">
                  <w:pPr>
                    <w:jc w:val="center"/>
                    <w:rPr>
                      <w:b/>
                    </w:rPr>
                  </w:pPr>
                  <w:r>
                    <w:rPr>
                      <w:b/>
                    </w:rPr>
                    <w:t>（万元）</w:t>
                  </w:r>
                </w:p>
              </w:tc>
            </w:tr>
            <w:tr w14:paraId="26E4BC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55C4925C">
                  <w:pPr>
                    <w:jc w:val="center"/>
                  </w:pPr>
                  <w:r>
                    <w:t>1</w:t>
                  </w:r>
                </w:p>
              </w:tc>
              <w:tc>
                <w:tcPr>
                  <w:tcW w:w="1549" w:type="pct"/>
                  <w:tcBorders>
                    <w:tl2br w:val="nil"/>
                    <w:tr2bl w:val="nil"/>
                  </w:tcBorders>
                  <w:vAlign w:val="center"/>
                </w:tcPr>
                <w:p w14:paraId="712FAA43">
                  <w:pPr>
                    <w:jc w:val="center"/>
                  </w:pPr>
                  <w:r>
                    <w:t>氧气管理</w:t>
                  </w:r>
                </w:p>
              </w:tc>
              <w:tc>
                <w:tcPr>
                  <w:tcW w:w="675" w:type="pct"/>
                  <w:tcBorders>
                    <w:tl2br w:val="nil"/>
                    <w:tr2bl w:val="nil"/>
                  </w:tcBorders>
                  <w:vAlign w:val="center"/>
                </w:tcPr>
                <w:p w14:paraId="4CA3BA2F">
                  <w:pPr>
                    <w:jc w:val="center"/>
                  </w:pPr>
                  <w:r>
                    <w:t>氧气供应室</w:t>
                  </w:r>
                </w:p>
              </w:tc>
              <w:tc>
                <w:tcPr>
                  <w:tcW w:w="546" w:type="pct"/>
                  <w:tcBorders>
                    <w:tl2br w:val="nil"/>
                    <w:tr2bl w:val="nil"/>
                  </w:tcBorders>
                  <w:vAlign w:val="center"/>
                </w:tcPr>
                <w:p w14:paraId="402A8201">
                  <w:pPr>
                    <w:jc w:val="center"/>
                  </w:pPr>
                  <w:r>
                    <w:t>砖混结构</w:t>
                  </w:r>
                </w:p>
              </w:tc>
              <w:tc>
                <w:tcPr>
                  <w:tcW w:w="1379" w:type="pct"/>
                  <w:tcBorders>
                    <w:tl2br w:val="nil"/>
                    <w:tr2bl w:val="nil"/>
                  </w:tcBorders>
                  <w:vAlign w:val="center"/>
                </w:tcPr>
                <w:p w14:paraId="39CA2D8A">
                  <w:pPr>
                    <w:jc w:val="center"/>
                  </w:pPr>
                  <w:r>
                    <w:t>防泄漏、预防氧气泄漏引起爆炸</w:t>
                  </w:r>
                </w:p>
              </w:tc>
              <w:tc>
                <w:tcPr>
                  <w:tcW w:w="569" w:type="pct"/>
                  <w:tcBorders>
                    <w:tl2br w:val="nil"/>
                    <w:tr2bl w:val="nil"/>
                  </w:tcBorders>
                  <w:vAlign w:val="center"/>
                </w:tcPr>
                <w:p w14:paraId="1C41E46C">
                  <w:pPr>
                    <w:jc w:val="center"/>
                  </w:pPr>
                  <w:r>
                    <w:t>计入工程投资</w:t>
                  </w:r>
                </w:p>
              </w:tc>
            </w:tr>
            <w:tr w14:paraId="078DA3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30140C59">
                  <w:pPr>
                    <w:jc w:val="center"/>
                  </w:pPr>
                  <w:r>
                    <w:t>2</w:t>
                  </w:r>
                </w:p>
              </w:tc>
              <w:tc>
                <w:tcPr>
                  <w:tcW w:w="1549" w:type="pct"/>
                  <w:tcBorders>
                    <w:tl2br w:val="nil"/>
                    <w:tr2bl w:val="nil"/>
                  </w:tcBorders>
                  <w:vAlign w:val="center"/>
                </w:tcPr>
                <w:p w14:paraId="0C2A91CB">
                  <w:pPr>
                    <w:jc w:val="center"/>
                  </w:pPr>
                  <w:r>
                    <w:t>医疗废物日产日清，并对医疗废物暂存间进行防渗</w:t>
                  </w:r>
                  <w:r>
                    <w:rPr>
                      <w:rFonts w:hint="eastAsia"/>
                    </w:rPr>
                    <w:t>处理</w:t>
                  </w:r>
                </w:p>
              </w:tc>
              <w:tc>
                <w:tcPr>
                  <w:tcW w:w="675" w:type="pct"/>
                  <w:tcBorders>
                    <w:tl2br w:val="nil"/>
                    <w:tr2bl w:val="nil"/>
                  </w:tcBorders>
                  <w:vAlign w:val="center"/>
                </w:tcPr>
                <w:p w14:paraId="5827DBF5">
                  <w:pPr>
                    <w:jc w:val="center"/>
                  </w:pPr>
                  <w:r>
                    <w:t>医疗废物暂存间</w:t>
                  </w:r>
                </w:p>
              </w:tc>
              <w:tc>
                <w:tcPr>
                  <w:tcW w:w="546" w:type="pct"/>
                  <w:tcBorders>
                    <w:tl2br w:val="nil"/>
                    <w:tr2bl w:val="nil"/>
                  </w:tcBorders>
                  <w:vAlign w:val="center"/>
                </w:tcPr>
                <w:p w14:paraId="0C2E1D39">
                  <w:pPr>
                    <w:jc w:val="center"/>
                  </w:pPr>
                  <w:r>
                    <w:t>防渗处理</w:t>
                  </w:r>
                </w:p>
              </w:tc>
              <w:tc>
                <w:tcPr>
                  <w:tcW w:w="1379" w:type="pct"/>
                  <w:tcBorders>
                    <w:tl2br w:val="nil"/>
                    <w:tr2bl w:val="nil"/>
                  </w:tcBorders>
                  <w:vAlign w:val="center"/>
                </w:tcPr>
                <w:p w14:paraId="6023D7AA">
                  <w:pPr>
                    <w:jc w:val="center"/>
                  </w:pPr>
                  <w:r>
                    <w:t>严格选择运输路线，委托有处理资质单位处理</w:t>
                  </w:r>
                </w:p>
              </w:tc>
              <w:tc>
                <w:tcPr>
                  <w:tcW w:w="569" w:type="pct"/>
                  <w:tcBorders>
                    <w:tl2br w:val="nil"/>
                    <w:tr2bl w:val="nil"/>
                  </w:tcBorders>
                  <w:vAlign w:val="center"/>
                </w:tcPr>
                <w:p w14:paraId="5A158B4B">
                  <w:pPr>
                    <w:jc w:val="center"/>
                  </w:pPr>
                  <w:r>
                    <w:t>2.0</w:t>
                  </w:r>
                </w:p>
              </w:tc>
            </w:tr>
            <w:tr w14:paraId="18033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5FCEC420">
                  <w:pPr>
                    <w:jc w:val="center"/>
                  </w:pPr>
                  <w:r>
                    <w:t>3</w:t>
                  </w:r>
                </w:p>
              </w:tc>
              <w:tc>
                <w:tcPr>
                  <w:tcW w:w="1549" w:type="pct"/>
                  <w:tcBorders>
                    <w:tl2br w:val="nil"/>
                    <w:tr2bl w:val="nil"/>
                  </w:tcBorders>
                  <w:vAlign w:val="center"/>
                </w:tcPr>
                <w:p w14:paraId="1A46EA40">
                  <w:pPr>
                    <w:jc w:val="center"/>
                  </w:pPr>
                  <w:r>
                    <w:t>污水处理站运行自动化，采用自动投药、数据记录专人专岗等，设置流量、总余氯在线监测设备，并按照监测计划开展污染物监测</w:t>
                  </w:r>
                </w:p>
              </w:tc>
              <w:tc>
                <w:tcPr>
                  <w:tcW w:w="675" w:type="pct"/>
                  <w:tcBorders>
                    <w:tl2br w:val="nil"/>
                    <w:tr2bl w:val="nil"/>
                  </w:tcBorders>
                  <w:vAlign w:val="center"/>
                </w:tcPr>
                <w:p w14:paraId="2D955EEF">
                  <w:pPr>
                    <w:jc w:val="center"/>
                  </w:pPr>
                  <w:r>
                    <w:t>污水处理站</w:t>
                  </w:r>
                </w:p>
              </w:tc>
              <w:tc>
                <w:tcPr>
                  <w:tcW w:w="546" w:type="pct"/>
                  <w:tcBorders>
                    <w:tl2br w:val="nil"/>
                    <w:tr2bl w:val="nil"/>
                  </w:tcBorders>
                  <w:vAlign w:val="center"/>
                </w:tcPr>
                <w:p w14:paraId="5667CDD1">
                  <w:pPr>
                    <w:jc w:val="center"/>
                  </w:pPr>
                  <w:r>
                    <w:t>/</w:t>
                  </w:r>
                </w:p>
              </w:tc>
              <w:tc>
                <w:tcPr>
                  <w:tcW w:w="1379" w:type="pct"/>
                  <w:tcBorders>
                    <w:tl2br w:val="nil"/>
                    <w:tr2bl w:val="nil"/>
                  </w:tcBorders>
                  <w:vAlign w:val="center"/>
                </w:tcPr>
                <w:p w14:paraId="674FA058">
                  <w:pPr>
                    <w:jc w:val="center"/>
                  </w:pPr>
                  <w:r>
                    <w:t>预防废水事故排放</w:t>
                  </w:r>
                </w:p>
              </w:tc>
              <w:tc>
                <w:tcPr>
                  <w:tcW w:w="569" w:type="pct"/>
                  <w:tcBorders>
                    <w:tl2br w:val="nil"/>
                    <w:tr2bl w:val="nil"/>
                  </w:tcBorders>
                  <w:vAlign w:val="center"/>
                </w:tcPr>
                <w:p w14:paraId="74C72C81">
                  <w:pPr>
                    <w:jc w:val="center"/>
                  </w:pPr>
                  <w:r>
                    <w:t>4.0</w:t>
                  </w:r>
                </w:p>
              </w:tc>
            </w:tr>
            <w:tr w14:paraId="67C668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4E6A179D">
                  <w:pPr>
                    <w:jc w:val="center"/>
                  </w:pPr>
                  <w:r>
                    <w:t>4</w:t>
                  </w:r>
                </w:p>
              </w:tc>
              <w:tc>
                <w:tcPr>
                  <w:tcW w:w="1549" w:type="pct"/>
                  <w:tcBorders>
                    <w:tl2br w:val="nil"/>
                    <w:tr2bl w:val="nil"/>
                  </w:tcBorders>
                  <w:vAlign w:val="center"/>
                </w:tcPr>
                <w:p w14:paraId="5718CBAF">
                  <w:pPr>
                    <w:jc w:val="center"/>
                  </w:pPr>
                  <w:r>
                    <w:t>格栅调节池兼事故应急池</w:t>
                  </w:r>
                </w:p>
              </w:tc>
              <w:tc>
                <w:tcPr>
                  <w:tcW w:w="675" w:type="pct"/>
                  <w:tcBorders>
                    <w:tl2br w:val="nil"/>
                    <w:tr2bl w:val="nil"/>
                  </w:tcBorders>
                  <w:vAlign w:val="center"/>
                </w:tcPr>
                <w:p w14:paraId="6D4AD6C2">
                  <w:pPr>
                    <w:jc w:val="center"/>
                  </w:pPr>
                  <w:r>
                    <w:t>污水处理站</w:t>
                  </w:r>
                </w:p>
              </w:tc>
              <w:tc>
                <w:tcPr>
                  <w:tcW w:w="546" w:type="pct"/>
                  <w:tcBorders>
                    <w:tl2br w:val="nil"/>
                    <w:tr2bl w:val="nil"/>
                  </w:tcBorders>
                  <w:vAlign w:val="center"/>
                </w:tcPr>
                <w:p w14:paraId="6B1DB6AD">
                  <w:pPr>
                    <w:jc w:val="center"/>
                  </w:pPr>
                  <w:r>
                    <w:t>防渗处理</w:t>
                  </w:r>
                </w:p>
              </w:tc>
              <w:tc>
                <w:tcPr>
                  <w:tcW w:w="1379" w:type="pct"/>
                  <w:tcBorders>
                    <w:tl2br w:val="nil"/>
                    <w:tr2bl w:val="nil"/>
                  </w:tcBorders>
                  <w:vAlign w:val="center"/>
                </w:tcPr>
                <w:p w14:paraId="6DF601C2">
                  <w:pPr>
                    <w:jc w:val="center"/>
                  </w:pPr>
                  <w:r>
                    <w:t>预防废水事故排放</w:t>
                  </w:r>
                </w:p>
              </w:tc>
              <w:tc>
                <w:tcPr>
                  <w:tcW w:w="569" w:type="pct"/>
                  <w:tcBorders>
                    <w:tl2br w:val="nil"/>
                    <w:tr2bl w:val="nil"/>
                  </w:tcBorders>
                  <w:vAlign w:val="center"/>
                </w:tcPr>
                <w:p w14:paraId="11AE5382">
                  <w:pPr>
                    <w:jc w:val="center"/>
                  </w:pPr>
                  <w:r>
                    <w:t>计入工程投资</w:t>
                  </w:r>
                </w:p>
              </w:tc>
            </w:tr>
            <w:tr w14:paraId="2315F9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279" w:type="pct"/>
                  <w:tcBorders>
                    <w:tl2br w:val="nil"/>
                    <w:tr2bl w:val="nil"/>
                  </w:tcBorders>
                  <w:vAlign w:val="center"/>
                </w:tcPr>
                <w:p w14:paraId="41A70B79">
                  <w:pPr>
                    <w:jc w:val="center"/>
                  </w:pPr>
                  <w:r>
                    <w:rPr>
                      <w:rFonts w:hint="eastAsia"/>
                    </w:rPr>
                    <w:t>5</w:t>
                  </w:r>
                </w:p>
              </w:tc>
              <w:tc>
                <w:tcPr>
                  <w:tcW w:w="1549" w:type="pct"/>
                  <w:tcBorders>
                    <w:tl2br w:val="nil"/>
                    <w:tr2bl w:val="nil"/>
                  </w:tcBorders>
                  <w:vAlign w:val="center"/>
                </w:tcPr>
                <w:p w14:paraId="406FF7A6">
                  <w:pPr>
                    <w:jc w:val="center"/>
                  </w:pPr>
                  <w:r>
                    <w:t>制</w:t>
                  </w:r>
                  <w:r>
                    <w:rPr>
                      <w:rFonts w:hint="eastAsia"/>
                      <w:lang w:val="en-US" w:eastAsia="zh-CN"/>
                    </w:rPr>
                    <w:t>定</w:t>
                  </w:r>
                  <w:r>
                    <w:t>切合企业实际情况的应急预案</w:t>
                  </w:r>
                </w:p>
              </w:tc>
              <w:tc>
                <w:tcPr>
                  <w:tcW w:w="675" w:type="pct"/>
                  <w:tcBorders>
                    <w:tl2br w:val="nil"/>
                    <w:tr2bl w:val="nil"/>
                  </w:tcBorders>
                  <w:vAlign w:val="center"/>
                </w:tcPr>
                <w:p w14:paraId="227C7B37">
                  <w:pPr>
                    <w:jc w:val="center"/>
                  </w:pPr>
                  <w:r>
                    <w:t>/</w:t>
                  </w:r>
                </w:p>
              </w:tc>
              <w:tc>
                <w:tcPr>
                  <w:tcW w:w="546" w:type="pct"/>
                  <w:tcBorders>
                    <w:tl2br w:val="nil"/>
                    <w:tr2bl w:val="nil"/>
                  </w:tcBorders>
                  <w:vAlign w:val="center"/>
                </w:tcPr>
                <w:p w14:paraId="1C8FB3A4">
                  <w:pPr>
                    <w:jc w:val="center"/>
                  </w:pPr>
                  <w:r>
                    <w:t>/</w:t>
                  </w:r>
                </w:p>
              </w:tc>
              <w:tc>
                <w:tcPr>
                  <w:tcW w:w="1379" w:type="pct"/>
                  <w:tcBorders>
                    <w:tl2br w:val="nil"/>
                    <w:tr2bl w:val="nil"/>
                  </w:tcBorders>
                  <w:vAlign w:val="center"/>
                </w:tcPr>
                <w:p w14:paraId="4FEB5911">
                  <w:pPr>
                    <w:jc w:val="center"/>
                  </w:pPr>
                  <w:r>
                    <w:t>每年培训、演练；按消防部门要求配备消防设施</w:t>
                  </w:r>
                </w:p>
              </w:tc>
              <w:tc>
                <w:tcPr>
                  <w:tcW w:w="569" w:type="pct"/>
                  <w:tcBorders>
                    <w:tl2br w:val="nil"/>
                    <w:tr2bl w:val="nil"/>
                  </w:tcBorders>
                  <w:vAlign w:val="center"/>
                </w:tcPr>
                <w:p w14:paraId="12C4CDC0">
                  <w:pPr>
                    <w:jc w:val="center"/>
                  </w:pPr>
                  <w:r>
                    <w:t>2.0</w:t>
                  </w:r>
                </w:p>
              </w:tc>
            </w:tr>
            <w:tr w14:paraId="55C1E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430" w:type="pct"/>
                  <w:gridSpan w:val="5"/>
                  <w:tcBorders>
                    <w:tl2br w:val="nil"/>
                    <w:tr2bl w:val="nil"/>
                  </w:tcBorders>
                  <w:vAlign w:val="center"/>
                </w:tcPr>
                <w:p w14:paraId="1D1CBFAF">
                  <w:pPr>
                    <w:jc w:val="center"/>
                  </w:pPr>
                  <w:r>
                    <w:t>总计</w:t>
                  </w:r>
                </w:p>
              </w:tc>
              <w:tc>
                <w:tcPr>
                  <w:tcW w:w="569" w:type="pct"/>
                  <w:tcBorders>
                    <w:tl2br w:val="nil"/>
                    <w:tr2bl w:val="nil"/>
                  </w:tcBorders>
                  <w:vAlign w:val="center"/>
                </w:tcPr>
                <w:p w14:paraId="72F2555E">
                  <w:pPr>
                    <w:jc w:val="center"/>
                  </w:pPr>
                  <w:r>
                    <w:t>10.0</w:t>
                  </w:r>
                </w:p>
              </w:tc>
            </w:tr>
          </w:tbl>
          <w:p w14:paraId="0B695E65">
            <w:pPr>
              <w:spacing w:line="360" w:lineRule="auto"/>
              <w:ind w:firstLine="482" w:firstLineChars="200"/>
              <w:outlineLvl w:val="1"/>
              <w:rPr>
                <w:b/>
                <w:sz w:val="24"/>
              </w:rPr>
            </w:pPr>
            <w:r>
              <w:rPr>
                <w:b/>
                <w:sz w:val="24"/>
              </w:rPr>
              <w:t>6、环境风险结论</w:t>
            </w:r>
          </w:p>
          <w:p w14:paraId="6457121F">
            <w:pPr>
              <w:spacing w:line="360" w:lineRule="auto"/>
              <w:ind w:firstLine="480" w:firstLineChars="200"/>
              <w:outlineLvl w:val="1"/>
              <w:rPr>
                <w:sz w:val="24"/>
              </w:rPr>
            </w:pPr>
            <w:r>
              <w:rPr>
                <w:sz w:val="24"/>
              </w:rPr>
              <w:t>本项目环境风险简单分析内容见表4-2</w:t>
            </w:r>
            <w:r>
              <w:rPr>
                <w:rFonts w:hint="eastAsia"/>
                <w:sz w:val="24"/>
                <w:lang w:val="en-US" w:eastAsia="zh-CN"/>
              </w:rPr>
              <w:t>8</w:t>
            </w:r>
            <w:r>
              <w:rPr>
                <w:sz w:val="24"/>
              </w:rPr>
              <w:t>。</w:t>
            </w:r>
          </w:p>
          <w:p w14:paraId="7B5F0966">
            <w:pPr>
              <w:spacing w:line="360" w:lineRule="auto"/>
              <w:jc w:val="center"/>
              <w:outlineLvl w:val="1"/>
              <w:rPr>
                <w:b/>
                <w:bCs/>
                <w:sz w:val="24"/>
              </w:rPr>
            </w:pPr>
            <w:r>
              <w:rPr>
                <w:b/>
                <w:bCs/>
                <w:sz w:val="24"/>
              </w:rPr>
              <w:t>表4-2</w:t>
            </w:r>
            <w:r>
              <w:rPr>
                <w:rFonts w:hint="eastAsia"/>
                <w:b/>
                <w:bCs/>
                <w:sz w:val="24"/>
                <w:lang w:val="en-US" w:eastAsia="zh-CN"/>
              </w:rPr>
              <w:t>8</w:t>
            </w:r>
            <w:r>
              <w:rPr>
                <w:b/>
                <w:bCs/>
                <w:sz w:val="24"/>
              </w:rPr>
              <w:t xml:space="preserve">  建设项目环境风险简单分析内容表</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1357"/>
              <w:gridCol w:w="2211"/>
              <w:gridCol w:w="800"/>
              <w:gridCol w:w="2451"/>
            </w:tblGrid>
            <w:tr w14:paraId="43C9B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061" w:type="pct"/>
                  <w:tcBorders>
                    <w:tl2br w:val="nil"/>
                    <w:tr2bl w:val="nil"/>
                  </w:tcBorders>
                  <w:vAlign w:val="center"/>
                </w:tcPr>
                <w:p w14:paraId="07F87B9B">
                  <w:pPr>
                    <w:jc w:val="center"/>
                  </w:pPr>
                  <w:r>
                    <w:t>建设项目名称</w:t>
                  </w:r>
                </w:p>
              </w:tc>
              <w:tc>
                <w:tcPr>
                  <w:tcW w:w="3938" w:type="pct"/>
                  <w:gridSpan w:val="4"/>
                  <w:tcBorders>
                    <w:tl2br w:val="nil"/>
                    <w:tr2bl w:val="nil"/>
                  </w:tcBorders>
                  <w:vAlign w:val="center"/>
                </w:tcPr>
                <w:p w14:paraId="62AA8C00">
                  <w:pPr>
                    <w:jc w:val="center"/>
                  </w:pPr>
                  <w:r>
                    <w:rPr>
                      <w:rFonts w:hint="eastAsia"/>
                    </w:rPr>
                    <w:t>通川区广慈精神病专科医院（养老、精神病专科）建设项目</w:t>
                  </w:r>
                </w:p>
              </w:tc>
            </w:tr>
            <w:tr w14:paraId="5C248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l2br w:val="nil"/>
                    <w:tr2bl w:val="nil"/>
                  </w:tcBorders>
                  <w:vAlign w:val="center"/>
                </w:tcPr>
                <w:p w14:paraId="2CE4642F">
                  <w:pPr>
                    <w:jc w:val="center"/>
                  </w:pPr>
                  <w:r>
                    <w:t>建设地点</w:t>
                  </w:r>
                </w:p>
              </w:tc>
              <w:tc>
                <w:tcPr>
                  <w:tcW w:w="784" w:type="pct"/>
                  <w:tcBorders>
                    <w:tl2br w:val="nil"/>
                    <w:tr2bl w:val="nil"/>
                  </w:tcBorders>
                  <w:vAlign w:val="center"/>
                </w:tcPr>
                <w:p w14:paraId="50E4261B">
                  <w:pPr>
                    <w:jc w:val="center"/>
                  </w:pPr>
                  <w:r>
                    <w:t>四川省</w:t>
                  </w:r>
                </w:p>
              </w:tc>
              <w:tc>
                <w:tcPr>
                  <w:tcW w:w="1277" w:type="pct"/>
                  <w:tcBorders>
                    <w:tl2br w:val="nil"/>
                    <w:tr2bl w:val="nil"/>
                  </w:tcBorders>
                  <w:vAlign w:val="center"/>
                </w:tcPr>
                <w:p w14:paraId="5B96BB24">
                  <w:pPr>
                    <w:jc w:val="center"/>
                  </w:pPr>
                  <w:r>
                    <w:t>达州市</w:t>
                  </w:r>
                </w:p>
              </w:tc>
              <w:tc>
                <w:tcPr>
                  <w:tcW w:w="1876" w:type="pct"/>
                  <w:gridSpan w:val="2"/>
                  <w:tcBorders>
                    <w:tl2br w:val="nil"/>
                    <w:tr2bl w:val="nil"/>
                  </w:tcBorders>
                  <w:vAlign w:val="center"/>
                </w:tcPr>
                <w:p w14:paraId="40962C0B">
                  <w:pPr>
                    <w:jc w:val="center"/>
                  </w:pPr>
                  <w:r>
                    <w:rPr>
                      <w:rFonts w:hint="eastAsia"/>
                    </w:rPr>
                    <w:t>通川区罗江镇高岩村</w:t>
                  </w:r>
                </w:p>
              </w:tc>
            </w:tr>
            <w:tr w14:paraId="0501A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l2br w:val="nil"/>
                    <w:tr2bl w:val="nil"/>
                  </w:tcBorders>
                  <w:vAlign w:val="center"/>
                </w:tcPr>
                <w:p w14:paraId="0019C220">
                  <w:pPr>
                    <w:jc w:val="center"/>
                  </w:pPr>
                  <w:r>
                    <w:t>地理坐标</w:t>
                  </w:r>
                </w:p>
              </w:tc>
              <w:tc>
                <w:tcPr>
                  <w:tcW w:w="784" w:type="pct"/>
                  <w:tcBorders>
                    <w:tl2br w:val="nil"/>
                    <w:tr2bl w:val="nil"/>
                  </w:tcBorders>
                  <w:vAlign w:val="center"/>
                </w:tcPr>
                <w:p w14:paraId="7738E41E">
                  <w:pPr>
                    <w:jc w:val="center"/>
                  </w:pPr>
                  <w:r>
                    <w:t>经度</w:t>
                  </w:r>
                </w:p>
              </w:tc>
              <w:tc>
                <w:tcPr>
                  <w:tcW w:w="1277" w:type="pct"/>
                  <w:tcBorders>
                    <w:tl2br w:val="nil"/>
                    <w:tr2bl w:val="nil"/>
                  </w:tcBorders>
                  <w:vAlign w:val="center"/>
                </w:tcPr>
                <w:p w14:paraId="5C945054">
                  <w:pPr>
                    <w:jc w:val="center"/>
                  </w:pPr>
                  <w:r>
                    <w:t>107度</w:t>
                  </w:r>
                  <w:r>
                    <w:rPr>
                      <w:rFonts w:hint="eastAsia"/>
                    </w:rPr>
                    <w:t>3</w:t>
                  </w:r>
                  <w:r>
                    <w:t>2分</w:t>
                  </w:r>
                  <w:r>
                    <w:rPr>
                      <w:rFonts w:hint="eastAsia"/>
                    </w:rPr>
                    <w:t>48.505</w:t>
                  </w:r>
                  <w:r>
                    <w:t>秒</w:t>
                  </w:r>
                </w:p>
              </w:tc>
              <w:tc>
                <w:tcPr>
                  <w:tcW w:w="462" w:type="pct"/>
                  <w:tcBorders>
                    <w:tl2br w:val="nil"/>
                    <w:tr2bl w:val="nil"/>
                  </w:tcBorders>
                  <w:vAlign w:val="center"/>
                </w:tcPr>
                <w:p w14:paraId="40DA90B0">
                  <w:pPr>
                    <w:jc w:val="center"/>
                  </w:pPr>
                  <w:r>
                    <w:t>纬度</w:t>
                  </w:r>
                </w:p>
              </w:tc>
              <w:tc>
                <w:tcPr>
                  <w:tcW w:w="1414" w:type="pct"/>
                  <w:tcBorders>
                    <w:tl2br w:val="nil"/>
                    <w:tr2bl w:val="nil"/>
                  </w:tcBorders>
                  <w:vAlign w:val="center"/>
                </w:tcPr>
                <w:p w14:paraId="1BED988A">
                  <w:pPr>
                    <w:jc w:val="center"/>
                  </w:pPr>
                  <w:r>
                    <w:t>3</w:t>
                  </w:r>
                  <w:r>
                    <w:rPr>
                      <w:rFonts w:hint="eastAsia"/>
                    </w:rPr>
                    <w:t>1</w:t>
                  </w:r>
                  <w:r>
                    <w:t>度</w:t>
                  </w:r>
                  <w:r>
                    <w:rPr>
                      <w:rFonts w:hint="eastAsia"/>
                    </w:rPr>
                    <w:t>18</w:t>
                  </w:r>
                  <w:r>
                    <w:t>分</w:t>
                  </w:r>
                  <w:r>
                    <w:rPr>
                      <w:rFonts w:hint="eastAsia"/>
                    </w:rPr>
                    <w:t>48.060</w:t>
                  </w:r>
                  <w:r>
                    <w:t>秒</w:t>
                  </w:r>
                </w:p>
              </w:tc>
            </w:tr>
            <w:tr w14:paraId="5DD69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l2br w:val="nil"/>
                    <w:tr2bl w:val="nil"/>
                  </w:tcBorders>
                  <w:vAlign w:val="center"/>
                </w:tcPr>
                <w:p w14:paraId="2CB62195">
                  <w:r>
                    <w:t>主要危险物质及分布</w:t>
                  </w:r>
                </w:p>
              </w:tc>
              <w:tc>
                <w:tcPr>
                  <w:tcW w:w="3938" w:type="pct"/>
                  <w:gridSpan w:val="4"/>
                  <w:tcBorders>
                    <w:tl2br w:val="nil"/>
                    <w:tr2bl w:val="nil"/>
                  </w:tcBorders>
                  <w:vAlign w:val="center"/>
                </w:tcPr>
                <w:p w14:paraId="62331C6E">
                  <w:r>
                    <w:t>氧气供应室：氧气；污水处理站：次氯酸钠；药房：医用酒精</w:t>
                  </w:r>
                  <w:r>
                    <w:rPr>
                      <w:rFonts w:hint="eastAsia"/>
                    </w:rPr>
                    <w:t>；柴油发电机房：柴油。</w:t>
                  </w:r>
                </w:p>
              </w:tc>
            </w:tr>
            <w:tr w14:paraId="02DA1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l2br w:val="nil"/>
                    <w:tr2bl w:val="nil"/>
                  </w:tcBorders>
                  <w:vAlign w:val="center"/>
                </w:tcPr>
                <w:p w14:paraId="0C6622CF">
                  <w:r>
                    <w:t>环境影响途径及危害后果（大气、地表水、地下水等）</w:t>
                  </w:r>
                </w:p>
              </w:tc>
              <w:tc>
                <w:tcPr>
                  <w:tcW w:w="3938" w:type="pct"/>
                  <w:gridSpan w:val="4"/>
                  <w:tcBorders>
                    <w:tl2br w:val="nil"/>
                    <w:tr2bl w:val="nil"/>
                  </w:tcBorders>
                  <w:vAlign w:val="center"/>
                </w:tcPr>
                <w:p w14:paraId="45520B1B">
                  <w:r>
                    <w:t>大气：危险物质泄漏后挥发进入大气，污染大气环境；易燃物质遇明火产生火灾或爆炸引起大气环境污染事故；化学品泄漏挥发污染物进入大气。</w:t>
                  </w:r>
                </w:p>
                <w:p w14:paraId="7780F594">
                  <w:r>
                    <w:t>地表水：危险物质泄漏对周围地面和建筑造成腐蚀，可能污染地下水、地表水；污水处理站废水事故排放，造成泄漏。</w:t>
                  </w:r>
                </w:p>
                <w:p w14:paraId="295A28C0">
                  <w:r>
                    <w:t>地下水：危险化学品、危险废物泄漏，污染地下水环境。</w:t>
                  </w:r>
                </w:p>
              </w:tc>
            </w:tr>
            <w:tr w14:paraId="1E4E9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l2br w:val="nil"/>
                    <w:tr2bl w:val="nil"/>
                  </w:tcBorders>
                  <w:vAlign w:val="center"/>
                </w:tcPr>
                <w:p w14:paraId="048430AC">
                  <w:r>
                    <w:t>风险防范措施要求</w:t>
                  </w:r>
                </w:p>
              </w:tc>
              <w:tc>
                <w:tcPr>
                  <w:tcW w:w="3938" w:type="pct"/>
                  <w:gridSpan w:val="4"/>
                  <w:tcBorders>
                    <w:tl2br w:val="nil"/>
                    <w:tr2bl w:val="nil"/>
                  </w:tcBorders>
                  <w:vAlign w:val="center"/>
                </w:tcPr>
                <w:p w14:paraId="5E4BE59D">
                  <w:r>
                    <w:t>1、严格管理危险化学品，氧气供应室严禁存放其他可燃气瓶和油脂类物品，设置警示标牌，规范管理，落实防火、防爆设计要求，配备足够的消防器材。</w:t>
                  </w:r>
                </w:p>
                <w:p w14:paraId="20B4B289">
                  <w:pPr>
                    <w:spacing w:line="276" w:lineRule="auto"/>
                  </w:pPr>
                  <w:r>
                    <w:t>2、医疗废物暂存间四周防渗围堰，地面采取重点防渗措施，并配备泄漏防范</w:t>
                  </w:r>
                  <w:r>
                    <w:rPr>
                      <w:rFonts w:hint="eastAsia"/>
                    </w:rPr>
                    <w:t>应急物资</w:t>
                  </w:r>
                  <w:r>
                    <w:t>，设置收集空桶。</w:t>
                  </w:r>
                </w:p>
                <w:p w14:paraId="4F31FBA6">
                  <w:r>
                    <w:t>3、加强污水处理站污水处理控制室药品管理，污水处理站定期检修，防止事故废水排放。</w:t>
                  </w:r>
                </w:p>
                <w:p w14:paraId="4B8FECE4">
                  <w:r>
                    <w:t>4、严格执行环评及相关法律法规要求，定期开展废气、废水处理设备维护，保证其有效运行和去除效率。</w:t>
                  </w:r>
                </w:p>
                <w:p w14:paraId="6B7FBBA5">
                  <w:r>
                    <w:t>5、制定环境风险应急预案。</w:t>
                  </w:r>
                </w:p>
              </w:tc>
            </w:tr>
            <w:tr w14:paraId="6F337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48885B89">
                  <w:r>
                    <w:t>填表说明（列出项目相关信息及评价说明）：</w:t>
                  </w:r>
                </w:p>
                <w:p w14:paraId="322C793A">
                  <w:r>
                    <w:t>本项目主要危险物质为次氯酸钠、氧气、医用酒精</w:t>
                  </w:r>
                  <w:r>
                    <w:rPr>
                      <w:rFonts w:hint="eastAsia"/>
                    </w:rPr>
                    <w:t>、柴油</w:t>
                  </w:r>
                  <w:r>
                    <w:t>，次氯酸钠放置在污水处理控制室内，氧气存放在氧气供应室内，医用酒精放置在药房，</w:t>
                  </w:r>
                  <w:r>
                    <w:rPr>
                      <w:rFonts w:hint="eastAsia"/>
                    </w:rPr>
                    <w:t>柴油随用随买，</w:t>
                  </w:r>
                  <w:r>
                    <w:t>项目环境风险潜势为I，评价等级为简单分析，在落实环评提出的风险防范措施后，环境风险可控。</w:t>
                  </w:r>
                </w:p>
              </w:tc>
            </w:tr>
          </w:tbl>
          <w:p w14:paraId="2AC0E4F4">
            <w:pPr>
              <w:pStyle w:val="8"/>
              <w:spacing w:after="0" w:line="360" w:lineRule="auto"/>
              <w:ind w:firstLine="480" w:firstLineChars="200"/>
              <w:rPr>
                <w:sz w:val="24"/>
              </w:rPr>
            </w:pPr>
            <w:r>
              <w:rPr>
                <w:rFonts w:hint="eastAsia" w:cs="Calibri"/>
                <w:b w:val="0"/>
                <w:bCs w:val="0"/>
                <w:sz w:val="24"/>
                <w:lang w:val="en-US" w:eastAsia="zh-CN"/>
              </w:rPr>
              <w:t>综上，本</w:t>
            </w:r>
            <w:r>
              <w:rPr>
                <w:sz w:val="24"/>
              </w:rPr>
              <w:t>项目环境风险潜势为I，评价等级为简单分析，在落实环评提出的风险防范措施后，环境风险可控。</w:t>
            </w:r>
          </w:p>
          <w:p w14:paraId="23E1B4C9">
            <w:pPr>
              <w:pStyle w:val="8"/>
              <w:spacing w:after="0" w:line="360" w:lineRule="auto"/>
              <w:ind w:firstLine="482" w:firstLineChars="200"/>
              <w:rPr>
                <w:b/>
                <w:bCs/>
                <w:sz w:val="24"/>
              </w:rPr>
            </w:pPr>
            <w:r>
              <w:rPr>
                <w:rFonts w:hint="eastAsia" w:cs="Calibri"/>
                <w:b/>
                <w:bCs/>
                <w:sz w:val="24"/>
              </w:rPr>
              <w:t>7</w:t>
            </w:r>
            <w:r>
              <w:rPr>
                <w:b/>
                <w:bCs/>
                <w:sz w:val="24"/>
              </w:rPr>
              <w:t>、环保投资</w:t>
            </w:r>
          </w:p>
          <w:p w14:paraId="24E155F8">
            <w:pPr>
              <w:spacing w:line="360" w:lineRule="auto"/>
              <w:ind w:firstLine="480" w:firstLineChars="200"/>
              <w:rPr>
                <w:sz w:val="24"/>
              </w:rPr>
            </w:pPr>
            <w:r>
              <w:rPr>
                <w:sz w:val="24"/>
              </w:rPr>
              <w:t>本项目建设总投资</w:t>
            </w:r>
            <w:r>
              <w:rPr>
                <w:rFonts w:hint="eastAsia"/>
                <w:sz w:val="24"/>
              </w:rPr>
              <w:t>10000</w:t>
            </w:r>
            <w:r>
              <w:rPr>
                <w:sz w:val="24"/>
              </w:rPr>
              <w:t>万元，环保投资约</w:t>
            </w:r>
            <w:r>
              <w:rPr>
                <w:rFonts w:hint="eastAsia"/>
                <w:sz w:val="24"/>
              </w:rPr>
              <w:t>171</w:t>
            </w:r>
            <w:r>
              <w:rPr>
                <w:sz w:val="24"/>
              </w:rPr>
              <w:t>万元，占总投资的</w:t>
            </w:r>
            <w:r>
              <w:rPr>
                <w:rFonts w:hint="eastAsia"/>
                <w:sz w:val="24"/>
              </w:rPr>
              <w:t>1.71</w:t>
            </w:r>
            <w:r>
              <w:rPr>
                <w:sz w:val="24"/>
              </w:rPr>
              <w:t>%。本项目环保设施及投资估算见表4-2</w:t>
            </w:r>
            <w:r>
              <w:rPr>
                <w:rFonts w:hint="eastAsia"/>
                <w:sz w:val="24"/>
                <w:lang w:val="en-US" w:eastAsia="zh-CN"/>
              </w:rPr>
              <w:t>9</w:t>
            </w:r>
            <w:r>
              <w:rPr>
                <w:sz w:val="24"/>
              </w:rPr>
              <w:t>。</w:t>
            </w:r>
          </w:p>
          <w:p w14:paraId="73ABC17D">
            <w:pPr>
              <w:spacing w:line="360" w:lineRule="auto"/>
              <w:jc w:val="center"/>
              <w:outlineLvl w:val="1"/>
              <w:rPr>
                <w:b/>
                <w:bCs/>
                <w:sz w:val="24"/>
              </w:rPr>
            </w:pPr>
            <w:r>
              <w:rPr>
                <w:b/>
                <w:bCs/>
                <w:sz w:val="24"/>
              </w:rPr>
              <w:t>表4-2</w:t>
            </w:r>
            <w:r>
              <w:rPr>
                <w:rFonts w:hint="eastAsia"/>
                <w:b/>
                <w:bCs/>
                <w:sz w:val="24"/>
                <w:lang w:val="en-US" w:eastAsia="zh-CN"/>
              </w:rPr>
              <w:t>9</w:t>
            </w:r>
            <w:r>
              <w:rPr>
                <w:b/>
                <w:bCs/>
                <w:sz w:val="24"/>
              </w:rPr>
              <w:t xml:space="preserve">  环保投资估算一览表    单位：万元</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22"/>
              <w:gridCol w:w="5231"/>
              <w:gridCol w:w="1153"/>
              <w:gridCol w:w="828"/>
            </w:tblGrid>
            <w:tr w14:paraId="376B1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tcBorders>
                    <w:tl2br w:val="nil"/>
                    <w:tr2bl w:val="nil"/>
                  </w:tcBorders>
                  <w:vAlign w:val="center"/>
                </w:tcPr>
                <w:p w14:paraId="1F2AD3AB">
                  <w:pPr>
                    <w:jc w:val="center"/>
                    <w:rPr>
                      <w:b/>
                      <w:bCs/>
                    </w:rPr>
                  </w:pPr>
                  <w:r>
                    <w:rPr>
                      <w:b/>
                      <w:bCs/>
                    </w:rPr>
                    <w:t>项目</w:t>
                  </w:r>
                </w:p>
              </w:tc>
              <w:tc>
                <w:tcPr>
                  <w:tcW w:w="3021" w:type="pct"/>
                  <w:tcBorders>
                    <w:tl2br w:val="nil"/>
                    <w:tr2bl w:val="nil"/>
                  </w:tcBorders>
                  <w:vAlign w:val="center"/>
                </w:tcPr>
                <w:p w14:paraId="49071951">
                  <w:pPr>
                    <w:jc w:val="center"/>
                    <w:rPr>
                      <w:b/>
                      <w:bCs/>
                    </w:rPr>
                  </w:pPr>
                  <w:r>
                    <w:rPr>
                      <w:b/>
                      <w:bCs/>
                    </w:rPr>
                    <w:t>内容</w:t>
                  </w:r>
                </w:p>
              </w:tc>
              <w:tc>
                <w:tcPr>
                  <w:tcW w:w="666" w:type="pct"/>
                  <w:tcBorders>
                    <w:tl2br w:val="nil"/>
                    <w:tr2bl w:val="nil"/>
                  </w:tcBorders>
                  <w:vAlign w:val="center"/>
                </w:tcPr>
                <w:p w14:paraId="30631C3B">
                  <w:pPr>
                    <w:jc w:val="center"/>
                    <w:rPr>
                      <w:b/>
                      <w:bCs/>
                    </w:rPr>
                  </w:pPr>
                  <w:r>
                    <w:rPr>
                      <w:b/>
                      <w:bCs/>
                    </w:rPr>
                    <w:t>投资额</w:t>
                  </w:r>
                </w:p>
              </w:tc>
              <w:tc>
                <w:tcPr>
                  <w:tcW w:w="478" w:type="pct"/>
                  <w:tcBorders>
                    <w:tl2br w:val="nil"/>
                    <w:tr2bl w:val="nil"/>
                  </w:tcBorders>
                  <w:vAlign w:val="center"/>
                </w:tcPr>
                <w:p w14:paraId="653EDB2C">
                  <w:pPr>
                    <w:jc w:val="center"/>
                    <w:rPr>
                      <w:b/>
                      <w:bCs/>
                    </w:rPr>
                  </w:pPr>
                  <w:r>
                    <w:rPr>
                      <w:b/>
                      <w:bCs/>
                    </w:rPr>
                    <w:t>备注</w:t>
                  </w:r>
                </w:p>
              </w:tc>
            </w:tr>
            <w:tr w14:paraId="69D87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restart"/>
                  <w:tcBorders>
                    <w:tl2br w:val="nil"/>
                    <w:tr2bl w:val="nil"/>
                  </w:tcBorders>
                  <w:vAlign w:val="center"/>
                </w:tcPr>
                <w:p w14:paraId="231361E6">
                  <w:pPr>
                    <w:jc w:val="center"/>
                  </w:pPr>
                  <w:r>
                    <w:t>废气治理</w:t>
                  </w:r>
                </w:p>
              </w:tc>
              <w:tc>
                <w:tcPr>
                  <w:tcW w:w="3021" w:type="pct"/>
                  <w:tcBorders>
                    <w:tl2br w:val="nil"/>
                    <w:tr2bl w:val="nil"/>
                  </w:tcBorders>
                  <w:shd w:val="clear" w:color="auto" w:fill="auto"/>
                  <w:vAlign w:val="center"/>
                </w:tcPr>
                <w:p w14:paraId="399F784A">
                  <w:pPr>
                    <w:jc w:val="left"/>
                  </w:pPr>
                  <w:r>
                    <w:rPr>
                      <w:b/>
                      <w:bCs/>
                    </w:rPr>
                    <w:t>病区含菌空气：</w:t>
                  </w:r>
                  <w:r>
                    <w:t>对病房区、走廊、各科诊室和检验科室定期消毒处理，并加强病区通风</w:t>
                  </w:r>
                </w:p>
              </w:tc>
              <w:tc>
                <w:tcPr>
                  <w:tcW w:w="666" w:type="pct"/>
                  <w:tcBorders>
                    <w:tl2br w:val="nil"/>
                    <w:tr2bl w:val="nil"/>
                  </w:tcBorders>
                  <w:shd w:val="clear" w:color="auto" w:fill="auto"/>
                  <w:vAlign w:val="center"/>
                </w:tcPr>
                <w:p w14:paraId="35D69084">
                  <w:pPr>
                    <w:jc w:val="center"/>
                  </w:pPr>
                  <w:r>
                    <w:rPr>
                      <w:rFonts w:hint="eastAsia"/>
                    </w:rPr>
                    <w:t>10.0</w:t>
                  </w:r>
                </w:p>
              </w:tc>
              <w:tc>
                <w:tcPr>
                  <w:tcW w:w="478" w:type="pct"/>
                  <w:tcBorders>
                    <w:tl2br w:val="nil"/>
                    <w:tr2bl w:val="nil"/>
                  </w:tcBorders>
                  <w:shd w:val="clear" w:color="auto" w:fill="auto"/>
                  <w:vAlign w:val="center"/>
                </w:tcPr>
                <w:p w14:paraId="0372E56F">
                  <w:pPr>
                    <w:jc w:val="center"/>
                  </w:pPr>
                  <w:r>
                    <w:t>新增</w:t>
                  </w:r>
                </w:p>
              </w:tc>
            </w:tr>
            <w:tr w14:paraId="7498B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31AA044D">
                  <w:pPr>
                    <w:jc w:val="center"/>
                  </w:pPr>
                </w:p>
              </w:tc>
              <w:tc>
                <w:tcPr>
                  <w:tcW w:w="3021" w:type="pct"/>
                  <w:tcBorders>
                    <w:tl2br w:val="nil"/>
                    <w:tr2bl w:val="nil"/>
                  </w:tcBorders>
                  <w:shd w:val="clear" w:color="auto" w:fill="auto"/>
                  <w:vAlign w:val="center"/>
                </w:tcPr>
                <w:p w14:paraId="6273DB1B">
                  <w:pPr>
                    <w:jc w:val="left"/>
                  </w:pPr>
                  <w:r>
                    <w:rPr>
                      <w:rFonts w:hint="eastAsia"/>
                      <w:b/>
                      <w:bCs/>
                    </w:rPr>
                    <w:t>医疗废物暂存间恶臭：</w:t>
                  </w:r>
                  <w:r>
                    <w:rPr>
                      <w:rFonts w:hint="eastAsia"/>
                    </w:rPr>
                    <w:t>医疗废物密封储存，加强管理，定期消毒，日产日清。</w:t>
                  </w:r>
                </w:p>
              </w:tc>
              <w:tc>
                <w:tcPr>
                  <w:tcW w:w="666" w:type="pct"/>
                  <w:tcBorders>
                    <w:tl2br w:val="nil"/>
                    <w:tr2bl w:val="nil"/>
                  </w:tcBorders>
                  <w:shd w:val="clear" w:color="auto" w:fill="auto"/>
                  <w:vAlign w:val="center"/>
                </w:tcPr>
                <w:p w14:paraId="11A9928C">
                  <w:pPr>
                    <w:jc w:val="center"/>
                  </w:pPr>
                  <w:r>
                    <w:rPr>
                      <w:rFonts w:hint="eastAsia"/>
                    </w:rPr>
                    <w:t>2.0</w:t>
                  </w:r>
                </w:p>
              </w:tc>
              <w:tc>
                <w:tcPr>
                  <w:tcW w:w="478" w:type="pct"/>
                  <w:tcBorders>
                    <w:tl2br w:val="nil"/>
                    <w:tr2bl w:val="nil"/>
                  </w:tcBorders>
                  <w:shd w:val="clear" w:color="auto" w:fill="auto"/>
                  <w:vAlign w:val="center"/>
                </w:tcPr>
                <w:p w14:paraId="3167C260">
                  <w:pPr>
                    <w:jc w:val="center"/>
                  </w:pPr>
                  <w:r>
                    <w:t>新增</w:t>
                  </w:r>
                </w:p>
              </w:tc>
            </w:tr>
            <w:tr w14:paraId="0190C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226133C0">
                  <w:pPr>
                    <w:jc w:val="center"/>
                  </w:pPr>
                </w:p>
              </w:tc>
              <w:tc>
                <w:tcPr>
                  <w:tcW w:w="3021" w:type="pct"/>
                  <w:tcBorders>
                    <w:tl2br w:val="nil"/>
                    <w:tr2bl w:val="nil"/>
                  </w:tcBorders>
                  <w:vAlign w:val="center"/>
                </w:tcPr>
                <w:p w14:paraId="060B0088">
                  <w:pPr>
                    <w:jc w:val="left"/>
                  </w:pPr>
                  <w:r>
                    <w:rPr>
                      <w:b/>
                    </w:rPr>
                    <w:t>柴油发电机废气：</w:t>
                  </w:r>
                  <w:r>
                    <w:rPr>
                      <w:bCs/>
                    </w:rPr>
                    <w:t>经自带烟气净化装置处理后外排</w:t>
                  </w:r>
                </w:p>
              </w:tc>
              <w:tc>
                <w:tcPr>
                  <w:tcW w:w="666" w:type="pct"/>
                  <w:tcBorders>
                    <w:tl2br w:val="nil"/>
                    <w:tr2bl w:val="nil"/>
                  </w:tcBorders>
                  <w:vAlign w:val="center"/>
                </w:tcPr>
                <w:p w14:paraId="6F200239">
                  <w:pPr>
                    <w:jc w:val="center"/>
                  </w:pPr>
                  <w:r>
                    <w:rPr>
                      <w:rFonts w:hint="eastAsia"/>
                    </w:rPr>
                    <w:t>3.0</w:t>
                  </w:r>
                </w:p>
              </w:tc>
              <w:tc>
                <w:tcPr>
                  <w:tcW w:w="478" w:type="pct"/>
                  <w:tcBorders>
                    <w:tl2br w:val="nil"/>
                    <w:tr2bl w:val="nil"/>
                  </w:tcBorders>
                  <w:vAlign w:val="center"/>
                </w:tcPr>
                <w:p w14:paraId="3A0233FA">
                  <w:pPr>
                    <w:jc w:val="center"/>
                  </w:pPr>
                  <w:r>
                    <w:t>新增</w:t>
                  </w:r>
                </w:p>
              </w:tc>
            </w:tr>
            <w:tr w14:paraId="6664A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2B2D1166">
                  <w:pPr>
                    <w:jc w:val="center"/>
                  </w:pPr>
                </w:p>
              </w:tc>
              <w:tc>
                <w:tcPr>
                  <w:tcW w:w="3021" w:type="pct"/>
                  <w:tcBorders>
                    <w:tl2br w:val="nil"/>
                    <w:tr2bl w:val="nil"/>
                  </w:tcBorders>
                  <w:vAlign w:val="center"/>
                </w:tcPr>
                <w:p w14:paraId="7B013837">
                  <w:pPr>
                    <w:jc w:val="left"/>
                  </w:pPr>
                  <w:r>
                    <w:rPr>
                      <w:b/>
                    </w:rPr>
                    <w:t>食堂油烟：</w:t>
                  </w:r>
                  <w:r>
                    <w:t>采用高效油烟净化器（处理效率85%以上），食堂油烟经处理后</w:t>
                  </w:r>
                  <w:r>
                    <w:rPr>
                      <w:rFonts w:hint="eastAsia"/>
                    </w:rPr>
                    <w:t>通过专用烟道外排。</w:t>
                  </w:r>
                </w:p>
              </w:tc>
              <w:tc>
                <w:tcPr>
                  <w:tcW w:w="666" w:type="pct"/>
                  <w:tcBorders>
                    <w:tl2br w:val="nil"/>
                    <w:tr2bl w:val="nil"/>
                  </w:tcBorders>
                  <w:vAlign w:val="center"/>
                </w:tcPr>
                <w:p w14:paraId="78D68A3B">
                  <w:pPr>
                    <w:jc w:val="center"/>
                  </w:pPr>
                  <w:r>
                    <w:rPr>
                      <w:rFonts w:hint="eastAsia"/>
                    </w:rPr>
                    <w:t>2.0</w:t>
                  </w:r>
                </w:p>
              </w:tc>
              <w:tc>
                <w:tcPr>
                  <w:tcW w:w="478" w:type="pct"/>
                  <w:tcBorders>
                    <w:tl2br w:val="nil"/>
                    <w:tr2bl w:val="nil"/>
                  </w:tcBorders>
                  <w:vAlign w:val="center"/>
                </w:tcPr>
                <w:p w14:paraId="5981DF69">
                  <w:pPr>
                    <w:jc w:val="center"/>
                  </w:pPr>
                  <w:r>
                    <w:t>新增</w:t>
                  </w:r>
                </w:p>
              </w:tc>
            </w:tr>
            <w:tr w14:paraId="1C152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3D89FEFE">
                  <w:pPr>
                    <w:jc w:val="center"/>
                  </w:pPr>
                </w:p>
              </w:tc>
              <w:tc>
                <w:tcPr>
                  <w:tcW w:w="3021" w:type="pct"/>
                  <w:tcBorders>
                    <w:tl2br w:val="nil"/>
                    <w:tr2bl w:val="nil"/>
                  </w:tcBorders>
                  <w:vAlign w:val="center"/>
                </w:tcPr>
                <w:p w14:paraId="720836B4">
                  <w:pPr>
                    <w:jc w:val="left"/>
                  </w:pPr>
                  <w:r>
                    <w:rPr>
                      <w:rFonts w:hint="eastAsia"/>
                      <w:b/>
                      <w:bCs/>
                    </w:rPr>
                    <w:t>污水处理站恶臭：</w:t>
                  </w:r>
                  <w:r>
                    <w:rPr>
                      <w:rFonts w:hint="eastAsia"/>
                    </w:rPr>
                    <w:t>采取</w:t>
                  </w:r>
                  <w:r>
                    <w:t>紫外线消毒</w:t>
                  </w:r>
                  <w:r>
                    <w:rPr>
                      <w:rFonts w:hint="eastAsia"/>
                    </w:rPr>
                    <w:t>、</w:t>
                  </w:r>
                  <w:r>
                    <w:t>活性炭吸附</w:t>
                  </w:r>
                  <w:r>
                    <w:rPr>
                      <w:rFonts w:hint="eastAsia"/>
                    </w:rPr>
                    <w:t>、</w:t>
                  </w:r>
                  <w:r>
                    <w:t>引致污水处理站设备间屋顶排放（高度约5m），</w:t>
                  </w:r>
                  <w:r>
                    <w:rPr>
                      <w:rFonts w:hint="eastAsia"/>
                    </w:rPr>
                    <w:t>同时</w:t>
                  </w:r>
                  <w:r>
                    <w:t>污水处理站周边投加除臭剂、加强院区周边绿化等措施</w:t>
                  </w:r>
                </w:p>
              </w:tc>
              <w:tc>
                <w:tcPr>
                  <w:tcW w:w="666" w:type="pct"/>
                  <w:tcBorders>
                    <w:tl2br w:val="nil"/>
                    <w:tr2bl w:val="nil"/>
                  </w:tcBorders>
                  <w:vAlign w:val="center"/>
                </w:tcPr>
                <w:p w14:paraId="40278ED4">
                  <w:pPr>
                    <w:jc w:val="center"/>
                  </w:pPr>
                  <w:r>
                    <w:rPr>
                      <w:rFonts w:hint="eastAsia"/>
                    </w:rPr>
                    <w:t>3.0</w:t>
                  </w:r>
                </w:p>
              </w:tc>
              <w:tc>
                <w:tcPr>
                  <w:tcW w:w="478" w:type="pct"/>
                  <w:tcBorders>
                    <w:tl2br w:val="nil"/>
                    <w:tr2bl w:val="nil"/>
                  </w:tcBorders>
                  <w:vAlign w:val="center"/>
                </w:tcPr>
                <w:p w14:paraId="489F232C">
                  <w:pPr>
                    <w:jc w:val="center"/>
                  </w:pPr>
                  <w:r>
                    <w:t>新增</w:t>
                  </w:r>
                </w:p>
              </w:tc>
            </w:tr>
            <w:tr w14:paraId="20F9D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72561DA0">
                  <w:pPr>
                    <w:jc w:val="center"/>
                  </w:pPr>
                </w:p>
              </w:tc>
              <w:tc>
                <w:tcPr>
                  <w:tcW w:w="3021" w:type="pct"/>
                  <w:tcBorders>
                    <w:tl2br w:val="nil"/>
                    <w:tr2bl w:val="nil"/>
                  </w:tcBorders>
                  <w:vAlign w:val="center"/>
                </w:tcPr>
                <w:p w14:paraId="6CBB6C06">
                  <w:pPr>
                    <w:jc w:val="left"/>
                  </w:pPr>
                  <w:r>
                    <w:rPr>
                      <w:rFonts w:hint="eastAsia"/>
                      <w:b/>
                    </w:rPr>
                    <w:t>汽车尾气：</w:t>
                  </w:r>
                  <w:r>
                    <w:rPr>
                      <w:rFonts w:hint="eastAsia"/>
                    </w:rPr>
                    <w:t>产生量较小，自然扩散。</w:t>
                  </w:r>
                </w:p>
              </w:tc>
              <w:tc>
                <w:tcPr>
                  <w:tcW w:w="666" w:type="pct"/>
                  <w:tcBorders>
                    <w:tl2br w:val="nil"/>
                    <w:tr2bl w:val="nil"/>
                  </w:tcBorders>
                  <w:vAlign w:val="center"/>
                </w:tcPr>
                <w:p w14:paraId="6D2C0768">
                  <w:pPr>
                    <w:jc w:val="center"/>
                  </w:pPr>
                  <w:r>
                    <w:rPr>
                      <w:rFonts w:hint="eastAsia"/>
                    </w:rPr>
                    <w:t>/</w:t>
                  </w:r>
                </w:p>
              </w:tc>
              <w:tc>
                <w:tcPr>
                  <w:tcW w:w="478" w:type="pct"/>
                  <w:tcBorders>
                    <w:tl2br w:val="nil"/>
                    <w:tr2bl w:val="nil"/>
                  </w:tcBorders>
                  <w:vAlign w:val="center"/>
                </w:tcPr>
                <w:p w14:paraId="4D2509E8">
                  <w:pPr>
                    <w:jc w:val="center"/>
                  </w:pPr>
                  <w:r>
                    <w:t>新增</w:t>
                  </w:r>
                </w:p>
              </w:tc>
            </w:tr>
            <w:tr w14:paraId="059B1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restart"/>
                  <w:tcBorders>
                    <w:tl2br w:val="nil"/>
                    <w:tr2bl w:val="nil"/>
                  </w:tcBorders>
                  <w:vAlign w:val="center"/>
                </w:tcPr>
                <w:p w14:paraId="2CA4F848">
                  <w:pPr>
                    <w:jc w:val="center"/>
                  </w:pPr>
                  <w:r>
                    <w:t>废水治理</w:t>
                  </w:r>
                </w:p>
              </w:tc>
              <w:tc>
                <w:tcPr>
                  <w:tcW w:w="3021" w:type="pct"/>
                  <w:tcBorders>
                    <w:tl2br w:val="nil"/>
                    <w:tr2bl w:val="nil"/>
                  </w:tcBorders>
                  <w:shd w:val="clear" w:color="auto" w:fill="auto"/>
                  <w:vAlign w:val="center"/>
                </w:tcPr>
                <w:p w14:paraId="4FD5ABF6">
                  <w:pPr>
                    <w:jc w:val="left"/>
                  </w:pPr>
                  <w:r>
                    <w:rPr>
                      <w:rFonts w:hint="eastAsia"/>
                      <w:b/>
                    </w:rPr>
                    <w:t>化粪池</w:t>
                  </w:r>
                  <w:r>
                    <w:rPr>
                      <w:b/>
                    </w:rPr>
                    <w:t>：</w:t>
                  </w:r>
                  <w:r>
                    <w:t>1个，</w:t>
                  </w:r>
                  <w:r>
                    <w:rPr>
                      <w:rFonts w:hint="eastAsia"/>
                    </w:rPr>
                    <w:t>设置于综合楼西南侧</w:t>
                  </w:r>
                  <w:r>
                    <w:t>，容积为</w:t>
                  </w:r>
                  <w:r>
                    <w:rPr>
                      <w:rFonts w:hint="eastAsia"/>
                    </w:rPr>
                    <w:t>200</w:t>
                  </w:r>
                  <w:r>
                    <w:t>m</w:t>
                  </w:r>
                  <w:r>
                    <w:rPr>
                      <w:vertAlign w:val="superscript"/>
                    </w:rPr>
                    <w:t>3</w:t>
                  </w:r>
                  <w:r>
                    <w:rPr>
                      <w:rFonts w:hint="eastAsia"/>
                    </w:rPr>
                    <w:t>。</w:t>
                  </w:r>
                </w:p>
              </w:tc>
              <w:tc>
                <w:tcPr>
                  <w:tcW w:w="666" w:type="pct"/>
                  <w:tcBorders>
                    <w:tl2br w:val="nil"/>
                    <w:tr2bl w:val="nil"/>
                  </w:tcBorders>
                  <w:shd w:val="clear" w:color="auto" w:fill="auto"/>
                  <w:vAlign w:val="center"/>
                </w:tcPr>
                <w:p w14:paraId="5332D2FC">
                  <w:pPr>
                    <w:jc w:val="center"/>
                  </w:pPr>
                  <w:r>
                    <w:t>/</w:t>
                  </w:r>
                </w:p>
              </w:tc>
              <w:tc>
                <w:tcPr>
                  <w:tcW w:w="478" w:type="pct"/>
                  <w:tcBorders>
                    <w:tl2br w:val="nil"/>
                    <w:tr2bl w:val="nil"/>
                  </w:tcBorders>
                  <w:shd w:val="clear" w:color="auto" w:fill="auto"/>
                  <w:vAlign w:val="center"/>
                </w:tcPr>
                <w:p w14:paraId="5FD4E67C">
                  <w:pPr>
                    <w:jc w:val="center"/>
                  </w:pPr>
                  <w:r>
                    <w:t>依托</w:t>
                  </w:r>
                </w:p>
              </w:tc>
            </w:tr>
            <w:tr w14:paraId="59140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296259EB">
                  <w:pPr>
                    <w:jc w:val="center"/>
                  </w:pPr>
                </w:p>
              </w:tc>
              <w:tc>
                <w:tcPr>
                  <w:tcW w:w="3021" w:type="pct"/>
                  <w:tcBorders>
                    <w:tl2br w:val="nil"/>
                    <w:tr2bl w:val="nil"/>
                  </w:tcBorders>
                  <w:vAlign w:val="center"/>
                </w:tcPr>
                <w:p w14:paraId="3D20561A">
                  <w:pPr>
                    <w:jc w:val="left"/>
                  </w:pPr>
                  <w:r>
                    <w:rPr>
                      <w:b/>
                    </w:rPr>
                    <w:t>油水分离器：</w:t>
                  </w:r>
                  <w:r>
                    <w:t>1个，</w:t>
                  </w:r>
                  <w:r>
                    <w:rPr>
                      <w:rFonts w:hint="eastAsia"/>
                    </w:rPr>
                    <w:t>设置于厨房水池下，容积为2m</w:t>
                  </w:r>
                  <w:r>
                    <w:rPr>
                      <w:rFonts w:hint="eastAsia"/>
                      <w:vertAlign w:val="superscript"/>
                    </w:rPr>
                    <w:t>3</w:t>
                  </w:r>
                  <w:r>
                    <w:rPr>
                      <w:rFonts w:hint="eastAsia"/>
                    </w:rPr>
                    <w:t>。</w:t>
                  </w:r>
                </w:p>
              </w:tc>
              <w:tc>
                <w:tcPr>
                  <w:tcW w:w="666" w:type="pct"/>
                  <w:tcBorders>
                    <w:tl2br w:val="nil"/>
                    <w:tr2bl w:val="nil"/>
                  </w:tcBorders>
                  <w:vAlign w:val="center"/>
                </w:tcPr>
                <w:p w14:paraId="1C93F319">
                  <w:pPr>
                    <w:jc w:val="center"/>
                  </w:pPr>
                  <w:r>
                    <w:rPr>
                      <w:rFonts w:hint="eastAsia"/>
                    </w:rPr>
                    <w:t>0.5</w:t>
                  </w:r>
                </w:p>
              </w:tc>
              <w:tc>
                <w:tcPr>
                  <w:tcW w:w="478" w:type="pct"/>
                  <w:tcBorders>
                    <w:tl2br w:val="nil"/>
                    <w:tr2bl w:val="nil"/>
                  </w:tcBorders>
                  <w:vAlign w:val="center"/>
                </w:tcPr>
                <w:p w14:paraId="72E1BCC7">
                  <w:pPr>
                    <w:jc w:val="center"/>
                  </w:pPr>
                  <w:r>
                    <w:t>新增</w:t>
                  </w:r>
                </w:p>
              </w:tc>
            </w:tr>
            <w:tr w14:paraId="590A7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vMerge w:val="continue"/>
                  <w:tcBorders>
                    <w:tl2br w:val="nil"/>
                    <w:tr2bl w:val="nil"/>
                  </w:tcBorders>
                  <w:vAlign w:val="center"/>
                </w:tcPr>
                <w:p w14:paraId="71929A86">
                  <w:pPr>
                    <w:jc w:val="center"/>
                  </w:pPr>
                </w:p>
              </w:tc>
              <w:tc>
                <w:tcPr>
                  <w:tcW w:w="3021" w:type="pct"/>
                  <w:tcBorders>
                    <w:tl2br w:val="nil"/>
                    <w:tr2bl w:val="nil"/>
                  </w:tcBorders>
                  <w:vAlign w:val="center"/>
                </w:tcPr>
                <w:p w14:paraId="203EEBFC">
                  <w:pPr>
                    <w:jc w:val="left"/>
                  </w:pPr>
                  <w:r>
                    <w:rPr>
                      <w:rFonts w:hint="eastAsia"/>
                      <w:b/>
                      <w:bCs/>
                    </w:rPr>
                    <w:t>污水处理站：</w:t>
                  </w:r>
                  <w:r>
                    <w:rPr>
                      <w:rFonts w:hint="eastAsia"/>
                    </w:rPr>
                    <w:t>处理能力为</w:t>
                  </w:r>
                  <w:r>
                    <w:rPr>
                      <w:rFonts w:hint="eastAsia"/>
                      <w:lang w:val="en-US" w:eastAsia="zh-CN"/>
                    </w:rPr>
                    <w:t>7</w:t>
                  </w:r>
                  <w:r>
                    <w:rPr>
                      <w:rFonts w:hint="eastAsia"/>
                    </w:rPr>
                    <w:t>0m</w:t>
                  </w:r>
                  <w:r>
                    <w:rPr>
                      <w:rFonts w:hint="eastAsia"/>
                      <w:vertAlign w:val="superscript"/>
                    </w:rPr>
                    <w:t>3</w:t>
                  </w:r>
                  <w:r>
                    <w:rPr>
                      <w:rFonts w:hint="eastAsia"/>
                    </w:rPr>
                    <w:t>/d，采用“</w:t>
                  </w:r>
                  <w:r>
                    <w:rPr>
                      <w:rFonts w:hint="eastAsia"/>
                      <w:lang w:val="en-US" w:eastAsia="zh-CN"/>
                    </w:rPr>
                    <w:t>预处理+</w:t>
                  </w:r>
                  <w:r>
                    <w:rPr>
                      <w:rFonts w:hint="eastAsia"/>
                    </w:rPr>
                    <w:t>A</w:t>
                  </w:r>
                  <w:r>
                    <w:rPr>
                      <w:rFonts w:hint="eastAsia"/>
                      <w:lang w:val="en-US" w:eastAsia="zh-CN"/>
                    </w:rPr>
                    <w:t>2</w:t>
                  </w:r>
                  <w:r>
                    <w:rPr>
                      <w:rFonts w:hint="eastAsia"/>
                    </w:rPr>
                    <w:t>O+沉淀+消毒”工艺。</w:t>
                  </w:r>
                </w:p>
              </w:tc>
              <w:tc>
                <w:tcPr>
                  <w:tcW w:w="666" w:type="pct"/>
                  <w:tcBorders>
                    <w:tl2br w:val="nil"/>
                    <w:tr2bl w:val="nil"/>
                  </w:tcBorders>
                  <w:vAlign w:val="center"/>
                </w:tcPr>
                <w:p w14:paraId="28EFEC34">
                  <w:pPr>
                    <w:jc w:val="center"/>
                  </w:pPr>
                  <w:r>
                    <w:rPr>
                      <w:rFonts w:hint="eastAsia"/>
                    </w:rPr>
                    <w:t>80.0</w:t>
                  </w:r>
                </w:p>
              </w:tc>
              <w:tc>
                <w:tcPr>
                  <w:tcW w:w="478" w:type="pct"/>
                  <w:tcBorders>
                    <w:tl2br w:val="nil"/>
                    <w:tr2bl w:val="nil"/>
                  </w:tcBorders>
                  <w:vAlign w:val="center"/>
                </w:tcPr>
                <w:p w14:paraId="17454F93">
                  <w:pPr>
                    <w:jc w:val="center"/>
                  </w:pPr>
                  <w:r>
                    <w:t>新增</w:t>
                  </w:r>
                </w:p>
              </w:tc>
            </w:tr>
            <w:tr w14:paraId="7D81C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tcBorders>
                    <w:tl2br w:val="nil"/>
                    <w:tr2bl w:val="nil"/>
                  </w:tcBorders>
                  <w:vAlign w:val="center"/>
                </w:tcPr>
                <w:p w14:paraId="013FD5BE">
                  <w:pPr>
                    <w:jc w:val="center"/>
                  </w:pPr>
                  <w:r>
                    <w:t>噪声治理</w:t>
                  </w:r>
                </w:p>
              </w:tc>
              <w:tc>
                <w:tcPr>
                  <w:tcW w:w="3021" w:type="pct"/>
                  <w:tcBorders>
                    <w:tl2br w:val="nil"/>
                    <w:tr2bl w:val="nil"/>
                  </w:tcBorders>
                  <w:shd w:val="clear" w:color="auto" w:fill="auto"/>
                  <w:vAlign w:val="center"/>
                </w:tcPr>
                <w:p w14:paraId="08F778D3">
                  <w:pPr>
                    <w:pStyle w:val="10"/>
                    <w:jc w:val="left"/>
                    <w:rPr>
                      <w:rFonts w:ascii="Times New Roman" w:hAnsi="Times New Roman"/>
                      <w:vertAlign w:val="baseline"/>
                    </w:rPr>
                  </w:pPr>
                  <w:r>
                    <w:rPr>
                      <w:rFonts w:ascii="Times New Roman" w:hAnsi="Times New Roman"/>
                      <w:vertAlign w:val="baseline"/>
                    </w:rPr>
                    <w:t>选用低噪声设备；高噪声设备置于单独的房间内，安装设备减震器，加强管理，通过隔声和距离衰减使噪声达标。</w:t>
                  </w:r>
                </w:p>
              </w:tc>
              <w:tc>
                <w:tcPr>
                  <w:tcW w:w="666" w:type="pct"/>
                  <w:tcBorders>
                    <w:tl2br w:val="nil"/>
                    <w:tr2bl w:val="nil"/>
                  </w:tcBorders>
                  <w:shd w:val="clear" w:color="auto" w:fill="auto"/>
                  <w:vAlign w:val="center"/>
                </w:tcPr>
                <w:p w14:paraId="18E2DCDF">
                  <w:pPr>
                    <w:jc w:val="center"/>
                  </w:pPr>
                  <w:r>
                    <w:t>10</w:t>
                  </w:r>
                  <w:r>
                    <w:rPr>
                      <w:rFonts w:hint="eastAsia"/>
                    </w:rPr>
                    <w:t>.0</w:t>
                  </w:r>
                </w:p>
              </w:tc>
              <w:tc>
                <w:tcPr>
                  <w:tcW w:w="478" w:type="pct"/>
                  <w:tcBorders>
                    <w:tl2br w:val="nil"/>
                    <w:tr2bl w:val="nil"/>
                  </w:tcBorders>
                  <w:shd w:val="clear" w:color="auto" w:fill="auto"/>
                  <w:vAlign w:val="center"/>
                </w:tcPr>
                <w:p w14:paraId="5240080D">
                  <w:pPr>
                    <w:jc w:val="center"/>
                  </w:pPr>
                  <w:r>
                    <w:t>新增</w:t>
                  </w:r>
                </w:p>
              </w:tc>
            </w:tr>
            <w:tr w14:paraId="37895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tcBorders>
                    <w:tl2br w:val="nil"/>
                    <w:tr2bl w:val="nil"/>
                  </w:tcBorders>
                  <w:vAlign w:val="center"/>
                </w:tcPr>
                <w:p w14:paraId="762DA088">
                  <w:pPr>
                    <w:jc w:val="center"/>
                  </w:pPr>
                  <w:r>
                    <w:t>固废治理</w:t>
                  </w:r>
                </w:p>
              </w:tc>
              <w:tc>
                <w:tcPr>
                  <w:tcW w:w="417" w:type="pct"/>
                  <w:vMerge w:val="restart"/>
                  <w:tcBorders>
                    <w:tl2br w:val="nil"/>
                    <w:tr2bl w:val="nil"/>
                  </w:tcBorders>
                  <w:vAlign w:val="center"/>
                </w:tcPr>
                <w:p w14:paraId="4F747984">
                  <w:pPr>
                    <w:jc w:val="center"/>
                  </w:pPr>
                  <w:r>
                    <w:rPr>
                      <w:rFonts w:hint="eastAsia"/>
                    </w:rPr>
                    <w:t>一般固废</w:t>
                  </w:r>
                </w:p>
              </w:tc>
              <w:tc>
                <w:tcPr>
                  <w:tcW w:w="3021" w:type="pct"/>
                  <w:tcBorders>
                    <w:tl2br w:val="nil"/>
                    <w:tr2bl w:val="nil"/>
                  </w:tcBorders>
                  <w:shd w:val="clear" w:color="auto" w:fill="auto"/>
                  <w:vAlign w:val="center"/>
                </w:tcPr>
                <w:p w14:paraId="42669D63">
                  <w:pPr>
                    <w:jc w:val="left"/>
                  </w:pPr>
                  <w:r>
                    <w:rPr>
                      <w:b/>
                      <w:bCs/>
                    </w:rPr>
                    <w:t>生活垃圾</w:t>
                  </w:r>
                  <w:r>
                    <w:rPr>
                      <w:rFonts w:hint="eastAsia"/>
                      <w:b/>
                      <w:bCs/>
                    </w:rPr>
                    <w:t>：</w:t>
                  </w:r>
                  <w:r>
                    <w:t>日产日清，交环卫部门统一清运</w:t>
                  </w:r>
                  <w:r>
                    <w:rPr>
                      <w:rFonts w:hint="eastAsia"/>
                    </w:rPr>
                    <w:t>。</w:t>
                  </w:r>
                </w:p>
              </w:tc>
              <w:tc>
                <w:tcPr>
                  <w:tcW w:w="666" w:type="pct"/>
                  <w:tcBorders>
                    <w:tl2br w:val="nil"/>
                    <w:tr2bl w:val="nil"/>
                  </w:tcBorders>
                  <w:shd w:val="clear" w:color="auto" w:fill="auto"/>
                  <w:vAlign w:val="center"/>
                </w:tcPr>
                <w:p w14:paraId="75B0B009">
                  <w:pPr>
                    <w:jc w:val="center"/>
                  </w:pPr>
                  <w:r>
                    <w:rPr>
                      <w:rFonts w:hint="eastAsia"/>
                    </w:rPr>
                    <w:t>0.5</w:t>
                  </w:r>
                </w:p>
              </w:tc>
              <w:tc>
                <w:tcPr>
                  <w:tcW w:w="478" w:type="pct"/>
                  <w:tcBorders>
                    <w:tl2br w:val="nil"/>
                    <w:tr2bl w:val="nil"/>
                  </w:tcBorders>
                  <w:shd w:val="clear" w:color="auto" w:fill="auto"/>
                  <w:vAlign w:val="center"/>
                </w:tcPr>
                <w:p w14:paraId="165E37A4">
                  <w:pPr>
                    <w:jc w:val="center"/>
                  </w:pPr>
                  <w:r>
                    <w:t>新增</w:t>
                  </w:r>
                </w:p>
              </w:tc>
            </w:tr>
            <w:tr w14:paraId="185D6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tl2br w:val="nil"/>
                    <w:tr2bl w:val="nil"/>
                  </w:tcBorders>
                  <w:vAlign w:val="center"/>
                </w:tcPr>
                <w:p w14:paraId="2AEDFFC6">
                  <w:pPr>
                    <w:jc w:val="center"/>
                  </w:pPr>
                </w:p>
              </w:tc>
              <w:tc>
                <w:tcPr>
                  <w:tcW w:w="417" w:type="pct"/>
                  <w:vMerge w:val="continue"/>
                  <w:tcBorders>
                    <w:tl2br w:val="nil"/>
                    <w:tr2bl w:val="nil"/>
                  </w:tcBorders>
                  <w:vAlign w:val="center"/>
                </w:tcPr>
                <w:p w14:paraId="077A0C99">
                  <w:pPr>
                    <w:jc w:val="center"/>
                  </w:pPr>
                </w:p>
              </w:tc>
              <w:tc>
                <w:tcPr>
                  <w:tcW w:w="3021" w:type="pct"/>
                  <w:tcBorders>
                    <w:tl2br w:val="nil"/>
                    <w:tr2bl w:val="nil"/>
                  </w:tcBorders>
                  <w:vAlign w:val="center"/>
                </w:tcPr>
                <w:p w14:paraId="70420FDD">
                  <w:pPr>
                    <w:jc w:val="left"/>
                  </w:pPr>
                  <w:r>
                    <w:rPr>
                      <w:rFonts w:hint="eastAsia"/>
                      <w:b/>
                      <w:bCs/>
                    </w:rPr>
                    <w:t>未感染的输液瓶（袋）：</w:t>
                  </w:r>
                  <w:r>
                    <w:rPr>
                      <w:rFonts w:hint="eastAsia"/>
                    </w:rPr>
                    <w:t>经统一容器收集后，定期交由回收公司处理，并建立管理台账。</w:t>
                  </w:r>
                </w:p>
              </w:tc>
              <w:tc>
                <w:tcPr>
                  <w:tcW w:w="666" w:type="pct"/>
                  <w:tcBorders>
                    <w:tl2br w:val="nil"/>
                    <w:tr2bl w:val="nil"/>
                  </w:tcBorders>
                  <w:vAlign w:val="center"/>
                </w:tcPr>
                <w:p w14:paraId="316779A9">
                  <w:pPr>
                    <w:jc w:val="center"/>
                  </w:pPr>
                  <w:r>
                    <w:rPr>
                      <w:rFonts w:hint="eastAsia"/>
                    </w:rPr>
                    <w:t>3.0</w:t>
                  </w:r>
                </w:p>
              </w:tc>
              <w:tc>
                <w:tcPr>
                  <w:tcW w:w="478" w:type="pct"/>
                  <w:tcBorders>
                    <w:tl2br w:val="nil"/>
                    <w:tr2bl w:val="nil"/>
                  </w:tcBorders>
                  <w:vAlign w:val="center"/>
                </w:tcPr>
                <w:p w14:paraId="69B32348">
                  <w:pPr>
                    <w:jc w:val="center"/>
                  </w:pPr>
                  <w:r>
                    <w:t>新增</w:t>
                  </w:r>
                </w:p>
              </w:tc>
            </w:tr>
            <w:tr w14:paraId="220DF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tl2br w:val="nil"/>
                    <w:tr2bl w:val="nil"/>
                  </w:tcBorders>
                  <w:vAlign w:val="center"/>
                </w:tcPr>
                <w:p w14:paraId="525E8474">
                  <w:pPr>
                    <w:jc w:val="center"/>
                  </w:pPr>
                </w:p>
              </w:tc>
              <w:tc>
                <w:tcPr>
                  <w:tcW w:w="417" w:type="pct"/>
                  <w:vMerge w:val="continue"/>
                  <w:tcBorders>
                    <w:tl2br w:val="nil"/>
                    <w:tr2bl w:val="nil"/>
                  </w:tcBorders>
                  <w:vAlign w:val="center"/>
                </w:tcPr>
                <w:p w14:paraId="0F0C299D">
                  <w:pPr>
                    <w:jc w:val="center"/>
                  </w:pPr>
                </w:p>
              </w:tc>
              <w:tc>
                <w:tcPr>
                  <w:tcW w:w="3021" w:type="pct"/>
                  <w:tcBorders>
                    <w:tl2br w:val="nil"/>
                    <w:tr2bl w:val="nil"/>
                  </w:tcBorders>
                  <w:vAlign w:val="center"/>
                </w:tcPr>
                <w:p w14:paraId="60A52CD9">
                  <w:pPr>
                    <w:jc w:val="left"/>
                  </w:pPr>
                  <w:r>
                    <w:rPr>
                      <w:rFonts w:hint="eastAsia"/>
                      <w:b/>
                      <w:bCs/>
                    </w:rPr>
                    <w:t>废包装材料：</w:t>
                  </w:r>
                  <w:r>
                    <w:rPr>
                      <w:rFonts w:hint="eastAsia"/>
                    </w:rPr>
                    <w:t>收集后外售废品回收站。</w:t>
                  </w:r>
                </w:p>
              </w:tc>
              <w:tc>
                <w:tcPr>
                  <w:tcW w:w="666" w:type="pct"/>
                  <w:tcBorders>
                    <w:tl2br w:val="nil"/>
                    <w:tr2bl w:val="nil"/>
                  </w:tcBorders>
                  <w:vAlign w:val="center"/>
                </w:tcPr>
                <w:p w14:paraId="3BB65F3E">
                  <w:pPr>
                    <w:jc w:val="center"/>
                  </w:pPr>
                  <w:r>
                    <w:rPr>
                      <w:rFonts w:hint="eastAsia"/>
                    </w:rPr>
                    <w:t>/</w:t>
                  </w:r>
                </w:p>
              </w:tc>
              <w:tc>
                <w:tcPr>
                  <w:tcW w:w="478" w:type="pct"/>
                  <w:tcBorders>
                    <w:tl2br w:val="nil"/>
                    <w:tr2bl w:val="nil"/>
                  </w:tcBorders>
                  <w:vAlign w:val="center"/>
                </w:tcPr>
                <w:p w14:paraId="5E70A244">
                  <w:pPr>
                    <w:jc w:val="center"/>
                  </w:pPr>
                  <w:r>
                    <w:t>新增</w:t>
                  </w:r>
                </w:p>
              </w:tc>
            </w:tr>
            <w:tr w14:paraId="0029A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tl2br w:val="nil"/>
                    <w:tr2bl w:val="nil"/>
                  </w:tcBorders>
                  <w:vAlign w:val="center"/>
                </w:tcPr>
                <w:p w14:paraId="0C867D55">
                  <w:pPr>
                    <w:jc w:val="center"/>
                  </w:pPr>
                </w:p>
              </w:tc>
              <w:tc>
                <w:tcPr>
                  <w:tcW w:w="417" w:type="pct"/>
                  <w:vMerge w:val="continue"/>
                  <w:tcBorders>
                    <w:tl2br w:val="nil"/>
                    <w:tr2bl w:val="nil"/>
                  </w:tcBorders>
                  <w:vAlign w:val="center"/>
                </w:tcPr>
                <w:p w14:paraId="1E82DAA1">
                  <w:pPr>
                    <w:jc w:val="center"/>
                  </w:pPr>
                </w:p>
              </w:tc>
              <w:tc>
                <w:tcPr>
                  <w:tcW w:w="3021" w:type="pct"/>
                  <w:tcBorders>
                    <w:tl2br w:val="nil"/>
                    <w:tr2bl w:val="nil"/>
                  </w:tcBorders>
                  <w:vAlign w:val="center"/>
                </w:tcPr>
                <w:p w14:paraId="1D0A2789">
                  <w:pPr>
                    <w:jc w:val="left"/>
                  </w:pPr>
                  <w:r>
                    <w:rPr>
                      <w:b/>
                      <w:bCs/>
                    </w:rPr>
                    <w:t>餐厨垃圾</w:t>
                  </w:r>
                  <w:r>
                    <w:rPr>
                      <w:rFonts w:hint="eastAsia"/>
                      <w:b/>
                      <w:bCs/>
                    </w:rPr>
                    <w:t>：</w:t>
                  </w:r>
                  <w:r>
                    <w:t>分类收集，日产日清，交具经营许可单位处理；食堂油水分离器浮油定期清掏后可与餐厨垃圾共同处置</w:t>
                  </w:r>
                  <w:r>
                    <w:rPr>
                      <w:rFonts w:hint="eastAsia"/>
                    </w:rPr>
                    <w:t>。</w:t>
                  </w:r>
                </w:p>
              </w:tc>
              <w:tc>
                <w:tcPr>
                  <w:tcW w:w="666" w:type="pct"/>
                  <w:tcBorders>
                    <w:tl2br w:val="nil"/>
                    <w:tr2bl w:val="nil"/>
                  </w:tcBorders>
                  <w:vAlign w:val="center"/>
                </w:tcPr>
                <w:p w14:paraId="299B6C77">
                  <w:pPr>
                    <w:jc w:val="center"/>
                  </w:pPr>
                  <w:r>
                    <w:rPr>
                      <w:rFonts w:hint="eastAsia"/>
                    </w:rPr>
                    <w:t>2.0</w:t>
                  </w:r>
                </w:p>
              </w:tc>
              <w:tc>
                <w:tcPr>
                  <w:tcW w:w="478" w:type="pct"/>
                  <w:tcBorders>
                    <w:tl2br w:val="nil"/>
                    <w:tr2bl w:val="nil"/>
                  </w:tcBorders>
                  <w:vAlign w:val="center"/>
                </w:tcPr>
                <w:p w14:paraId="4A9CE5D3">
                  <w:pPr>
                    <w:jc w:val="center"/>
                  </w:pPr>
                  <w:r>
                    <w:t>新增</w:t>
                  </w:r>
                </w:p>
              </w:tc>
            </w:tr>
            <w:tr w14:paraId="434CE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tl2br w:val="nil"/>
                    <w:tr2bl w:val="nil"/>
                  </w:tcBorders>
                  <w:vAlign w:val="center"/>
                </w:tcPr>
                <w:p w14:paraId="59C273A9">
                  <w:pPr>
                    <w:jc w:val="center"/>
                  </w:pPr>
                </w:p>
              </w:tc>
              <w:tc>
                <w:tcPr>
                  <w:tcW w:w="417" w:type="pct"/>
                  <w:vMerge w:val="continue"/>
                  <w:tcBorders>
                    <w:tl2br w:val="nil"/>
                    <w:tr2bl w:val="nil"/>
                  </w:tcBorders>
                  <w:vAlign w:val="center"/>
                </w:tcPr>
                <w:p w14:paraId="13DBF4C3">
                  <w:pPr>
                    <w:jc w:val="center"/>
                  </w:pPr>
                </w:p>
              </w:tc>
              <w:tc>
                <w:tcPr>
                  <w:tcW w:w="3021" w:type="pct"/>
                  <w:tcBorders>
                    <w:tl2br w:val="nil"/>
                    <w:tr2bl w:val="nil"/>
                  </w:tcBorders>
                  <w:vAlign w:val="center"/>
                </w:tcPr>
                <w:p w14:paraId="7849A0F2">
                  <w:pPr>
                    <w:jc w:val="left"/>
                  </w:pPr>
                  <w:r>
                    <w:rPr>
                      <w:rFonts w:hint="eastAsia"/>
                      <w:b/>
                      <w:bCs/>
                    </w:rPr>
                    <w:t>纯水机废过滤材料、废反渗透膜：</w:t>
                  </w:r>
                  <w:r>
                    <w:rPr>
                      <w:rFonts w:hint="eastAsia"/>
                    </w:rPr>
                    <w:t>更换下来后交由厂家回收。</w:t>
                  </w:r>
                </w:p>
              </w:tc>
              <w:tc>
                <w:tcPr>
                  <w:tcW w:w="666" w:type="pct"/>
                  <w:tcBorders>
                    <w:tl2br w:val="nil"/>
                    <w:tr2bl w:val="nil"/>
                  </w:tcBorders>
                  <w:vAlign w:val="center"/>
                </w:tcPr>
                <w:p w14:paraId="3BB06863">
                  <w:pPr>
                    <w:jc w:val="center"/>
                  </w:pPr>
                  <w:r>
                    <w:rPr>
                      <w:rFonts w:hint="eastAsia"/>
                    </w:rPr>
                    <w:t>5.0</w:t>
                  </w:r>
                </w:p>
              </w:tc>
              <w:tc>
                <w:tcPr>
                  <w:tcW w:w="478" w:type="pct"/>
                  <w:tcBorders>
                    <w:tl2br w:val="nil"/>
                    <w:tr2bl w:val="nil"/>
                  </w:tcBorders>
                  <w:vAlign w:val="center"/>
                </w:tcPr>
                <w:p w14:paraId="79A17D32">
                  <w:pPr>
                    <w:jc w:val="center"/>
                  </w:pPr>
                  <w:r>
                    <w:t>新增</w:t>
                  </w:r>
                </w:p>
              </w:tc>
            </w:tr>
            <w:tr w14:paraId="40F55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17" w:type="pct"/>
                  <w:vMerge w:val="continue"/>
                  <w:tcBorders>
                    <w:tl2br w:val="nil"/>
                    <w:tr2bl w:val="nil"/>
                  </w:tcBorders>
                  <w:vAlign w:val="center"/>
                </w:tcPr>
                <w:p w14:paraId="778E7BE4">
                  <w:pPr>
                    <w:jc w:val="center"/>
                  </w:pPr>
                </w:p>
              </w:tc>
              <w:tc>
                <w:tcPr>
                  <w:tcW w:w="417" w:type="pct"/>
                  <w:vMerge w:val="restart"/>
                  <w:tcBorders>
                    <w:tl2br w:val="nil"/>
                    <w:tr2bl w:val="nil"/>
                  </w:tcBorders>
                  <w:vAlign w:val="center"/>
                </w:tcPr>
                <w:p w14:paraId="3033D0F7">
                  <w:pPr>
                    <w:jc w:val="center"/>
                  </w:pPr>
                  <w:r>
                    <w:rPr>
                      <w:rFonts w:hint="eastAsia"/>
                    </w:rPr>
                    <w:t>危险废物</w:t>
                  </w:r>
                </w:p>
              </w:tc>
              <w:tc>
                <w:tcPr>
                  <w:tcW w:w="3021" w:type="pct"/>
                  <w:tcBorders>
                    <w:tl2br w:val="nil"/>
                    <w:tr2bl w:val="nil"/>
                  </w:tcBorders>
                  <w:vAlign w:val="center"/>
                </w:tcPr>
                <w:p w14:paraId="4EE46660">
                  <w:pPr>
                    <w:jc w:val="left"/>
                  </w:pPr>
                  <w:r>
                    <w:rPr>
                      <w:b/>
                      <w:bCs/>
                    </w:rPr>
                    <w:t>各类危险废物</w:t>
                  </w:r>
                  <w:r>
                    <w:rPr>
                      <w:rFonts w:hint="eastAsia"/>
                      <w:b/>
                      <w:bCs/>
                    </w:rPr>
                    <w:t>：</w:t>
                  </w:r>
                  <w:r>
                    <w:t>分类收集暂存于医疗废物暂存间内，</w:t>
                  </w:r>
                  <w:r>
                    <w:rPr>
                      <w:rFonts w:hint="eastAsia"/>
                    </w:rPr>
                    <w:t>与</w:t>
                  </w:r>
                  <w:r>
                    <w:t>有资质的医疗废物处置单位</w:t>
                  </w:r>
                  <w:r>
                    <w:rPr>
                      <w:rFonts w:hint="eastAsia"/>
                    </w:rPr>
                    <w:t>签订危废处理合同，并交由有资质的单位</w:t>
                  </w:r>
                  <w:r>
                    <w:t>清运处置</w:t>
                  </w:r>
                  <w:r>
                    <w:rPr>
                      <w:rFonts w:hint="eastAsia"/>
                    </w:rPr>
                    <w:t>。</w:t>
                  </w:r>
                </w:p>
              </w:tc>
              <w:tc>
                <w:tcPr>
                  <w:tcW w:w="666" w:type="pct"/>
                  <w:tcBorders>
                    <w:tl2br w:val="nil"/>
                    <w:tr2bl w:val="nil"/>
                  </w:tcBorders>
                  <w:vAlign w:val="center"/>
                </w:tcPr>
                <w:p w14:paraId="2B385821">
                  <w:pPr>
                    <w:jc w:val="center"/>
                  </w:pPr>
                  <w:r>
                    <w:rPr>
                      <w:rFonts w:hint="eastAsia"/>
                    </w:rPr>
                    <w:t>8.0</w:t>
                  </w:r>
                </w:p>
              </w:tc>
              <w:tc>
                <w:tcPr>
                  <w:tcW w:w="478" w:type="pct"/>
                  <w:tcBorders>
                    <w:tl2br w:val="nil"/>
                    <w:tr2bl w:val="nil"/>
                  </w:tcBorders>
                  <w:vAlign w:val="center"/>
                </w:tcPr>
                <w:p w14:paraId="2B99A901">
                  <w:pPr>
                    <w:jc w:val="center"/>
                  </w:pPr>
                  <w:r>
                    <w:t>新增</w:t>
                  </w:r>
                </w:p>
              </w:tc>
            </w:tr>
            <w:tr w14:paraId="470FD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17" w:type="pct"/>
                  <w:vMerge w:val="continue"/>
                  <w:tcBorders>
                    <w:tl2br w:val="nil"/>
                    <w:tr2bl w:val="nil"/>
                  </w:tcBorders>
                  <w:vAlign w:val="center"/>
                </w:tcPr>
                <w:p w14:paraId="1FD6BD79">
                  <w:pPr>
                    <w:jc w:val="left"/>
                  </w:pPr>
                </w:p>
              </w:tc>
              <w:tc>
                <w:tcPr>
                  <w:tcW w:w="417" w:type="pct"/>
                  <w:vMerge w:val="continue"/>
                  <w:tcBorders>
                    <w:tl2br w:val="nil"/>
                    <w:tr2bl w:val="nil"/>
                  </w:tcBorders>
                  <w:vAlign w:val="center"/>
                </w:tcPr>
                <w:p w14:paraId="0C2F8627">
                  <w:pPr>
                    <w:jc w:val="left"/>
                  </w:pPr>
                </w:p>
              </w:tc>
              <w:tc>
                <w:tcPr>
                  <w:tcW w:w="3021" w:type="pct"/>
                  <w:tcBorders>
                    <w:tl2br w:val="nil"/>
                    <w:tr2bl w:val="nil"/>
                  </w:tcBorders>
                  <w:vAlign w:val="center"/>
                </w:tcPr>
                <w:p w14:paraId="163A4CAE">
                  <w:pPr>
                    <w:jc w:val="left"/>
                  </w:pPr>
                  <w:r>
                    <w:rPr>
                      <w:b/>
                      <w:bCs/>
                    </w:rPr>
                    <w:t>污水处理系统污泥</w:t>
                  </w:r>
                  <w:r>
                    <w:rPr>
                      <w:rFonts w:hint="eastAsia"/>
                      <w:b/>
                      <w:bCs/>
                    </w:rPr>
                    <w:t>：</w:t>
                  </w:r>
                  <w:r>
                    <w:t>定时清掏不在项目内暂存直接交由有资质单位处理</w:t>
                  </w:r>
                  <w:r>
                    <w:rPr>
                      <w:rFonts w:hint="eastAsia"/>
                    </w:rPr>
                    <w:t>。</w:t>
                  </w:r>
                </w:p>
              </w:tc>
              <w:tc>
                <w:tcPr>
                  <w:tcW w:w="666" w:type="pct"/>
                  <w:tcBorders>
                    <w:tl2br w:val="nil"/>
                    <w:tr2bl w:val="nil"/>
                  </w:tcBorders>
                  <w:vAlign w:val="center"/>
                </w:tcPr>
                <w:p w14:paraId="559C5FC3">
                  <w:pPr>
                    <w:jc w:val="center"/>
                  </w:pPr>
                  <w:r>
                    <w:rPr>
                      <w:rFonts w:hint="eastAsia"/>
                    </w:rPr>
                    <w:t>2.0</w:t>
                  </w:r>
                </w:p>
              </w:tc>
              <w:tc>
                <w:tcPr>
                  <w:tcW w:w="478" w:type="pct"/>
                  <w:tcBorders>
                    <w:tl2br w:val="nil"/>
                    <w:tr2bl w:val="nil"/>
                  </w:tcBorders>
                  <w:vAlign w:val="center"/>
                </w:tcPr>
                <w:p w14:paraId="6B12B0A7">
                  <w:pPr>
                    <w:jc w:val="left"/>
                  </w:pPr>
                  <w:r>
                    <w:rPr>
                      <w:rFonts w:hint="eastAsia"/>
                    </w:rPr>
                    <w:t>新增</w:t>
                  </w:r>
                </w:p>
              </w:tc>
            </w:tr>
            <w:tr w14:paraId="4816E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tcBorders>
                    <w:tl2br w:val="nil"/>
                    <w:tr2bl w:val="nil"/>
                  </w:tcBorders>
                  <w:vAlign w:val="center"/>
                </w:tcPr>
                <w:p w14:paraId="45C47148">
                  <w:pPr>
                    <w:jc w:val="center"/>
                  </w:pPr>
                  <w:r>
                    <w:t>地下水防渗措施</w:t>
                  </w:r>
                </w:p>
              </w:tc>
              <w:tc>
                <w:tcPr>
                  <w:tcW w:w="3021" w:type="pct"/>
                  <w:tcBorders>
                    <w:tl2br w:val="nil"/>
                    <w:tr2bl w:val="nil"/>
                  </w:tcBorders>
                  <w:vAlign w:val="center"/>
                </w:tcPr>
                <w:p w14:paraId="1C3AA0BD">
                  <w:r>
                    <w:rPr>
                      <w:rFonts w:hint="eastAsia"/>
                    </w:rPr>
                    <w:t>医疗废物</w:t>
                  </w:r>
                  <w:r>
                    <w:t>暂存间</w:t>
                  </w:r>
                  <w:r>
                    <w:rPr>
                      <w:rFonts w:hint="eastAsia"/>
                    </w:rPr>
                    <w:t>、柴油发电机房、</w:t>
                  </w:r>
                  <w:r>
                    <w:t>污水处理站池体、化粪池、污水埋地管道等均采取重点防渗</w:t>
                  </w:r>
                  <w:r>
                    <w:rPr>
                      <w:rFonts w:hint="eastAsia"/>
                    </w:rPr>
                    <w:t>；综合楼其他区域</w:t>
                  </w:r>
                  <w:r>
                    <w:t>采取</w:t>
                  </w:r>
                  <w:r>
                    <w:rPr>
                      <w:rFonts w:hint="eastAsia"/>
                    </w:rPr>
                    <w:t>一般</w:t>
                  </w:r>
                  <w:r>
                    <w:t>防渗</w:t>
                  </w:r>
                  <w:r>
                    <w:rPr>
                      <w:rFonts w:hint="eastAsia"/>
                    </w:rPr>
                    <w:t>；院区道路等采取简单防渗</w:t>
                  </w:r>
                </w:p>
              </w:tc>
              <w:tc>
                <w:tcPr>
                  <w:tcW w:w="666" w:type="pct"/>
                  <w:tcBorders>
                    <w:tl2br w:val="nil"/>
                    <w:tr2bl w:val="nil"/>
                  </w:tcBorders>
                  <w:vAlign w:val="center"/>
                </w:tcPr>
                <w:p w14:paraId="10353460">
                  <w:pPr>
                    <w:jc w:val="center"/>
                  </w:pPr>
                  <w:r>
                    <w:rPr>
                      <w:rFonts w:hint="eastAsia"/>
                    </w:rPr>
                    <w:t>30.0</w:t>
                  </w:r>
                </w:p>
              </w:tc>
              <w:tc>
                <w:tcPr>
                  <w:tcW w:w="478" w:type="pct"/>
                  <w:tcBorders>
                    <w:tl2br w:val="nil"/>
                    <w:tr2bl w:val="nil"/>
                  </w:tcBorders>
                  <w:vAlign w:val="center"/>
                </w:tcPr>
                <w:p w14:paraId="642705D0">
                  <w:pPr>
                    <w:jc w:val="center"/>
                  </w:pPr>
                  <w:r>
                    <w:t>新增</w:t>
                  </w:r>
                </w:p>
              </w:tc>
            </w:tr>
            <w:tr w14:paraId="77337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4" w:type="pct"/>
                  <w:gridSpan w:val="2"/>
                  <w:tcBorders>
                    <w:tl2br w:val="nil"/>
                    <w:tr2bl w:val="nil"/>
                  </w:tcBorders>
                  <w:vAlign w:val="center"/>
                </w:tcPr>
                <w:p w14:paraId="327ED8CF">
                  <w:pPr>
                    <w:jc w:val="center"/>
                  </w:pPr>
                  <w:r>
                    <w:t>风险管理</w:t>
                  </w:r>
                </w:p>
              </w:tc>
              <w:tc>
                <w:tcPr>
                  <w:tcW w:w="3021" w:type="pct"/>
                  <w:tcBorders>
                    <w:tl2br w:val="nil"/>
                    <w:tr2bl w:val="nil"/>
                  </w:tcBorders>
                  <w:vAlign w:val="center"/>
                </w:tcPr>
                <w:p w14:paraId="47505E62">
                  <w:pPr>
                    <w:jc w:val="left"/>
                  </w:pPr>
                  <w:r>
                    <w:rPr>
                      <w:rFonts w:hint="eastAsia"/>
                    </w:rPr>
                    <w:t>详见表4-25</w:t>
                  </w:r>
                </w:p>
              </w:tc>
              <w:tc>
                <w:tcPr>
                  <w:tcW w:w="666" w:type="pct"/>
                  <w:tcBorders>
                    <w:tl2br w:val="nil"/>
                    <w:tr2bl w:val="nil"/>
                  </w:tcBorders>
                  <w:vAlign w:val="center"/>
                </w:tcPr>
                <w:p w14:paraId="71419FA1">
                  <w:pPr>
                    <w:jc w:val="center"/>
                  </w:pPr>
                  <w:r>
                    <w:rPr>
                      <w:rFonts w:hint="eastAsia"/>
                    </w:rPr>
                    <w:t>10.0</w:t>
                  </w:r>
                </w:p>
              </w:tc>
              <w:tc>
                <w:tcPr>
                  <w:tcW w:w="478" w:type="pct"/>
                  <w:tcBorders>
                    <w:tl2br w:val="nil"/>
                    <w:tr2bl w:val="nil"/>
                  </w:tcBorders>
                  <w:vAlign w:val="center"/>
                </w:tcPr>
                <w:p w14:paraId="7D95CF02">
                  <w:pPr>
                    <w:jc w:val="center"/>
                  </w:pPr>
                  <w:r>
                    <w:t>新增</w:t>
                  </w:r>
                </w:p>
              </w:tc>
            </w:tr>
            <w:tr w14:paraId="2F5F5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gridSpan w:val="2"/>
                  <w:tcBorders>
                    <w:tl2br w:val="nil"/>
                    <w:tr2bl w:val="nil"/>
                  </w:tcBorders>
                  <w:vAlign w:val="center"/>
                </w:tcPr>
                <w:p w14:paraId="0BC5B5F9">
                  <w:pPr>
                    <w:jc w:val="center"/>
                  </w:pPr>
                  <w:r>
                    <w:t>合计</w:t>
                  </w:r>
                </w:p>
              </w:tc>
              <w:tc>
                <w:tcPr>
                  <w:tcW w:w="3021" w:type="pct"/>
                  <w:tcBorders>
                    <w:tl2br w:val="nil"/>
                    <w:tr2bl w:val="nil"/>
                  </w:tcBorders>
                  <w:vAlign w:val="center"/>
                </w:tcPr>
                <w:p w14:paraId="3AE2C7EE">
                  <w:pPr>
                    <w:jc w:val="center"/>
                  </w:pPr>
                  <w:r>
                    <w:t>/</w:t>
                  </w:r>
                </w:p>
              </w:tc>
              <w:tc>
                <w:tcPr>
                  <w:tcW w:w="666" w:type="pct"/>
                  <w:tcBorders>
                    <w:tl2br w:val="nil"/>
                    <w:tr2bl w:val="nil"/>
                  </w:tcBorders>
                  <w:vAlign w:val="center"/>
                </w:tcPr>
                <w:p w14:paraId="291CD153">
                  <w:pPr>
                    <w:jc w:val="center"/>
                  </w:pPr>
                  <w:r>
                    <w:rPr>
                      <w:rFonts w:hint="eastAsia"/>
                    </w:rPr>
                    <w:t>171</w:t>
                  </w:r>
                </w:p>
              </w:tc>
              <w:tc>
                <w:tcPr>
                  <w:tcW w:w="478" w:type="pct"/>
                  <w:tcBorders>
                    <w:tl2br w:val="nil"/>
                    <w:tr2bl w:val="nil"/>
                  </w:tcBorders>
                  <w:vAlign w:val="center"/>
                </w:tcPr>
                <w:p w14:paraId="51972B27">
                  <w:pPr>
                    <w:jc w:val="center"/>
                  </w:pPr>
                  <w:r>
                    <w:t>/</w:t>
                  </w:r>
                </w:p>
              </w:tc>
            </w:tr>
          </w:tbl>
          <w:p w14:paraId="7734E593">
            <w:pPr>
              <w:pStyle w:val="18"/>
              <w:ind w:left="902" w:hanging="482"/>
              <w:rPr>
                <w:b/>
                <w:bCs/>
                <w:sz w:val="24"/>
                <w:highlight w:val="magenta"/>
              </w:rPr>
            </w:pPr>
          </w:p>
          <w:p w14:paraId="43583E86"/>
          <w:p w14:paraId="2248DAAE">
            <w:pPr>
              <w:pStyle w:val="8"/>
              <w:spacing w:after="0" w:line="360" w:lineRule="auto"/>
              <w:rPr>
                <w:sz w:val="24"/>
              </w:rPr>
            </w:pPr>
          </w:p>
        </w:tc>
      </w:tr>
    </w:tbl>
    <w:p w14:paraId="0CAA6BBE">
      <w:pPr>
        <w:pStyle w:val="8"/>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38C484D9">
      <w:pPr>
        <w:pStyle w:val="34"/>
        <w:jc w:val="center"/>
        <w:rPr>
          <w:rFonts w:eastAsia="黑体"/>
          <w:b w:val="0"/>
          <w:sz w:val="30"/>
          <w:szCs w:val="30"/>
        </w:rPr>
      </w:pPr>
      <w:r>
        <w:rPr>
          <w:rFonts w:eastAsia="黑体"/>
          <w:b w:val="0"/>
          <w:sz w:val="30"/>
          <w:szCs w:val="30"/>
        </w:rPr>
        <w:t>五、环境保护措施监督检查清单</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513"/>
        <w:gridCol w:w="1647"/>
        <w:gridCol w:w="2904"/>
        <w:gridCol w:w="2451"/>
      </w:tblGrid>
      <w:tr w14:paraId="10031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tcBorders>
              <w:tl2br w:val="single" w:color="auto" w:sz="4" w:space="0"/>
            </w:tcBorders>
          </w:tcPr>
          <w:p w14:paraId="66295165">
            <w:pPr>
              <w:adjustRightInd w:val="0"/>
              <w:snapToGrid w:val="0"/>
              <w:ind w:firstLine="422" w:firstLineChars="200"/>
              <w:rPr>
                <w:b/>
                <w:bCs/>
              </w:rPr>
            </w:pPr>
            <w:r>
              <w:rPr>
                <w:b/>
                <w:bCs/>
              </w:rPr>
              <w:t>内容</w:t>
            </w:r>
          </w:p>
          <w:p w14:paraId="5A24845A">
            <w:pPr>
              <w:adjustRightInd w:val="0"/>
              <w:snapToGrid w:val="0"/>
              <w:rPr>
                <w:b/>
                <w:bCs/>
              </w:rPr>
            </w:pPr>
            <w:r>
              <w:rPr>
                <w:b/>
                <w:bCs/>
              </w:rPr>
              <w:t>要素</w:t>
            </w:r>
          </w:p>
        </w:tc>
        <w:tc>
          <w:tcPr>
            <w:tcW w:w="790" w:type="pct"/>
            <w:vAlign w:val="center"/>
          </w:tcPr>
          <w:p w14:paraId="45F669C8">
            <w:pPr>
              <w:adjustRightInd w:val="0"/>
              <w:snapToGrid w:val="0"/>
              <w:jc w:val="center"/>
              <w:rPr>
                <w:b/>
                <w:bCs/>
              </w:rPr>
            </w:pPr>
            <w:r>
              <w:rPr>
                <w:b/>
                <w:bCs/>
              </w:rPr>
              <w:t>排放口</w:t>
            </w:r>
            <w:r>
              <w:rPr>
                <w:rFonts w:hint="eastAsia"/>
                <w:b/>
                <w:bCs/>
              </w:rPr>
              <w:t>（</w:t>
            </w:r>
            <w:r>
              <w:rPr>
                <w:b/>
                <w:bCs/>
              </w:rPr>
              <w:t>编号、名称</w:t>
            </w:r>
            <w:r>
              <w:rPr>
                <w:rFonts w:hint="eastAsia"/>
                <w:b/>
                <w:bCs/>
              </w:rPr>
              <w:t>）</w:t>
            </w:r>
            <w:r>
              <w:rPr>
                <w:b/>
                <w:bCs/>
              </w:rPr>
              <w:t>/污染源</w:t>
            </w:r>
          </w:p>
        </w:tc>
        <w:tc>
          <w:tcPr>
            <w:tcW w:w="860" w:type="pct"/>
            <w:vAlign w:val="center"/>
          </w:tcPr>
          <w:p w14:paraId="1944E584">
            <w:pPr>
              <w:adjustRightInd w:val="0"/>
              <w:snapToGrid w:val="0"/>
              <w:jc w:val="center"/>
              <w:rPr>
                <w:b/>
                <w:bCs/>
              </w:rPr>
            </w:pPr>
            <w:r>
              <w:rPr>
                <w:b/>
                <w:bCs/>
              </w:rPr>
              <w:t>污染物项目</w:t>
            </w:r>
          </w:p>
        </w:tc>
        <w:tc>
          <w:tcPr>
            <w:tcW w:w="1517" w:type="pct"/>
            <w:vAlign w:val="center"/>
          </w:tcPr>
          <w:p w14:paraId="0325B3DA">
            <w:pPr>
              <w:adjustRightInd w:val="0"/>
              <w:snapToGrid w:val="0"/>
              <w:jc w:val="center"/>
              <w:rPr>
                <w:b/>
                <w:bCs/>
              </w:rPr>
            </w:pPr>
            <w:r>
              <w:rPr>
                <w:b/>
                <w:bCs/>
              </w:rPr>
              <w:t>环境保护措施</w:t>
            </w:r>
          </w:p>
        </w:tc>
        <w:tc>
          <w:tcPr>
            <w:tcW w:w="1279" w:type="pct"/>
            <w:vAlign w:val="center"/>
          </w:tcPr>
          <w:p w14:paraId="58715CD4">
            <w:pPr>
              <w:adjustRightInd w:val="0"/>
              <w:snapToGrid w:val="0"/>
              <w:jc w:val="center"/>
              <w:rPr>
                <w:b/>
                <w:bCs/>
              </w:rPr>
            </w:pPr>
            <w:r>
              <w:rPr>
                <w:b/>
                <w:bCs/>
              </w:rPr>
              <w:t>执行标准</w:t>
            </w:r>
          </w:p>
        </w:tc>
      </w:tr>
      <w:tr w14:paraId="38789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restart"/>
            <w:vAlign w:val="center"/>
          </w:tcPr>
          <w:p w14:paraId="61CCA4D3">
            <w:pPr>
              <w:adjustRightInd w:val="0"/>
              <w:snapToGrid w:val="0"/>
              <w:jc w:val="center"/>
            </w:pPr>
            <w:r>
              <w:t>大气环境</w:t>
            </w:r>
          </w:p>
        </w:tc>
        <w:tc>
          <w:tcPr>
            <w:tcW w:w="790" w:type="pct"/>
            <w:vAlign w:val="center"/>
          </w:tcPr>
          <w:p w14:paraId="02DC1856">
            <w:pPr>
              <w:adjustRightInd w:val="0"/>
              <w:snapToGrid w:val="0"/>
              <w:jc w:val="center"/>
            </w:pPr>
            <w:r>
              <w:rPr>
                <w:rFonts w:hint="eastAsia"/>
              </w:rPr>
              <w:t>病区含菌空气</w:t>
            </w:r>
          </w:p>
        </w:tc>
        <w:tc>
          <w:tcPr>
            <w:tcW w:w="860" w:type="pct"/>
            <w:vAlign w:val="center"/>
          </w:tcPr>
          <w:p w14:paraId="509E3B03">
            <w:pPr>
              <w:adjustRightInd w:val="0"/>
              <w:snapToGrid w:val="0"/>
              <w:jc w:val="center"/>
            </w:pPr>
            <w:r>
              <w:t>带菌空气</w:t>
            </w:r>
          </w:p>
        </w:tc>
        <w:tc>
          <w:tcPr>
            <w:tcW w:w="1517" w:type="pct"/>
            <w:vAlign w:val="center"/>
          </w:tcPr>
          <w:p w14:paraId="614ABC87">
            <w:pPr>
              <w:pStyle w:val="10"/>
              <w:jc w:val="center"/>
              <w:rPr>
                <w:rFonts w:ascii="Times New Roman" w:hAnsi="Times New Roman"/>
                <w:vertAlign w:val="baseline"/>
              </w:rPr>
            </w:pPr>
            <w:r>
              <w:rPr>
                <w:rFonts w:ascii="Times New Roman" w:hAnsi="Times New Roman"/>
                <w:vertAlign w:val="baseline"/>
              </w:rPr>
              <w:t>采用常规消毒措施定期消毒，利用</w:t>
            </w:r>
            <w:r>
              <w:rPr>
                <w:rFonts w:hint="eastAsia" w:ascii="Times New Roman" w:hAnsi="Times New Roman"/>
                <w:vertAlign w:val="baseline"/>
              </w:rPr>
              <w:t>紫外线、移动式臭氧消毒机</w:t>
            </w:r>
            <w:r>
              <w:rPr>
                <w:rFonts w:ascii="Times New Roman" w:hAnsi="Times New Roman"/>
                <w:vertAlign w:val="baseline"/>
              </w:rPr>
              <w:t>等进行室内外消毒，同时加强自然通风和机械通风</w:t>
            </w:r>
          </w:p>
        </w:tc>
        <w:tc>
          <w:tcPr>
            <w:tcW w:w="1279" w:type="pct"/>
            <w:vAlign w:val="center"/>
          </w:tcPr>
          <w:p w14:paraId="0B2F811B">
            <w:pPr>
              <w:adjustRightInd w:val="0"/>
              <w:snapToGrid w:val="0"/>
              <w:jc w:val="center"/>
            </w:pPr>
            <w:r>
              <w:rPr>
                <w:rFonts w:hint="eastAsia"/>
              </w:rPr>
              <w:t>/</w:t>
            </w:r>
          </w:p>
        </w:tc>
      </w:tr>
      <w:tr w14:paraId="1B0D5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0572554F">
            <w:pPr>
              <w:adjustRightInd w:val="0"/>
              <w:snapToGrid w:val="0"/>
              <w:jc w:val="center"/>
            </w:pPr>
          </w:p>
        </w:tc>
        <w:tc>
          <w:tcPr>
            <w:tcW w:w="790" w:type="pct"/>
            <w:vAlign w:val="center"/>
          </w:tcPr>
          <w:p w14:paraId="0E3F6735">
            <w:pPr>
              <w:adjustRightInd w:val="0"/>
              <w:snapToGrid w:val="0"/>
              <w:jc w:val="center"/>
            </w:pPr>
            <w:r>
              <w:t>污水处理站恶臭</w:t>
            </w:r>
          </w:p>
        </w:tc>
        <w:tc>
          <w:tcPr>
            <w:tcW w:w="860" w:type="pct"/>
            <w:vAlign w:val="center"/>
          </w:tcPr>
          <w:p w14:paraId="316715E0">
            <w:pPr>
              <w:adjustRightInd w:val="0"/>
              <w:snapToGrid w:val="0"/>
              <w:jc w:val="center"/>
            </w:pPr>
            <w:r>
              <w:t>H</w:t>
            </w:r>
            <w:r>
              <w:rPr>
                <w:vertAlign w:val="subscript"/>
              </w:rPr>
              <w:t>2</w:t>
            </w:r>
            <w:r>
              <w:t>S、NH</w:t>
            </w:r>
            <w:r>
              <w:rPr>
                <w:vertAlign w:val="subscript"/>
              </w:rPr>
              <w:t>3</w:t>
            </w:r>
            <w:r>
              <w:rPr>
                <w:rFonts w:hint="eastAsia"/>
              </w:rPr>
              <w:t>、</w:t>
            </w:r>
            <w:r>
              <w:t>臭气浓度</w:t>
            </w:r>
          </w:p>
        </w:tc>
        <w:tc>
          <w:tcPr>
            <w:tcW w:w="1517" w:type="pct"/>
            <w:vAlign w:val="center"/>
          </w:tcPr>
          <w:p w14:paraId="5ABF0000">
            <w:pPr>
              <w:pStyle w:val="10"/>
              <w:jc w:val="center"/>
              <w:rPr>
                <w:rFonts w:ascii="Times New Roman" w:hAnsi="Times New Roman"/>
                <w:kern w:val="2"/>
                <w:vertAlign w:val="baseline"/>
              </w:rPr>
            </w:pPr>
            <w:r>
              <w:rPr>
                <w:rFonts w:hint="eastAsia" w:ascii="Times New Roman" w:hAnsi="Times New Roman"/>
                <w:kern w:val="2"/>
                <w:vertAlign w:val="baseline"/>
              </w:rPr>
              <w:t>紫外线消毒、活性炭吸附、引致污水处理站设备间屋顶排放（高度约5m），同时污水处理站周边投加除臭剂、加强院区周边绿化等措施</w:t>
            </w:r>
          </w:p>
        </w:tc>
        <w:tc>
          <w:tcPr>
            <w:tcW w:w="1279" w:type="pct"/>
            <w:vAlign w:val="center"/>
          </w:tcPr>
          <w:p w14:paraId="6C6FE0BB">
            <w:pPr>
              <w:adjustRightInd w:val="0"/>
              <w:snapToGrid w:val="0"/>
              <w:jc w:val="center"/>
            </w:pPr>
            <w:r>
              <w:t>《医疗机构水污染物排放标准》（GB18466-2005）中表3中污水处理站周边大气污染物最高允许浓度标准</w:t>
            </w:r>
          </w:p>
        </w:tc>
      </w:tr>
      <w:tr w14:paraId="28450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69315FC5">
            <w:pPr>
              <w:adjustRightInd w:val="0"/>
              <w:snapToGrid w:val="0"/>
              <w:jc w:val="center"/>
            </w:pPr>
          </w:p>
        </w:tc>
        <w:tc>
          <w:tcPr>
            <w:tcW w:w="790" w:type="pct"/>
            <w:shd w:val="clear" w:color="auto" w:fill="auto"/>
            <w:vAlign w:val="center"/>
          </w:tcPr>
          <w:p w14:paraId="26340732">
            <w:pPr>
              <w:adjustRightInd w:val="0"/>
              <w:snapToGrid w:val="0"/>
              <w:jc w:val="center"/>
            </w:pPr>
            <w:r>
              <w:t>食堂油烟</w:t>
            </w:r>
          </w:p>
        </w:tc>
        <w:tc>
          <w:tcPr>
            <w:tcW w:w="860" w:type="pct"/>
            <w:shd w:val="clear" w:color="auto" w:fill="auto"/>
            <w:vAlign w:val="center"/>
          </w:tcPr>
          <w:p w14:paraId="3504E1F5">
            <w:pPr>
              <w:adjustRightInd w:val="0"/>
              <w:snapToGrid w:val="0"/>
              <w:jc w:val="center"/>
            </w:pPr>
            <w:r>
              <w:t>油烟</w:t>
            </w:r>
          </w:p>
        </w:tc>
        <w:tc>
          <w:tcPr>
            <w:tcW w:w="1517" w:type="pct"/>
            <w:shd w:val="clear" w:color="auto" w:fill="auto"/>
            <w:vAlign w:val="center"/>
          </w:tcPr>
          <w:p w14:paraId="175D30D9">
            <w:pPr>
              <w:adjustRightInd w:val="0"/>
              <w:snapToGrid w:val="0"/>
              <w:jc w:val="center"/>
            </w:pPr>
            <w:r>
              <w:rPr>
                <w:rFonts w:hint="eastAsia"/>
              </w:rPr>
              <w:t>食堂油烟经处理后通过专用烟道外排</w:t>
            </w:r>
          </w:p>
        </w:tc>
        <w:tc>
          <w:tcPr>
            <w:tcW w:w="1279" w:type="pct"/>
            <w:shd w:val="clear" w:color="auto" w:fill="auto"/>
            <w:vAlign w:val="center"/>
          </w:tcPr>
          <w:p w14:paraId="6D27BB30">
            <w:pPr>
              <w:adjustRightInd w:val="0"/>
              <w:snapToGrid w:val="0"/>
              <w:jc w:val="center"/>
            </w:pPr>
            <w:r>
              <w:t>《饮食业油烟排放标准（试行）》（GB18483-2001）</w:t>
            </w:r>
          </w:p>
        </w:tc>
      </w:tr>
      <w:tr w14:paraId="5474B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7C7B427F">
            <w:pPr>
              <w:adjustRightInd w:val="0"/>
              <w:snapToGrid w:val="0"/>
              <w:jc w:val="center"/>
            </w:pPr>
          </w:p>
        </w:tc>
        <w:tc>
          <w:tcPr>
            <w:tcW w:w="790" w:type="pct"/>
            <w:vAlign w:val="center"/>
          </w:tcPr>
          <w:p w14:paraId="1FB2EFFC">
            <w:pPr>
              <w:adjustRightInd w:val="0"/>
              <w:snapToGrid w:val="0"/>
              <w:jc w:val="center"/>
            </w:pPr>
            <w:r>
              <w:rPr>
                <w:rFonts w:hint="eastAsia"/>
              </w:rPr>
              <w:t>医疗废物暂存间恶臭</w:t>
            </w:r>
          </w:p>
        </w:tc>
        <w:tc>
          <w:tcPr>
            <w:tcW w:w="860" w:type="pct"/>
            <w:vAlign w:val="center"/>
          </w:tcPr>
          <w:p w14:paraId="2EAD551D">
            <w:pPr>
              <w:adjustRightInd w:val="0"/>
              <w:snapToGrid w:val="0"/>
              <w:jc w:val="center"/>
            </w:pPr>
            <w:r>
              <w:rPr>
                <w:rFonts w:hint="eastAsia"/>
              </w:rPr>
              <w:t>恶臭</w:t>
            </w:r>
          </w:p>
        </w:tc>
        <w:tc>
          <w:tcPr>
            <w:tcW w:w="1517" w:type="pct"/>
            <w:vAlign w:val="center"/>
          </w:tcPr>
          <w:p w14:paraId="4AA706B6">
            <w:pPr>
              <w:adjustRightInd w:val="0"/>
              <w:snapToGrid w:val="0"/>
              <w:jc w:val="center"/>
            </w:pPr>
            <w:r>
              <w:rPr>
                <w:rFonts w:hint="eastAsia"/>
              </w:rPr>
              <w:t>医疗废物密封储存，加强管理，定期消毒，日产日清</w:t>
            </w:r>
          </w:p>
        </w:tc>
        <w:tc>
          <w:tcPr>
            <w:tcW w:w="1279" w:type="pct"/>
            <w:vAlign w:val="center"/>
          </w:tcPr>
          <w:p w14:paraId="04B95168">
            <w:pPr>
              <w:adjustRightInd w:val="0"/>
              <w:snapToGrid w:val="0"/>
              <w:jc w:val="center"/>
            </w:pPr>
            <w:r>
              <w:rPr>
                <w:rFonts w:hint="eastAsia"/>
              </w:rPr>
              <w:t>/</w:t>
            </w:r>
          </w:p>
        </w:tc>
      </w:tr>
      <w:tr w14:paraId="20833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1D52AA36">
            <w:pPr>
              <w:adjustRightInd w:val="0"/>
              <w:snapToGrid w:val="0"/>
              <w:jc w:val="center"/>
            </w:pPr>
          </w:p>
        </w:tc>
        <w:tc>
          <w:tcPr>
            <w:tcW w:w="790" w:type="pct"/>
            <w:vAlign w:val="center"/>
          </w:tcPr>
          <w:p w14:paraId="075892B7">
            <w:pPr>
              <w:adjustRightInd w:val="0"/>
              <w:snapToGrid w:val="0"/>
              <w:jc w:val="center"/>
            </w:pPr>
            <w:r>
              <w:rPr>
                <w:rFonts w:hint="eastAsia"/>
                <w:bCs/>
              </w:rPr>
              <w:t>柴油发电机</w:t>
            </w:r>
            <w:r>
              <w:rPr>
                <w:bCs/>
              </w:rPr>
              <w:t>废气</w:t>
            </w:r>
          </w:p>
        </w:tc>
        <w:tc>
          <w:tcPr>
            <w:tcW w:w="860" w:type="pct"/>
            <w:vAlign w:val="center"/>
          </w:tcPr>
          <w:p w14:paraId="6C0139B0">
            <w:pPr>
              <w:adjustRightInd w:val="0"/>
              <w:snapToGrid w:val="0"/>
              <w:jc w:val="center"/>
            </w:pPr>
            <w:r>
              <w:rPr>
                <w:rFonts w:hint="eastAsia"/>
              </w:rPr>
              <w:t>烟尘、SO</w:t>
            </w:r>
            <w:r>
              <w:rPr>
                <w:rFonts w:hint="eastAsia"/>
                <w:vertAlign w:val="subscript"/>
              </w:rPr>
              <w:t>2</w:t>
            </w:r>
            <w:r>
              <w:rPr>
                <w:rFonts w:hint="eastAsia"/>
              </w:rPr>
              <w:t>、NOx</w:t>
            </w:r>
          </w:p>
        </w:tc>
        <w:tc>
          <w:tcPr>
            <w:tcW w:w="1517" w:type="pct"/>
            <w:vAlign w:val="center"/>
          </w:tcPr>
          <w:p w14:paraId="060F1285">
            <w:pPr>
              <w:spacing w:line="276" w:lineRule="auto"/>
              <w:jc w:val="center"/>
            </w:pPr>
            <w:r>
              <w:rPr>
                <w:bCs/>
              </w:rPr>
              <w:t>经自带烟气净化装置处理后外排</w:t>
            </w:r>
          </w:p>
        </w:tc>
        <w:tc>
          <w:tcPr>
            <w:tcW w:w="1279" w:type="pct"/>
            <w:vAlign w:val="center"/>
          </w:tcPr>
          <w:p w14:paraId="0B463C48">
            <w:pPr>
              <w:adjustRightInd w:val="0"/>
              <w:snapToGrid w:val="0"/>
              <w:jc w:val="center"/>
            </w:pPr>
            <w:r>
              <w:rPr>
                <w:rFonts w:hint="eastAsia"/>
              </w:rPr>
              <w:t>/</w:t>
            </w:r>
          </w:p>
        </w:tc>
      </w:tr>
      <w:tr w14:paraId="582E0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6639CE34">
            <w:pPr>
              <w:adjustRightInd w:val="0"/>
              <w:snapToGrid w:val="0"/>
              <w:jc w:val="center"/>
            </w:pPr>
          </w:p>
        </w:tc>
        <w:tc>
          <w:tcPr>
            <w:tcW w:w="790" w:type="pct"/>
            <w:vAlign w:val="center"/>
          </w:tcPr>
          <w:p w14:paraId="52A89B2C">
            <w:pPr>
              <w:adjustRightInd w:val="0"/>
              <w:snapToGrid w:val="0"/>
              <w:jc w:val="center"/>
            </w:pPr>
            <w:r>
              <w:t>汽车尾气</w:t>
            </w:r>
          </w:p>
        </w:tc>
        <w:tc>
          <w:tcPr>
            <w:tcW w:w="860" w:type="pct"/>
            <w:vAlign w:val="center"/>
          </w:tcPr>
          <w:p w14:paraId="2955D19C">
            <w:pPr>
              <w:adjustRightInd w:val="0"/>
              <w:snapToGrid w:val="0"/>
              <w:jc w:val="center"/>
            </w:pPr>
            <w:r>
              <w:t>CO、NOx、TSP</w:t>
            </w:r>
            <w:r>
              <w:rPr>
                <w:rFonts w:hint="eastAsia"/>
              </w:rPr>
              <w:t>等</w:t>
            </w:r>
          </w:p>
        </w:tc>
        <w:tc>
          <w:tcPr>
            <w:tcW w:w="1517" w:type="pct"/>
            <w:vAlign w:val="center"/>
          </w:tcPr>
          <w:p w14:paraId="5C57135B">
            <w:pPr>
              <w:spacing w:line="276" w:lineRule="auto"/>
              <w:jc w:val="center"/>
            </w:pPr>
            <w:r>
              <w:rPr>
                <w:rFonts w:hint="eastAsia"/>
              </w:rPr>
              <w:t>产生量较小，自然扩散</w:t>
            </w:r>
          </w:p>
        </w:tc>
        <w:tc>
          <w:tcPr>
            <w:tcW w:w="1279" w:type="pct"/>
            <w:vAlign w:val="center"/>
          </w:tcPr>
          <w:p w14:paraId="138E610E">
            <w:pPr>
              <w:adjustRightInd w:val="0"/>
              <w:snapToGrid w:val="0"/>
              <w:jc w:val="center"/>
            </w:pPr>
            <w:r>
              <w:rPr>
                <w:rFonts w:hint="eastAsia"/>
              </w:rPr>
              <w:t>/</w:t>
            </w:r>
          </w:p>
        </w:tc>
      </w:tr>
      <w:tr w14:paraId="10B74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restart"/>
            <w:vAlign w:val="center"/>
          </w:tcPr>
          <w:p w14:paraId="7888129D">
            <w:pPr>
              <w:adjustRightInd w:val="0"/>
              <w:snapToGrid w:val="0"/>
              <w:jc w:val="center"/>
            </w:pPr>
            <w:r>
              <w:t>地表水环境</w:t>
            </w:r>
          </w:p>
        </w:tc>
        <w:tc>
          <w:tcPr>
            <w:tcW w:w="790" w:type="pct"/>
            <w:vAlign w:val="center"/>
          </w:tcPr>
          <w:p w14:paraId="173EF764">
            <w:pPr>
              <w:adjustRightInd w:val="0"/>
              <w:snapToGrid w:val="0"/>
              <w:jc w:val="center"/>
            </w:pPr>
            <w:r>
              <w:t>医疗废水</w:t>
            </w:r>
          </w:p>
        </w:tc>
        <w:tc>
          <w:tcPr>
            <w:tcW w:w="860" w:type="pct"/>
            <w:vMerge w:val="restart"/>
            <w:vAlign w:val="center"/>
          </w:tcPr>
          <w:p w14:paraId="65A56F99">
            <w:pPr>
              <w:adjustRightInd w:val="0"/>
              <w:snapToGrid w:val="0"/>
              <w:jc w:val="center"/>
            </w:pPr>
            <w:r>
              <w:t>pH、COD、BOD</w:t>
            </w:r>
            <w:r>
              <w:rPr>
                <w:vertAlign w:val="subscript"/>
              </w:rPr>
              <w:t>5</w:t>
            </w:r>
            <w:r>
              <w:t>、NH</w:t>
            </w:r>
            <w:r>
              <w:rPr>
                <w:vertAlign w:val="subscript"/>
              </w:rPr>
              <w:t>3</w:t>
            </w:r>
            <w:r>
              <w:t>-N、SS、TP、总余氯、动植物油</w:t>
            </w:r>
            <w:r>
              <w:rPr>
                <w:rFonts w:hint="eastAsia"/>
              </w:rPr>
              <w:t>、</w:t>
            </w:r>
            <w:r>
              <w:t>粪大肠菌群数</w:t>
            </w:r>
            <w:r>
              <w:rPr>
                <w:rFonts w:hint="eastAsia"/>
              </w:rPr>
              <w:t>等</w:t>
            </w:r>
          </w:p>
        </w:tc>
        <w:tc>
          <w:tcPr>
            <w:tcW w:w="1517" w:type="pct"/>
            <w:vMerge w:val="restart"/>
            <w:vAlign w:val="center"/>
          </w:tcPr>
          <w:p w14:paraId="16B72A3C">
            <w:pPr>
              <w:jc w:val="center"/>
            </w:pPr>
            <w:r>
              <w:rPr>
                <w:rFonts w:hint="eastAsia"/>
              </w:rPr>
              <w:t>油水分离器+化粪池+</w:t>
            </w:r>
            <w:r>
              <w:t>污水处理站</w:t>
            </w:r>
            <w:r>
              <w:rPr>
                <w:rFonts w:hint="eastAsia"/>
              </w:rPr>
              <w:t>（</w:t>
            </w:r>
            <w:r>
              <w:t>采用“AO</w:t>
            </w:r>
            <w:r>
              <w:rPr>
                <w:rFonts w:hint="eastAsia"/>
              </w:rPr>
              <w:t>2</w:t>
            </w:r>
            <w:r>
              <w:t>+沉淀+消毒”工艺</w:t>
            </w:r>
            <w:r>
              <w:rPr>
                <w:rFonts w:hint="eastAsia"/>
              </w:rPr>
              <w:t>）</w:t>
            </w:r>
          </w:p>
        </w:tc>
        <w:tc>
          <w:tcPr>
            <w:tcW w:w="1279" w:type="pct"/>
            <w:vMerge w:val="restart"/>
            <w:vAlign w:val="center"/>
          </w:tcPr>
          <w:p w14:paraId="0BDBF79F">
            <w:pPr>
              <w:adjustRightInd w:val="0"/>
              <w:snapToGrid w:val="0"/>
              <w:jc w:val="center"/>
            </w:pPr>
            <w:r>
              <w:t>《医疗机构水污染物排放标准》（GB18466-2005）表</w:t>
            </w:r>
            <w:r>
              <w:rPr>
                <w:rFonts w:hint="eastAsia"/>
              </w:rPr>
              <w:t>2</w:t>
            </w:r>
            <w:r>
              <w:t>中排放限值（预处理标准）</w:t>
            </w:r>
          </w:p>
        </w:tc>
      </w:tr>
      <w:tr w14:paraId="7BE15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634F3A7E">
            <w:pPr>
              <w:adjustRightInd w:val="0"/>
              <w:snapToGrid w:val="0"/>
              <w:jc w:val="center"/>
            </w:pPr>
          </w:p>
        </w:tc>
        <w:tc>
          <w:tcPr>
            <w:tcW w:w="790" w:type="pct"/>
            <w:vAlign w:val="center"/>
          </w:tcPr>
          <w:p w14:paraId="7183D7BA">
            <w:pPr>
              <w:adjustRightInd w:val="0"/>
              <w:snapToGrid w:val="0"/>
              <w:jc w:val="center"/>
            </w:pPr>
            <w:r>
              <w:t>生活污水</w:t>
            </w:r>
            <w:r>
              <w:rPr>
                <w:rFonts w:hint="eastAsia"/>
              </w:rPr>
              <w:t>（含食堂废水）</w:t>
            </w:r>
          </w:p>
        </w:tc>
        <w:tc>
          <w:tcPr>
            <w:tcW w:w="860" w:type="pct"/>
            <w:vMerge w:val="continue"/>
            <w:vAlign w:val="center"/>
          </w:tcPr>
          <w:p w14:paraId="69F7E03F">
            <w:pPr>
              <w:adjustRightInd w:val="0"/>
              <w:snapToGrid w:val="0"/>
              <w:jc w:val="center"/>
            </w:pPr>
          </w:p>
        </w:tc>
        <w:tc>
          <w:tcPr>
            <w:tcW w:w="1517" w:type="pct"/>
            <w:vMerge w:val="continue"/>
            <w:vAlign w:val="center"/>
          </w:tcPr>
          <w:p w14:paraId="6562BD75">
            <w:pPr>
              <w:adjustRightInd w:val="0"/>
              <w:snapToGrid w:val="0"/>
              <w:jc w:val="center"/>
            </w:pPr>
          </w:p>
        </w:tc>
        <w:tc>
          <w:tcPr>
            <w:tcW w:w="1279" w:type="pct"/>
            <w:vMerge w:val="continue"/>
            <w:vAlign w:val="center"/>
          </w:tcPr>
          <w:p w14:paraId="180B12EA">
            <w:pPr>
              <w:adjustRightInd w:val="0"/>
              <w:snapToGrid w:val="0"/>
              <w:jc w:val="center"/>
            </w:pPr>
          </w:p>
        </w:tc>
      </w:tr>
      <w:tr w14:paraId="29C92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552" w:type="pct"/>
            <w:vMerge w:val="continue"/>
            <w:vAlign w:val="center"/>
          </w:tcPr>
          <w:p w14:paraId="0E5033EE">
            <w:pPr>
              <w:adjustRightInd w:val="0"/>
              <w:snapToGrid w:val="0"/>
              <w:jc w:val="center"/>
            </w:pPr>
          </w:p>
        </w:tc>
        <w:tc>
          <w:tcPr>
            <w:tcW w:w="790" w:type="pct"/>
            <w:vAlign w:val="center"/>
          </w:tcPr>
          <w:p w14:paraId="35E4D8F3">
            <w:pPr>
              <w:adjustRightInd w:val="0"/>
              <w:snapToGrid w:val="0"/>
              <w:jc w:val="center"/>
            </w:pPr>
            <w:r>
              <w:t>其他废水</w:t>
            </w:r>
          </w:p>
        </w:tc>
        <w:tc>
          <w:tcPr>
            <w:tcW w:w="860" w:type="pct"/>
            <w:vMerge w:val="continue"/>
            <w:vAlign w:val="center"/>
          </w:tcPr>
          <w:p w14:paraId="2763B18E">
            <w:pPr>
              <w:adjustRightInd w:val="0"/>
              <w:snapToGrid w:val="0"/>
              <w:jc w:val="center"/>
            </w:pPr>
          </w:p>
        </w:tc>
        <w:tc>
          <w:tcPr>
            <w:tcW w:w="1517" w:type="pct"/>
            <w:vMerge w:val="continue"/>
            <w:vAlign w:val="center"/>
          </w:tcPr>
          <w:p w14:paraId="369F4ECE">
            <w:pPr>
              <w:adjustRightInd w:val="0"/>
              <w:snapToGrid w:val="0"/>
              <w:jc w:val="center"/>
            </w:pPr>
          </w:p>
        </w:tc>
        <w:tc>
          <w:tcPr>
            <w:tcW w:w="1279" w:type="pct"/>
            <w:vMerge w:val="continue"/>
            <w:vAlign w:val="center"/>
          </w:tcPr>
          <w:p w14:paraId="189F13D9">
            <w:pPr>
              <w:adjustRightInd w:val="0"/>
              <w:snapToGrid w:val="0"/>
              <w:jc w:val="center"/>
            </w:pPr>
          </w:p>
        </w:tc>
      </w:tr>
      <w:tr w14:paraId="3B3D6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552" w:type="pct"/>
            <w:vMerge w:val="restart"/>
            <w:vAlign w:val="center"/>
          </w:tcPr>
          <w:p w14:paraId="259A562A">
            <w:pPr>
              <w:adjustRightInd w:val="0"/>
              <w:snapToGrid w:val="0"/>
              <w:jc w:val="center"/>
            </w:pPr>
            <w:r>
              <w:t>声环境</w:t>
            </w:r>
          </w:p>
        </w:tc>
        <w:tc>
          <w:tcPr>
            <w:tcW w:w="790" w:type="pct"/>
            <w:vAlign w:val="center"/>
          </w:tcPr>
          <w:p w14:paraId="2CE84AF9">
            <w:pPr>
              <w:adjustRightInd w:val="0"/>
              <w:snapToGrid w:val="0"/>
              <w:jc w:val="center"/>
            </w:pPr>
            <w:r>
              <w:t>设备噪声</w:t>
            </w:r>
          </w:p>
        </w:tc>
        <w:tc>
          <w:tcPr>
            <w:tcW w:w="860" w:type="pct"/>
            <w:vAlign w:val="center"/>
          </w:tcPr>
          <w:p w14:paraId="6690F165">
            <w:pPr>
              <w:adjustRightInd w:val="0"/>
              <w:snapToGrid w:val="0"/>
              <w:jc w:val="center"/>
            </w:pPr>
            <w:r>
              <w:t>噪声</w:t>
            </w:r>
          </w:p>
        </w:tc>
        <w:tc>
          <w:tcPr>
            <w:tcW w:w="1517" w:type="pct"/>
            <w:vAlign w:val="center"/>
          </w:tcPr>
          <w:p w14:paraId="61899FB5">
            <w:pPr>
              <w:adjustRightInd w:val="0"/>
              <w:snapToGrid w:val="0"/>
              <w:jc w:val="center"/>
            </w:pPr>
            <w:r>
              <w:rPr>
                <w:kern w:val="16"/>
              </w:rPr>
              <w:t>选用低噪声设备；高噪声设备置于单独的房间内，安装设备减震器，加强管理，通过隔声和距离衰减使噪声达标</w:t>
            </w:r>
          </w:p>
        </w:tc>
        <w:tc>
          <w:tcPr>
            <w:tcW w:w="1279" w:type="pct"/>
            <w:vMerge w:val="restart"/>
            <w:vAlign w:val="center"/>
          </w:tcPr>
          <w:p w14:paraId="77C0D1CB">
            <w:pPr>
              <w:adjustRightInd w:val="0"/>
              <w:snapToGrid w:val="0"/>
              <w:jc w:val="center"/>
            </w:pPr>
            <w:r>
              <w:t>《工业企业厂界环境噪声排放标准》（GB12348-2008）2类标准</w:t>
            </w:r>
          </w:p>
        </w:tc>
      </w:tr>
      <w:tr w14:paraId="7BF36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3CA3E75A">
            <w:pPr>
              <w:adjustRightInd w:val="0"/>
              <w:snapToGrid w:val="0"/>
              <w:jc w:val="center"/>
            </w:pPr>
          </w:p>
        </w:tc>
        <w:tc>
          <w:tcPr>
            <w:tcW w:w="790" w:type="pct"/>
            <w:vAlign w:val="center"/>
          </w:tcPr>
          <w:p w14:paraId="76EF33D2">
            <w:pPr>
              <w:adjustRightInd w:val="0"/>
              <w:snapToGrid w:val="0"/>
              <w:jc w:val="center"/>
            </w:pPr>
            <w:r>
              <w:t>车辆噪声</w:t>
            </w:r>
          </w:p>
        </w:tc>
        <w:tc>
          <w:tcPr>
            <w:tcW w:w="860" w:type="pct"/>
            <w:vAlign w:val="center"/>
          </w:tcPr>
          <w:p w14:paraId="51A3EE1B">
            <w:pPr>
              <w:adjustRightInd w:val="0"/>
              <w:snapToGrid w:val="0"/>
              <w:jc w:val="center"/>
            </w:pPr>
            <w:r>
              <w:t>噪声</w:t>
            </w:r>
          </w:p>
        </w:tc>
        <w:tc>
          <w:tcPr>
            <w:tcW w:w="1517" w:type="pct"/>
            <w:vAlign w:val="center"/>
          </w:tcPr>
          <w:p w14:paraId="18F27487">
            <w:pPr>
              <w:adjustRightInd w:val="0"/>
              <w:snapToGrid w:val="0"/>
              <w:jc w:val="center"/>
            </w:pPr>
            <w:r>
              <w:t>减速慢行，加强管理、设置禁止鸣笛等标识标牌</w:t>
            </w:r>
          </w:p>
        </w:tc>
        <w:tc>
          <w:tcPr>
            <w:tcW w:w="1279" w:type="pct"/>
            <w:vMerge w:val="continue"/>
            <w:vAlign w:val="center"/>
          </w:tcPr>
          <w:p w14:paraId="286D160B">
            <w:pPr>
              <w:adjustRightInd w:val="0"/>
              <w:snapToGrid w:val="0"/>
              <w:jc w:val="center"/>
            </w:pPr>
          </w:p>
        </w:tc>
      </w:tr>
      <w:tr w14:paraId="07875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Merge w:val="continue"/>
            <w:vAlign w:val="center"/>
          </w:tcPr>
          <w:p w14:paraId="434CB929">
            <w:pPr>
              <w:adjustRightInd w:val="0"/>
              <w:snapToGrid w:val="0"/>
              <w:jc w:val="center"/>
            </w:pPr>
          </w:p>
        </w:tc>
        <w:tc>
          <w:tcPr>
            <w:tcW w:w="790" w:type="pct"/>
            <w:vAlign w:val="center"/>
          </w:tcPr>
          <w:p w14:paraId="716839BA">
            <w:pPr>
              <w:adjustRightInd w:val="0"/>
              <w:snapToGrid w:val="0"/>
              <w:jc w:val="center"/>
            </w:pPr>
            <w:r>
              <w:t>社会生活噪声</w:t>
            </w:r>
          </w:p>
        </w:tc>
        <w:tc>
          <w:tcPr>
            <w:tcW w:w="860" w:type="pct"/>
            <w:vAlign w:val="center"/>
          </w:tcPr>
          <w:p w14:paraId="467B7A9F">
            <w:pPr>
              <w:adjustRightInd w:val="0"/>
              <w:snapToGrid w:val="0"/>
              <w:jc w:val="center"/>
            </w:pPr>
            <w:r>
              <w:t>噪声</w:t>
            </w:r>
          </w:p>
        </w:tc>
        <w:tc>
          <w:tcPr>
            <w:tcW w:w="1517" w:type="pct"/>
            <w:vAlign w:val="center"/>
          </w:tcPr>
          <w:p w14:paraId="0A1C0EE4">
            <w:pPr>
              <w:adjustRightInd w:val="0"/>
              <w:snapToGrid w:val="0"/>
              <w:jc w:val="center"/>
            </w:pPr>
            <w:r>
              <w:t>加强管理</w:t>
            </w:r>
          </w:p>
        </w:tc>
        <w:tc>
          <w:tcPr>
            <w:tcW w:w="1279" w:type="pct"/>
            <w:vMerge w:val="continue"/>
            <w:vAlign w:val="center"/>
          </w:tcPr>
          <w:p w14:paraId="7173EE3B">
            <w:pPr>
              <w:adjustRightInd w:val="0"/>
              <w:snapToGrid w:val="0"/>
              <w:jc w:val="center"/>
            </w:pPr>
          </w:p>
        </w:tc>
      </w:tr>
      <w:tr w14:paraId="1E47D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6D27730B">
            <w:pPr>
              <w:adjustRightInd w:val="0"/>
              <w:snapToGrid w:val="0"/>
              <w:jc w:val="center"/>
            </w:pPr>
            <w:r>
              <w:t>电磁辐射</w:t>
            </w:r>
          </w:p>
        </w:tc>
        <w:tc>
          <w:tcPr>
            <w:tcW w:w="790" w:type="pct"/>
            <w:vAlign w:val="center"/>
          </w:tcPr>
          <w:p w14:paraId="1D757093">
            <w:pPr>
              <w:adjustRightInd w:val="0"/>
              <w:snapToGrid w:val="0"/>
              <w:jc w:val="center"/>
            </w:pPr>
            <w:r>
              <w:rPr>
                <w:rFonts w:hint="eastAsia"/>
              </w:rPr>
              <w:t>/</w:t>
            </w:r>
          </w:p>
        </w:tc>
        <w:tc>
          <w:tcPr>
            <w:tcW w:w="860" w:type="pct"/>
            <w:vAlign w:val="center"/>
          </w:tcPr>
          <w:p w14:paraId="3D6C6961">
            <w:pPr>
              <w:adjustRightInd w:val="0"/>
              <w:snapToGrid w:val="0"/>
              <w:jc w:val="center"/>
            </w:pPr>
            <w:r>
              <w:rPr>
                <w:rFonts w:hint="eastAsia"/>
              </w:rPr>
              <w:t>/</w:t>
            </w:r>
          </w:p>
        </w:tc>
        <w:tc>
          <w:tcPr>
            <w:tcW w:w="1517" w:type="pct"/>
            <w:vAlign w:val="center"/>
          </w:tcPr>
          <w:p w14:paraId="03138E00">
            <w:pPr>
              <w:adjustRightInd w:val="0"/>
              <w:snapToGrid w:val="0"/>
              <w:jc w:val="center"/>
            </w:pPr>
            <w:r>
              <w:rPr>
                <w:rFonts w:hint="eastAsia"/>
              </w:rPr>
              <w:t>/</w:t>
            </w:r>
          </w:p>
        </w:tc>
        <w:tc>
          <w:tcPr>
            <w:tcW w:w="1279" w:type="pct"/>
            <w:vAlign w:val="center"/>
          </w:tcPr>
          <w:p w14:paraId="203B4EB9">
            <w:pPr>
              <w:adjustRightInd w:val="0"/>
              <w:snapToGrid w:val="0"/>
              <w:jc w:val="center"/>
            </w:pPr>
            <w:r>
              <w:rPr>
                <w:rFonts w:hint="eastAsia"/>
              </w:rPr>
              <w:t>/</w:t>
            </w:r>
          </w:p>
        </w:tc>
      </w:tr>
      <w:tr w14:paraId="699B0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44E75B03">
            <w:pPr>
              <w:adjustRightInd w:val="0"/>
              <w:snapToGrid w:val="0"/>
              <w:jc w:val="center"/>
            </w:pPr>
            <w:r>
              <w:t>固体废物</w:t>
            </w:r>
          </w:p>
        </w:tc>
        <w:tc>
          <w:tcPr>
            <w:tcW w:w="4447" w:type="pct"/>
            <w:gridSpan w:val="4"/>
            <w:vAlign w:val="center"/>
          </w:tcPr>
          <w:p w14:paraId="7A9B6178">
            <w:r>
              <w:rPr>
                <w:b/>
              </w:rPr>
              <w:t>一般废物</w:t>
            </w:r>
            <w:r>
              <w:t>：生活垃圾经袋装收集后</w:t>
            </w:r>
            <w:r>
              <w:rPr>
                <w:rFonts w:hint="eastAsia"/>
              </w:rPr>
              <w:t>，</w:t>
            </w:r>
            <w:r>
              <w:t>由市政环卫部门统一清运处理，垃圾实现日产日清；餐厨垃圾（</w:t>
            </w:r>
            <w:r>
              <w:rPr>
                <w:rFonts w:hint="eastAsia"/>
              </w:rPr>
              <w:t>含</w:t>
            </w:r>
            <w:r>
              <w:t>油水分离浮油）采用专用收集容器收集后交由</w:t>
            </w:r>
            <w:r>
              <w:rPr>
                <w:rFonts w:hint="eastAsia"/>
              </w:rPr>
              <w:t>有餐厨垃圾处置资质单位</w:t>
            </w:r>
            <w:r>
              <w:t>，实现日产日清</w:t>
            </w:r>
            <w:r>
              <w:rPr>
                <w:rFonts w:hint="eastAsia"/>
              </w:rPr>
              <w:t>；</w:t>
            </w:r>
            <w:r>
              <w:t>未感染的输液瓶（袋）</w:t>
            </w:r>
            <w:r>
              <w:rPr>
                <w:rFonts w:hint="eastAsia"/>
              </w:rPr>
              <w:t>收集后暂存于一般固废暂存间，定期交由回收公司处理；</w:t>
            </w:r>
            <w:r>
              <w:t>废包装材料</w:t>
            </w:r>
            <w:r>
              <w:rPr>
                <w:rFonts w:hint="eastAsia"/>
              </w:rPr>
              <w:t>收集后</w:t>
            </w:r>
            <w:r>
              <w:t>外售废品回收站</w:t>
            </w:r>
            <w:r>
              <w:rPr>
                <w:rFonts w:hint="eastAsia"/>
              </w:rPr>
              <w:t xml:space="preserve">；纯水机废过滤材料更换下来后交由厂家回收。 </w:t>
            </w:r>
          </w:p>
          <w:p w14:paraId="35F74190">
            <w:pPr>
              <w:adjustRightInd w:val="0"/>
              <w:snapToGrid w:val="0"/>
              <w:spacing w:line="276" w:lineRule="auto"/>
            </w:pPr>
            <w:r>
              <w:rPr>
                <w:b/>
              </w:rPr>
              <w:t>危险废物</w:t>
            </w:r>
            <w:r>
              <w:t>：医疗废物采用专用收集容器分类暂存于</w:t>
            </w:r>
            <w:r>
              <w:rPr>
                <w:rFonts w:hint="eastAsia"/>
              </w:rPr>
              <w:t>医疗废物暂存间</w:t>
            </w:r>
            <w:r>
              <w:t>，</w:t>
            </w:r>
            <w:r>
              <w:rPr>
                <w:rFonts w:hint="eastAsia"/>
              </w:rPr>
              <w:t>定期</w:t>
            </w:r>
            <w:r>
              <w:t>交由有医疗废物转运和处置资质的单位处理，严格落实日产日清要求，医疗废物暂存间应落实“防风、防雨、防晒、防渗漏”的“四防”措施，设置警示标识和防渗漏、防鼠、防蚊蝇、防蟑螂、防盗以及预防儿童接触等安全措施，并定期进行消毒和清洁</w:t>
            </w:r>
            <w:r>
              <w:rPr>
                <w:rFonts w:hint="eastAsia"/>
              </w:rPr>
              <w:t>。</w:t>
            </w:r>
            <w:r>
              <w:t>污水处理系统（</w:t>
            </w:r>
            <w:r>
              <w:rPr>
                <w:rFonts w:hint="eastAsia"/>
              </w:rPr>
              <w:t>化粪池</w:t>
            </w:r>
            <w:r>
              <w:t>、污水处理站）污泥定期清掏后交具资质的单位清运处理</w:t>
            </w:r>
            <w:r>
              <w:rPr>
                <w:rFonts w:hint="eastAsia"/>
              </w:rPr>
              <w:t>，</w:t>
            </w:r>
            <w:r>
              <w:t>不在项目内停留；</w:t>
            </w:r>
            <w:r>
              <w:rPr>
                <w:rFonts w:hint="eastAsia"/>
              </w:rPr>
              <w:t>废紫外灯管</w:t>
            </w:r>
            <w:r>
              <w:t>暂存</w:t>
            </w:r>
            <w:r>
              <w:rPr>
                <w:rFonts w:hint="eastAsia"/>
              </w:rPr>
              <w:t>医疗废物暂存间</w:t>
            </w:r>
            <w:r>
              <w:t>内</w:t>
            </w:r>
            <w:r>
              <w:rPr>
                <w:rFonts w:hint="eastAsia"/>
              </w:rPr>
              <w:t>，交</w:t>
            </w:r>
            <w:r>
              <w:t>由有资质单位处置</w:t>
            </w:r>
            <w:r>
              <w:rPr>
                <w:rFonts w:hint="eastAsia"/>
              </w:rPr>
              <w:t>；废活性炭</w:t>
            </w:r>
            <w:r>
              <w:t>暂存</w:t>
            </w:r>
            <w:r>
              <w:rPr>
                <w:rFonts w:hint="eastAsia"/>
              </w:rPr>
              <w:t>医疗废物暂存间</w:t>
            </w:r>
            <w:r>
              <w:t>内</w:t>
            </w:r>
            <w:r>
              <w:rPr>
                <w:rFonts w:hint="eastAsia"/>
              </w:rPr>
              <w:t>，交</w:t>
            </w:r>
            <w:r>
              <w:t>由有资质单位处置</w:t>
            </w:r>
            <w:r>
              <w:rPr>
                <w:rFonts w:hint="eastAsia"/>
              </w:rPr>
              <w:t>。</w:t>
            </w:r>
            <w:r>
              <w:t>上述危险废物均要求交由有资质的单位处置，并落实联单责任制。</w:t>
            </w:r>
          </w:p>
        </w:tc>
      </w:tr>
      <w:tr w14:paraId="5E58C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7C412640">
            <w:pPr>
              <w:adjustRightInd w:val="0"/>
              <w:snapToGrid w:val="0"/>
              <w:jc w:val="center"/>
            </w:pPr>
            <w:r>
              <w:t>土壤及地下水污染防治措施</w:t>
            </w:r>
          </w:p>
        </w:tc>
        <w:tc>
          <w:tcPr>
            <w:tcW w:w="4447" w:type="pct"/>
            <w:gridSpan w:val="4"/>
            <w:vAlign w:val="center"/>
          </w:tcPr>
          <w:p w14:paraId="6A655F4E">
            <w:pPr>
              <w:rPr>
                <w:b/>
                <w:bCs/>
              </w:rPr>
            </w:pPr>
            <w:r>
              <w:rPr>
                <w:b/>
                <w:bCs/>
              </w:rPr>
              <w:t>源头控制、分区防治</w:t>
            </w:r>
          </w:p>
          <w:p w14:paraId="4E062F7E">
            <w:pPr>
              <w:ind w:firstLine="420" w:firstLineChars="200"/>
            </w:pPr>
            <w:r>
              <w:rPr>
                <w:rFonts w:hint="eastAsia"/>
              </w:rPr>
              <w:t>项目医疗废物暂存间、柴油发电机房、</w:t>
            </w:r>
            <w:r>
              <w:t>污水处理站池体、化粪池、污水埋地管道等</w:t>
            </w:r>
            <w:r>
              <w:rPr>
                <w:rFonts w:hint="eastAsia"/>
              </w:rPr>
              <w:t>均采取“</w:t>
            </w:r>
            <w:r>
              <w:rPr>
                <w:rFonts w:hint="eastAsia" w:cs="宋体"/>
                <w:color w:val="000000"/>
                <w:kern w:val="0"/>
                <w:lang w:bidi="ar"/>
              </w:rPr>
              <w:t>铺设防渗混凝土，并铺设</w:t>
            </w:r>
            <w:r>
              <w:rPr>
                <w:color w:val="000000"/>
                <w:kern w:val="0"/>
                <w:lang w:bidi="ar"/>
              </w:rPr>
              <w:t>2mm</w:t>
            </w:r>
            <w:r>
              <w:rPr>
                <w:rFonts w:hint="eastAsia" w:cs="宋体"/>
                <w:color w:val="000000"/>
                <w:kern w:val="0"/>
                <w:lang w:bidi="ar"/>
              </w:rPr>
              <w:t>厚</w:t>
            </w:r>
            <w:r>
              <w:rPr>
                <w:color w:val="000000"/>
                <w:kern w:val="0"/>
                <w:lang w:bidi="ar"/>
              </w:rPr>
              <w:t>HDPE</w:t>
            </w:r>
            <w:r>
              <w:rPr>
                <w:rFonts w:hint="eastAsia" w:cs="宋体"/>
                <w:color w:val="000000"/>
                <w:kern w:val="0"/>
                <w:lang w:bidi="ar"/>
              </w:rPr>
              <w:t>防渗层</w:t>
            </w:r>
            <w:r>
              <w:rPr>
                <w:rFonts w:hint="eastAsia"/>
                <w:kern w:val="0"/>
              </w:rPr>
              <w:t>+围堰等</w:t>
            </w:r>
            <w:r>
              <w:rPr>
                <w:kern w:val="0"/>
              </w:rPr>
              <w:t>设施</w:t>
            </w:r>
            <w:r>
              <w:rPr>
                <w:rFonts w:hint="eastAsia"/>
              </w:rPr>
              <w:t>”进行重点防渗；综合楼其他区域</w:t>
            </w:r>
            <w:r>
              <w:t>采取</w:t>
            </w:r>
            <w:r>
              <w:rPr>
                <w:rFonts w:hint="eastAsia"/>
              </w:rPr>
              <w:t>“混凝土硬化”进行一般</w:t>
            </w:r>
            <w:r>
              <w:t>防渗</w:t>
            </w:r>
            <w:r>
              <w:rPr>
                <w:rFonts w:hint="eastAsia"/>
              </w:rPr>
              <w:t>；院区道路等采取“一般水泥地硬化”简单防渗。</w:t>
            </w:r>
          </w:p>
        </w:tc>
      </w:tr>
      <w:tr w14:paraId="12737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0FDB9022">
            <w:pPr>
              <w:adjustRightInd w:val="0"/>
              <w:snapToGrid w:val="0"/>
              <w:jc w:val="center"/>
            </w:pPr>
            <w:r>
              <w:t>生态保护措施</w:t>
            </w:r>
          </w:p>
        </w:tc>
        <w:tc>
          <w:tcPr>
            <w:tcW w:w="4447" w:type="pct"/>
            <w:gridSpan w:val="4"/>
            <w:vAlign w:val="center"/>
          </w:tcPr>
          <w:p w14:paraId="75352258">
            <w:pPr>
              <w:adjustRightInd w:val="0"/>
              <w:snapToGrid w:val="0"/>
              <w:jc w:val="center"/>
            </w:pPr>
            <w:r>
              <w:t>/</w:t>
            </w:r>
          </w:p>
        </w:tc>
      </w:tr>
      <w:tr w14:paraId="3170F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732CE6E3">
            <w:pPr>
              <w:adjustRightInd w:val="0"/>
              <w:snapToGrid w:val="0"/>
              <w:jc w:val="center"/>
              <w:rPr>
                <w:spacing w:val="-8"/>
              </w:rPr>
            </w:pPr>
            <w:r>
              <w:rPr>
                <w:spacing w:val="-8"/>
              </w:rPr>
              <w:t>环境风险</w:t>
            </w:r>
          </w:p>
          <w:p w14:paraId="1CA28841">
            <w:pPr>
              <w:adjustRightInd w:val="0"/>
              <w:snapToGrid w:val="0"/>
              <w:jc w:val="center"/>
              <w:rPr>
                <w:spacing w:val="-8"/>
              </w:rPr>
            </w:pPr>
            <w:r>
              <w:rPr>
                <w:spacing w:val="-8"/>
              </w:rPr>
              <w:t>防范措施</w:t>
            </w:r>
          </w:p>
        </w:tc>
        <w:tc>
          <w:tcPr>
            <w:tcW w:w="4447" w:type="pct"/>
            <w:gridSpan w:val="4"/>
            <w:vAlign w:val="center"/>
          </w:tcPr>
          <w:p w14:paraId="2251EDC5">
            <w:pPr>
              <w:spacing w:line="276" w:lineRule="auto"/>
            </w:pPr>
            <w:r>
              <w:t>1、严格管理危险化学品，</w:t>
            </w:r>
            <w:r>
              <w:rPr>
                <w:rFonts w:hint="eastAsia"/>
              </w:rPr>
              <w:t>氧气供应室内</w:t>
            </w:r>
            <w:r>
              <w:t>严禁存放其他可燃气瓶和油脂类物品，设置警示标牌，规范管理，落实防火、防爆设计要求，配备足够的消防器材。</w:t>
            </w:r>
          </w:p>
          <w:p w14:paraId="3C1B7555">
            <w:pPr>
              <w:spacing w:line="276" w:lineRule="auto"/>
            </w:pPr>
            <w:r>
              <w:t>2、发电机房</w:t>
            </w:r>
            <w:r>
              <w:rPr>
                <w:rFonts w:hint="eastAsia"/>
              </w:rPr>
              <w:t>、医疗废物暂存间</w:t>
            </w:r>
            <w:r>
              <w:t>四周防渗围堰，地面采取重点防渗措施，并配备泄漏防范</w:t>
            </w:r>
            <w:r>
              <w:rPr>
                <w:rFonts w:hint="eastAsia"/>
              </w:rPr>
              <w:t>应急物资</w:t>
            </w:r>
            <w:r>
              <w:t>，设置收集空桶。</w:t>
            </w:r>
          </w:p>
          <w:p w14:paraId="047124C2">
            <w:pPr>
              <w:spacing w:line="276" w:lineRule="auto"/>
            </w:pPr>
            <w:r>
              <w:t>3、加强污水处理站</w:t>
            </w:r>
            <w:r>
              <w:rPr>
                <w:rFonts w:hint="eastAsia"/>
              </w:rPr>
              <w:t>污水处理控制室</w:t>
            </w:r>
            <w:r>
              <w:t>药品管理，污水处理站定期检修，防止事故废水排放。</w:t>
            </w:r>
          </w:p>
          <w:p w14:paraId="039BE904">
            <w:pPr>
              <w:spacing w:line="276" w:lineRule="auto"/>
            </w:pPr>
            <w:r>
              <w:t>4、严格执行环评及相关法律法规要求，定期开展</w:t>
            </w:r>
            <w:r>
              <w:rPr>
                <w:rFonts w:hint="eastAsia"/>
              </w:rPr>
              <w:t>废气、废水处理</w:t>
            </w:r>
            <w:r>
              <w:t>设备维护，保证其有效运行和去除效率</w:t>
            </w:r>
            <w:r>
              <w:rPr>
                <w:rFonts w:hint="eastAsia"/>
              </w:rPr>
              <w:t>。</w:t>
            </w:r>
          </w:p>
          <w:p w14:paraId="0F46FD52">
            <w:pPr>
              <w:spacing w:line="276" w:lineRule="auto"/>
            </w:pPr>
            <w:r>
              <w:rPr>
                <w:rFonts w:hint="eastAsia"/>
              </w:rPr>
              <w:t>5、</w:t>
            </w:r>
            <w:r>
              <w:t>制定环境风险应急预案。</w:t>
            </w:r>
          </w:p>
        </w:tc>
      </w:tr>
      <w:tr w14:paraId="31D09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pct"/>
            <w:vAlign w:val="center"/>
          </w:tcPr>
          <w:p w14:paraId="5586161F">
            <w:pPr>
              <w:adjustRightInd w:val="0"/>
              <w:snapToGrid w:val="0"/>
              <w:jc w:val="center"/>
              <w:rPr>
                <w:spacing w:val="-8"/>
              </w:rPr>
            </w:pPr>
            <w:r>
              <w:rPr>
                <w:spacing w:val="-8"/>
              </w:rPr>
              <w:t>其他环境</w:t>
            </w:r>
          </w:p>
          <w:p w14:paraId="140B8412">
            <w:pPr>
              <w:adjustRightInd w:val="0"/>
              <w:snapToGrid w:val="0"/>
              <w:jc w:val="center"/>
              <w:rPr>
                <w:spacing w:val="-8"/>
              </w:rPr>
            </w:pPr>
            <w:r>
              <w:rPr>
                <w:spacing w:val="-8"/>
              </w:rPr>
              <w:t>管理要求</w:t>
            </w:r>
          </w:p>
        </w:tc>
        <w:tc>
          <w:tcPr>
            <w:tcW w:w="4447" w:type="pct"/>
            <w:gridSpan w:val="4"/>
            <w:vAlign w:val="center"/>
          </w:tcPr>
          <w:p w14:paraId="18D67418">
            <w:pPr>
              <w:spacing w:line="276" w:lineRule="auto"/>
            </w:pPr>
            <w:r>
              <w:t>1、医院的环境管理工作内容主要包括以下：</w:t>
            </w:r>
          </w:p>
          <w:p w14:paraId="547BA2A9">
            <w:pPr>
              <w:pStyle w:val="6"/>
              <w:rPr>
                <w:sz w:val="21"/>
                <w:szCs w:val="21"/>
              </w:rPr>
            </w:pPr>
            <w:r>
              <w:rPr>
                <w:sz w:val="21"/>
                <w:szCs w:val="21"/>
              </w:rPr>
              <w:t>（1）根据《中华人民共和国环境保护法》《中华人民共和国固体废物污染</w:t>
            </w:r>
            <w:r>
              <w:rPr>
                <w:rFonts w:hint="default"/>
                <w:sz w:val="21"/>
                <w:szCs w:val="21"/>
              </w:rPr>
              <w:t>环境</w:t>
            </w:r>
            <w:r>
              <w:rPr>
                <w:sz w:val="21"/>
                <w:szCs w:val="21"/>
              </w:rPr>
              <w:t>防治法》《地表水环境质量标准》</w:t>
            </w:r>
            <w:r>
              <w:rPr>
                <w:rFonts w:hint="default"/>
                <w:sz w:val="21"/>
                <w:szCs w:val="21"/>
              </w:rPr>
              <w:t>（</w:t>
            </w:r>
            <w:r>
              <w:rPr>
                <w:sz w:val="21"/>
                <w:szCs w:val="21"/>
              </w:rPr>
              <w:t>GB3838-2002</w:t>
            </w:r>
            <w:r>
              <w:rPr>
                <w:rFonts w:hint="default"/>
                <w:sz w:val="21"/>
                <w:szCs w:val="21"/>
              </w:rPr>
              <w:t>）</w:t>
            </w:r>
            <w:r>
              <w:rPr>
                <w:sz w:val="21"/>
                <w:szCs w:val="21"/>
              </w:rPr>
              <w:t>、《医疗机构水污染物排放标准》（GB18466-2005）、《医院污水处理技术指南》（环发</w:t>
            </w:r>
            <w:r>
              <w:rPr>
                <w:rFonts w:hint="default"/>
                <w:sz w:val="21"/>
                <w:szCs w:val="21"/>
              </w:rPr>
              <w:t>〔</w:t>
            </w:r>
            <w:r>
              <w:rPr>
                <w:sz w:val="21"/>
                <w:szCs w:val="21"/>
              </w:rPr>
              <w:t>2003</w:t>
            </w:r>
            <w:r>
              <w:rPr>
                <w:rFonts w:hint="default"/>
                <w:sz w:val="21"/>
                <w:szCs w:val="21"/>
              </w:rPr>
              <w:t>〕</w:t>
            </w:r>
            <w:r>
              <w:rPr>
                <w:sz w:val="21"/>
                <w:szCs w:val="21"/>
              </w:rPr>
              <w:t>197号）、《医疗废物管理条例》（国务院2003-380号令</w:t>
            </w:r>
            <w:r>
              <w:rPr>
                <w:rFonts w:hint="default"/>
                <w:sz w:val="21"/>
                <w:szCs w:val="21"/>
              </w:rPr>
              <w:t>，2011年11月8日修订</w:t>
            </w:r>
            <w:r>
              <w:rPr>
                <w:sz w:val="21"/>
                <w:szCs w:val="21"/>
              </w:rPr>
              <w:t>）、《四川省危险废物污染环境防治办法》《环境空气质量标准》</w:t>
            </w:r>
            <w:r>
              <w:rPr>
                <w:rFonts w:hint="default"/>
                <w:sz w:val="21"/>
                <w:szCs w:val="21"/>
              </w:rPr>
              <w:t>（</w:t>
            </w:r>
            <w:r>
              <w:rPr>
                <w:sz w:val="21"/>
                <w:szCs w:val="21"/>
              </w:rPr>
              <w:t>GB3095-2012</w:t>
            </w:r>
            <w:r>
              <w:rPr>
                <w:rFonts w:hint="default"/>
                <w:sz w:val="21"/>
                <w:szCs w:val="21"/>
              </w:rPr>
              <w:t>）</w:t>
            </w:r>
            <w:r>
              <w:rPr>
                <w:sz w:val="21"/>
                <w:szCs w:val="21"/>
              </w:rPr>
              <w:t>、《医院候诊室卫生标准》（GB9671-1996）、《工业企业厂界环境噪声排放标准》（GB12348-2008）等，对本工程的环境保护工作进行全面的监督及管理，健全医院污染源档案。</w:t>
            </w:r>
          </w:p>
          <w:p w14:paraId="3B4A1FF7">
            <w:pPr>
              <w:spacing w:line="276" w:lineRule="auto"/>
            </w:pPr>
            <w:r>
              <w:t>（2）对污染物的各种处理设备的正常工作状态进行监督管理，对项目区域的自然和生态环境进行保护。</w:t>
            </w:r>
          </w:p>
          <w:p w14:paraId="25B92451">
            <w:pPr>
              <w:spacing w:line="276" w:lineRule="auto"/>
            </w:pPr>
            <w:r>
              <w:t>（3）对医院产生的污染物及处置情况进行记录、管理。</w:t>
            </w:r>
          </w:p>
          <w:p w14:paraId="4AB30C3F">
            <w:pPr>
              <w:spacing w:line="276" w:lineRule="auto"/>
            </w:pPr>
            <w:r>
              <w:t>2、环境监测计划</w:t>
            </w:r>
          </w:p>
          <w:p w14:paraId="51E9980A">
            <w:pPr>
              <w:spacing w:line="276" w:lineRule="auto"/>
            </w:pPr>
            <w:r>
              <w:t>（1）制定自行监测方案，定期开展污染源监测；</w:t>
            </w:r>
          </w:p>
          <w:p w14:paraId="097A9898">
            <w:pPr>
              <w:spacing w:line="276" w:lineRule="auto"/>
            </w:pPr>
            <w:r>
              <w:t>（2）对环保治理设施的运行情况进行监测，以便及时对设施的设计和处理效果进行比较；发现问题及时报告有关部门；</w:t>
            </w:r>
          </w:p>
          <w:p w14:paraId="3F3CB458">
            <w:pPr>
              <w:spacing w:line="276" w:lineRule="auto"/>
            </w:pPr>
            <w:r>
              <w:t>（3）当发生污染事故时，进行应急监测，为采取处理措施提供第一手资料</w:t>
            </w:r>
            <w:r>
              <w:rPr>
                <w:rFonts w:hint="eastAsia"/>
              </w:rPr>
              <w:t>。</w:t>
            </w:r>
          </w:p>
          <w:p w14:paraId="16DF657E">
            <w:pPr>
              <w:spacing w:line="276" w:lineRule="auto"/>
            </w:pPr>
            <w:r>
              <w:rPr>
                <w:rFonts w:hint="eastAsia"/>
              </w:rPr>
              <w:t>2、排污口规范化管理</w:t>
            </w:r>
          </w:p>
          <w:p w14:paraId="13455E3B">
            <w:pPr>
              <w:spacing w:line="276" w:lineRule="auto"/>
              <w:ind w:firstLine="420" w:firstLineChars="200"/>
            </w:pPr>
            <w:r>
              <w:rPr>
                <w:rFonts w:hint="eastAsia"/>
              </w:rPr>
              <w:t>监测点位标志牌设置要求：</w:t>
            </w:r>
          </w:p>
          <w:p w14:paraId="673CAD89">
            <w:pPr>
              <w:spacing w:line="276" w:lineRule="auto"/>
              <w:ind w:firstLine="420" w:firstLineChars="200"/>
            </w:pPr>
            <w:r>
              <w:rPr>
                <w:rFonts w:hint="eastAsia"/>
              </w:rPr>
              <w:t>①标志牌应设置在距污染物监测点位较近且醒目处，并能长久保留。</w:t>
            </w:r>
          </w:p>
          <w:p w14:paraId="1DDA5223">
            <w:pPr>
              <w:spacing w:line="276" w:lineRule="auto"/>
              <w:ind w:firstLine="420" w:firstLineChars="200"/>
            </w:pPr>
            <w:r>
              <w:rPr>
                <w:rFonts w:hint="eastAsia"/>
              </w:rPr>
              <w:t>②环保图形标志必须符合原国家环境保护局和国家技术监督局发布的《环境保护图形标志-排放口（源）》（GB15562.1-1995）和《环境保护图形标志-固体废物贮存（处置）场》（GB 15562.2-1995）等规定。</w:t>
            </w:r>
          </w:p>
          <w:p w14:paraId="5B8DDBBC">
            <w:pPr>
              <w:spacing w:line="276" w:lineRule="auto"/>
              <w:ind w:firstLine="420" w:firstLineChars="200"/>
            </w:pPr>
            <w:r>
              <w:rPr>
                <w:rFonts w:hint="eastAsia"/>
              </w:rPr>
              <w:t>③提示标志牌：底和立柱为绿色，图案、边框、支架和文字为白色。</w:t>
            </w:r>
          </w:p>
          <w:p w14:paraId="6C339F06">
            <w:pPr>
              <w:spacing w:line="276" w:lineRule="auto"/>
              <w:ind w:firstLine="420" w:firstLineChars="200"/>
            </w:pPr>
            <w:r>
              <w:rPr>
                <w:rFonts w:hint="eastAsia"/>
              </w:rPr>
              <w:t>④标志牌内容：排放口标志名称、单位名称、编号、污染物种类、国家环境保护总局监制。</w:t>
            </w:r>
          </w:p>
          <w:p w14:paraId="1368A052">
            <w:pPr>
              <w:spacing w:line="276" w:lineRule="auto"/>
              <w:ind w:firstLine="420" w:firstLineChars="200"/>
            </w:pPr>
            <w:r>
              <w:rPr>
                <w:rFonts w:hint="eastAsia"/>
              </w:rPr>
              <w:t xml:space="preserve">⑤标志字型：黑体字。 </w:t>
            </w:r>
          </w:p>
          <w:p w14:paraId="2FDB1613">
            <w:pPr>
              <w:spacing w:line="276" w:lineRule="auto"/>
              <w:ind w:firstLine="420" w:firstLineChars="200"/>
            </w:pPr>
            <w:r>
              <w:rPr>
                <w:rFonts w:hint="eastAsia"/>
              </w:rPr>
              <w:t>⑥标志牌尺寸：平面固定式标志牌外形尺寸480×300mm；立式固定式标志牌外形尺寸 420×420mm。</w:t>
            </w:r>
          </w:p>
          <w:p w14:paraId="02EA97CB">
            <w:pPr>
              <w:spacing w:line="276" w:lineRule="auto"/>
              <w:ind w:firstLine="420" w:firstLineChars="200"/>
            </w:pPr>
            <w:r>
              <w:rPr>
                <w:rFonts w:hint="eastAsia"/>
              </w:rPr>
              <w:t>⑦标志牌材料：标志牌采用 1.5~2mm 冷轧钢板，表面采用搪瓷或者反光贴膜。</w:t>
            </w:r>
          </w:p>
          <w:p w14:paraId="7CCE05C2">
            <w:pPr>
              <w:spacing w:line="360" w:lineRule="auto"/>
              <w:ind w:firstLine="420" w:firstLineChars="200"/>
              <w:rPr>
                <w:szCs w:val="24"/>
              </w:rPr>
            </w:pPr>
            <w:r>
              <w:rPr>
                <w:szCs w:val="24"/>
              </w:rPr>
              <w:t>排放口图形标志牌见下表。</w:t>
            </w:r>
          </w:p>
          <w:p w14:paraId="06BFDA78">
            <w:pPr>
              <w:spacing w:line="360" w:lineRule="auto"/>
              <w:jc w:val="center"/>
              <w:rPr>
                <w:b/>
                <w:bCs/>
                <w:szCs w:val="24"/>
              </w:rPr>
            </w:pPr>
            <w:r>
              <w:rPr>
                <w:b/>
                <w:bCs/>
                <w:szCs w:val="24"/>
              </w:rPr>
              <w:t>表</w:t>
            </w:r>
            <w:r>
              <w:rPr>
                <w:rFonts w:hint="eastAsia"/>
                <w:b/>
                <w:bCs/>
                <w:szCs w:val="24"/>
              </w:rPr>
              <w:t>5-1</w:t>
            </w:r>
            <w:r>
              <w:rPr>
                <w:b/>
                <w:bCs/>
                <w:szCs w:val="24"/>
              </w:rPr>
              <w:t xml:space="preserve"> 排放口图形标志牌</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03"/>
              <w:gridCol w:w="1899"/>
              <w:gridCol w:w="1976"/>
              <w:gridCol w:w="1485"/>
              <w:gridCol w:w="2433"/>
            </w:tblGrid>
            <w:tr w14:paraId="2703D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092CE2DF">
                  <w:pPr>
                    <w:jc w:val="center"/>
                    <w:rPr>
                      <w:b/>
                      <w:bCs/>
                      <w:kern w:val="0"/>
                    </w:rPr>
                  </w:pPr>
                  <w:r>
                    <w:rPr>
                      <w:b/>
                      <w:bCs/>
                      <w:kern w:val="0"/>
                    </w:rPr>
                    <w:t>序号</w:t>
                  </w:r>
                </w:p>
              </w:tc>
              <w:tc>
                <w:tcPr>
                  <w:tcW w:w="1153" w:type="pct"/>
                  <w:tcBorders>
                    <w:tl2br w:val="nil"/>
                    <w:tr2bl w:val="nil"/>
                  </w:tcBorders>
                  <w:vAlign w:val="center"/>
                </w:tcPr>
                <w:p w14:paraId="1A083E1C">
                  <w:pPr>
                    <w:jc w:val="center"/>
                    <w:rPr>
                      <w:b/>
                      <w:bCs/>
                      <w:kern w:val="0"/>
                    </w:rPr>
                  </w:pPr>
                  <w:r>
                    <w:rPr>
                      <w:b/>
                      <w:bCs/>
                      <w:kern w:val="0"/>
                    </w:rPr>
                    <w:t>提示图形符号</w:t>
                  </w:r>
                </w:p>
              </w:tc>
              <w:tc>
                <w:tcPr>
                  <w:tcW w:w="1155" w:type="pct"/>
                  <w:tcBorders>
                    <w:tl2br w:val="nil"/>
                    <w:tr2bl w:val="nil"/>
                  </w:tcBorders>
                  <w:vAlign w:val="center"/>
                </w:tcPr>
                <w:p w14:paraId="49437B62">
                  <w:pPr>
                    <w:jc w:val="center"/>
                    <w:rPr>
                      <w:b/>
                      <w:bCs/>
                    </w:rPr>
                  </w:pPr>
                  <w:r>
                    <w:rPr>
                      <w:b/>
                      <w:bCs/>
                    </w:rPr>
                    <w:t>警告图形符号</w:t>
                  </w:r>
                </w:p>
              </w:tc>
              <w:tc>
                <w:tcPr>
                  <w:tcW w:w="904" w:type="pct"/>
                  <w:tcBorders>
                    <w:tl2br w:val="nil"/>
                    <w:tr2bl w:val="nil"/>
                  </w:tcBorders>
                  <w:vAlign w:val="center"/>
                </w:tcPr>
                <w:p w14:paraId="3CE135D2">
                  <w:pPr>
                    <w:jc w:val="center"/>
                    <w:rPr>
                      <w:b/>
                      <w:bCs/>
                    </w:rPr>
                  </w:pPr>
                  <w:r>
                    <w:rPr>
                      <w:b/>
                      <w:bCs/>
                    </w:rPr>
                    <w:t>名称</w:t>
                  </w:r>
                </w:p>
              </w:tc>
              <w:tc>
                <w:tcPr>
                  <w:tcW w:w="1474" w:type="pct"/>
                  <w:tcBorders>
                    <w:tl2br w:val="nil"/>
                    <w:tr2bl w:val="nil"/>
                  </w:tcBorders>
                  <w:vAlign w:val="center"/>
                </w:tcPr>
                <w:p w14:paraId="26DA7D40">
                  <w:pPr>
                    <w:jc w:val="center"/>
                    <w:rPr>
                      <w:b/>
                      <w:bCs/>
                    </w:rPr>
                  </w:pPr>
                  <w:r>
                    <w:rPr>
                      <w:b/>
                      <w:bCs/>
                    </w:rPr>
                    <w:t>功能</w:t>
                  </w:r>
                </w:p>
              </w:tc>
            </w:tr>
            <w:tr w14:paraId="38E43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585FA6B6">
                  <w:pPr>
                    <w:jc w:val="center"/>
                    <w:rPr>
                      <w:kern w:val="0"/>
                    </w:rPr>
                  </w:pPr>
                  <w:r>
                    <w:rPr>
                      <w:rFonts w:hint="eastAsia"/>
                      <w:kern w:val="0"/>
                    </w:rPr>
                    <w:t>1</w:t>
                  </w:r>
                </w:p>
              </w:tc>
              <w:tc>
                <w:tcPr>
                  <w:tcW w:w="1153" w:type="pct"/>
                  <w:tcBorders>
                    <w:tl2br w:val="nil"/>
                    <w:tr2bl w:val="nil"/>
                  </w:tcBorders>
                  <w:vAlign w:val="center"/>
                </w:tcPr>
                <w:p w14:paraId="688B6809">
                  <w:pPr>
                    <w:jc w:val="center"/>
                    <w:rPr>
                      <w:kern w:val="0"/>
                    </w:rPr>
                  </w:pPr>
                  <w:r>
                    <w:drawing>
                      <wp:inline distT="0" distB="0" distL="114300" distR="114300">
                        <wp:extent cx="1097280" cy="990600"/>
                        <wp:effectExtent l="0" t="0" r="7620" b="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23"/>
                                <a:stretch>
                                  <a:fillRect/>
                                </a:stretch>
                              </pic:blipFill>
                              <pic:spPr>
                                <a:xfrm>
                                  <a:off x="0" y="0"/>
                                  <a:ext cx="1097280" cy="990600"/>
                                </a:xfrm>
                                <a:prstGeom prst="rect">
                                  <a:avLst/>
                                </a:prstGeom>
                                <a:noFill/>
                                <a:ln>
                                  <a:noFill/>
                                </a:ln>
                              </pic:spPr>
                            </pic:pic>
                          </a:graphicData>
                        </a:graphic>
                      </wp:inline>
                    </w:drawing>
                  </w:r>
                </w:p>
              </w:tc>
              <w:tc>
                <w:tcPr>
                  <w:tcW w:w="1155" w:type="pct"/>
                  <w:tcBorders>
                    <w:tl2br w:val="nil"/>
                    <w:tr2bl w:val="nil"/>
                  </w:tcBorders>
                  <w:vAlign w:val="center"/>
                </w:tcPr>
                <w:p w14:paraId="47230BE4">
                  <w:pPr>
                    <w:jc w:val="center"/>
                  </w:pPr>
                  <w:r>
                    <w:drawing>
                      <wp:inline distT="0" distB="0" distL="114300" distR="114300">
                        <wp:extent cx="1017270" cy="1010920"/>
                        <wp:effectExtent l="0" t="0" r="11430" b="1778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24"/>
                                <a:stretch>
                                  <a:fillRect/>
                                </a:stretch>
                              </pic:blipFill>
                              <pic:spPr>
                                <a:xfrm>
                                  <a:off x="0" y="0"/>
                                  <a:ext cx="1017270" cy="1010920"/>
                                </a:xfrm>
                                <a:prstGeom prst="rect">
                                  <a:avLst/>
                                </a:prstGeom>
                                <a:noFill/>
                                <a:ln>
                                  <a:noFill/>
                                </a:ln>
                              </pic:spPr>
                            </pic:pic>
                          </a:graphicData>
                        </a:graphic>
                      </wp:inline>
                    </w:drawing>
                  </w:r>
                </w:p>
              </w:tc>
              <w:tc>
                <w:tcPr>
                  <w:tcW w:w="904" w:type="pct"/>
                  <w:tcBorders>
                    <w:tl2br w:val="nil"/>
                    <w:tr2bl w:val="nil"/>
                  </w:tcBorders>
                  <w:vAlign w:val="center"/>
                </w:tcPr>
                <w:p w14:paraId="268C15E0">
                  <w:pPr>
                    <w:jc w:val="center"/>
                  </w:pPr>
                  <w:r>
                    <w:t>污水排放口</w:t>
                  </w:r>
                </w:p>
              </w:tc>
              <w:tc>
                <w:tcPr>
                  <w:tcW w:w="1474" w:type="pct"/>
                  <w:tcBorders>
                    <w:tl2br w:val="nil"/>
                    <w:tr2bl w:val="nil"/>
                  </w:tcBorders>
                  <w:vAlign w:val="center"/>
                </w:tcPr>
                <w:p w14:paraId="6730095D">
                  <w:pPr>
                    <w:jc w:val="center"/>
                  </w:pPr>
                  <w:r>
                    <w:t>表示污水向水体排放</w:t>
                  </w:r>
                </w:p>
              </w:tc>
            </w:tr>
            <w:tr w14:paraId="6AD29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25280737">
                  <w:pPr>
                    <w:jc w:val="center"/>
                    <w:rPr>
                      <w:kern w:val="0"/>
                    </w:rPr>
                  </w:pPr>
                  <w:r>
                    <w:rPr>
                      <w:kern w:val="0"/>
                    </w:rPr>
                    <w:t>2</w:t>
                  </w:r>
                </w:p>
              </w:tc>
              <w:tc>
                <w:tcPr>
                  <w:tcW w:w="1153" w:type="pct"/>
                  <w:tcBorders>
                    <w:tl2br w:val="nil"/>
                    <w:tr2bl w:val="nil"/>
                  </w:tcBorders>
                  <w:vAlign w:val="center"/>
                </w:tcPr>
                <w:p w14:paraId="0BA988F9">
                  <w:pPr>
                    <w:jc w:val="center"/>
                    <w:rPr>
                      <w:kern w:val="0"/>
                    </w:rPr>
                  </w:pPr>
                  <w:r>
                    <w:drawing>
                      <wp:inline distT="0" distB="0" distL="114300" distR="114300">
                        <wp:extent cx="1028700" cy="990600"/>
                        <wp:effectExtent l="0" t="0" r="0" b="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25"/>
                                <a:stretch>
                                  <a:fillRect/>
                                </a:stretch>
                              </pic:blipFill>
                              <pic:spPr>
                                <a:xfrm>
                                  <a:off x="0" y="0"/>
                                  <a:ext cx="1028700" cy="990600"/>
                                </a:xfrm>
                                <a:prstGeom prst="rect">
                                  <a:avLst/>
                                </a:prstGeom>
                                <a:noFill/>
                                <a:ln>
                                  <a:noFill/>
                                </a:ln>
                              </pic:spPr>
                            </pic:pic>
                          </a:graphicData>
                        </a:graphic>
                      </wp:inline>
                    </w:drawing>
                  </w:r>
                </w:p>
              </w:tc>
              <w:tc>
                <w:tcPr>
                  <w:tcW w:w="1155" w:type="pct"/>
                  <w:tcBorders>
                    <w:tl2br w:val="nil"/>
                    <w:tr2bl w:val="nil"/>
                  </w:tcBorders>
                  <w:vAlign w:val="center"/>
                </w:tcPr>
                <w:p w14:paraId="01F87095">
                  <w:pPr>
                    <w:jc w:val="center"/>
                  </w:pPr>
                  <w:r>
                    <w:drawing>
                      <wp:inline distT="0" distB="0" distL="114300" distR="114300">
                        <wp:extent cx="1143000" cy="1038225"/>
                        <wp:effectExtent l="0" t="0" r="0" b="9525"/>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26"/>
                                <a:srcRect l="-3448"/>
                                <a:stretch>
                                  <a:fillRect/>
                                </a:stretch>
                              </pic:blipFill>
                              <pic:spPr>
                                <a:xfrm>
                                  <a:off x="0" y="0"/>
                                  <a:ext cx="1143000" cy="1038225"/>
                                </a:xfrm>
                                <a:prstGeom prst="rect">
                                  <a:avLst/>
                                </a:prstGeom>
                                <a:noFill/>
                                <a:ln>
                                  <a:noFill/>
                                </a:ln>
                              </pic:spPr>
                            </pic:pic>
                          </a:graphicData>
                        </a:graphic>
                      </wp:inline>
                    </w:drawing>
                  </w:r>
                </w:p>
              </w:tc>
              <w:tc>
                <w:tcPr>
                  <w:tcW w:w="904" w:type="pct"/>
                  <w:tcBorders>
                    <w:tl2br w:val="nil"/>
                    <w:tr2bl w:val="nil"/>
                  </w:tcBorders>
                  <w:vAlign w:val="center"/>
                </w:tcPr>
                <w:p w14:paraId="3303B97B">
                  <w:pPr>
                    <w:jc w:val="center"/>
                  </w:pPr>
                  <w:r>
                    <w:t>一般固体废物</w:t>
                  </w:r>
                </w:p>
              </w:tc>
              <w:tc>
                <w:tcPr>
                  <w:tcW w:w="1474" w:type="pct"/>
                  <w:tcBorders>
                    <w:tl2br w:val="nil"/>
                    <w:tr2bl w:val="nil"/>
                  </w:tcBorders>
                  <w:vAlign w:val="center"/>
                </w:tcPr>
                <w:p w14:paraId="30EF63C0">
                  <w:pPr>
                    <w:jc w:val="center"/>
                  </w:pPr>
                  <w:r>
                    <w:t>表示一般固体废物贮存、处置场</w:t>
                  </w:r>
                </w:p>
              </w:tc>
            </w:tr>
            <w:tr w14:paraId="17B39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2B5836FF">
                  <w:pPr>
                    <w:jc w:val="center"/>
                    <w:rPr>
                      <w:kern w:val="0"/>
                    </w:rPr>
                  </w:pPr>
                  <w:r>
                    <w:rPr>
                      <w:kern w:val="0"/>
                    </w:rPr>
                    <w:t>3</w:t>
                  </w:r>
                </w:p>
              </w:tc>
              <w:tc>
                <w:tcPr>
                  <w:tcW w:w="1153" w:type="pct"/>
                  <w:tcBorders>
                    <w:tl2br w:val="nil"/>
                    <w:tr2bl w:val="nil"/>
                  </w:tcBorders>
                  <w:vAlign w:val="center"/>
                </w:tcPr>
                <w:p w14:paraId="724295E6">
                  <w:pPr>
                    <w:jc w:val="center"/>
                    <w:rPr>
                      <w:kern w:val="0"/>
                    </w:rPr>
                  </w:pPr>
                </w:p>
              </w:tc>
              <w:tc>
                <w:tcPr>
                  <w:tcW w:w="1155" w:type="pct"/>
                  <w:tcBorders>
                    <w:tl2br w:val="nil"/>
                    <w:tr2bl w:val="nil"/>
                  </w:tcBorders>
                  <w:vAlign w:val="center"/>
                </w:tcPr>
                <w:p w14:paraId="7F7D7A68">
                  <w:pPr>
                    <w:jc w:val="center"/>
                  </w:pPr>
                  <w:r>
                    <w:drawing>
                      <wp:inline distT="0" distB="0" distL="114300" distR="114300">
                        <wp:extent cx="1207135" cy="1028065"/>
                        <wp:effectExtent l="0" t="0" r="12065" b="63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27"/>
                                <a:stretch>
                                  <a:fillRect/>
                                </a:stretch>
                              </pic:blipFill>
                              <pic:spPr>
                                <a:xfrm>
                                  <a:off x="0" y="0"/>
                                  <a:ext cx="1207135" cy="1028065"/>
                                </a:xfrm>
                                <a:prstGeom prst="rect">
                                  <a:avLst/>
                                </a:prstGeom>
                                <a:noFill/>
                                <a:ln>
                                  <a:noFill/>
                                </a:ln>
                              </pic:spPr>
                            </pic:pic>
                          </a:graphicData>
                        </a:graphic>
                      </wp:inline>
                    </w:drawing>
                  </w:r>
                </w:p>
              </w:tc>
              <w:tc>
                <w:tcPr>
                  <w:tcW w:w="904" w:type="pct"/>
                  <w:tcBorders>
                    <w:tl2br w:val="nil"/>
                    <w:tr2bl w:val="nil"/>
                  </w:tcBorders>
                  <w:vAlign w:val="center"/>
                </w:tcPr>
                <w:p w14:paraId="0BCDF0AE">
                  <w:pPr>
                    <w:jc w:val="center"/>
                  </w:pPr>
                  <w:r>
                    <w:t>危险废物</w:t>
                  </w:r>
                </w:p>
              </w:tc>
              <w:tc>
                <w:tcPr>
                  <w:tcW w:w="1474" w:type="pct"/>
                  <w:tcBorders>
                    <w:tl2br w:val="nil"/>
                    <w:tr2bl w:val="nil"/>
                  </w:tcBorders>
                  <w:vAlign w:val="center"/>
                </w:tcPr>
                <w:p w14:paraId="7696F14A">
                  <w:pPr>
                    <w:jc w:val="center"/>
                  </w:pPr>
                  <w:r>
                    <w:t>表示危险废物贮存、处置场</w:t>
                  </w:r>
                </w:p>
              </w:tc>
            </w:tr>
            <w:tr w14:paraId="26D69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2" w:type="pct"/>
                  <w:tcBorders>
                    <w:tl2br w:val="nil"/>
                    <w:tr2bl w:val="nil"/>
                  </w:tcBorders>
                  <w:vAlign w:val="center"/>
                </w:tcPr>
                <w:p w14:paraId="5FFE6515">
                  <w:pPr>
                    <w:jc w:val="center"/>
                    <w:rPr>
                      <w:kern w:val="0"/>
                    </w:rPr>
                  </w:pPr>
                  <w:r>
                    <w:rPr>
                      <w:kern w:val="0"/>
                    </w:rPr>
                    <w:t>4</w:t>
                  </w:r>
                </w:p>
              </w:tc>
              <w:tc>
                <w:tcPr>
                  <w:tcW w:w="1153" w:type="pct"/>
                  <w:tcBorders>
                    <w:tl2br w:val="nil"/>
                    <w:tr2bl w:val="nil"/>
                  </w:tcBorders>
                  <w:vAlign w:val="center"/>
                </w:tcPr>
                <w:p w14:paraId="3D78BE2E">
                  <w:pPr>
                    <w:jc w:val="center"/>
                    <w:rPr>
                      <w:kern w:val="0"/>
                    </w:rPr>
                  </w:pPr>
                  <w:r>
                    <w:drawing>
                      <wp:inline distT="0" distB="0" distL="114300" distR="114300">
                        <wp:extent cx="1021080" cy="990600"/>
                        <wp:effectExtent l="0" t="0" r="7620" b="0"/>
                        <wp:docPr id="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
                                <pic:cNvPicPr>
                                  <a:picLocks noChangeAspect="1"/>
                                </pic:cNvPicPr>
                              </pic:nvPicPr>
                              <pic:blipFill>
                                <a:blip r:embed="rId28"/>
                                <a:stretch>
                                  <a:fillRect/>
                                </a:stretch>
                              </pic:blipFill>
                              <pic:spPr>
                                <a:xfrm>
                                  <a:off x="0" y="0"/>
                                  <a:ext cx="1021080" cy="990600"/>
                                </a:xfrm>
                                <a:prstGeom prst="rect">
                                  <a:avLst/>
                                </a:prstGeom>
                                <a:noFill/>
                                <a:ln>
                                  <a:noFill/>
                                </a:ln>
                              </pic:spPr>
                            </pic:pic>
                          </a:graphicData>
                        </a:graphic>
                      </wp:inline>
                    </w:drawing>
                  </w:r>
                </w:p>
              </w:tc>
              <w:tc>
                <w:tcPr>
                  <w:tcW w:w="1155" w:type="pct"/>
                  <w:tcBorders>
                    <w:tl2br w:val="nil"/>
                    <w:tr2bl w:val="nil"/>
                  </w:tcBorders>
                  <w:vAlign w:val="center"/>
                </w:tcPr>
                <w:p w14:paraId="5C24C599">
                  <w:pPr>
                    <w:jc w:val="center"/>
                  </w:pPr>
                  <w:r>
                    <w:drawing>
                      <wp:inline distT="0" distB="0" distL="114300" distR="114300">
                        <wp:extent cx="1133475" cy="1009650"/>
                        <wp:effectExtent l="0" t="0" r="9525" b="0"/>
                        <wp:docPr id="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pic:cNvPicPr>
                                  <a:picLocks noChangeAspect="1"/>
                                </pic:cNvPicPr>
                              </pic:nvPicPr>
                              <pic:blipFill>
                                <a:blip r:embed="rId29"/>
                                <a:stretch>
                                  <a:fillRect/>
                                </a:stretch>
                              </pic:blipFill>
                              <pic:spPr>
                                <a:xfrm>
                                  <a:off x="0" y="0"/>
                                  <a:ext cx="1133475" cy="1009650"/>
                                </a:xfrm>
                                <a:prstGeom prst="rect">
                                  <a:avLst/>
                                </a:prstGeom>
                                <a:noFill/>
                                <a:ln>
                                  <a:noFill/>
                                </a:ln>
                              </pic:spPr>
                            </pic:pic>
                          </a:graphicData>
                        </a:graphic>
                      </wp:inline>
                    </w:drawing>
                  </w:r>
                </w:p>
              </w:tc>
              <w:tc>
                <w:tcPr>
                  <w:tcW w:w="904" w:type="pct"/>
                  <w:tcBorders>
                    <w:tl2br w:val="nil"/>
                    <w:tr2bl w:val="nil"/>
                  </w:tcBorders>
                  <w:vAlign w:val="center"/>
                </w:tcPr>
                <w:p w14:paraId="09BD6516">
                  <w:pPr>
                    <w:jc w:val="center"/>
                  </w:pPr>
                  <w:r>
                    <w:t>噪声排放源</w:t>
                  </w:r>
                </w:p>
              </w:tc>
              <w:tc>
                <w:tcPr>
                  <w:tcW w:w="1474" w:type="pct"/>
                  <w:tcBorders>
                    <w:tl2br w:val="nil"/>
                    <w:tr2bl w:val="nil"/>
                  </w:tcBorders>
                  <w:vAlign w:val="center"/>
                </w:tcPr>
                <w:p w14:paraId="41DBC30D">
                  <w:pPr>
                    <w:jc w:val="center"/>
                  </w:pPr>
                  <w:r>
                    <w:t>表示噪声向外环境排放</w:t>
                  </w:r>
                </w:p>
              </w:tc>
            </w:tr>
          </w:tbl>
          <w:p w14:paraId="125947FB">
            <w:pPr>
              <w:spacing w:line="276" w:lineRule="auto"/>
              <w:ind w:firstLine="420" w:firstLineChars="200"/>
            </w:pPr>
          </w:p>
          <w:p w14:paraId="062B203C">
            <w:pPr>
              <w:spacing w:line="276" w:lineRule="auto"/>
              <w:ind w:firstLine="420" w:firstLineChars="200"/>
            </w:pPr>
          </w:p>
          <w:p w14:paraId="3F804C2E">
            <w:pPr>
              <w:spacing w:line="276" w:lineRule="auto"/>
              <w:ind w:firstLine="420" w:firstLineChars="200"/>
            </w:pPr>
          </w:p>
          <w:p w14:paraId="37F744E6">
            <w:pPr>
              <w:spacing w:line="276" w:lineRule="auto"/>
              <w:ind w:firstLine="420" w:firstLineChars="200"/>
            </w:pPr>
          </w:p>
          <w:p w14:paraId="241AEA46">
            <w:pPr>
              <w:spacing w:line="276" w:lineRule="auto"/>
              <w:ind w:firstLine="420" w:firstLineChars="200"/>
            </w:pPr>
          </w:p>
          <w:p w14:paraId="379A342E">
            <w:pPr>
              <w:spacing w:line="276" w:lineRule="auto"/>
              <w:ind w:firstLine="420" w:firstLineChars="200"/>
            </w:pPr>
          </w:p>
        </w:tc>
      </w:tr>
    </w:tbl>
    <w:p w14:paraId="2B40D52C">
      <w:pPr>
        <w:rPr>
          <w:rFonts w:eastAsia="黑体"/>
          <w:sz w:val="30"/>
          <w:szCs w:val="30"/>
        </w:rPr>
      </w:pPr>
      <w:r>
        <w:rPr>
          <w:rFonts w:eastAsia="黑体"/>
          <w:sz w:val="30"/>
          <w:szCs w:val="30"/>
        </w:rPr>
        <w:br w:type="page"/>
      </w:r>
    </w:p>
    <w:p w14:paraId="713ECD93">
      <w:pPr>
        <w:pStyle w:val="34"/>
        <w:jc w:val="center"/>
        <w:rPr>
          <w:rFonts w:eastAsia="黑体"/>
          <w:b w:val="0"/>
          <w:sz w:val="30"/>
          <w:szCs w:val="30"/>
        </w:rPr>
      </w:pPr>
      <w:r>
        <w:rPr>
          <w:rFonts w:eastAsia="黑体"/>
          <w:b w:val="0"/>
          <w:sz w:val="30"/>
          <w:szCs w:val="30"/>
        </w:rPr>
        <w:t>六、结论</w:t>
      </w:r>
    </w:p>
    <w:tbl>
      <w:tblPr>
        <w:tblStyle w:val="22"/>
        <w:tblW w:w="97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767"/>
      </w:tblGrid>
      <w:tr w14:paraId="017B9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67" w:type="dxa"/>
            <w:shd w:val="clear" w:color="auto" w:fill="auto"/>
          </w:tcPr>
          <w:p w14:paraId="11618361">
            <w:pPr>
              <w:spacing w:line="360" w:lineRule="auto"/>
              <w:ind w:firstLine="480" w:firstLineChars="200"/>
              <w:rPr>
                <w:sz w:val="24"/>
              </w:rPr>
            </w:pPr>
            <w:r>
              <w:rPr>
                <w:rFonts w:hint="eastAsia"/>
                <w:sz w:val="24"/>
              </w:rPr>
              <w:t>“通川区广慈精神病专科医院（养老、精神病专科）建设项目”</w:t>
            </w:r>
            <w:r>
              <w:rPr>
                <w:sz w:val="24"/>
              </w:rPr>
              <w:t>位于</w:t>
            </w:r>
            <w:r>
              <w:rPr>
                <w:rFonts w:hint="eastAsia"/>
                <w:sz w:val="24"/>
                <w:szCs w:val="24"/>
              </w:rPr>
              <w:t>通川区罗江镇高岩村</w:t>
            </w:r>
            <w:r>
              <w:rPr>
                <w:sz w:val="24"/>
              </w:rPr>
              <w:t>，本项目建设符合国家产业政策，符合</w:t>
            </w:r>
            <w:r>
              <w:rPr>
                <w:rFonts w:hint="eastAsia"/>
                <w:sz w:val="24"/>
              </w:rPr>
              <w:t>达州市通川区</w:t>
            </w:r>
            <w:r>
              <w:rPr>
                <w:sz w:val="24"/>
              </w:rPr>
              <w:t>的规划要求。本项目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14:paraId="64F9E732">
            <w:pPr>
              <w:spacing w:line="360" w:lineRule="auto"/>
              <w:ind w:firstLine="480" w:firstLineChars="200"/>
              <w:rPr>
                <w:sz w:val="24"/>
                <w:szCs w:val="24"/>
              </w:rPr>
            </w:pPr>
          </w:p>
          <w:p w14:paraId="62274387">
            <w:pPr>
              <w:spacing w:line="360" w:lineRule="auto"/>
              <w:ind w:firstLine="480" w:firstLineChars="200"/>
              <w:rPr>
                <w:sz w:val="24"/>
                <w:szCs w:val="24"/>
              </w:rPr>
            </w:pPr>
          </w:p>
          <w:p w14:paraId="17566E22">
            <w:pPr>
              <w:spacing w:line="276" w:lineRule="auto"/>
              <w:ind w:firstLine="420" w:firstLineChars="200"/>
            </w:pPr>
          </w:p>
          <w:p w14:paraId="69CBCAE4">
            <w:pPr>
              <w:spacing w:line="276" w:lineRule="auto"/>
              <w:ind w:firstLine="420" w:firstLineChars="200"/>
            </w:pPr>
          </w:p>
          <w:p w14:paraId="4A33840A">
            <w:pPr>
              <w:spacing w:line="276" w:lineRule="auto"/>
              <w:ind w:firstLine="420" w:firstLineChars="200"/>
            </w:pPr>
          </w:p>
          <w:p w14:paraId="355D4D19">
            <w:pPr>
              <w:spacing w:line="276" w:lineRule="auto"/>
              <w:ind w:firstLine="420" w:firstLineChars="200"/>
            </w:pPr>
          </w:p>
          <w:p w14:paraId="57638D46">
            <w:pPr>
              <w:spacing w:line="276" w:lineRule="auto"/>
              <w:ind w:firstLine="420" w:firstLineChars="200"/>
            </w:pPr>
          </w:p>
          <w:p w14:paraId="212FA46D">
            <w:pPr>
              <w:spacing w:line="276" w:lineRule="auto"/>
              <w:ind w:firstLine="420" w:firstLineChars="200"/>
            </w:pPr>
          </w:p>
          <w:p w14:paraId="3BC3B5F3">
            <w:pPr>
              <w:spacing w:line="276" w:lineRule="auto"/>
              <w:ind w:firstLine="420" w:firstLineChars="200"/>
            </w:pPr>
          </w:p>
          <w:p w14:paraId="5E2808A3">
            <w:pPr>
              <w:spacing w:line="276" w:lineRule="auto"/>
              <w:ind w:firstLine="420" w:firstLineChars="200"/>
            </w:pPr>
          </w:p>
          <w:p w14:paraId="40E03B7E">
            <w:pPr>
              <w:spacing w:line="276" w:lineRule="auto"/>
              <w:ind w:firstLine="420" w:firstLineChars="200"/>
            </w:pPr>
          </w:p>
          <w:p w14:paraId="75572849">
            <w:pPr>
              <w:spacing w:line="276" w:lineRule="auto"/>
              <w:ind w:firstLine="420" w:firstLineChars="200"/>
            </w:pPr>
          </w:p>
          <w:p w14:paraId="2BB17EB8">
            <w:pPr>
              <w:spacing w:line="276" w:lineRule="auto"/>
              <w:ind w:firstLine="420" w:firstLineChars="200"/>
            </w:pPr>
          </w:p>
          <w:p w14:paraId="5357189B">
            <w:pPr>
              <w:spacing w:line="276" w:lineRule="auto"/>
              <w:ind w:firstLine="420" w:firstLineChars="200"/>
            </w:pPr>
          </w:p>
          <w:p w14:paraId="4F57E240">
            <w:pPr>
              <w:spacing w:line="276" w:lineRule="auto"/>
              <w:ind w:firstLine="420" w:firstLineChars="200"/>
            </w:pPr>
          </w:p>
          <w:p w14:paraId="798F9952">
            <w:pPr>
              <w:spacing w:line="276" w:lineRule="auto"/>
              <w:ind w:firstLine="420" w:firstLineChars="200"/>
            </w:pPr>
          </w:p>
          <w:p w14:paraId="14F9EA75">
            <w:pPr>
              <w:spacing w:line="276" w:lineRule="auto"/>
              <w:ind w:firstLine="420" w:firstLineChars="200"/>
            </w:pPr>
          </w:p>
          <w:p w14:paraId="52A45428">
            <w:pPr>
              <w:spacing w:line="276" w:lineRule="auto"/>
              <w:ind w:firstLine="420" w:firstLineChars="200"/>
            </w:pPr>
          </w:p>
          <w:p w14:paraId="053D7194">
            <w:pPr>
              <w:spacing w:line="276" w:lineRule="auto"/>
              <w:ind w:firstLine="420" w:firstLineChars="200"/>
            </w:pPr>
          </w:p>
          <w:p w14:paraId="213AF596">
            <w:pPr>
              <w:spacing w:line="276" w:lineRule="auto"/>
              <w:ind w:firstLine="420" w:firstLineChars="200"/>
            </w:pPr>
          </w:p>
          <w:p w14:paraId="6DEC4585">
            <w:pPr>
              <w:spacing w:line="276" w:lineRule="auto"/>
              <w:ind w:firstLine="420" w:firstLineChars="200"/>
            </w:pPr>
          </w:p>
          <w:p w14:paraId="1C33EAD7">
            <w:pPr>
              <w:spacing w:line="276" w:lineRule="auto"/>
              <w:ind w:firstLine="420" w:firstLineChars="200"/>
            </w:pPr>
          </w:p>
          <w:p w14:paraId="0EC506C3">
            <w:pPr>
              <w:spacing w:line="276" w:lineRule="auto"/>
              <w:ind w:firstLine="420" w:firstLineChars="200"/>
            </w:pPr>
          </w:p>
          <w:p w14:paraId="37A11359">
            <w:pPr>
              <w:spacing w:line="276" w:lineRule="auto"/>
              <w:ind w:firstLine="420" w:firstLineChars="200"/>
            </w:pPr>
          </w:p>
          <w:p w14:paraId="39701320">
            <w:pPr>
              <w:spacing w:line="276" w:lineRule="auto"/>
              <w:ind w:firstLine="420" w:firstLineChars="200"/>
            </w:pPr>
          </w:p>
          <w:p w14:paraId="1B9A8BA4">
            <w:pPr>
              <w:spacing w:line="276" w:lineRule="auto"/>
              <w:ind w:firstLine="420" w:firstLineChars="200"/>
            </w:pPr>
          </w:p>
          <w:p w14:paraId="12EBE454">
            <w:pPr>
              <w:spacing w:line="276" w:lineRule="auto"/>
              <w:ind w:firstLine="420" w:firstLineChars="200"/>
            </w:pPr>
          </w:p>
          <w:p w14:paraId="7EA32482">
            <w:pPr>
              <w:spacing w:line="276" w:lineRule="auto"/>
              <w:ind w:firstLine="420" w:firstLineChars="200"/>
            </w:pPr>
          </w:p>
          <w:p w14:paraId="53BC7FB1">
            <w:pPr>
              <w:spacing w:line="276" w:lineRule="auto"/>
            </w:pPr>
          </w:p>
        </w:tc>
      </w:tr>
    </w:tbl>
    <w:p w14:paraId="1AA5D958">
      <w:pPr>
        <w:pStyle w:val="8"/>
        <w:spacing w:after="0" w:line="360" w:lineRule="auto"/>
        <w:rPr>
          <w:sz w:val="24"/>
          <w:szCs w:val="36"/>
        </w:rPr>
        <w:sectPr>
          <w:pgSz w:w="11906" w:h="16838"/>
          <w:pgMar w:top="1440" w:right="1134" w:bottom="1440" w:left="1417" w:header="851" w:footer="992" w:gutter="0"/>
          <w:pgBorders>
            <w:top w:val="none" w:sz="0" w:space="0"/>
            <w:left w:val="none" w:sz="0" w:space="0"/>
            <w:bottom w:val="none" w:sz="0" w:space="0"/>
            <w:right w:val="none" w:sz="0" w:space="0"/>
          </w:pgBorders>
          <w:cols w:space="720" w:num="1"/>
          <w:docGrid w:type="lines" w:linePitch="312" w:charSpace="0"/>
        </w:sectPr>
      </w:pPr>
    </w:p>
    <w:p w14:paraId="6240980F">
      <w:pPr>
        <w:pStyle w:val="19"/>
        <w:adjustRightInd w:val="0"/>
        <w:snapToGrid w:val="0"/>
        <w:spacing w:before="0" w:beforeAutospacing="0" w:after="0" w:afterAutospacing="0" w:line="276" w:lineRule="auto"/>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14:paraId="631659D4">
      <w:pPr>
        <w:pStyle w:val="19"/>
        <w:adjustRightInd w:val="0"/>
        <w:snapToGrid w:val="0"/>
        <w:spacing w:before="0" w:beforeAutospacing="0" w:after="0" w:afterAutospacing="0" w:line="276" w:lineRule="auto"/>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2"/>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746"/>
        <w:gridCol w:w="1606"/>
        <w:gridCol w:w="1597"/>
        <w:gridCol w:w="1602"/>
        <w:gridCol w:w="1627"/>
        <w:gridCol w:w="1600"/>
        <w:gridCol w:w="1944"/>
        <w:gridCol w:w="1507"/>
      </w:tblGrid>
      <w:tr w14:paraId="507AF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tcBorders>
              <w:tl2br w:val="single" w:color="auto" w:sz="4" w:space="0"/>
            </w:tcBorders>
            <w:tcMar>
              <w:left w:w="28" w:type="dxa"/>
              <w:right w:w="28" w:type="dxa"/>
            </w:tcMar>
            <w:vAlign w:val="center"/>
          </w:tcPr>
          <w:p w14:paraId="6B8106CF">
            <w:pPr>
              <w:pStyle w:val="30"/>
              <w:jc w:val="right"/>
              <w:rPr>
                <w:snapToGrid w:val="0"/>
                <w:spacing w:val="-6"/>
                <w:kern w:val="21"/>
              </w:rPr>
            </w:pPr>
            <w:r>
              <w:rPr>
                <w:snapToGrid w:val="0"/>
                <w:spacing w:val="-6"/>
                <w:kern w:val="21"/>
              </w:rPr>
              <w:t>项目</w:t>
            </w:r>
          </w:p>
          <w:p w14:paraId="4FEF2983">
            <w:pPr>
              <w:pStyle w:val="30"/>
              <w:jc w:val="left"/>
              <w:rPr>
                <w:snapToGrid w:val="0"/>
                <w:spacing w:val="-6"/>
                <w:kern w:val="21"/>
              </w:rPr>
            </w:pPr>
            <w:r>
              <w:rPr>
                <w:snapToGrid w:val="0"/>
                <w:spacing w:val="-6"/>
                <w:kern w:val="21"/>
              </w:rPr>
              <w:t>分类</w:t>
            </w:r>
          </w:p>
        </w:tc>
        <w:tc>
          <w:tcPr>
            <w:tcW w:w="1746" w:type="dxa"/>
            <w:tcMar>
              <w:left w:w="28" w:type="dxa"/>
              <w:right w:w="28" w:type="dxa"/>
            </w:tcMar>
            <w:vAlign w:val="center"/>
          </w:tcPr>
          <w:p w14:paraId="2518593D">
            <w:pPr>
              <w:pStyle w:val="30"/>
              <w:rPr>
                <w:snapToGrid w:val="0"/>
                <w:spacing w:val="-6"/>
                <w:kern w:val="21"/>
              </w:rPr>
            </w:pPr>
            <w:r>
              <w:rPr>
                <w:snapToGrid w:val="0"/>
                <w:spacing w:val="-6"/>
                <w:kern w:val="21"/>
              </w:rPr>
              <w:t>污染物名称</w:t>
            </w:r>
          </w:p>
        </w:tc>
        <w:tc>
          <w:tcPr>
            <w:tcW w:w="1606" w:type="dxa"/>
            <w:tcMar>
              <w:left w:w="28" w:type="dxa"/>
              <w:right w:w="28" w:type="dxa"/>
            </w:tcMar>
            <w:vAlign w:val="center"/>
          </w:tcPr>
          <w:p w14:paraId="32243A0D">
            <w:pPr>
              <w:pStyle w:val="30"/>
              <w:rPr>
                <w:snapToGrid w:val="0"/>
                <w:spacing w:val="-6"/>
                <w:kern w:val="21"/>
              </w:rPr>
            </w:pPr>
            <w:r>
              <w:rPr>
                <w:snapToGrid w:val="0"/>
                <w:spacing w:val="-6"/>
                <w:kern w:val="21"/>
              </w:rPr>
              <w:t>现有工程</w:t>
            </w:r>
          </w:p>
          <w:p w14:paraId="32D3C3BD">
            <w:pPr>
              <w:pStyle w:val="3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cs="宋体"/>
              </w:rPr>
              <w:t>①</w:t>
            </w:r>
            <w:r>
              <w:rPr>
                <w:snapToGrid w:val="0"/>
                <w:spacing w:val="-6"/>
                <w:kern w:val="21"/>
              </w:rPr>
              <w:fldChar w:fldCharType="end"/>
            </w:r>
          </w:p>
        </w:tc>
        <w:tc>
          <w:tcPr>
            <w:tcW w:w="1597" w:type="dxa"/>
            <w:tcMar>
              <w:left w:w="28" w:type="dxa"/>
              <w:right w:w="28" w:type="dxa"/>
            </w:tcMar>
            <w:vAlign w:val="center"/>
          </w:tcPr>
          <w:p w14:paraId="0108FA4A">
            <w:pPr>
              <w:pStyle w:val="30"/>
              <w:rPr>
                <w:snapToGrid w:val="0"/>
                <w:spacing w:val="-6"/>
                <w:kern w:val="21"/>
              </w:rPr>
            </w:pPr>
            <w:r>
              <w:rPr>
                <w:snapToGrid w:val="0"/>
                <w:spacing w:val="-6"/>
                <w:kern w:val="21"/>
              </w:rPr>
              <w:t>现有工程</w:t>
            </w:r>
          </w:p>
          <w:p w14:paraId="50768714">
            <w:pPr>
              <w:pStyle w:val="30"/>
              <w:rPr>
                <w:snapToGrid w:val="0"/>
                <w:spacing w:val="-6"/>
                <w:kern w:val="21"/>
              </w:rPr>
            </w:pPr>
            <w:r>
              <w:rPr>
                <w:snapToGrid w:val="0"/>
                <w:spacing w:val="-6"/>
                <w:kern w:val="21"/>
              </w:rPr>
              <w:t>许可排放量</w:t>
            </w:r>
          </w:p>
          <w:p w14:paraId="6E28EBD2">
            <w:pPr>
              <w:pStyle w:val="30"/>
              <w:rPr>
                <w:snapToGrid w:val="0"/>
                <w:spacing w:val="-6"/>
                <w:kern w:val="21"/>
              </w:rPr>
            </w:pPr>
            <w:r>
              <w:rPr>
                <w:snapToGrid w:val="0"/>
                <w:spacing w:val="-6"/>
                <w:kern w:val="21"/>
              </w:rPr>
              <w:fldChar w:fldCharType="begin"/>
            </w:r>
            <w:r>
              <w:rPr>
                <w:snapToGrid w:val="0"/>
                <w:spacing w:val="-6"/>
                <w:kern w:val="21"/>
              </w:rPr>
              <w:instrText xml:space="preserve"> = 2 \* GB3 \* MERGEFORMAT </w:instrText>
            </w:r>
            <w:r>
              <w:rPr>
                <w:snapToGrid w:val="0"/>
                <w:spacing w:val="-6"/>
                <w:kern w:val="21"/>
              </w:rPr>
              <w:fldChar w:fldCharType="separate"/>
            </w:r>
            <w:r>
              <w:rPr>
                <w:rFonts w:hint="eastAsia" w:cs="宋体"/>
                <w:snapToGrid w:val="0"/>
                <w:spacing w:val="-6"/>
                <w:kern w:val="21"/>
              </w:rPr>
              <w:t>②</w:t>
            </w:r>
            <w:r>
              <w:rPr>
                <w:snapToGrid w:val="0"/>
                <w:spacing w:val="-6"/>
                <w:kern w:val="21"/>
              </w:rPr>
              <w:fldChar w:fldCharType="end"/>
            </w:r>
          </w:p>
        </w:tc>
        <w:tc>
          <w:tcPr>
            <w:tcW w:w="1602" w:type="dxa"/>
            <w:tcMar>
              <w:left w:w="28" w:type="dxa"/>
              <w:right w:w="28" w:type="dxa"/>
            </w:tcMar>
            <w:vAlign w:val="center"/>
          </w:tcPr>
          <w:p w14:paraId="32EBCFA0">
            <w:pPr>
              <w:pStyle w:val="30"/>
              <w:rPr>
                <w:snapToGrid w:val="0"/>
                <w:spacing w:val="-6"/>
                <w:kern w:val="21"/>
              </w:rPr>
            </w:pPr>
            <w:r>
              <w:rPr>
                <w:snapToGrid w:val="0"/>
                <w:spacing w:val="-6"/>
                <w:kern w:val="21"/>
              </w:rPr>
              <w:t>在建工程</w:t>
            </w:r>
          </w:p>
          <w:p w14:paraId="1B88FC2D">
            <w:pPr>
              <w:pStyle w:val="3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rFonts w:hint="eastAsia" w:cs="宋体"/>
              </w:rPr>
              <w:t>③</w:t>
            </w:r>
            <w:r>
              <w:rPr>
                <w:snapToGrid w:val="0"/>
                <w:spacing w:val="-6"/>
                <w:kern w:val="21"/>
              </w:rPr>
              <w:fldChar w:fldCharType="end"/>
            </w:r>
          </w:p>
        </w:tc>
        <w:tc>
          <w:tcPr>
            <w:tcW w:w="1627" w:type="dxa"/>
            <w:tcMar>
              <w:left w:w="28" w:type="dxa"/>
              <w:right w:w="28" w:type="dxa"/>
            </w:tcMar>
            <w:vAlign w:val="center"/>
          </w:tcPr>
          <w:p w14:paraId="713F1606">
            <w:pPr>
              <w:pStyle w:val="30"/>
              <w:rPr>
                <w:snapToGrid w:val="0"/>
                <w:spacing w:val="-6"/>
                <w:kern w:val="21"/>
              </w:rPr>
            </w:pPr>
            <w:r>
              <w:rPr>
                <w:snapToGrid w:val="0"/>
                <w:spacing w:val="-6"/>
                <w:kern w:val="21"/>
              </w:rPr>
              <w:t>本项目</w:t>
            </w:r>
          </w:p>
          <w:p w14:paraId="1C3CCF8E">
            <w:pPr>
              <w:pStyle w:val="30"/>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rFonts w:hint="eastAsia" w:cs="宋体"/>
              </w:rPr>
              <w:t>④</w:t>
            </w:r>
            <w:r>
              <w:rPr>
                <w:snapToGrid w:val="0"/>
                <w:spacing w:val="-6"/>
                <w:kern w:val="21"/>
              </w:rPr>
              <w:fldChar w:fldCharType="end"/>
            </w:r>
          </w:p>
        </w:tc>
        <w:tc>
          <w:tcPr>
            <w:tcW w:w="1600" w:type="dxa"/>
            <w:tcMar>
              <w:left w:w="28" w:type="dxa"/>
              <w:right w:w="28" w:type="dxa"/>
            </w:tcMar>
            <w:vAlign w:val="center"/>
          </w:tcPr>
          <w:p w14:paraId="63F3394D">
            <w:pPr>
              <w:pStyle w:val="30"/>
              <w:rPr>
                <w:snapToGrid w:val="0"/>
                <w:spacing w:val="-16"/>
                <w:kern w:val="21"/>
              </w:rPr>
            </w:pPr>
            <w:r>
              <w:rPr>
                <w:snapToGrid w:val="0"/>
                <w:spacing w:val="-16"/>
                <w:kern w:val="21"/>
              </w:rPr>
              <w:t>以新带老削减量</w:t>
            </w:r>
          </w:p>
          <w:p w14:paraId="04EA1A17">
            <w:pPr>
              <w:pStyle w:val="30"/>
              <w:rPr>
                <w:snapToGrid w:val="0"/>
                <w:spacing w:val="-16"/>
                <w:kern w:val="21"/>
              </w:rPr>
            </w:pPr>
            <w:r>
              <w:rPr>
                <w:snapToGrid w:val="0"/>
                <w:spacing w:val="-16"/>
                <w:kern w:val="21"/>
              </w:rPr>
              <w:t>（新建项目不填）</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rFonts w:hint="eastAsia" w:cs="宋体"/>
              </w:rPr>
              <w:t>⑤</w:t>
            </w:r>
            <w:r>
              <w:rPr>
                <w:snapToGrid w:val="0"/>
                <w:spacing w:val="-16"/>
                <w:kern w:val="21"/>
              </w:rPr>
              <w:fldChar w:fldCharType="end"/>
            </w:r>
          </w:p>
        </w:tc>
        <w:tc>
          <w:tcPr>
            <w:tcW w:w="1944" w:type="dxa"/>
            <w:tcMar>
              <w:left w:w="28" w:type="dxa"/>
              <w:right w:w="28" w:type="dxa"/>
            </w:tcMar>
            <w:vAlign w:val="center"/>
          </w:tcPr>
          <w:p w14:paraId="23F7930A">
            <w:pPr>
              <w:pStyle w:val="30"/>
              <w:rPr>
                <w:snapToGrid w:val="0"/>
                <w:spacing w:val="-16"/>
                <w:kern w:val="21"/>
              </w:rPr>
            </w:pPr>
            <w:r>
              <w:rPr>
                <w:snapToGrid w:val="0"/>
                <w:spacing w:val="-16"/>
                <w:kern w:val="21"/>
              </w:rPr>
              <w:t>本项目建成后</w:t>
            </w:r>
          </w:p>
          <w:p w14:paraId="6BD0A053">
            <w:pPr>
              <w:pStyle w:val="30"/>
              <w:rPr>
                <w:snapToGrid w:val="0"/>
                <w:spacing w:val="-16"/>
                <w:kern w:val="21"/>
              </w:rPr>
            </w:pPr>
            <w:r>
              <w:rPr>
                <w:snapToGrid w:val="0"/>
                <w:spacing w:val="-16"/>
                <w:kern w:val="21"/>
              </w:rPr>
              <w:t>全厂排放量（固体废物产生量）</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cs="宋体"/>
              </w:rPr>
              <w:t>⑥</w:t>
            </w:r>
            <w:r>
              <w:rPr>
                <w:snapToGrid w:val="0"/>
                <w:spacing w:val="-16"/>
                <w:kern w:val="21"/>
              </w:rPr>
              <w:fldChar w:fldCharType="end"/>
            </w:r>
          </w:p>
        </w:tc>
        <w:tc>
          <w:tcPr>
            <w:tcW w:w="1507" w:type="dxa"/>
            <w:tcMar>
              <w:left w:w="28" w:type="dxa"/>
              <w:right w:w="28" w:type="dxa"/>
            </w:tcMar>
            <w:vAlign w:val="center"/>
          </w:tcPr>
          <w:p w14:paraId="3DA38B1C">
            <w:pPr>
              <w:pStyle w:val="30"/>
              <w:rPr>
                <w:snapToGrid w:val="0"/>
                <w:spacing w:val="-6"/>
                <w:kern w:val="21"/>
              </w:rPr>
            </w:pPr>
            <w:r>
              <w:rPr>
                <w:snapToGrid w:val="0"/>
                <w:spacing w:val="-6"/>
                <w:kern w:val="21"/>
              </w:rPr>
              <w:t>变化量</w:t>
            </w:r>
          </w:p>
          <w:p w14:paraId="461C8DDC">
            <w:pPr>
              <w:pStyle w:val="30"/>
              <w:rPr>
                <w:snapToGrid w:val="0"/>
                <w:spacing w:val="-6"/>
                <w:kern w:val="21"/>
              </w:rPr>
            </w:pP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rFonts w:hint="eastAsia" w:cs="宋体"/>
              </w:rPr>
              <w:t>⑦</w:t>
            </w:r>
            <w:r>
              <w:rPr>
                <w:snapToGrid w:val="0"/>
                <w:spacing w:val="-6"/>
                <w:kern w:val="21"/>
              </w:rPr>
              <w:fldChar w:fldCharType="end"/>
            </w:r>
          </w:p>
        </w:tc>
      </w:tr>
      <w:tr w14:paraId="1A358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45" w:type="dxa"/>
            <w:vMerge w:val="restart"/>
            <w:vAlign w:val="center"/>
          </w:tcPr>
          <w:p w14:paraId="198FA114">
            <w:pPr>
              <w:pStyle w:val="30"/>
              <w:rPr>
                <w:snapToGrid w:val="0"/>
                <w:kern w:val="21"/>
              </w:rPr>
            </w:pPr>
            <w:r>
              <w:rPr>
                <w:snapToGrid w:val="0"/>
                <w:kern w:val="21"/>
              </w:rPr>
              <w:t>废气</w:t>
            </w:r>
          </w:p>
        </w:tc>
        <w:tc>
          <w:tcPr>
            <w:tcW w:w="1746" w:type="dxa"/>
            <w:vAlign w:val="center"/>
          </w:tcPr>
          <w:p w14:paraId="3623325D">
            <w:pPr>
              <w:pStyle w:val="30"/>
              <w:rPr>
                <w:rFonts w:cs="黑体"/>
                <w:snapToGrid w:val="0"/>
                <w:kern w:val="21"/>
              </w:rPr>
            </w:pPr>
            <w:r>
              <w:rPr>
                <w:snapToGrid w:val="0"/>
                <w:kern w:val="21"/>
              </w:rPr>
              <w:t>NH</w:t>
            </w:r>
            <w:r>
              <w:rPr>
                <w:snapToGrid w:val="0"/>
                <w:kern w:val="21"/>
                <w:vertAlign w:val="subscript"/>
              </w:rPr>
              <w:t>3</w:t>
            </w:r>
          </w:p>
        </w:tc>
        <w:tc>
          <w:tcPr>
            <w:tcW w:w="1606" w:type="dxa"/>
            <w:shd w:val="clear" w:color="auto" w:fill="auto"/>
            <w:vAlign w:val="center"/>
          </w:tcPr>
          <w:p w14:paraId="7F4FF92A">
            <w:pPr>
              <w:widowControl/>
              <w:jc w:val="center"/>
              <w:textAlignment w:val="center"/>
              <w:rPr>
                <w:snapToGrid w:val="0"/>
                <w:kern w:val="21"/>
              </w:rPr>
            </w:pPr>
            <w:r>
              <w:rPr>
                <w:rFonts w:hint="eastAsia" w:cs="黑体"/>
              </w:rPr>
              <w:t>0</w:t>
            </w:r>
          </w:p>
        </w:tc>
        <w:tc>
          <w:tcPr>
            <w:tcW w:w="1597" w:type="dxa"/>
            <w:vAlign w:val="center"/>
          </w:tcPr>
          <w:p w14:paraId="3A16C93A">
            <w:pPr>
              <w:widowControl/>
              <w:jc w:val="center"/>
              <w:textAlignment w:val="center"/>
              <w:rPr>
                <w:snapToGrid w:val="0"/>
                <w:kern w:val="21"/>
              </w:rPr>
            </w:pPr>
            <w:r>
              <w:rPr>
                <w:rFonts w:hint="eastAsia" w:cs="黑体"/>
              </w:rPr>
              <w:t>0</w:t>
            </w:r>
          </w:p>
        </w:tc>
        <w:tc>
          <w:tcPr>
            <w:tcW w:w="1602" w:type="dxa"/>
            <w:vAlign w:val="center"/>
          </w:tcPr>
          <w:p w14:paraId="17329169">
            <w:pPr>
              <w:widowControl/>
              <w:jc w:val="center"/>
              <w:textAlignment w:val="center"/>
              <w:rPr>
                <w:snapToGrid w:val="0"/>
                <w:kern w:val="21"/>
              </w:rPr>
            </w:pPr>
            <w:r>
              <w:rPr>
                <w:rFonts w:hint="eastAsia" w:cs="黑体"/>
              </w:rPr>
              <w:t>0</w:t>
            </w:r>
          </w:p>
        </w:tc>
        <w:tc>
          <w:tcPr>
            <w:tcW w:w="1627" w:type="dxa"/>
            <w:vAlign w:val="center"/>
          </w:tcPr>
          <w:p w14:paraId="0A012CBC">
            <w:pPr>
              <w:widowControl/>
              <w:jc w:val="center"/>
              <w:textAlignment w:val="center"/>
              <w:rPr>
                <w:snapToGrid w:val="0"/>
                <w:kern w:val="21"/>
              </w:rPr>
            </w:pPr>
            <w:r>
              <w:rPr>
                <w:rFonts w:hint="eastAsia"/>
                <w:snapToGrid w:val="0"/>
                <w:kern w:val="21"/>
                <w:lang w:eastAsia="zh-CN"/>
              </w:rPr>
              <w:t>0.478</w:t>
            </w:r>
            <w:r>
              <w:rPr>
                <w:rFonts w:hint="eastAsia"/>
                <w:snapToGrid w:val="0"/>
                <w:kern w:val="21"/>
              </w:rPr>
              <w:t>kg/a</w:t>
            </w:r>
          </w:p>
        </w:tc>
        <w:tc>
          <w:tcPr>
            <w:tcW w:w="1600" w:type="dxa"/>
            <w:vAlign w:val="center"/>
          </w:tcPr>
          <w:p w14:paraId="6A1DD5A0">
            <w:pPr>
              <w:jc w:val="center"/>
              <w:rPr>
                <w:snapToGrid w:val="0"/>
                <w:kern w:val="21"/>
              </w:rPr>
            </w:pPr>
            <w:r>
              <w:rPr>
                <w:rFonts w:hint="eastAsia" w:cs="黑体"/>
              </w:rPr>
              <w:t>0</w:t>
            </w:r>
          </w:p>
        </w:tc>
        <w:tc>
          <w:tcPr>
            <w:tcW w:w="1944" w:type="dxa"/>
            <w:shd w:val="clear" w:color="auto" w:fill="auto"/>
            <w:vAlign w:val="center"/>
          </w:tcPr>
          <w:p w14:paraId="15995736">
            <w:pPr>
              <w:widowControl/>
              <w:jc w:val="center"/>
              <w:textAlignment w:val="center"/>
              <w:rPr>
                <w:snapToGrid w:val="0"/>
                <w:kern w:val="21"/>
              </w:rPr>
            </w:pPr>
            <w:r>
              <w:rPr>
                <w:rFonts w:hint="eastAsia"/>
                <w:snapToGrid w:val="0"/>
                <w:kern w:val="21"/>
                <w:lang w:eastAsia="zh-CN"/>
              </w:rPr>
              <w:t>0.478</w:t>
            </w:r>
            <w:r>
              <w:rPr>
                <w:rFonts w:hint="eastAsia"/>
                <w:snapToGrid w:val="0"/>
                <w:kern w:val="21"/>
              </w:rPr>
              <w:t>kg/a</w:t>
            </w:r>
          </w:p>
        </w:tc>
        <w:tc>
          <w:tcPr>
            <w:tcW w:w="1507" w:type="dxa"/>
            <w:vAlign w:val="center"/>
          </w:tcPr>
          <w:p w14:paraId="36B35E4D">
            <w:pPr>
              <w:widowControl/>
              <w:jc w:val="center"/>
              <w:textAlignment w:val="center"/>
              <w:rPr>
                <w:snapToGrid w:val="0"/>
                <w:kern w:val="21"/>
              </w:rPr>
            </w:pPr>
            <w:r>
              <w:rPr>
                <w:rFonts w:hint="eastAsia"/>
                <w:snapToGrid w:val="0"/>
                <w:kern w:val="21"/>
              </w:rPr>
              <w:t>+</w:t>
            </w:r>
            <w:r>
              <w:rPr>
                <w:rFonts w:hint="eastAsia"/>
                <w:snapToGrid w:val="0"/>
                <w:kern w:val="21"/>
                <w:lang w:eastAsia="zh-CN"/>
              </w:rPr>
              <w:t>0.478</w:t>
            </w:r>
            <w:r>
              <w:rPr>
                <w:rFonts w:hint="eastAsia"/>
                <w:snapToGrid w:val="0"/>
                <w:kern w:val="21"/>
              </w:rPr>
              <w:t>kg/a</w:t>
            </w:r>
          </w:p>
        </w:tc>
      </w:tr>
      <w:tr w14:paraId="52A8E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125C6917">
            <w:pPr>
              <w:pStyle w:val="30"/>
              <w:rPr>
                <w:snapToGrid w:val="0"/>
                <w:kern w:val="21"/>
              </w:rPr>
            </w:pPr>
          </w:p>
        </w:tc>
        <w:tc>
          <w:tcPr>
            <w:tcW w:w="1746" w:type="dxa"/>
            <w:vAlign w:val="center"/>
          </w:tcPr>
          <w:p w14:paraId="7E3864FA">
            <w:pPr>
              <w:pStyle w:val="30"/>
              <w:rPr>
                <w:rFonts w:cs="黑体"/>
                <w:snapToGrid w:val="0"/>
                <w:kern w:val="21"/>
              </w:rPr>
            </w:pPr>
            <w:r>
              <w:t>H</w:t>
            </w:r>
            <w:r>
              <w:rPr>
                <w:vertAlign w:val="subscript"/>
              </w:rPr>
              <w:t>2</w:t>
            </w:r>
            <w:r>
              <w:t>S</w:t>
            </w:r>
          </w:p>
        </w:tc>
        <w:tc>
          <w:tcPr>
            <w:tcW w:w="1606" w:type="dxa"/>
            <w:shd w:val="clear" w:color="auto" w:fill="auto"/>
            <w:vAlign w:val="center"/>
          </w:tcPr>
          <w:p w14:paraId="5486D1EA">
            <w:pPr>
              <w:widowControl/>
              <w:jc w:val="center"/>
              <w:textAlignment w:val="center"/>
              <w:rPr>
                <w:snapToGrid w:val="0"/>
                <w:kern w:val="21"/>
              </w:rPr>
            </w:pPr>
            <w:r>
              <w:rPr>
                <w:rFonts w:hint="eastAsia" w:cs="黑体"/>
              </w:rPr>
              <w:t>0</w:t>
            </w:r>
          </w:p>
        </w:tc>
        <w:tc>
          <w:tcPr>
            <w:tcW w:w="1597" w:type="dxa"/>
            <w:vAlign w:val="center"/>
          </w:tcPr>
          <w:p w14:paraId="532FEB07">
            <w:pPr>
              <w:widowControl/>
              <w:jc w:val="center"/>
              <w:textAlignment w:val="center"/>
              <w:rPr>
                <w:snapToGrid w:val="0"/>
                <w:kern w:val="21"/>
              </w:rPr>
            </w:pPr>
            <w:r>
              <w:rPr>
                <w:rFonts w:hint="eastAsia" w:cs="黑体"/>
              </w:rPr>
              <w:t>0</w:t>
            </w:r>
          </w:p>
        </w:tc>
        <w:tc>
          <w:tcPr>
            <w:tcW w:w="1602" w:type="dxa"/>
            <w:vAlign w:val="center"/>
          </w:tcPr>
          <w:p w14:paraId="70585065">
            <w:pPr>
              <w:widowControl/>
              <w:jc w:val="center"/>
              <w:textAlignment w:val="center"/>
              <w:rPr>
                <w:snapToGrid w:val="0"/>
                <w:kern w:val="21"/>
              </w:rPr>
            </w:pPr>
            <w:r>
              <w:rPr>
                <w:rFonts w:hint="eastAsia" w:cs="黑体"/>
              </w:rPr>
              <w:t>0</w:t>
            </w:r>
          </w:p>
        </w:tc>
        <w:tc>
          <w:tcPr>
            <w:tcW w:w="1627" w:type="dxa"/>
            <w:vAlign w:val="center"/>
          </w:tcPr>
          <w:p w14:paraId="07111F44">
            <w:pPr>
              <w:widowControl/>
              <w:jc w:val="center"/>
              <w:textAlignment w:val="center"/>
              <w:rPr>
                <w:snapToGrid w:val="0"/>
                <w:kern w:val="21"/>
              </w:rPr>
            </w:pPr>
            <w:r>
              <w:rPr>
                <w:rFonts w:hint="eastAsia"/>
                <w:snapToGrid w:val="0"/>
                <w:kern w:val="21"/>
                <w:lang w:eastAsia="zh-CN"/>
              </w:rPr>
              <w:t>0.019</w:t>
            </w:r>
            <w:r>
              <w:rPr>
                <w:rFonts w:hint="eastAsia"/>
                <w:snapToGrid w:val="0"/>
                <w:kern w:val="21"/>
              </w:rPr>
              <w:t>kg/a</w:t>
            </w:r>
          </w:p>
        </w:tc>
        <w:tc>
          <w:tcPr>
            <w:tcW w:w="1600" w:type="dxa"/>
            <w:vAlign w:val="center"/>
          </w:tcPr>
          <w:p w14:paraId="36E92ED3">
            <w:pPr>
              <w:jc w:val="center"/>
              <w:rPr>
                <w:snapToGrid w:val="0"/>
                <w:kern w:val="21"/>
              </w:rPr>
            </w:pPr>
            <w:r>
              <w:rPr>
                <w:rFonts w:hint="eastAsia" w:cs="黑体"/>
              </w:rPr>
              <w:t>0</w:t>
            </w:r>
          </w:p>
        </w:tc>
        <w:tc>
          <w:tcPr>
            <w:tcW w:w="1944" w:type="dxa"/>
            <w:shd w:val="clear" w:color="auto" w:fill="auto"/>
            <w:vAlign w:val="center"/>
          </w:tcPr>
          <w:p w14:paraId="2AB61431">
            <w:pPr>
              <w:widowControl/>
              <w:jc w:val="center"/>
              <w:textAlignment w:val="center"/>
              <w:rPr>
                <w:snapToGrid w:val="0"/>
                <w:kern w:val="21"/>
              </w:rPr>
            </w:pPr>
            <w:r>
              <w:rPr>
                <w:rFonts w:hint="eastAsia"/>
                <w:snapToGrid w:val="0"/>
                <w:kern w:val="21"/>
                <w:lang w:eastAsia="zh-CN"/>
              </w:rPr>
              <w:t>0.019</w:t>
            </w:r>
            <w:r>
              <w:rPr>
                <w:rFonts w:hint="eastAsia"/>
                <w:snapToGrid w:val="0"/>
                <w:kern w:val="21"/>
              </w:rPr>
              <w:t>kg/a</w:t>
            </w:r>
          </w:p>
        </w:tc>
        <w:tc>
          <w:tcPr>
            <w:tcW w:w="1507" w:type="dxa"/>
            <w:vAlign w:val="center"/>
          </w:tcPr>
          <w:p w14:paraId="263176D7">
            <w:pPr>
              <w:widowControl/>
              <w:jc w:val="center"/>
              <w:textAlignment w:val="center"/>
              <w:rPr>
                <w:snapToGrid w:val="0"/>
                <w:kern w:val="21"/>
              </w:rPr>
            </w:pPr>
            <w:r>
              <w:rPr>
                <w:rFonts w:hint="eastAsia"/>
                <w:snapToGrid w:val="0"/>
                <w:kern w:val="21"/>
              </w:rPr>
              <w:t>+</w:t>
            </w:r>
            <w:r>
              <w:rPr>
                <w:rFonts w:hint="eastAsia"/>
                <w:snapToGrid w:val="0"/>
                <w:kern w:val="21"/>
                <w:lang w:eastAsia="zh-CN"/>
              </w:rPr>
              <w:t>0.019</w:t>
            </w:r>
            <w:r>
              <w:rPr>
                <w:rFonts w:hint="eastAsia"/>
                <w:snapToGrid w:val="0"/>
                <w:kern w:val="21"/>
              </w:rPr>
              <w:t>kg/a</w:t>
            </w:r>
          </w:p>
        </w:tc>
      </w:tr>
      <w:tr w14:paraId="0AE89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restart"/>
            <w:vAlign w:val="center"/>
          </w:tcPr>
          <w:p w14:paraId="34469CE4">
            <w:pPr>
              <w:pStyle w:val="30"/>
              <w:spacing w:before="24" w:after="24"/>
              <w:rPr>
                <w:snapToGrid w:val="0"/>
                <w:kern w:val="21"/>
              </w:rPr>
            </w:pPr>
            <w:r>
              <w:rPr>
                <w:snapToGrid w:val="0"/>
                <w:kern w:val="21"/>
              </w:rPr>
              <w:t>废水</w:t>
            </w:r>
          </w:p>
        </w:tc>
        <w:tc>
          <w:tcPr>
            <w:tcW w:w="1746" w:type="dxa"/>
            <w:vAlign w:val="center"/>
          </w:tcPr>
          <w:p w14:paraId="13FDAB0D">
            <w:pPr>
              <w:pStyle w:val="30"/>
              <w:rPr>
                <w:snapToGrid w:val="0"/>
                <w:kern w:val="21"/>
              </w:rPr>
            </w:pPr>
            <w:r>
              <w:rPr>
                <w:rFonts w:hint="eastAsia"/>
                <w:snapToGrid w:val="0"/>
                <w:kern w:val="21"/>
              </w:rPr>
              <w:t>废水</w:t>
            </w:r>
          </w:p>
        </w:tc>
        <w:tc>
          <w:tcPr>
            <w:tcW w:w="1606" w:type="dxa"/>
            <w:shd w:val="clear" w:color="auto" w:fill="auto"/>
            <w:vAlign w:val="center"/>
          </w:tcPr>
          <w:p w14:paraId="0597CB7F">
            <w:pPr>
              <w:jc w:val="center"/>
              <w:rPr>
                <w:rFonts w:cs="黑体"/>
              </w:rPr>
            </w:pPr>
            <w:r>
              <w:rPr>
                <w:rFonts w:hint="eastAsia"/>
                <w:snapToGrid w:val="0"/>
                <w:kern w:val="21"/>
              </w:rPr>
              <w:t>0</w:t>
            </w:r>
          </w:p>
        </w:tc>
        <w:tc>
          <w:tcPr>
            <w:tcW w:w="1597" w:type="dxa"/>
            <w:vAlign w:val="center"/>
          </w:tcPr>
          <w:p w14:paraId="2B667C56">
            <w:pPr>
              <w:jc w:val="center"/>
              <w:rPr>
                <w:rFonts w:cs="黑体"/>
              </w:rPr>
            </w:pPr>
            <w:r>
              <w:rPr>
                <w:rFonts w:hint="eastAsia"/>
                <w:snapToGrid w:val="0"/>
                <w:kern w:val="21"/>
              </w:rPr>
              <w:t>0</w:t>
            </w:r>
          </w:p>
        </w:tc>
        <w:tc>
          <w:tcPr>
            <w:tcW w:w="1602" w:type="dxa"/>
            <w:vAlign w:val="center"/>
          </w:tcPr>
          <w:p w14:paraId="15BCC7BC">
            <w:pPr>
              <w:jc w:val="center"/>
              <w:rPr>
                <w:rFonts w:cs="黑体"/>
              </w:rPr>
            </w:pPr>
            <w:r>
              <w:rPr>
                <w:rFonts w:hint="eastAsia" w:cs="黑体"/>
              </w:rPr>
              <w:t>0</w:t>
            </w:r>
          </w:p>
        </w:tc>
        <w:tc>
          <w:tcPr>
            <w:tcW w:w="1627" w:type="dxa"/>
            <w:vAlign w:val="center"/>
          </w:tcPr>
          <w:p w14:paraId="06473EA2">
            <w:pPr>
              <w:widowControl/>
              <w:jc w:val="center"/>
              <w:textAlignment w:val="center"/>
              <w:rPr>
                <w:snapToGrid w:val="0"/>
                <w:kern w:val="21"/>
              </w:rPr>
            </w:pPr>
            <w:r>
              <w:rPr>
                <w:rFonts w:hint="eastAsia"/>
                <w:snapToGrid w:val="0"/>
                <w:kern w:val="21"/>
                <w:lang w:eastAsia="zh-CN"/>
              </w:rPr>
              <w:t>15421.25</w:t>
            </w:r>
            <w:r>
              <w:rPr>
                <w:rFonts w:hint="eastAsia"/>
              </w:rPr>
              <w:t>m</w:t>
            </w:r>
            <w:r>
              <w:rPr>
                <w:rFonts w:hint="eastAsia"/>
                <w:vertAlign w:val="superscript"/>
              </w:rPr>
              <w:t>3</w:t>
            </w:r>
            <w:r>
              <w:rPr>
                <w:rFonts w:hint="eastAsia"/>
              </w:rPr>
              <w:t>/a</w:t>
            </w:r>
          </w:p>
        </w:tc>
        <w:tc>
          <w:tcPr>
            <w:tcW w:w="1600" w:type="dxa"/>
            <w:vAlign w:val="center"/>
          </w:tcPr>
          <w:p w14:paraId="763A7D54">
            <w:pPr>
              <w:jc w:val="center"/>
              <w:rPr>
                <w:rFonts w:cs="黑体"/>
              </w:rPr>
            </w:pPr>
            <w:r>
              <w:rPr>
                <w:rFonts w:hint="eastAsia" w:cs="黑体"/>
              </w:rPr>
              <w:t>0</w:t>
            </w:r>
          </w:p>
        </w:tc>
        <w:tc>
          <w:tcPr>
            <w:tcW w:w="1944" w:type="dxa"/>
            <w:vAlign w:val="center"/>
          </w:tcPr>
          <w:p w14:paraId="3CE6ED5C">
            <w:pPr>
              <w:pStyle w:val="30"/>
              <w:rPr>
                <w:snapToGrid w:val="0"/>
                <w:kern w:val="21"/>
              </w:rPr>
            </w:pPr>
            <w:r>
              <w:rPr>
                <w:rFonts w:hint="eastAsia"/>
                <w:kern w:val="0"/>
                <w:lang w:eastAsia="zh-CN" w:bidi="ar"/>
              </w:rPr>
              <w:t>15421.25</w:t>
            </w:r>
            <w:r>
              <w:rPr>
                <w:rFonts w:hint="eastAsia"/>
              </w:rPr>
              <w:t>m</w:t>
            </w:r>
            <w:r>
              <w:rPr>
                <w:rFonts w:hint="eastAsia"/>
                <w:vertAlign w:val="superscript"/>
              </w:rPr>
              <w:t>3</w:t>
            </w:r>
            <w:r>
              <w:rPr>
                <w:rFonts w:hint="eastAsia"/>
              </w:rPr>
              <w:t>/a</w:t>
            </w:r>
          </w:p>
        </w:tc>
        <w:tc>
          <w:tcPr>
            <w:tcW w:w="1507" w:type="dxa"/>
            <w:vAlign w:val="center"/>
          </w:tcPr>
          <w:p w14:paraId="022CC75B">
            <w:pPr>
              <w:widowControl/>
              <w:jc w:val="center"/>
              <w:textAlignment w:val="center"/>
              <w:rPr>
                <w:snapToGrid w:val="0"/>
                <w:kern w:val="21"/>
              </w:rPr>
            </w:pPr>
            <w:r>
              <w:rPr>
                <w:rFonts w:hint="eastAsia"/>
                <w:snapToGrid w:val="0"/>
                <w:kern w:val="21"/>
              </w:rPr>
              <w:t>+</w:t>
            </w:r>
            <w:r>
              <w:rPr>
                <w:snapToGrid w:val="0"/>
                <w:kern w:val="21"/>
              </w:rPr>
              <w:t>4712.698</w:t>
            </w:r>
            <w:r>
              <w:rPr>
                <w:rFonts w:hint="eastAsia"/>
              </w:rPr>
              <w:t>m</w:t>
            </w:r>
            <w:r>
              <w:rPr>
                <w:rFonts w:hint="eastAsia"/>
                <w:vertAlign w:val="superscript"/>
              </w:rPr>
              <w:t>3</w:t>
            </w:r>
            <w:r>
              <w:rPr>
                <w:rFonts w:hint="eastAsia"/>
              </w:rPr>
              <w:t>/a</w:t>
            </w:r>
          </w:p>
        </w:tc>
      </w:tr>
      <w:tr w14:paraId="1E299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17A40C4D">
            <w:pPr>
              <w:pStyle w:val="30"/>
              <w:rPr>
                <w:snapToGrid w:val="0"/>
                <w:kern w:val="21"/>
              </w:rPr>
            </w:pPr>
          </w:p>
        </w:tc>
        <w:tc>
          <w:tcPr>
            <w:tcW w:w="1746" w:type="dxa"/>
            <w:vAlign w:val="center"/>
          </w:tcPr>
          <w:p w14:paraId="0B78B5EA">
            <w:pPr>
              <w:pStyle w:val="30"/>
              <w:rPr>
                <w:snapToGrid w:val="0"/>
                <w:kern w:val="21"/>
              </w:rPr>
            </w:pPr>
            <w:r>
              <w:rPr>
                <w:snapToGrid w:val="0"/>
                <w:kern w:val="21"/>
              </w:rPr>
              <w:t>COD</w:t>
            </w:r>
          </w:p>
        </w:tc>
        <w:tc>
          <w:tcPr>
            <w:tcW w:w="1606" w:type="dxa"/>
            <w:shd w:val="clear" w:color="auto" w:fill="auto"/>
            <w:vAlign w:val="center"/>
          </w:tcPr>
          <w:p w14:paraId="30E79555">
            <w:pPr>
              <w:widowControl/>
              <w:jc w:val="center"/>
              <w:textAlignment w:val="center"/>
              <w:rPr>
                <w:snapToGrid w:val="0"/>
                <w:kern w:val="21"/>
              </w:rPr>
            </w:pPr>
            <w:r>
              <w:rPr>
                <w:rFonts w:hint="eastAsia"/>
                <w:snapToGrid w:val="0"/>
                <w:kern w:val="21"/>
              </w:rPr>
              <w:t>0</w:t>
            </w:r>
          </w:p>
        </w:tc>
        <w:tc>
          <w:tcPr>
            <w:tcW w:w="1597" w:type="dxa"/>
            <w:vAlign w:val="center"/>
          </w:tcPr>
          <w:p w14:paraId="3F58AC5E">
            <w:pPr>
              <w:widowControl/>
              <w:jc w:val="center"/>
              <w:textAlignment w:val="center"/>
              <w:rPr>
                <w:snapToGrid w:val="0"/>
                <w:kern w:val="21"/>
              </w:rPr>
            </w:pPr>
            <w:r>
              <w:rPr>
                <w:rFonts w:hint="eastAsia"/>
                <w:snapToGrid w:val="0"/>
                <w:kern w:val="21"/>
              </w:rPr>
              <w:t>0</w:t>
            </w:r>
          </w:p>
        </w:tc>
        <w:tc>
          <w:tcPr>
            <w:tcW w:w="1602" w:type="dxa"/>
            <w:vAlign w:val="center"/>
          </w:tcPr>
          <w:p w14:paraId="47D9631C">
            <w:pPr>
              <w:widowControl/>
              <w:jc w:val="center"/>
              <w:textAlignment w:val="center"/>
              <w:rPr>
                <w:snapToGrid w:val="0"/>
                <w:kern w:val="21"/>
              </w:rPr>
            </w:pPr>
            <w:r>
              <w:rPr>
                <w:rFonts w:hint="eastAsia" w:cs="黑体"/>
              </w:rPr>
              <w:t>0</w:t>
            </w:r>
          </w:p>
        </w:tc>
        <w:tc>
          <w:tcPr>
            <w:tcW w:w="1627" w:type="dxa"/>
            <w:vAlign w:val="center"/>
          </w:tcPr>
          <w:p w14:paraId="79BBF9F1">
            <w:pPr>
              <w:widowControl/>
              <w:jc w:val="center"/>
              <w:textAlignment w:val="center"/>
              <w:rPr>
                <w:snapToGrid w:val="0"/>
                <w:kern w:val="21"/>
              </w:rPr>
            </w:pPr>
            <w:r>
              <w:rPr>
                <w:rFonts w:hint="eastAsia"/>
              </w:rPr>
              <w:t>3.</w:t>
            </w:r>
            <w:r>
              <w:rPr>
                <w:rFonts w:hint="eastAsia"/>
                <w:lang w:val="en-US" w:eastAsia="zh-CN"/>
              </w:rPr>
              <w:t>85</w:t>
            </w:r>
            <w:r>
              <w:rPr>
                <w:rFonts w:hint="eastAsia"/>
              </w:rPr>
              <w:t>5t/a</w:t>
            </w:r>
            <w:r>
              <w:rPr>
                <w:snapToGrid w:val="0"/>
                <w:kern w:val="21"/>
              </w:rPr>
              <w:t xml:space="preserve"> </w:t>
            </w:r>
          </w:p>
        </w:tc>
        <w:tc>
          <w:tcPr>
            <w:tcW w:w="1600" w:type="dxa"/>
            <w:vAlign w:val="center"/>
          </w:tcPr>
          <w:p w14:paraId="3B708B69">
            <w:pPr>
              <w:jc w:val="center"/>
              <w:rPr>
                <w:rFonts w:cs="黑体"/>
              </w:rPr>
            </w:pPr>
            <w:r>
              <w:rPr>
                <w:rFonts w:hint="eastAsia" w:cs="黑体"/>
              </w:rPr>
              <w:t>0</w:t>
            </w:r>
          </w:p>
        </w:tc>
        <w:tc>
          <w:tcPr>
            <w:tcW w:w="1944" w:type="dxa"/>
            <w:vAlign w:val="center"/>
          </w:tcPr>
          <w:p w14:paraId="67A11488">
            <w:pPr>
              <w:pStyle w:val="30"/>
              <w:rPr>
                <w:snapToGrid w:val="0"/>
                <w:kern w:val="21"/>
              </w:rPr>
            </w:pPr>
            <w:r>
              <w:rPr>
                <w:rFonts w:hint="eastAsia"/>
              </w:rPr>
              <w:t>3.</w:t>
            </w:r>
            <w:r>
              <w:rPr>
                <w:rFonts w:hint="eastAsia"/>
                <w:lang w:val="en-US" w:eastAsia="zh-CN"/>
              </w:rPr>
              <w:t>85</w:t>
            </w:r>
            <w:r>
              <w:rPr>
                <w:rFonts w:hint="eastAsia"/>
              </w:rPr>
              <w:t>5t/a</w:t>
            </w:r>
          </w:p>
        </w:tc>
        <w:tc>
          <w:tcPr>
            <w:tcW w:w="1507" w:type="dxa"/>
            <w:vAlign w:val="center"/>
          </w:tcPr>
          <w:p w14:paraId="299D99FF">
            <w:pPr>
              <w:widowControl/>
              <w:jc w:val="center"/>
              <w:textAlignment w:val="center"/>
              <w:rPr>
                <w:snapToGrid w:val="0"/>
                <w:kern w:val="21"/>
              </w:rPr>
            </w:pPr>
            <w:r>
              <w:rPr>
                <w:rFonts w:hint="eastAsia"/>
              </w:rPr>
              <w:t>+3.</w:t>
            </w:r>
            <w:r>
              <w:rPr>
                <w:rFonts w:hint="eastAsia"/>
                <w:lang w:val="en-US" w:eastAsia="zh-CN"/>
              </w:rPr>
              <w:t>85</w:t>
            </w:r>
            <w:r>
              <w:rPr>
                <w:rFonts w:hint="eastAsia"/>
              </w:rPr>
              <w:t>5t/a</w:t>
            </w:r>
            <w:r>
              <w:rPr>
                <w:snapToGrid w:val="0"/>
                <w:kern w:val="21"/>
              </w:rPr>
              <w:t xml:space="preserve"> </w:t>
            </w:r>
          </w:p>
        </w:tc>
      </w:tr>
      <w:tr w14:paraId="48C69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3CA1A34E">
            <w:pPr>
              <w:pStyle w:val="30"/>
              <w:rPr>
                <w:snapToGrid w:val="0"/>
                <w:kern w:val="21"/>
              </w:rPr>
            </w:pPr>
          </w:p>
        </w:tc>
        <w:tc>
          <w:tcPr>
            <w:tcW w:w="1746" w:type="dxa"/>
            <w:vAlign w:val="center"/>
          </w:tcPr>
          <w:p w14:paraId="2002C838">
            <w:pPr>
              <w:pStyle w:val="30"/>
              <w:rPr>
                <w:snapToGrid w:val="0"/>
                <w:kern w:val="21"/>
              </w:rPr>
            </w:pPr>
            <w:r>
              <w:rPr>
                <w:snapToGrid w:val="0"/>
                <w:kern w:val="21"/>
              </w:rPr>
              <w:t>NH</w:t>
            </w:r>
            <w:r>
              <w:rPr>
                <w:snapToGrid w:val="0"/>
                <w:kern w:val="21"/>
                <w:vertAlign w:val="subscript"/>
              </w:rPr>
              <w:t>3</w:t>
            </w:r>
            <w:r>
              <w:rPr>
                <w:snapToGrid w:val="0"/>
                <w:kern w:val="21"/>
              </w:rPr>
              <w:t>-N</w:t>
            </w:r>
          </w:p>
        </w:tc>
        <w:tc>
          <w:tcPr>
            <w:tcW w:w="1606" w:type="dxa"/>
            <w:shd w:val="clear" w:color="auto" w:fill="auto"/>
            <w:vAlign w:val="center"/>
          </w:tcPr>
          <w:p w14:paraId="25C7E0DD">
            <w:pPr>
              <w:widowControl/>
              <w:jc w:val="center"/>
              <w:textAlignment w:val="center"/>
              <w:rPr>
                <w:snapToGrid w:val="0"/>
                <w:kern w:val="21"/>
              </w:rPr>
            </w:pPr>
            <w:r>
              <w:rPr>
                <w:rFonts w:hint="eastAsia"/>
                <w:snapToGrid w:val="0"/>
                <w:kern w:val="21"/>
              </w:rPr>
              <w:t>0</w:t>
            </w:r>
          </w:p>
        </w:tc>
        <w:tc>
          <w:tcPr>
            <w:tcW w:w="1597" w:type="dxa"/>
            <w:vAlign w:val="center"/>
          </w:tcPr>
          <w:p w14:paraId="000A53EF">
            <w:pPr>
              <w:widowControl/>
              <w:jc w:val="center"/>
              <w:textAlignment w:val="center"/>
              <w:rPr>
                <w:snapToGrid w:val="0"/>
                <w:kern w:val="21"/>
              </w:rPr>
            </w:pPr>
            <w:r>
              <w:rPr>
                <w:rFonts w:hint="eastAsia"/>
                <w:snapToGrid w:val="0"/>
                <w:kern w:val="21"/>
              </w:rPr>
              <w:t>0</w:t>
            </w:r>
          </w:p>
        </w:tc>
        <w:tc>
          <w:tcPr>
            <w:tcW w:w="1602" w:type="dxa"/>
            <w:vAlign w:val="center"/>
          </w:tcPr>
          <w:p w14:paraId="27429C8A">
            <w:pPr>
              <w:widowControl/>
              <w:jc w:val="center"/>
              <w:textAlignment w:val="center"/>
              <w:rPr>
                <w:snapToGrid w:val="0"/>
                <w:kern w:val="21"/>
              </w:rPr>
            </w:pPr>
            <w:r>
              <w:rPr>
                <w:rFonts w:hint="eastAsia" w:cs="黑体"/>
              </w:rPr>
              <w:t>0</w:t>
            </w:r>
          </w:p>
        </w:tc>
        <w:tc>
          <w:tcPr>
            <w:tcW w:w="1627" w:type="dxa"/>
            <w:vAlign w:val="center"/>
          </w:tcPr>
          <w:p w14:paraId="417C3420">
            <w:pPr>
              <w:widowControl/>
              <w:jc w:val="center"/>
              <w:textAlignment w:val="center"/>
              <w:rPr>
                <w:snapToGrid w:val="0"/>
                <w:kern w:val="21"/>
              </w:rPr>
            </w:pPr>
            <w:r>
              <w:rPr>
                <w:rFonts w:hint="eastAsia"/>
              </w:rPr>
              <w:t>0.</w:t>
            </w:r>
            <w:r>
              <w:rPr>
                <w:rFonts w:hint="eastAsia"/>
                <w:lang w:val="en-US" w:eastAsia="zh-CN"/>
              </w:rPr>
              <w:t>694</w:t>
            </w:r>
            <w:r>
              <w:rPr>
                <w:rFonts w:hint="eastAsia"/>
              </w:rPr>
              <w:t>t/a</w:t>
            </w:r>
            <w:r>
              <w:rPr>
                <w:snapToGrid w:val="0"/>
                <w:kern w:val="21"/>
              </w:rPr>
              <w:t xml:space="preserve"> </w:t>
            </w:r>
          </w:p>
        </w:tc>
        <w:tc>
          <w:tcPr>
            <w:tcW w:w="1600" w:type="dxa"/>
            <w:vAlign w:val="center"/>
          </w:tcPr>
          <w:p w14:paraId="54E87682">
            <w:pPr>
              <w:jc w:val="center"/>
              <w:rPr>
                <w:rFonts w:cs="黑体"/>
              </w:rPr>
            </w:pPr>
            <w:r>
              <w:rPr>
                <w:rFonts w:hint="eastAsia" w:cs="黑体"/>
              </w:rPr>
              <w:t>0</w:t>
            </w:r>
          </w:p>
        </w:tc>
        <w:tc>
          <w:tcPr>
            <w:tcW w:w="1944" w:type="dxa"/>
            <w:vAlign w:val="center"/>
          </w:tcPr>
          <w:p w14:paraId="75172C9E">
            <w:pPr>
              <w:widowControl/>
              <w:jc w:val="center"/>
              <w:textAlignment w:val="center"/>
              <w:rPr>
                <w:snapToGrid w:val="0"/>
                <w:kern w:val="21"/>
              </w:rPr>
            </w:pPr>
            <w:r>
              <w:rPr>
                <w:kern w:val="0"/>
                <w:lang w:bidi="ar"/>
              </w:rPr>
              <w:t>0.</w:t>
            </w:r>
            <w:r>
              <w:rPr>
                <w:rFonts w:hint="eastAsia"/>
                <w:kern w:val="0"/>
                <w:lang w:val="en-US" w:eastAsia="zh-CN" w:bidi="ar"/>
              </w:rPr>
              <w:t>694</w:t>
            </w:r>
            <w:r>
              <w:rPr>
                <w:rFonts w:hint="eastAsia"/>
              </w:rPr>
              <w:t>t/a</w:t>
            </w:r>
          </w:p>
        </w:tc>
        <w:tc>
          <w:tcPr>
            <w:tcW w:w="1507" w:type="dxa"/>
            <w:vAlign w:val="center"/>
          </w:tcPr>
          <w:p w14:paraId="1517AFF9">
            <w:pPr>
              <w:widowControl/>
              <w:jc w:val="center"/>
              <w:textAlignment w:val="center"/>
              <w:rPr>
                <w:snapToGrid w:val="0"/>
                <w:kern w:val="21"/>
              </w:rPr>
            </w:pPr>
            <w:r>
              <w:rPr>
                <w:rFonts w:hint="eastAsia"/>
                <w:snapToGrid w:val="0"/>
                <w:kern w:val="21"/>
              </w:rPr>
              <w:t>+</w:t>
            </w:r>
            <w:r>
              <w:rPr>
                <w:snapToGrid w:val="0"/>
                <w:kern w:val="21"/>
              </w:rPr>
              <w:t>0.</w:t>
            </w:r>
            <w:r>
              <w:rPr>
                <w:rFonts w:hint="eastAsia"/>
                <w:snapToGrid w:val="0"/>
                <w:kern w:val="21"/>
                <w:lang w:val="en-US" w:eastAsia="zh-CN"/>
              </w:rPr>
              <w:t>694</w:t>
            </w:r>
            <w:r>
              <w:rPr>
                <w:rFonts w:hint="eastAsia"/>
              </w:rPr>
              <w:t>t/a</w:t>
            </w:r>
            <w:r>
              <w:rPr>
                <w:snapToGrid w:val="0"/>
                <w:kern w:val="21"/>
              </w:rPr>
              <w:t xml:space="preserve"> </w:t>
            </w:r>
          </w:p>
        </w:tc>
      </w:tr>
      <w:tr w14:paraId="33D65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06E69180">
            <w:pPr>
              <w:pStyle w:val="30"/>
              <w:rPr>
                <w:snapToGrid w:val="0"/>
                <w:kern w:val="21"/>
              </w:rPr>
            </w:pPr>
          </w:p>
        </w:tc>
        <w:tc>
          <w:tcPr>
            <w:tcW w:w="1746" w:type="dxa"/>
            <w:vAlign w:val="center"/>
          </w:tcPr>
          <w:p w14:paraId="56687CD8">
            <w:pPr>
              <w:pStyle w:val="30"/>
              <w:rPr>
                <w:snapToGrid w:val="0"/>
                <w:kern w:val="21"/>
              </w:rPr>
            </w:pPr>
            <w:r>
              <w:rPr>
                <w:snapToGrid w:val="0"/>
                <w:kern w:val="21"/>
              </w:rPr>
              <w:t>TP</w:t>
            </w:r>
          </w:p>
        </w:tc>
        <w:tc>
          <w:tcPr>
            <w:tcW w:w="1606" w:type="dxa"/>
            <w:shd w:val="clear" w:color="auto" w:fill="auto"/>
            <w:vAlign w:val="center"/>
          </w:tcPr>
          <w:p w14:paraId="018A3DCB">
            <w:pPr>
              <w:widowControl/>
              <w:jc w:val="center"/>
              <w:textAlignment w:val="center"/>
              <w:rPr>
                <w:snapToGrid w:val="0"/>
                <w:kern w:val="21"/>
              </w:rPr>
            </w:pPr>
            <w:r>
              <w:rPr>
                <w:rFonts w:hint="eastAsia"/>
                <w:snapToGrid w:val="0"/>
                <w:kern w:val="21"/>
              </w:rPr>
              <w:t>0</w:t>
            </w:r>
          </w:p>
        </w:tc>
        <w:tc>
          <w:tcPr>
            <w:tcW w:w="1597" w:type="dxa"/>
            <w:vAlign w:val="center"/>
          </w:tcPr>
          <w:p w14:paraId="2F7147A0">
            <w:pPr>
              <w:widowControl/>
              <w:jc w:val="center"/>
              <w:textAlignment w:val="center"/>
              <w:rPr>
                <w:snapToGrid w:val="0"/>
                <w:kern w:val="21"/>
              </w:rPr>
            </w:pPr>
            <w:r>
              <w:rPr>
                <w:rFonts w:hint="eastAsia"/>
                <w:snapToGrid w:val="0"/>
                <w:kern w:val="21"/>
              </w:rPr>
              <w:t>0</w:t>
            </w:r>
          </w:p>
        </w:tc>
        <w:tc>
          <w:tcPr>
            <w:tcW w:w="1602" w:type="dxa"/>
            <w:vAlign w:val="center"/>
          </w:tcPr>
          <w:p w14:paraId="27D5856B">
            <w:pPr>
              <w:widowControl/>
              <w:jc w:val="center"/>
              <w:textAlignment w:val="center"/>
              <w:rPr>
                <w:snapToGrid w:val="0"/>
                <w:kern w:val="21"/>
              </w:rPr>
            </w:pPr>
            <w:r>
              <w:rPr>
                <w:rFonts w:hint="eastAsia" w:cs="黑体"/>
              </w:rPr>
              <w:t>0</w:t>
            </w:r>
          </w:p>
        </w:tc>
        <w:tc>
          <w:tcPr>
            <w:tcW w:w="1627" w:type="dxa"/>
            <w:vAlign w:val="center"/>
          </w:tcPr>
          <w:p w14:paraId="456C1301">
            <w:pPr>
              <w:widowControl/>
              <w:jc w:val="center"/>
              <w:textAlignment w:val="center"/>
              <w:rPr>
                <w:snapToGrid w:val="0"/>
                <w:kern w:val="21"/>
              </w:rPr>
            </w:pPr>
            <w:r>
              <w:rPr>
                <w:snapToGrid w:val="0"/>
                <w:kern w:val="21"/>
              </w:rPr>
              <w:t>0.</w:t>
            </w:r>
            <w:r>
              <w:rPr>
                <w:rFonts w:hint="eastAsia"/>
                <w:snapToGrid w:val="0"/>
                <w:kern w:val="21"/>
              </w:rPr>
              <w:t>1</w:t>
            </w:r>
            <w:r>
              <w:rPr>
                <w:rFonts w:hint="eastAsia"/>
                <w:snapToGrid w:val="0"/>
                <w:kern w:val="21"/>
                <w:lang w:val="en-US" w:eastAsia="zh-CN"/>
              </w:rPr>
              <w:t>23</w:t>
            </w:r>
            <w:r>
              <w:rPr>
                <w:rFonts w:hint="eastAsia"/>
              </w:rPr>
              <w:t>t/a</w:t>
            </w:r>
            <w:r>
              <w:rPr>
                <w:snapToGrid w:val="0"/>
                <w:kern w:val="21"/>
              </w:rPr>
              <w:t xml:space="preserve"> </w:t>
            </w:r>
          </w:p>
        </w:tc>
        <w:tc>
          <w:tcPr>
            <w:tcW w:w="1600" w:type="dxa"/>
            <w:vAlign w:val="center"/>
          </w:tcPr>
          <w:p w14:paraId="5E21E73D">
            <w:pPr>
              <w:jc w:val="center"/>
              <w:rPr>
                <w:rFonts w:cs="黑体"/>
              </w:rPr>
            </w:pPr>
            <w:r>
              <w:rPr>
                <w:rFonts w:hint="eastAsia" w:cs="黑体"/>
              </w:rPr>
              <w:t>0</w:t>
            </w:r>
          </w:p>
        </w:tc>
        <w:tc>
          <w:tcPr>
            <w:tcW w:w="1944" w:type="dxa"/>
            <w:vAlign w:val="center"/>
          </w:tcPr>
          <w:p w14:paraId="55B0F776">
            <w:pPr>
              <w:widowControl/>
              <w:jc w:val="center"/>
              <w:textAlignment w:val="center"/>
              <w:rPr>
                <w:snapToGrid w:val="0"/>
                <w:kern w:val="21"/>
              </w:rPr>
            </w:pPr>
            <w:r>
              <w:rPr>
                <w:kern w:val="0"/>
                <w:lang w:bidi="ar"/>
              </w:rPr>
              <w:t>0.</w:t>
            </w:r>
            <w:r>
              <w:rPr>
                <w:rFonts w:hint="eastAsia"/>
                <w:kern w:val="0"/>
                <w:lang w:bidi="ar"/>
              </w:rPr>
              <w:t>12</w:t>
            </w:r>
            <w:r>
              <w:rPr>
                <w:rFonts w:hint="eastAsia"/>
                <w:kern w:val="0"/>
                <w:lang w:val="en-US" w:eastAsia="zh-CN" w:bidi="ar"/>
              </w:rPr>
              <w:t>3</w:t>
            </w:r>
            <w:r>
              <w:rPr>
                <w:rFonts w:hint="eastAsia"/>
              </w:rPr>
              <w:t>t/a</w:t>
            </w:r>
          </w:p>
        </w:tc>
        <w:tc>
          <w:tcPr>
            <w:tcW w:w="1507" w:type="dxa"/>
            <w:vAlign w:val="center"/>
          </w:tcPr>
          <w:p w14:paraId="01123DB7">
            <w:pPr>
              <w:widowControl/>
              <w:jc w:val="center"/>
              <w:textAlignment w:val="center"/>
              <w:rPr>
                <w:snapToGrid w:val="0"/>
                <w:kern w:val="21"/>
              </w:rPr>
            </w:pPr>
            <w:r>
              <w:rPr>
                <w:rFonts w:hint="eastAsia"/>
                <w:snapToGrid w:val="0"/>
                <w:kern w:val="21"/>
              </w:rPr>
              <w:t>+</w:t>
            </w:r>
            <w:r>
              <w:rPr>
                <w:snapToGrid w:val="0"/>
                <w:kern w:val="21"/>
              </w:rPr>
              <w:t>0.</w:t>
            </w:r>
            <w:r>
              <w:rPr>
                <w:rFonts w:hint="eastAsia"/>
                <w:snapToGrid w:val="0"/>
                <w:kern w:val="21"/>
              </w:rPr>
              <w:t>12</w:t>
            </w:r>
            <w:r>
              <w:rPr>
                <w:rFonts w:hint="eastAsia"/>
                <w:snapToGrid w:val="0"/>
                <w:kern w:val="21"/>
                <w:lang w:val="en-US" w:eastAsia="zh-CN"/>
              </w:rPr>
              <w:t>3</w:t>
            </w:r>
            <w:r>
              <w:rPr>
                <w:rFonts w:hint="eastAsia"/>
              </w:rPr>
              <w:t>t/a</w:t>
            </w:r>
            <w:r>
              <w:rPr>
                <w:snapToGrid w:val="0"/>
                <w:kern w:val="21"/>
              </w:rPr>
              <w:t xml:space="preserve"> </w:t>
            </w:r>
          </w:p>
        </w:tc>
      </w:tr>
      <w:tr w14:paraId="40B24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restart"/>
            <w:vAlign w:val="center"/>
          </w:tcPr>
          <w:p w14:paraId="40323FBC">
            <w:pPr>
              <w:pStyle w:val="30"/>
              <w:rPr>
                <w:snapToGrid w:val="0"/>
                <w:kern w:val="21"/>
              </w:rPr>
            </w:pPr>
            <w:r>
              <w:rPr>
                <w:snapToGrid w:val="0"/>
                <w:kern w:val="21"/>
              </w:rPr>
              <w:t>一般工业固体废物</w:t>
            </w:r>
          </w:p>
        </w:tc>
        <w:tc>
          <w:tcPr>
            <w:tcW w:w="1746" w:type="dxa"/>
            <w:vAlign w:val="center"/>
          </w:tcPr>
          <w:p w14:paraId="62C3F16A">
            <w:pPr>
              <w:pStyle w:val="30"/>
              <w:rPr>
                <w:snapToGrid w:val="0"/>
                <w:kern w:val="21"/>
              </w:rPr>
            </w:pPr>
            <w:r>
              <w:rPr>
                <w:snapToGrid w:val="0"/>
                <w:kern w:val="21"/>
              </w:rPr>
              <w:t>生活垃圾</w:t>
            </w:r>
          </w:p>
        </w:tc>
        <w:tc>
          <w:tcPr>
            <w:tcW w:w="1606" w:type="dxa"/>
            <w:shd w:val="clear" w:color="auto" w:fill="auto"/>
            <w:vAlign w:val="center"/>
          </w:tcPr>
          <w:p w14:paraId="12115710">
            <w:pPr>
              <w:pStyle w:val="30"/>
              <w:rPr>
                <w:snapToGrid w:val="0"/>
                <w:kern w:val="21"/>
              </w:rPr>
            </w:pPr>
            <w:r>
              <w:rPr>
                <w:rFonts w:hint="eastAsia"/>
                <w:snapToGrid w:val="0"/>
                <w:kern w:val="21"/>
              </w:rPr>
              <w:t>0</w:t>
            </w:r>
          </w:p>
        </w:tc>
        <w:tc>
          <w:tcPr>
            <w:tcW w:w="1597" w:type="dxa"/>
            <w:vAlign w:val="center"/>
          </w:tcPr>
          <w:p w14:paraId="3E45B556">
            <w:pPr>
              <w:pStyle w:val="30"/>
              <w:rPr>
                <w:snapToGrid w:val="0"/>
                <w:kern w:val="21"/>
              </w:rPr>
            </w:pPr>
            <w:r>
              <w:rPr>
                <w:rFonts w:hint="eastAsia"/>
                <w:snapToGrid w:val="0"/>
                <w:kern w:val="21"/>
              </w:rPr>
              <w:t>0</w:t>
            </w:r>
          </w:p>
        </w:tc>
        <w:tc>
          <w:tcPr>
            <w:tcW w:w="1602" w:type="dxa"/>
            <w:vAlign w:val="center"/>
          </w:tcPr>
          <w:p w14:paraId="134A8ABF">
            <w:pPr>
              <w:jc w:val="center"/>
              <w:rPr>
                <w:snapToGrid w:val="0"/>
                <w:kern w:val="21"/>
              </w:rPr>
            </w:pPr>
            <w:r>
              <w:rPr>
                <w:rFonts w:hint="eastAsia" w:cs="黑体"/>
              </w:rPr>
              <w:t>0</w:t>
            </w:r>
          </w:p>
        </w:tc>
        <w:tc>
          <w:tcPr>
            <w:tcW w:w="1627" w:type="dxa"/>
            <w:vAlign w:val="center"/>
          </w:tcPr>
          <w:p w14:paraId="2DB98772">
            <w:pPr>
              <w:widowControl/>
              <w:jc w:val="center"/>
              <w:textAlignment w:val="center"/>
              <w:rPr>
                <w:snapToGrid w:val="0"/>
                <w:kern w:val="21"/>
              </w:rPr>
            </w:pPr>
            <w:r>
              <w:rPr>
                <w:rFonts w:hint="eastAsia"/>
                <w:snapToGrid w:val="0"/>
                <w:kern w:val="21"/>
                <w:lang w:eastAsia="zh-CN"/>
              </w:rPr>
              <w:t>32.85</w:t>
            </w:r>
            <w:r>
              <w:rPr>
                <w:rFonts w:hint="eastAsia"/>
                <w:snapToGrid w:val="0"/>
                <w:kern w:val="21"/>
              </w:rPr>
              <w:t>t/a</w:t>
            </w:r>
          </w:p>
        </w:tc>
        <w:tc>
          <w:tcPr>
            <w:tcW w:w="1600" w:type="dxa"/>
            <w:vAlign w:val="center"/>
          </w:tcPr>
          <w:p w14:paraId="418DF3E2">
            <w:pPr>
              <w:pStyle w:val="30"/>
              <w:rPr>
                <w:snapToGrid w:val="0"/>
                <w:kern w:val="21"/>
              </w:rPr>
            </w:pPr>
            <w:r>
              <w:rPr>
                <w:rFonts w:hint="eastAsia"/>
                <w:snapToGrid w:val="0"/>
                <w:kern w:val="21"/>
              </w:rPr>
              <w:t>0</w:t>
            </w:r>
          </w:p>
        </w:tc>
        <w:tc>
          <w:tcPr>
            <w:tcW w:w="1944" w:type="dxa"/>
            <w:vAlign w:val="center"/>
          </w:tcPr>
          <w:p w14:paraId="7DD20C46">
            <w:pPr>
              <w:pStyle w:val="30"/>
              <w:rPr>
                <w:snapToGrid w:val="0"/>
                <w:kern w:val="21"/>
              </w:rPr>
            </w:pPr>
            <w:r>
              <w:rPr>
                <w:rFonts w:hint="eastAsia"/>
                <w:snapToGrid w:val="0"/>
                <w:kern w:val="21"/>
                <w:lang w:eastAsia="zh-CN"/>
              </w:rPr>
              <w:t>32.85</w:t>
            </w:r>
            <w:r>
              <w:rPr>
                <w:rFonts w:hint="eastAsia"/>
                <w:snapToGrid w:val="0"/>
                <w:kern w:val="21"/>
              </w:rPr>
              <w:t>t/a</w:t>
            </w:r>
          </w:p>
        </w:tc>
        <w:tc>
          <w:tcPr>
            <w:tcW w:w="1507" w:type="dxa"/>
            <w:vAlign w:val="center"/>
          </w:tcPr>
          <w:p w14:paraId="7E2DDE33">
            <w:pPr>
              <w:widowControl/>
              <w:jc w:val="center"/>
              <w:textAlignment w:val="center"/>
              <w:rPr>
                <w:snapToGrid w:val="0"/>
                <w:kern w:val="21"/>
              </w:rPr>
            </w:pPr>
            <w:r>
              <w:rPr>
                <w:rFonts w:hint="eastAsia"/>
                <w:kern w:val="0"/>
                <w:lang w:bidi="ar"/>
              </w:rPr>
              <w:t>+</w:t>
            </w:r>
            <w:r>
              <w:rPr>
                <w:rFonts w:hint="eastAsia"/>
                <w:kern w:val="0"/>
                <w:lang w:eastAsia="zh-CN" w:bidi="ar"/>
              </w:rPr>
              <w:t>32.85</w:t>
            </w:r>
            <w:r>
              <w:rPr>
                <w:rFonts w:hint="eastAsia"/>
                <w:snapToGrid w:val="0"/>
                <w:kern w:val="21"/>
              </w:rPr>
              <w:t>t/a</w:t>
            </w:r>
          </w:p>
        </w:tc>
      </w:tr>
      <w:tr w14:paraId="68F39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1226427A">
            <w:pPr>
              <w:pStyle w:val="30"/>
              <w:rPr>
                <w:snapToGrid w:val="0"/>
                <w:kern w:val="21"/>
              </w:rPr>
            </w:pPr>
          </w:p>
        </w:tc>
        <w:tc>
          <w:tcPr>
            <w:tcW w:w="1746" w:type="dxa"/>
            <w:vAlign w:val="center"/>
          </w:tcPr>
          <w:p w14:paraId="60D10800">
            <w:pPr>
              <w:pStyle w:val="30"/>
              <w:rPr>
                <w:snapToGrid w:val="0"/>
                <w:kern w:val="21"/>
              </w:rPr>
            </w:pPr>
            <w:r>
              <w:rPr>
                <w:rFonts w:hint="eastAsia"/>
                <w:snapToGrid w:val="0"/>
                <w:kern w:val="21"/>
              </w:rPr>
              <w:t>餐厨垃圾</w:t>
            </w:r>
          </w:p>
        </w:tc>
        <w:tc>
          <w:tcPr>
            <w:tcW w:w="1606" w:type="dxa"/>
            <w:shd w:val="clear" w:color="auto" w:fill="auto"/>
            <w:vAlign w:val="center"/>
          </w:tcPr>
          <w:p w14:paraId="4E2CE55B">
            <w:pPr>
              <w:pStyle w:val="30"/>
              <w:rPr>
                <w:snapToGrid w:val="0"/>
                <w:spacing w:val="11"/>
                <w:kern w:val="21"/>
              </w:rPr>
            </w:pPr>
            <w:r>
              <w:rPr>
                <w:rFonts w:hint="eastAsia"/>
                <w:snapToGrid w:val="0"/>
                <w:kern w:val="21"/>
              </w:rPr>
              <w:t>0</w:t>
            </w:r>
          </w:p>
        </w:tc>
        <w:tc>
          <w:tcPr>
            <w:tcW w:w="1597" w:type="dxa"/>
            <w:shd w:val="clear" w:color="auto" w:fill="auto"/>
            <w:vAlign w:val="center"/>
          </w:tcPr>
          <w:p w14:paraId="2B67A97A">
            <w:pPr>
              <w:pStyle w:val="30"/>
              <w:rPr>
                <w:snapToGrid w:val="0"/>
                <w:spacing w:val="11"/>
                <w:kern w:val="21"/>
              </w:rPr>
            </w:pPr>
            <w:r>
              <w:rPr>
                <w:rFonts w:hint="eastAsia"/>
                <w:snapToGrid w:val="0"/>
                <w:kern w:val="21"/>
              </w:rPr>
              <w:t>0</w:t>
            </w:r>
          </w:p>
        </w:tc>
        <w:tc>
          <w:tcPr>
            <w:tcW w:w="1602" w:type="dxa"/>
            <w:shd w:val="clear" w:color="auto" w:fill="auto"/>
            <w:vAlign w:val="center"/>
          </w:tcPr>
          <w:p w14:paraId="42DD89DB">
            <w:pPr>
              <w:jc w:val="center"/>
              <w:rPr>
                <w:snapToGrid w:val="0"/>
                <w:kern w:val="21"/>
              </w:rPr>
            </w:pPr>
            <w:r>
              <w:rPr>
                <w:rFonts w:hint="eastAsia" w:cs="黑体"/>
              </w:rPr>
              <w:t>0</w:t>
            </w:r>
          </w:p>
        </w:tc>
        <w:tc>
          <w:tcPr>
            <w:tcW w:w="1627" w:type="dxa"/>
            <w:shd w:val="clear" w:color="auto" w:fill="auto"/>
            <w:vAlign w:val="center"/>
          </w:tcPr>
          <w:p w14:paraId="47FE7CE9">
            <w:pPr>
              <w:widowControl/>
              <w:jc w:val="center"/>
              <w:textAlignment w:val="center"/>
              <w:rPr>
                <w:snapToGrid w:val="0"/>
                <w:kern w:val="21"/>
              </w:rPr>
            </w:pPr>
            <w:r>
              <w:rPr>
                <w:rFonts w:hint="eastAsia"/>
                <w:snapToGrid w:val="0"/>
                <w:kern w:val="21"/>
                <w:lang w:eastAsia="zh-CN"/>
              </w:rPr>
              <w:t>6.21</w:t>
            </w:r>
            <w:r>
              <w:rPr>
                <w:rFonts w:hint="eastAsia"/>
                <w:snapToGrid w:val="0"/>
                <w:kern w:val="21"/>
              </w:rPr>
              <w:t>t/a</w:t>
            </w:r>
          </w:p>
        </w:tc>
        <w:tc>
          <w:tcPr>
            <w:tcW w:w="1600" w:type="dxa"/>
            <w:shd w:val="clear" w:color="auto" w:fill="auto"/>
            <w:vAlign w:val="center"/>
          </w:tcPr>
          <w:p w14:paraId="090AD522">
            <w:pPr>
              <w:pStyle w:val="30"/>
              <w:rPr>
                <w:snapToGrid w:val="0"/>
                <w:spacing w:val="11"/>
                <w:kern w:val="21"/>
              </w:rPr>
            </w:pPr>
            <w:r>
              <w:rPr>
                <w:rFonts w:hint="eastAsia"/>
                <w:snapToGrid w:val="0"/>
                <w:kern w:val="21"/>
              </w:rPr>
              <w:t>0</w:t>
            </w:r>
          </w:p>
        </w:tc>
        <w:tc>
          <w:tcPr>
            <w:tcW w:w="1944" w:type="dxa"/>
            <w:shd w:val="clear" w:color="auto" w:fill="auto"/>
            <w:vAlign w:val="center"/>
          </w:tcPr>
          <w:p w14:paraId="7F9F2EB2">
            <w:pPr>
              <w:pStyle w:val="30"/>
              <w:rPr>
                <w:snapToGrid w:val="0"/>
                <w:spacing w:val="11"/>
                <w:kern w:val="21"/>
              </w:rPr>
            </w:pPr>
            <w:r>
              <w:rPr>
                <w:rFonts w:hint="eastAsia"/>
                <w:snapToGrid w:val="0"/>
                <w:kern w:val="21"/>
                <w:lang w:eastAsia="zh-CN"/>
              </w:rPr>
              <w:t>6.21</w:t>
            </w:r>
            <w:r>
              <w:rPr>
                <w:rFonts w:hint="eastAsia"/>
                <w:snapToGrid w:val="0"/>
                <w:kern w:val="21"/>
              </w:rPr>
              <w:t>t/a</w:t>
            </w:r>
          </w:p>
        </w:tc>
        <w:tc>
          <w:tcPr>
            <w:tcW w:w="1507" w:type="dxa"/>
            <w:shd w:val="clear" w:color="auto" w:fill="auto"/>
            <w:vAlign w:val="center"/>
          </w:tcPr>
          <w:p w14:paraId="18CF6F75">
            <w:pPr>
              <w:widowControl/>
              <w:jc w:val="center"/>
              <w:textAlignment w:val="center"/>
              <w:rPr>
                <w:snapToGrid w:val="0"/>
                <w:kern w:val="21"/>
              </w:rPr>
            </w:pPr>
            <w:r>
              <w:rPr>
                <w:rFonts w:hint="eastAsia"/>
                <w:kern w:val="0"/>
                <w:lang w:bidi="ar"/>
              </w:rPr>
              <w:t>+</w:t>
            </w:r>
            <w:r>
              <w:rPr>
                <w:rFonts w:hint="eastAsia"/>
                <w:kern w:val="0"/>
                <w:lang w:eastAsia="zh-CN" w:bidi="ar"/>
              </w:rPr>
              <w:t>6.21</w:t>
            </w:r>
            <w:r>
              <w:rPr>
                <w:rFonts w:hint="eastAsia"/>
                <w:snapToGrid w:val="0"/>
                <w:kern w:val="21"/>
              </w:rPr>
              <w:t>t/a</w:t>
            </w:r>
          </w:p>
        </w:tc>
      </w:tr>
      <w:tr w14:paraId="51DFB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648170AE">
            <w:pPr>
              <w:pStyle w:val="30"/>
              <w:rPr>
                <w:snapToGrid w:val="0"/>
                <w:kern w:val="21"/>
              </w:rPr>
            </w:pPr>
          </w:p>
        </w:tc>
        <w:tc>
          <w:tcPr>
            <w:tcW w:w="1746" w:type="dxa"/>
            <w:vAlign w:val="center"/>
          </w:tcPr>
          <w:p w14:paraId="54CCA5E4">
            <w:pPr>
              <w:pStyle w:val="30"/>
              <w:rPr>
                <w:snapToGrid w:val="0"/>
                <w:kern w:val="21"/>
              </w:rPr>
            </w:pPr>
            <w:r>
              <w:t>未感染的输液瓶（袋）</w:t>
            </w:r>
          </w:p>
        </w:tc>
        <w:tc>
          <w:tcPr>
            <w:tcW w:w="1606" w:type="dxa"/>
            <w:shd w:val="clear" w:color="auto" w:fill="auto"/>
            <w:vAlign w:val="center"/>
          </w:tcPr>
          <w:p w14:paraId="4A04FE22">
            <w:pPr>
              <w:pStyle w:val="30"/>
              <w:rPr>
                <w:snapToGrid w:val="0"/>
                <w:kern w:val="21"/>
              </w:rPr>
            </w:pPr>
            <w:r>
              <w:rPr>
                <w:rFonts w:hint="eastAsia"/>
                <w:snapToGrid w:val="0"/>
                <w:kern w:val="21"/>
              </w:rPr>
              <w:t>0</w:t>
            </w:r>
          </w:p>
        </w:tc>
        <w:tc>
          <w:tcPr>
            <w:tcW w:w="1597" w:type="dxa"/>
            <w:vAlign w:val="center"/>
          </w:tcPr>
          <w:p w14:paraId="3C96442E">
            <w:pPr>
              <w:pStyle w:val="30"/>
              <w:rPr>
                <w:snapToGrid w:val="0"/>
                <w:kern w:val="21"/>
              </w:rPr>
            </w:pPr>
            <w:r>
              <w:rPr>
                <w:rFonts w:hint="eastAsia"/>
                <w:snapToGrid w:val="0"/>
                <w:kern w:val="21"/>
              </w:rPr>
              <w:t>0</w:t>
            </w:r>
          </w:p>
        </w:tc>
        <w:tc>
          <w:tcPr>
            <w:tcW w:w="1602" w:type="dxa"/>
            <w:vAlign w:val="center"/>
          </w:tcPr>
          <w:p w14:paraId="6BC26CC7">
            <w:pPr>
              <w:pStyle w:val="30"/>
              <w:rPr>
                <w:snapToGrid w:val="0"/>
                <w:kern w:val="21"/>
              </w:rPr>
            </w:pPr>
            <w:r>
              <w:rPr>
                <w:rFonts w:hint="eastAsia"/>
                <w:snapToGrid w:val="0"/>
                <w:kern w:val="21"/>
              </w:rPr>
              <w:t>0</w:t>
            </w:r>
          </w:p>
        </w:tc>
        <w:tc>
          <w:tcPr>
            <w:tcW w:w="1627" w:type="dxa"/>
            <w:vAlign w:val="center"/>
          </w:tcPr>
          <w:p w14:paraId="1CD406DB">
            <w:pPr>
              <w:widowControl/>
              <w:jc w:val="center"/>
              <w:textAlignment w:val="center"/>
              <w:rPr>
                <w:snapToGrid w:val="0"/>
                <w:kern w:val="21"/>
              </w:rPr>
            </w:pPr>
            <w:r>
              <w:rPr>
                <w:kern w:val="0"/>
                <w:lang w:bidi="ar"/>
              </w:rPr>
              <w:t>0.</w:t>
            </w:r>
            <w:r>
              <w:rPr>
                <w:rFonts w:hint="eastAsia"/>
                <w:kern w:val="0"/>
                <w:lang w:bidi="ar"/>
              </w:rPr>
              <w:t>5</w:t>
            </w:r>
            <w:r>
              <w:rPr>
                <w:rFonts w:hint="eastAsia"/>
                <w:snapToGrid w:val="0"/>
                <w:kern w:val="21"/>
              </w:rPr>
              <w:t>t/a</w:t>
            </w:r>
          </w:p>
        </w:tc>
        <w:tc>
          <w:tcPr>
            <w:tcW w:w="1600" w:type="dxa"/>
            <w:vAlign w:val="center"/>
          </w:tcPr>
          <w:p w14:paraId="0D17BD14">
            <w:pPr>
              <w:pStyle w:val="30"/>
              <w:rPr>
                <w:snapToGrid w:val="0"/>
                <w:kern w:val="21"/>
              </w:rPr>
            </w:pPr>
            <w:r>
              <w:rPr>
                <w:rFonts w:hint="eastAsia"/>
                <w:snapToGrid w:val="0"/>
                <w:kern w:val="21"/>
              </w:rPr>
              <w:t>0</w:t>
            </w:r>
          </w:p>
        </w:tc>
        <w:tc>
          <w:tcPr>
            <w:tcW w:w="1944" w:type="dxa"/>
            <w:vAlign w:val="center"/>
          </w:tcPr>
          <w:p w14:paraId="62BD609C">
            <w:pPr>
              <w:pStyle w:val="30"/>
              <w:rPr>
                <w:snapToGrid w:val="0"/>
                <w:kern w:val="21"/>
              </w:rPr>
            </w:pPr>
            <w:r>
              <w:rPr>
                <w:rFonts w:hint="eastAsia"/>
              </w:rPr>
              <w:t>0.5</w:t>
            </w:r>
            <w:r>
              <w:rPr>
                <w:rFonts w:hint="eastAsia"/>
                <w:snapToGrid w:val="0"/>
                <w:kern w:val="21"/>
              </w:rPr>
              <w:t>t/a</w:t>
            </w:r>
          </w:p>
        </w:tc>
        <w:tc>
          <w:tcPr>
            <w:tcW w:w="1507" w:type="dxa"/>
            <w:vAlign w:val="center"/>
          </w:tcPr>
          <w:p w14:paraId="1630314B">
            <w:pPr>
              <w:widowControl/>
              <w:jc w:val="center"/>
              <w:textAlignment w:val="center"/>
              <w:rPr>
                <w:snapToGrid w:val="0"/>
                <w:kern w:val="21"/>
              </w:rPr>
            </w:pPr>
            <w:r>
              <w:rPr>
                <w:rFonts w:hint="eastAsia"/>
                <w:kern w:val="0"/>
                <w:lang w:bidi="ar"/>
              </w:rPr>
              <w:t>+</w:t>
            </w:r>
            <w:r>
              <w:rPr>
                <w:kern w:val="0"/>
                <w:lang w:bidi="ar"/>
              </w:rPr>
              <w:t>0.</w:t>
            </w:r>
            <w:r>
              <w:rPr>
                <w:rFonts w:hint="eastAsia"/>
                <w:kern w:val="0"/>
                <w:lang w:bidi="ar"/>
              </w:rPr>
              <w:t>5</w:t>
            </w:r>
            <w:r>
              <w:rPr>
                <w:rFonts w:hint="eastAsia"/>
                <w:snapToGrid w:val="0"/>
                <w:kern w:val="21"/>
              </w:rPr>
              <w:t>t/a</w:t>
            </w:r>
          </w:p>
        </w:tc>
      </w:tr>
      <w:tr w14:paraId="33947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0F86D37F">
            <w:pPr>
              <w:pStyle w:val="30"/>
              <w:rPr>
                <w:snapToGrid w:val="0"/>
                <w:kern w:val="21"/>
              </w:rPr>
            </w:pPr>
          </w:p>
        </w:tc>
        <w:tc>
          <w:tcPr>
            <w:tcW w:w="1746" w:type="dxa"/>
            <w:vAlign w:val="center"/>
          </w:tcPr>
          <w:p w14:paraId="426C55CD">
            <w:pPr>
              <w:pStyle w:val="30"/>
              <w:rPr>
                <w:snapToGrid w:val="0"/>
                <w:kern w:val="21"/>
              </w:rPr>
            </w:pPr>
            <w:r>
              <w:t>废包装材料</w:t>
            </w:r>
          </w:p>
        </w:tc>
        <w:tc>
          <w:tcPr>
            <w:tcW w:w="1606" w:type="dxa"/>
            <w:shd w:val="clear" w:color="auto" w:fill="auto"/>
            <w:vAlign w:val="center"/>
          </w:tcPr>
          <w:p w14:paraId="512468D2">
            <w:pPr>
              <w:pStyle w:val="30"/>
              <w:rPr>
                <w:snapToGrid w:val="0"/>
                <w:kern w:val="21"/>
              </w:rPr>
            </w:pPr>
            <w:r>
              <w:rPr>
                <w:rFonts w:hint="eastAsia"/>
                <w:snapToGrid w:val="0"/>
                <w:kern w:val="21"/>
              </w:rPr>
              <w:t>0</w:t>
            </w:r>
          </w:p>
        </w:tc>
        <w:tc>
          <w:tcPr>
            <w:tcW w:w="1597" w:type="dxa"/>
            <w:vAlign w:val="center"/>
          </w:tcPr>
          <w:p w14:paraId="7CD627D6">
            <w:pPr>
              <w:pStyle w:val="30"/>
              <w:rPr>
                <w:snapToGrid w:val="0"/>
                <w:kern w:val="21"/>
              </w:rPr>
            </w:pPr>
            <w:r>
              <w:rPr>
                <w:rFonts w:hint="eastAsia"/>
                <w:snapToGrid w:val="0"/>
                <w:kern w:val="21"/>
              </w:rPr>
              <w:t>0</w:t>
            </w:r>
          </w:p>
        </w:tc>
        <w:tc>
          <w:tcPr>
            <w:tcW w:w="1602" w:type="dxa"/>
            <w:vAlign w:val="center"/>
          </w:tcPr>
          <w:p w14:paraId="3EC33DFE">
            <w:pPr>
              <w:pStyle w:val="30"/>
              <w:rPr>
                <w:snapToGrid w:val="0"/>
                <w:kern w:val="21"/>
              </w:rPr>
            </w:pPr>
            <w:r>
              <w:rPr>
                <w:rFonts w:hint="eastAsia"/>
                <w:snapToGrid w:val="0"/>
                <w:kern w:val="21"/>
              </w:rPr>
              <w:t>0</w:t>
            </w:r>
          </w:p>
        </w:tc>
        <w:tc>
          <w:tcPr>
            <w:tcW w:w="1627" w:type="dxa"/>
            <w:vAlign w:val="center"/>
          </w:tcPr>
          <w:p w14:paraId="632E1FD9">
            <w:pPr>
              <w:widowControl/>
              <w:jc w:val="center"/>
              <w:textAlignment w:val="center"/>
              <w:rPr>
                <w:snapToGrid w:val="0"/>
                <w:kern w:val="21"/>
              </w:rPr>
            </w:pPr>
            <w:r>
              <w:rPr>
                <w:kern w:val="0"/>
                <w:lang w:bidi="ar"/>
              </w:rPr>
              <w:t>0.5</w:t>
            </w:r>
            <w:r>
              <w:rPr>
                <w:rFonts w:hint="eastAsia"/>
                <w:snapToGrid w:val="0"/>
                <w:kern w:val="21"/>
              </w:rPr>
              <w:t>t/a</w:t>
            </w:r>
          </w:p>
        </w:tc>
        <w:tc>
          <w:tcPr>
            <w:tcW w:w="1600" w:type="dxa"/>
            <w:vAlign w:val="center"/>
          </w:tcPr>
          <w:p w14:paraId="7B88BB38">
            <w:pPr>
              <w:pStyle w:val="30"/>
              <w:rPr>
                <w:snapToGrid w:val="0"/>
                <w:kern w:val="21"/>
              </w:rPr>
            </w:pPr>
            <w:r>
              <w:rPr>
                <w:rFonts w:hint="eastAsia"/>
                <w:snapToGrid w:val="0"/>
                <w:kern w:val="21"/>
              </w:rPr>
              <w:t>0</w:t>
            </w:r>
          </w:p>
        </w:tc>
        <w:tc>
          <w:tcPr>
            <w:tcW w:w="1944" w:type="dxa"/>
            <w:vAlign w:val="center"/>
          </w:tcPr>
          <w:p w14:paraId="4783490E">
            <w:pPr>
              <w:pStyle w:val="30"/>
              <w:rPr>
                <w:snapToGrid w:val="0"/>
                <w:kern w:val="21"/>
              </w:rPr>
            </w:pPr>
            <w:r>
              <w:rPr>
                <w:rFonts w:hint="eastAsia"/>
                <w:snapToGrid w:val="0"/>
                <w:kern w:val="21"/>
              </w:rPr>
              <w:t>0.5t/a</w:t>
            </w:r>
          </w:p>
        </w:tc>
        <w:tc>
          <w:tcPr>
            <w:tcW w:w="1507" w:type="dxa"/>
            <w:vAlign w:val="center"/>
          </w:tcPr>
          <w:p w14:paraId="129685B7">
            <w:pPr>
              <w:widowControl/>
              <w:jc w:val="center"/>
              <w:textAlignment w:val="center"/>
              <w:rPr>
                <w:snapToGrid w:val="0"/>
                <w:kern w:val="21"/>
              </w:rPr>
            </w:pPr>
            <w:r>
              <w:rPr>
                <w:rFonts w:hint="eastAsia"/>
                <w:kern w:val="0"/>
                <w:lang w:bidi="ar"/>
              </w:rPr>
              <w:t>+</w:t>
            </w:r>
            <w:r>
              <w:rPr>
                <w:kern w:val="0"/>
                <w:lang w:bidi="ar"/>
              </w:rPr>
              <w:t>0.5</w:t>
            </w:r>
            <w:r>
              <w:rPr>
                <w:rFonts w:hint="eastAsia"/>
                <w:snapToGrid w:val="0"/>
                <w:kern w:val="21"/>
              </w:rPr>
              <w:t>t/a</w:t>
            </w:r>
          </w:p>
        </w:tc>
      </w:tr>
      <w:tr w14:paraId="02B22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61F1CAD6">
            <w:pPr>
              <w:pStyle w:val="30"/>
              <w:rPr>
                <w:snapToGrid w:val="0"/>
                <w:kern w:val="21"/>
              </w:rPr>
            </w:pPr>
          </w:p>
        </w:tc>
        <w:tc>
          <w:tcPr>
            <w:tcW w:w="1746" w:type="dxa"/>
            <w:vAlign w:val="center"/>
          </w:tcPr>
          <w:p w14:paraId="13FF608B">
            <w:pPr>
              <w:pStyle w:val="30"/>
            </w:pPr>
            <w:r>
              <w:t>纯水制备废过滤材料</w:t>
            </w:r>
          </w:p>
        </w:tc>
        <w:tc>
          <w:tcPr>
            <w:tcW w:w="1606" w:type="dxa"/>
            <w:shd w:val="clear" w:color="auto" w:fill="auto"/>
            <w:vAlign w:val="center"/>
          </w:tcPr>
          <w:p w14:paraId="47275E15">
            <w:pPr>
              <w:pStyle w:val="30"/>
              <w:rPr>
                <w:snapToGrid w:val="0"/>
                <w:spacing w:val="11"/>
                <w:kern w:val="21"/>
              </w:rPr>
            </w:pPr>
            <w:r>
              <w:rPr>
                <w:rFonts w:hint="eastAsia"/>
                <w:snapToGrid w:val="0"/>
                <w:kern w:val="21"/>
              </w:rPr>
              <w:t>0</w:t>
            </w:r>
          </w:p>
        </w:tc>
        <w:tc>
          <w:tcPr>
            <w:tcW w:w="1597" w:type="dxa"/>
            <w:shd w:val="clear" w:color="auto" w:fill="auto"/>
            <w:vAlign w:val="center"/>
          </w:tcPr>
          <w:p w14:paraId="4C511E33">
            <w:pPr>
              <w:pStyle w:val="30"/>
              <w:rPr>
                <w:snapToGrid w:val="0"/>
                <w:spacing w:val="11"/>
                <w:kern w:val="21"/>
              </w:rPr>
            </w:pPr>
            <w:r>
              <w:rPr>
                <w:rFonts w:hint="eastAsia"/>
                <w:snapToGrid w:val="0"/>
                <w:kern w:val="21"/>
              </w:rPr>
              <w:t>0</w:t>
            </w:r>
          </w:p>
        </w:tc>
        <w:tc>
          <w:tcPr>
            <w:tcW w:w="1602" w:type="dxa"/>
            <w:shd w:val="clear" w:color="auto" w:fill="auto"/>
            <w:vAlign w:val="center"/>
          </w:tcPr>
          <w:p w14:paraId="5F006ACF">
            <w:pPr>
              <w:pStyle w:val="30"/>
              <w:rPr>
                <w:snapToGrid w:val="0"/>
                <w:spacing w:val="11"/>
                <w:kern w:val="21"/>
              </w:rPr>
            </w:pPr>
            <w:r>
              <w:rPr>
                <w:rFonts w:hint="eastAsia"/>
                <w:snapToGrid w:val="0"/>
                <w:kern w:val="21"/>
              </w:rPr>
              <w:t>0</w:t>
            </w:r>
          </w:p>
        </w:tc>
        <w:tc>
          <w:tcPr>
            <w:tcW w:w="1627" w:type="dxa"/>
            <w:vAlign w:val="center"/>
          </w:tcPr>
          <w:p w14:paraId="2E0E70B3">
            <w:pPr>
              <w:widowControl/>
              <w:jc w:val="center"/>
              <w:textAlignment w:val="center"/>
              <w:rPr>
                <w:kern w:val="0"/>
                <w:lang w:bidi="ar"/>
              </w:rPr>
            </w:pPr>
            <w:r>
              <w:rPr>
                <w:kern w:val="0"/>
                <w:lang w:bidi="ar"/>
              </w:rPr>
              <w:t>0.</w:t>
            </w:r>
            <w:r>
              <w:rPr>
                <w:rFonts w:hint="eastAsia"/>
                <w:kern w:val="0"/>
                <w:lang w:bidi="ar"/>
              </w:rPr>
              <w:t>01</w:t>
            </w:r>
            <w:r>
              <w:rPr>
                <w:rFonts w:hint="eastAsia"/>
                <w:snapToGrid w:val="0"/>
                <w:kern w:val="21"/>
              </w:rPr>
              <w:t>t/a</w:t>
            </w:r>
          </w:p>
        </w:tc>
        <w:tc>
          <w:tcPr>
            <w:tcW w:w="1600" w:type="dxa"/>
            <w:vAlign w:val="center"/>
          </w:tcPr>
          <w:p w14:paraId="7B065346">
            <w:pPr>
              <w:pStyle w:val="30"/>
              <w:rPr>
                <w:snapToGrid w:val="0"/>
                <w:kern w:val="21"/>
              </w:rPr>
            </w:pPr>
            <w:r>
              <w:rPr>
                <w:rFonts w:hint="eastAsia"/>
                <w:snapToGrid w:val="0"/>
                <w:kern w:val="21"/>
              </w:rPr>
              <w:t>0</w:t>
            </w:r>
          </w:p>
        </w:tc>
        <w:tc>
          <w:tcPr>
            <w:tcW w:w="1944" w:type="dxa"/>
            <w:vAlign w:val="center"/>
          </w:tcPr>
          <w:p w14:paraId="3CB592E0">
            <w:pPr>
              <w:pStyle w:val="30"/>
              <w:rPr>
                <w:snapToGrid w:val="0"/>
                <w:kern w:val="21"/>
              </w:rPr>
            </w:pPr>
            <w:r>
              <w:rPr>
                <w:rFonts w:hint="eastAsia"/>
                <w:snapToGrid w:val="0"/>
                <w:kern w:val="21"/>
              </w:rPr>
              <w:t>0.01t/a</w:t>
            </w:r>
          </w:p>
        </w:tc>
        <w:tc>
          <w:tcPr>
            <w:tcW w:w="1507" w:type="dxa"/>
            <w:vAlign w:val="center"/>
          </w:tcPr>
          <w:p w14:paraId="1CD06B53">
            <w:pPr>
              <w:widowControl/>
              <w:jc w:val="center"/>
              <w:textAlignment w:val="center"/>
              <w:rPr>
                <w:kern w:val="0"/>
                <w:lang w:bidi="ar"/>
              </w:rPr>
            </w:pPr>
            <w:r>
              <w:rPr>
                <w:rFonts w:hint="eastAsia"/>
                <w:kern w:val="0"/>
                <w:lang w:bidi="ar"/>
              </w:rPr>
              <w:t>+</w:t>
            </w:r>
            <w:r>
              <w:rPr>
                <w:kern w:val="0"/>
                <w:lang w:bidi="ar"/>
              </w:rPr>
              <w:t>0.</w:t>
            </w:r>
            <w:r>
              <w:rPr>
                <w:rFonts w:hint="eastAsia"/>
                <w:kern w:val="0"/>
                <w:lang w:bidi="ar"/>
              </w:rPr>
              <w:t>01</w:t>
            </w:r>
            <w:r>
              <w:rPr>
                <w:rFonts w:hint="eastAsia"/>
                <w:snapToGrid w:val="0"/>
                <w:kern w:val="21"/>
              </w:rPr>
              <w:t>t/a</w:t>
            </w:r>
          </w:p>
        </w:tc>
      </w:tr>
      <w:tr w14:paraId="3F3D1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06C4967E">
            <w:pPr>
              <w:pStyle w:val="30"/>
              <w:rPr>
                <w:snapToGrid w:val="0"/>
                <w:kern w:val="21"/>
              </w:rPr>
            </w:pPr>
          </w:p>
        </w:tc>
        <w:tc>
          <w:tcPr>
            <w:tcW w:w="1746" w:type="dxa"/>
            <w:vAlign w:val="center"/>
          </w:tcPr>
          <w:p w14:paraId="3ECE22E9">
            <w:pPr>
              <w:pStyle w:val="30"/>
            </w:pPr>
            <w:r>
              <w:t>废反渗透膜</w:t>
            </w:r>
          </w:p>
        </w:tc>
        <w:tc>
          <w:tcPr>
            <w:tcW w:w="1606" w:type="dxa"/>
            <w:shd w:val="clear" w:color="auto" w:fill="auto"/>
            <w:vAlign w:val="center"/>
          </w:tcPr>
          <w:p w14:paraId="051E2BE4">
            <w:pPr>
              <w:pStyle w:val="30"/>
              <w:rPr>
                <w:snapToGrid w:val="0"/>
                <w:spacing w:val="11"/>
                <w:kern w:val="21"/>
              </w:rPr>
            </w:pPr>
            <w:r>
              <w:rPr>
                <w:rFonts w:hint="eastAsia"/>
                <w:snapToGrid w:val="0"/>
                <w:kern w:val="21"/>
              </w:rPr>
              <w:t>0</w:t>
            </w:r>
          </w:p>
        </w:tc>
        <w:tc>
          <w:tcPr>
            <w:tcW w:w="1597" w:type="dxa"/>
            <w:shd w:val="clear" w:color="auto" w:fill="auto"/>
            <w:vAlign w:val="center"/>
          </w:tcPr>
          <w:p w14:paraId="7186798E">
            <w:pPr>
              <w:pStyle w:val="30"/>
              <w:rPr>
                <w:snapToGrid w:val="0"/>
                <w:spacing w:val="11"/>
                <w:kern w:val="21"/>
              </w:rPr>
            </w:pPr>
            <w:r>
              <w:rPr>
                <w:rFonts w:hint="eastAsia"/>
                <w:snapToGrid w:val="0"/>
                <w:kern w:val="21"/>
              </w:rPr>
              <w:t>0</w:t>
            </w:r>
          </w:p>
        </w:tc>
        <w:tc>
          <w:tcPr>
            <w:tcW w:w="1602" w:type="dxa"/>
            <w:shd w:val="clear" w:color="auto" w:fill="auto"/>
            <w:vAlign w:val="center"/>
          </w:tcPr>
          <w:p w14:paraId="4EF23179">
            <w:pPr>
              <w:pStyle w:val="30"/>
              <w:rPr>
                <w:snapToGrid w:val="0"/>
                <w:spacing w:val="11"/>
                <w:kern w:val="21"/>
              </w:rPr>
            </w:pPr>
            <w:r>
              <w:rPr>
                <w:rFonts w:hint="eastAsia"/>
                <w:snapToGrid w:val="0"/>
                <w:kern w:val="21"/>
              </w:rPr>
              <w:t>0</w:t>
            </w:r>
          </w:p>
        </w:tc>
        <w:tc>
          <w:tcPr>
            <w:tcW w:w="1627" w:type="dxa"/>
            <w:vAlign w:val="center"/>
          </w:tcPr>
          <w:p w14:paraId="3C60D695">
            <w:pPr>
              <w:widowControl/>
              <w:jc w:val="center"/>
              <w:textAlignment w:val="center"/>
              <w:rPr>
                <w:kern w:val="0"/>
                <w:lang w:bidi="ar"/>
              </w:rPr>
            </w:pPr>
            <w:r>
              <w:rPr>
                <w:kern w:val="0"/>
                <w:lang w:bidi="ar"/>
              </w:rPr>
              <w:t>0.</w:t>
            </w:r>
            <w:r>
              <w:rPr>
                <w:rFonts w:hint="eastAsia"/>
                <w:kern w:val="0"/>
                <w:lang w:bidi="ar"/>
              </w:rPr>
              <w:t>06</w:t>
            </w:r>
            <w:r>
              <w:rPr>
                <w:rFonts w:hint="eastAsia"/>
                <w:snapToGrid w:val="0"/>
                <w:kern w:val="21"/>
              </w:rPr>
              <w:t>t/a</w:t>
            </w:r>
          </w:p>
        </w:tc>
        <w:tc>
          <w:tcPr>
            <w:tcW w:w="1600" w:type="dxa"/>
            <w:vAlign w:val="center"/>
          </w:tcPr>
          <w:p w14:paraId="6A14F3FC">
            <w:pPr>
              <w:pStyle w:val="30"/>
              <w:rPr>
                <w:snapToGrid w:val="0"/>
                <w:kern w:val="21"/>
              </w:rPr>
            </w:pPr>
            <w:r>
              <w:rPr>
                <w:rFonts w:hint="eastAsia"/>
                <w:snapToGrid w:val="0"/>
                <w:kern w:val="21"/>
              </w:rPr>
              <w:t>0</w:t>
            </w:r>
          </w:p>
        </w:tc>
        <w:tc>
          <w:tcPr>
            <w:tcW w:w="1944" w:type="dxa"/>
            <w:vAlign w:val="center"/>
          </w:tcPr>
          <w:p w14:paraId="40E0ECEE">
            <w:pPr>
              <w:pStyle w:val="30"/>
              <w:rPr>
                <w:snapToGrid w:val="0"/>
                <w:kern w:val="21"/>
              </w:rPr>
            </w:pPr>
            <w:r>
              <w:rPr>
                <w:rFonts w:hint="eastAsia"/>
                <w:snapToGrid w:val="0"/>
                <w:kern w:val="21"/>
              </w:rPr>
              <w:t>0.06t/a</w:t>
            </w:r>
          </w:p>
        </w:tc>
        <w:tc>
          <w:tcPr>
            <w:tcW w:w="1507" w:type="dxa"/>
            <w:vAlign w:val="center"/>
          </w:tcPr>
          <w:p w14:paraId="0FEE2CE6">
            <w:pPr>
              <w:widowControl/>
              <w:jc w:val="center"/>
              <w:textAlignment w:val="center"/>
              <w:rPr>
                <w:kern w:val="0"/>
                <w:lang w:bidi="ar"/>
              </w:rPr>
            </w:pPr>
            <w:r>
              <w:rPr>
                <w:rFonts w:hint="eastAsia"/>
                <w:kern w:val="0"/>
                <w:lang w:bidi="ar"/>
              </w:rPr>
              <w:t>+</w:t>
            </w:r>
            <w:r>
              <w:rPr>
                <w:kern w:val="0"/>
                <w:lang w:bidi="ar"/>
              </w:rPr>
              <w:t>0.</w:t>
            </w:r>
            <w:r>
              <w:rPr>
                <w:rFonts w:hint="eastAsia"/>
                <w:kern w:val="0"/>
                <w:lang w:bidi="ar"/>
              </w:rPr>
              <w:t>06</w:t>
            </w:r>
            <w:r>
              <w:rPr>
                <w:rFonts w:hint="eastAsia"/>
                <w:snapToGrid w:val="0"/>
                <w:kern w:val="21"/>
              </w:rPr>
              <w:t>t/a</w:t>
            </w:r>
          </w:p>
        </w:tc>
      </w:tr>
      <w:tr w14:paraId="4DCF6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restart"/>
            <w:vAlign w:val="center"/>
          </w:tcPr>
          <w:p w14:paraId="2693C0A7">
            <w:pPr>
              <w:pStyle w:val="30"/>
              <w:rPr>
                <w:snapToGrid w:val="0"/>
                <w:kern w:val="21"/>
              </w:rPr>
            </w:pPr>
            <w:r>
              <w:rPr>
                <w:snapToGrid w:val="0"/>
                <w:kern w:val="21"/>
              </w:rPr>
              <w:t>危险</w:t>
            </w:r>
          </w:p>
          <w:p w14:paraId="0D528097">
            <w:pPr>
              <w:pStyle w:val="30"/>
              <w:rPr>
                <w:snapToGrid w:val="0"/>
                <w:kern w:val="21"/>
              </w:rPr>
            </w:pPr>
            <w:r>
              <w:rPr>
                <w:snapToGrid w:val="0"/>
                <w:kern w:val="21"/>
              </w:rPr>
              <w:t>废物</w:t>
            </w:r>
          </w:p>
        </w:tc>
        <w:tc>
          <w:tcPr>
            <w:tcW w:w="1746" w:type="dxa"/>
            <w:vAlign w:val="center"/>
          </w:tcPr>
          <w:p w14:paraId="311BE3FE">
            <w:pPr>
              <w:pStyle w:val="30"/>
              <w:rPr>
                <w:snapToGrid w:val="0"/>
                <w:kern w:val="21"/>
              </w:rPr>
            </w:pPr>
            <w:r>
              <w:rPr>
                <w:snapToGrid w:val="0"/>
                <w:kern w:val="21"/>
              </w:rPr>
              <w:t>医疗废物</w:t>
            </w:r>
          </w:p>
        </w:tc>
        <w:tc>
          <w:tcPr>
            <w:tcW w:w="1606" w:type="dxa"/>
            <w:shd w:val="clear" w:color="auto" w:fill="auto"/>
            <w:vAlign w:val="center"/>
          </w:tcPr>
          <w:p w14:paraId="16065786">
            <w:pPr>
              <w:pStyle w:val="30"/>
              <w:rPr>
                <w:snapToGrid w:val="0"/>
                <w:kern w:val="21"/>
              </w:rPr>
            </w:pPr>
            <w:r>
              <w:rPr>
                <w:rFonts w:hint="eastAsia"/>
                <w:snapToGrid w:val="0"/>
                <w:kern w:val="21"/>
              </w:rPr>
              <w:t>0</w:t>
            </w:r>
          </w:p>
        </w:tc>
        <w:tc>
          <w:tcPr>
            <w:tcW w:w="1597" w:type="dxa"/>
            <w:vAlign w:val="center"/>
          </w:tcPr>
          <w:p w14:paraId="0C5877C4">
            <w:pPr>
              <w:pStyle w:val="30"/>
              <w:rPr>
                <w:snapToGrid w:val="0"/>
                <w:kern w:val="21"/>
              </w:rPr>
            </w:pPr>
            <w:r>
              <w:rPr>
                <w:rFonts w:hint="eastAsia"/>
                <w:snapToGrid w:val="0"/>
                <w:kern w:val="21"/>
              </w:rPr>
              <w:t>0</w:t>
            </w:r>
          </w:p>
        </w:tc>
        <w:tc>
          <w:tcPr>
            <w:tcW w:w="1602" w:type="dxa"/>
            <w:vAlign w:val="center"/>
          </w:tcPr>
          <w:p w14:paraId="38F743A4">
            <w:pPr>
              <w:pStyle w:val="30"/>
              <w:rPr>
                <w:snapToGrid w:val="0"/>
                <w:kern w:val="21"/>
              </w:rPr>
            </w:pPr>
            <w:r>
              <w:rPr>
                <w:rFonts w:hint="eastAsia"/>
                <w:snapToGrid w:val="0"/>
                <w:kern w:val="21"/>
              </w:rPr>
              <w:t>0</w:t>
            </w:r>
          </w:p>
        </w:tc>
        <w:tc>
          <w:tcPr>
            <w:tcW w:w="1627" w:type="dxa"/>
            <w:vAlign w:val="center"/>
          </w:tcPr>
          <w:p w14:paraId="00EAAF37">
            <w:pPr>
              <w:widowControl/>
              <w:jc w:val="center"/>
              <w:textAlignment w:val="center"/>
              <w:rPr>
                <w:snapToGrid w:val="0"/>
                <w:kern w:val="21"/>
              </w:rPr>
            </w:pPr>
            <w:r>
              <w:rPr>
                <w:rFonts w:hint="eastAsia"/>
                <w:snapToGrid w:val="0"/>
                <w:kern w:val="21"/>
              </w:rPr>
              <w:t>18.205t/a</w:t>
            </w:r>
          </w:p>
        </w:tc>
        <w:tc>
          <w:tcPr>
            <w:tcW w:w="1600" w:type="dxa"/>
            <w:vAlign w:val="center"/>
          </w:tcPr>
          <w:p w14:paraId="46509324">
            <w:pPr>
              <w:pStyle w:val="30"/>
              <w:rPr>
                <w:snapToGrid w:val="0"/>
                <w:kern w:val="21"/>
              </w:rPr>
            </w:pPr>
            <w:r>
              <w:rPr>
                <w:rFonts w:hint="eastAsia"/>
                <w:snapToGrid w:val="0"/>
                <w:kern w:val="21"/>
              </w:rPr>
              <w:t>0</w:t>
            </w:r>
          </w:p>
        </w:tc>
        <w:tc>
          <w:tcPr>
            <w:tcW w:w="1944" w:type="dxa"/>
            <w:vAlign w:val="center"/>
          </w:tcPr>
          <w:p w14:paraId="1C29B4D5">
            <w:pPr>
              <w:pStyle w:val="30"/>
              <w:rPr>
                <w:snapToGrid w:val="0"/>
                <w:kern w:val="21"/>
              </w:rPr>
            </w:pPr>
            <w:r>
              <w:rPr>
                <w:rFonts w:hint="eastAsia"/>
                <w:snapToGrid w:val="0"/>
                <w:kern w:val="21"/>
              </w:rPr>
              <w:t>18.205t/a</w:t>
            </w:r>
          </w:p>
        </w:tc>
        <w:tc>
          <w:tcPr>
            <w:tcW w:w="1507" w:type="dxa"/>
            <w:vAlign w:val="center"/>
          </w:tcPr>
          <w:p w14:paraId="070B0BC6">
            <w:pPr>
              <w:widowControl/>
              <w:jc w:val="center"/>
              <w:textAlignment w:val="center"/>
              <w:rPr>
                <w:snapToGrid w:val="0"/>
                <w:kern w:val="21"/>
              </w:rPr>
            </w:pPr>
            <w:r>
              <w:rPr>
                <w:rFonts w:hint="eastAsia"/>
                <w:kern w:val="0"/>
                <w:lang w:bidi="ar"/>
              </w:rPr>
              <w:t>+18.205</w:t>
            </w:r>
            <w:r>
              <w:rPr>
                <w:rFonts w:hint="eastAsia"/>
                <w:snapToGrid w:val="0"/>
                <w:kern w:val="21"/>
              </w:rPr>
              <w:t>t/a</w:t>
            </w:r>
          </w:p>
        </w:tc>
      </w:tr>
      <w:tr w14:paraId="0E623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29B5B2D0">
            <w:pPr>
              <w:pStyle w:val="30"/>
              <w:rPr>
                <w:snapToGrid w:val="0"/>
                <w:kern w:val="21"/>
              </w:rPr>
            </w:pPr>
          </w:p>
        </w:tc>
        <w:tc>
          <w:tcPr>
            <w:tcW w:w="1746" w:type="dxa"/>
            <w:vAlign w:val="center"/>
          </w:tcPr>
          <w:p w14:paraId="3A99AA02">
            <w:pPr>
              <w:pStyle w:val="30"/>
              <w:rPr>
                <w:snapToGrid w:val="0"/>
                <w:kern w:val="21"/>
              </w:rPr>
            </w:pPr>
            <w:r>
              <w:rPr>
                <w:snapToGrid w:val="0"/>
                <w:kern w:val="21"/>
              </w:rPr>
              <w:t>污水处理系统</w:t>
            </w:r>
            <w:r>
              <w:rPr>
                <w:rFonts w:hint="eastAsia"/>
                <w:snapToGrid w:val="0"/>
                <w:kern w:val="21"/>
              </w:rPr>
              <w:t>（化粪池及污水处理站）</w:t>
            </w:r>
            <w:r>
              <w:rPr>
                <w:snapToGrid w:val="0"/>
                <w:kern w:val="21"/>
              </w:rPr>
              <w:t>污泥</w:t>
            </w:r>
          </w:p>
        </w:tc>
        <w:tc>
          <w:tcPr>
            <w:tcW w:w="1606" w:type="dxa"/>
            <w:shd w:val="clear" w:color="auto" w:fill="auto"/>
            <w:vAlign w:val="center"/>
          </w:tcPr>
          <w:p w14:paraId="341BDD67">
            <w:pPr>
              <w:pStyle w:val="30"/>
              <w:rPr>
                <w:snapToGrid w:val="0"/>
                <w:kern w:val="21"/>
              </w:rPr>
            </w:pPr>
            <w:r>
              <w:rPr>
                <w:rFonts w:hint="eastAsia"/>
                <w:snapToGrid w:val="0"/>
                <w:kern w:val="21"/>
              </w:rPr>
              <w:t>0</w:t>
            </w:r>
          </w:p>
        </w:tc>
        <w:tc>
          <w:tcPr>
            <w:tcW w:w="1597" w:type="dxa"/>
            <w:vAlign w:val="center"/>
          </w:tcPr>
          <w:p w14:paraId="2C09879E">
            <w:pPr>
              <w:pStyle w:val="30"/>
              <w:rPr>
                <w:snapToGrid w:val="0"/>
                <w:kern w:val="21"/>
              </w:rPr>
            </w:pPr>
            <w:r>
              <w:rPr>
                <w:rFonts w:hint="eastAsia"/>
                <w:snapToGrid w:val="0"/>
                <w:kern w:val="21"/>
              </w:rPr>
              <w:t>0</w:t>
            </w:r>
          </w:p>
        </w:tc>
        <w:tc>
          <w:tcPr>
            <w:tcW w:w="1602" w:type="dxa"/>
            <w:vAlign w:val="center"/>
          </w:tcPr>
          <w:p w14:paraId="04A49204">
            <w:pPr>
              <w:pStyle w:val="30"/>
              <w:rPr>
                <w:snapToGrid w:val="0"/>
                <w:kern w:val="21"/>
              </w:rPr>
            </w:pPr>
            <w:r>
              <w:rPr>
                <w:rFonts w:hint="eastAsia"/>
                <w:snapToGrid w:val="0"/>
                <w:kern w:val="21"/>
              </w:rPr>
              <w:t>0</w:t>
            </w:r>
          </w:p>
        </w:tc>
        <w:tc>
          <w:tcPr>
            <w:tcW w:w="1627" w:type="dxa"/>
            <w:vAlign w:val="center"/>
          </w:tcPr>
          <w:p w14:paraId="38826039">
            <w:pPr>
              <w:widowControl/>
              <w:jc w:val="center"/>
              <w:textAlignment w:val="center"/>
              <w:rPr>
                <w:snapToGrid w:val="0"/>
                <w:kern w:val="21"/>
              </w:rPr>
            </w:pPr>
            <w:r>
              <w:rPr>
                <w:rFonts w:hint="eastAsia"/>
                <w:snapToGrid w:val="0"/>
                <w:kern w:val="21"/>
              </w:rPr>
              <w:t>2t/a</w:t>
            </w:r>
            <w:r>
              <w:rPr>
                <w:kern w:val="0"/>
                <w:lang w:bidi="ar"/>
              </w:rPr>
              <w:t xml:space="preserve"> </w:t>
            </w:r>
          </w:p>
        </w:tc>
        <w:tc>
          <w:tcPr>
            <w:tcW w:w="1600" w:type="dxa"/>
            <w:vAlign w:val="center"/>
          </w:tcPr>
          <w:p w14:paraId="7CB22A18">
            <w:pPr>
              <w:pStyle w:val="30"/>
              <w:rPr>
                <w:snapToGrid w:val="0"/>
                <w:kern w:val="21"/>
              </w:rPr>
            </w:pPr>
            <w:r>
              <w:rPr>
                <w:rFonts w:hint="eastAsia"/>
                <w:snapToGrid w:val="0"/>
                <w:kern w:val="21"/>
              </w:rPr>
              <w:t>0</w:t>
            </w:r>
          </w:p>
        </w:tc>
        <w:tc>
          <w:tcPr>
            <w:tcW w:w="1944" w:type="dxa"/>
            <w:vAlign w:val="center"/>
          </w:tcPr>
          <w:p w14:paraId="5A05CE2F">
            <w:pPr>
              <w:pStyle w:val="30"/>
              <w:rPr>
                <w:snapToGrid w:val="0"/>
                <w:kern w:val="21"/>
              </w:rPr>
            </w:pPr>
            <w:r>
              <w:rPr>
                <w:rFonts w:hint="eastAsia"/>
                <w:snapToGrid w:val="0"/>
                <w:kern w:val="21"/>
              </w:rPr>
              <w:t>2t/a</w:t>
            </w:r>
          </w:p>
        </w:tc>
        <w:tc>
          <w:tcPr>
            <w:tcW w:w="1507" w:type="dxa"/>
            <w:vAlign w:val="center"/>
          </w:tcPr>
          <w:p w14:paraId="2BC3B778">
            <w:pPr>
              <w:widowControl/>
              <w:jc w:val="center"/>
              <w:textAlignment w:val="center"/>
              <w:rPr>
                <w:snapToGrid w:val="0"/>
                <w:kern w:val="21"/>
              </w:rPr>
            </w:pPr>
            <w:r>
              <w:rPr>
                <w:rFonts w:hint="eastAsia"/>
                <w:kern w:val="0"/>
                <w:lang w:bidi="ar"/>
              </w:rPr>
              <w:t>+2</w:t>
            </w:r>
            <w:r>
              <w:rPr>
                <w:rFonts w:hint="eastAsia"/>
                <w:snapToGrid w:val="0"/>
                <w:kern w:val="21"/>
              </w:rPr>
              <w:t>t/a</w:t>
            </w:r>
            <w:r>
              <w:rPr>
                <w:kern w:val="0"/>
                <w:lang w:bidi="ar"/>
              </w:rPr>
              <w:t xml:space="preserve"> </w:t>
            </w:r>
          </w:p>
        </w:tc>
      </w:tr>
      <w:tr w14:paraId="27721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697009A1">
            <w:pPr>
              <w:pStyle w:val="30"/>
              <w:rPr>
                <w:snapToGrid w:val="0"/>
                <w:kern w:val="21"/>
              </w:rPr>
            </w:pPr>
          </w:p>
        </w:tc>
        <w:tc>
          <w:tcPr>
            <w:tcW w:w="1746" w:type="dxa"/>
            <w:vAlign w:val="center"/>
          </w:tcPr>
          <w:p w14:paraId="0A2E48D9">
            <w:pPr>
              <w:pStyle w:val="30"/>
              <w:rPr>
                <w:snapToGrid w:val="0"/>
                <w:kern w:val="21"/>
              </w:rPr>
            </w:pPr>
            <w:r>
              <w:rPr>
                <w:rFonts w:hint="eastAsia"/>
                <w:snapToGrid w:val="0"/>
                <w:kern w:val="21"/>
              </w:rPr>
              <w:t>废活性炭</w:t>
            </w:r>
          </w:p>
        </w:tc>
        <w:tc>
          <w:tcPr>
            <w:tcW w:w="1606" w:type="dxa"/>
            <w:shd w:val="clear" w:color="auto" w:fill="auto"/>
            <w:vAlign w:val="center"/>
          </w:tcPr>
          <w:p w14:paraId="2CAD5AC4">
            <w:pPr>
              <w:pStyle w:val="30"/>
              <w:rPr>
                <w:snapToGrid w:val="0"/>
                <w:kern w:val="21"/>
              </w:rPr>
            </w:pPr>
            <w:r>
              <w:rPr>
                <w:rFonts w:hint="eastAsia"/>
                <w:snapToGrid w:val="0"/>
                <w:kern w:val="21"/>
              </w:rPr>
              <w:t>0</w:t>
            </w:r>
          </w:p>
        </w:tc>
        <w:tc>
          <w:tcPr>
            <w:tcW w:w="1597" w:type="dxa"/>
            <w:vAlign w:val="center"/>
          </w:tcPr>
          <w:p w14:paraId="117FD1F2">
            <w:pPr>
              <w:pStyle w:val="30"/>
              <w:rPr>
                <w:snapToGrid w:val="0"/>
                <w:kern w:val="21"/>
              </w:rPr>
            </w:pPr>
            <w:r>
              <w:rPr>
                <w:rFonts w:hint="eastAsia"/>
                <w:snapToGrid w:val="0"/>
                <w:kern w:val="21"/>
              </w:rPr>
              <w:t>0</w:t>
            </w:r>
          </w:p>
        </w:tc>
        <w:tc>
          <w:tcPr>
            <w:tcW w:w="1602" w:type="dxa"/>
            <w:vAlign w:val="center"/>
          </w:tcPr>
          <w:p w14:paraId="6FA5E1FD">
            <w:pPr>
              <w:pStyle w:val="30"/>
              <w:rPr>
                <w:snapToGrid w:val="0"/>
                <w:kern w:val="21"/>
              </w:rPr>
            </w:pPr>
            <w:r>
              <w:rPr>
                <w:rFonts w:hint="eastAsia"/>
                <w:snapToGrid w:val="0"/>
                <w:kern w:val="21"/>
              </w:rPr>
              <w:t>0</w:t>
            </w:r>
          </w:p>
        </w:tc>
        <w:tc>
          <w:tcPr>
            <w:tcW w:w="1627" w:type="dxa"/>
            <w:vAlign w:val="center"/>
          </w:tcPr>
          <w:p w14:paraId="49DBA623">
            <w:pPr>
              <w:widowControl/>
              <w:jc w:val="center"/>
              <w:textAlignment w:val="center"/>
              <w:rPr>
                <w:kern w:val="0"/>
                <w:lang w:bidi="ar"/>
              </w:rPr>
            </w:pPr>
            <w:r>
              <w:rPr>
                <w:rFonts w:hint="eastAsia"/>
                <w:kern w:val="0"/>
                <w:lang w:bidi="ar"/>
              </w:rPr>
              <w:t>0.2t/a</w:t>
            </w:r>
          </w:p>
        </w:tc>
        <w:tc>
          <w:tcPr>
            <w:tcW w:w="1600" w:type="dxa"/>
            <w:vAlign w:val="center"/>
          </w:tcPr>
          <w:p w14:paraId="0A81770B">
            <w:pPr>
              <w:pStyle w:val="30"/>
              <w:rPr>
                <w:snapToGrid w:val="0"/>
                <w:kern w:val="21"/>
              </w:rPr>
            </w:pPr>
            <w:r>
              <w:rPr>
                <w:rFonts w:hint="eastAsia"/>
                <w:snapToGrid w:val="0"/>
                <w:kern w:val="21"/>
              </w:rPr>
              <w:t>0</w:t>
            </w:r>
          </w:p>
        </w:tc>
        <w:tc>
          <w:tcPr>
            <w:tcW w:w="1944" w:type="dxa"/>
            <w:vAlign w:val="center"/>
          </w:tcPr>
          <w:p w14:paraId="23C08ACF">
            <w:pPr>
              <w:jc w:val="center"/>
              <w:rPr>
                <w:snapToGrid w:val="0"/>
                <w:kern w:val="21"/>
              </w:rPr>
            </w:pPr>
            <w:r>
              <w:rPr>
                <w:rFonts w:hint="eastAsia"/>
                <w:kern w:val="0"/>
                <w:lang w:bidi="ar"/>
              </w:rPr>
              <w:t>0.2t/a</w:t>
            </w:r>
          </w:p>
        </w:tc>
        <w:tc>
          <w:tcPr>
            <w:tcW w:w="1507" w:type="dxa"/>
            <w:vAlign w:val="center"/>
          </w:tcPr>
          <w:p w14:paraId="2C99E850">
            <w:pPr>
              <w:widowControl/>
              <w:jc w:val="center"/>
              <w:textAlignment w:val="center"/>
              <w:rPr>
                <w:kern w:val="0"/>
                <w:lang w:bidi="ar"/>
              </w:rPr>
            </w:pPr>
            <w:r>
              <w:rPr>
                <w:rFonts w:hint="eastAsia"/>
                <w:kern w:val="0"/>
                <w:lang w:bidi="ar"/>
              </w:rPr>
              <w:t>+0.2t/a</w:t>
            </w:r>
          </w:p>
        </w:tc>
      </w:tr>
      <w:tr w14:paraId="272C0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14:paraId="5F353FCE">
            <w:pPr>
              <w:pStyle w:val="30"/>
              <w:rPr>
                <w:snapToGrid w:val="0"/>
                <w:kern w:val="21"/>
              </w:rPr>
            </w:pPr>
          </w:p>
        </w:tc>
        <w:tc>
          <w:tcPr>
            <w:tcW w:w="1746" w:type="dxa"/>
            <w:vAlign w:val="center"/>
          </w:tcPr>
          <w:p w14:paraId="18DDADE3">
            <w:pPr>
              <w:pStyle w:val="30"/>
              <w:rPr>
                <w:snapToGrid w:val="0"/>
                <w:kern w:val="21"/>
              </w:rPr>
            </w:pPr>
            <w:r>
              <w:rPr>
                <w:rFonts w:hint="eastAsia"/>
                <w:snapToGrid w:val="0"/>
                <w:kern w:val="21"/>
              </w:rPr>
              <w:t>废紫外灯管</w:t>
            </w:r>
          </w:p>
        </w:tc>
        <w:tc>
          <w:tcPr>
            <w:tcW w:w="1606" w:type="dxa"/>
            <w:shd w:val="clear" w:color="auto" w:fill="auto"/>
            <w:vAlign w:val="center"/>
          </w:tcPr>
          <w:p w14:paraId="0B648E19">
            <w:pPr>
              <w:pStyle w:val="30"/>
              <w:rPr>
                <w:snapToGrid w:val="0"/>
                <w:kern w:val="21"/>
              </w:rPr>
            </w:pPr>
            <w:r>
              <w:rPr>
                <w:rFonts w:hint="eastAsia"/>
                <w:snapToGrid w:val="0"/>
                <w:kern w:val="21"/>
              </w:rPr>
              <w:t>0</w:t>
            </w:r>
          </w:p>
        </w:tc>
        <w:tc>
          <w:tcPr>
            <w:tcW w:w="1597" w:type="dxa"/>
            <w:vAlign w:val="center"/>
          </w:tcPr>
          <w:p w14:paraId="2BAC0423">
            <w:pPr>
              <w:pStyle w:val="30"/>
              <w:rPr>
                <w:snapToGrid w:val="0"/>
                <w:kern w:val="21"/>
              </w:rPr>
            </w:pPr>
            <w:r>
              <w:rPr>
                <w:rFonts w:hint="eastAsia"/>
                <w:snapToGrid w:val="0"/>
                <w:kern w:val="21"/>
              </w:rPr>
              <w:t>0</w:t>
            </w:r>
          </w:p>
        </w:tc>
        <w:tc>
          <w:tcPr>
            <w:tcW w:w="1602" w:type="dxa"/>
            <w:vAlign w:val="center"/>
          </w:tcPr>
          <w:p w14:paraId="01278F41">
            <w:pPr>
              <w:pStyle w:val="30"/>
              <w:rPr>
                <w:snapToGrid w:val="0"/>
                <w:kern w:val="21"/>
              </w:rPr>
            </w:pPr>
            <w:r>
              <w:rPr>
                <w:rFonts w:hint="eastAsia"/>
                <w:snapToGrid w:val="0"/>
                <w:kern w:val="21"/>
              </w:rPr>
              <w:t>0</w:t>
            </w:r>
          </w:p>
        </w:tc>
        <w:tc>
          <w:tcPr>
            <w:tcW w:w="1627" w:type="dxa"/>
            <w:vAlign w:val="center"/>
          </w:tcPr>
          <w:p w14:paraId="65AF709A">
            <w:pPr>
              <w:widowControl/>
              <w:jc w:val="center"/>
              <w:textAlignment w:val="center"/>
              <w:rPr>
                <w:snapToGrid w:val="0"/>
                <w:kern w:val="21"/>
              </w:rPr>
            </w:pPr>
            <w:r>
              <w:rPr>
                <w:kern w:val="0"/>
                <w:lang w:bidi="ar"/>
              </w:rPr>
              <w:t>0.05</w:t>
            </w:r>
            <w:r>
              <w:rPr>
                <w:rFonts w:hint="eastAsia"/>
                <w:snapToGrid w:val="0"/>
                <w:kern w:val="21"/>
              </w:rPr>
              <w:t>t/a</w:t>
            </w:r>
          </w:p>
        </w:tc>
        <w:tc>
          <w:tcPr>
            <w:tcW w:w="1600" w:type="dxa"/>
            <w:vAlign w:val="center"/>
          </w:tcPr>
          <w:p w14:paraId="167FA26F">
            <w:pPr>
              <w:pStyle w:val="30"/>
              <w:rPr>
                <w:snapToGrid w:val="0"/>
                <w:kern w:val="21"/>
              </w:rPr>
            </w:pPr>
            <w:r>
              <w:rPr>
                <w:rFonts w:hint="eastAsia"/>
                <w:snapToGrid w:val="0"/>
                <w:kern w:val="21"/>
              </w:rPr>
              <w:t>0</w:t>
            </w:r>
          </w:p>
        </w:tc>
        <w:tc>
          <w:tcPr>
            <w:tcW w:w="1944" w:type="dxa"/>
            <w:vAlign w:val="center"/>
          </w:tcPr>
          <w:p w14:paraId="39873D23">
            <w:pPr>
              <w:pStyle w:val="30"/>
              <w:rPr>
                <w:snapToGrid w:val="0"/>
                <w:kern w:val="21"/>
              </w:rPr>
            </w:pPr>
            <w:r>
              <w:rPr>
                <w:rFonts w:hint="eastAsia"/>
                <w:snapToGrid w:val="0"/>
                <w:kern w:val="21"/>
              </w:rPr>
              <w:t>0.05t/a</w:t>
            </w:r>
          </w:p>
        </w:tc>
        <w:tc>
          <w:tcPr>
            <w:tcW w:w="1507" w:type="dxa"/>
            <w:vAlign w:val="center"/>
          </w:tcPr>
          <w:p w14:paraId="14414621">
            <w:pPr>
              <w:widowControl/>
              <w:jc w:val="center"/>
              <w:textAlignment w:val="center"/>
              <w:rPr>
                <w:snapToGrid w:val="0"/>
                <w:kern w:val="21"/>
              </w:rPr>
            </w:pPr>
            <w:r>
              <w:rPr>
                <w:rFonts w:hint="eastAsia"/>
                <w:kern w:val="0"/>
                <w:lang w:bidi="ar"/>
              </w:rPr>
              <w:t>+</w:t>
            </w:r>
            <w:r>
              <w:rPr>
                <w:kern w:val="0"/>
                <w:lang w:bidi="ar"/>
              </w:rPr>
              <w:t>0.05</w:t>
            </w:r>
            <w:r>
              <w:rPr>
                <w:rFonts w:hint="eastAsia"/>
                <w:snapToGrid w:val="0"/>
                <w:kern w:val="21"/>
              </w:rPr>
              <w:t>t/a</w:t>
            </w:r>
          </w:p>
        </w:tc>
      </w:tr>
    </w:tbl>
    <w:p w14:paraId="603016B2">
      <w:pPr>
        <w:pStyle w:val="30"/>
        <w:spacing w:before="249" w:beforeLines="80" w:after="24"/>
        <w:jc w:val="left"/>
        <w:rPr>
          <w:snapToGrid w:val="0"/>
          <w:spacing w:val="-6"/>
          <w:kern w:val="21"/>
        </w:rPr>
      </w:pPr>
      <w:r>
        <w:rPr>
          <w:snapToGrid w:val="0"/>
          <w:kern w:val="21"/>
        </w:rPr>
        <w:t>注：</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cs="宋体"/>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cs="宋体"/>
        </w:rPr>
        <w:t>①</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rFonts w:hint="eastAsia" w:cs="宋体"/>
        </w:rPr>
        <w:t>③</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rFonts w:hint="eastAsia" w:cs="宋体"/>
        </w:rPr>
        <w:t>④</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rFonts w:hint="eastAsia" w:cs="宋体"/>
        </w:rPr>
        <w:t>⑤</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rFonts w:hint="eastAsia" w:cs="宋体"/>
        </w:rPr>
        <w:t>⑦</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cs="宋体"/>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cs="宋体"/>
        </w:rPr>
        <w:t>①</w:t>
      </w:r>
      <w:r>
        <w:rPr>
          <w:snapToGrid w:val="0"/>
          <w:spacing w:val="-6"/>
          <w:kern w:val="21"/>
        </w:rPr>
        <w:fldChar w:fldCharType="end"/>
      </w:r>
    </w:p>
    <w:p w14:paraId="0E15AA22"/>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3019E">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68A0C">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DD68A0C">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2D01B"/>
    <w:multiLevelType w:val="singleLevel"/>
    <w:tmpl w:val="9382D01B"/>
    <w:lvl w:ilvl="0" w:tentative="0">
      <w:start w:val="1"/>
      <w:numFmt w:val="decimal"/>
      <w:suff w:val="nothing"/>
      <w:lvlText w:val="（%1）"/>
      <w:lvlJc w:val="left"/>
    </w:lvl>
  </w:abstractNum>
  <w:abstractNum w:abstractNumId="1">
    <w:nsid w:val="A53869ED"/>
    <w:multiLevelType w:val="singleLevel"/>
    <w:tmpl w:val="A53869ED"/>
    <w:lvl w:ilvl="0" w:tentative="0">
      <w:start w:val="1"/>
      <w:numFmt w:val="decimal"/>
      <w:lvlText w:val="%1."/>
      <w:lvlJc w:val="left"/>
      <w:pPr>
        <w:ind w:left="425" w:hanging="425"/>
      </w:pPr>
      <w:rPr>
        <w:rFonts w:hint="default"/>
      </w:rPr>
    </w:lvl>
  </w:abstractNum>
  <w:abstractNum w:abstractNumId="2">
    <w:nsid w:val="0A6121FC"/>
    <w:multiLevelType w:val="singleLevel"/>
    <w:tmpl w:val="0A6121FC"/>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zY2E4Mzg5YmZjMzcxNGU1NzY5YmQ2NDA1YTE1MzIifQ=="/>
  </w:docVars>
  <w:rsids>
    <w:rsidRoot w:val="00172A27"/>
    <w:rsid w:val="00007ACF"/>
    <w:rsid w:val="000710C6"/>
    <w:rsid w:val="00172A27"/>
    <w:rsid w:val="001C6037"/>
    <w:rsid w:val="002410F1"/>
    <w:rsid w:val="003D114A"/>
    <w:rsid w:val="003F0161"/>
    <w:rsid w:val="00405B8A"/>
    <w:rsid w:val="004B3D42"/>
    <w:rsid w:val="00630631"/>
    <w:rsid w:val="00681EDA"/>
    <w:rsid w:val="00691731"/>
    <w:rsid w:val="007D6835"/>
    <w:rsid w:val="00874730"/>
    <w:rsid w:val="00894BE2"/>
    <w:rsid w:val="008E4828"/>
    <w:rsid w:val="00A43798"/>
    <w:rsid w:val="00A90D51"/>
    <w:rsid w:val="00BE19C1"/>
    <w:rsid w:val="00C229CA"/>
    <w:rsid w:val="00C60268"/>
    <w:rsid w:val="00CE556D"/>
    <w:rsid w:val="00DB20F7"/>
    <w:rsid w:val="00DF3BEE"/>
    <w:rsid w:val="00E26095"/>
    <w:rsid w:val="00E93336"/>
    <w:rsid w:val="00EF3797"/>
    <w:rsid w:val="00FA3E3A"/>
    <w:rsid w:val="00FC55FA"/>
    <w:rsid w:val="01052FF0"/>
    <w:rsid w:val="01056298"/>
    <w:rsid w:val="01060B1F"/>
    <w:rsid w:val="012276D6"/>
    <w:rsid w:val="01287101"/>
    <w:rsid w:val="014228EB"/>
    <w:rsid w:val="0165621E"/>
    <w:rsid w:val="0168325F"/>
    <w:rsid w:val="017641DF"/>
    <w:rsid w:val="01822573"/>
    <w:rsid w:val="018A6DE1"/>
    <w:rsid w:val="01A87C34"/>
    <w:rsid w:val="01A97EBB"/>
    <w:rsid w:val="01BB7833"/>
    <w:rsid w:val="01CE3A0A"/>
    <w:rsid w:val="01EC49EA"/>
    <w:rsid w:val="01EE7C08"/>
    <w:rsid w:val="01F20A56"/>
    <w:rsid w:val="01FD7E4B"/>
    <w:rsid w:val="02077A8A"/>
    <w:rsid w:val="021438DF"/>
    <w:rsid w:val="02395206"/>
    <w:rsid w:val="023F2212"/>
    <w:rsid w:val="028916DF"/>
    <w:rsid w:val="028A57ED"/>
    <w:rsid w:val="029136C9"/>
    <w:rsid w:val="02B071DB"/>
    <w:rsid w:val="02B16063"/>
    <w:rsid w:val="02BF390E"/>
    <w:rsid w:val="02BF7C23"/>
    <w:rsid w:val="02D634CE"/>
    <w:rsid w:val="02E90A19"/>
    <w:rsid w:val="03092820"/>
    <w:rsid w:val="03123DCA"/>
    <w:rsid w:val="031676A0"/>
    <w:rsid w:val="033122D9"/>
    <w:rsid w:val="0340314B"/>
    <w:rsid w:val="03404493"/>
    <w:rsid w:val="03593570"/>
    <w:rsid w:val="03625C7A"/>
    <w:rsid w:val="03A6529F"/>
    <w:rsid w:val="03AB787D"/>
    <w:rsid w:val="03B14C22"/>
    <w:rsid w:val="03B50FFB"/>
    <w:rsid w:val="03CD109D"/>
    <w:rsid w:val="03DF15D3"/>
    <w:rsid w:val="03E9585B"/>
    <w:rsid w:val="04055E30"/>
    <w:rsid w:val="043162AA"/>
    <w:rsid w:val="04336771"/>
    <w:rsid w:val="046643CE"/>
    <w:rsid w:val="04A40A52"/>
    <w:rsid w:val="04AC5B58"/>
    <w:rsid w:val="04B2316F"/>
    <w:rsid w:val="04B61E71"/>
    <w:rsid w:val="04DD3F64"/>
    <w:rsid w:val="05137986"/>
    <w:rsid w:val="052F2841"/>
    <w:rsid w:val="0534622F"/>
    <w:rsid w:val="054850FF"/>
    <w:rsid w:val="05654685"/>
    <w:rsid w:val="05721780"/>
    <w:rsid w:val="058F23FE"/>
    <w:rsid w:val="05916D5F"/>
    <w:rsid w:val="05934B2F"/>
    <w:rsid w:val="060F45F1"/>
    <w:rsid w:val="06175475"/>
    <w:rsid w:val="061A40F4"/>
    <w:rsid w:val="06215E18"/>
    <w:rsid w:val="06395792"/>
    <w:rsid w:val="064202F5"/>
    <w:rsid w:val="0664616D"/>
    <w:rsid w:val="06745081"/>
    <w:rsid w:val="069D69DE"/>
    <w:rsid w:val="06AD6562"/>
    <w:rsid w:val="06E272C3"/>
    <w:rsid w:val="06F3462A"/>
    <w:rsid w:val="0711773C"/>
    <w:rsid w:val="071C19C6"/>
    <w:rsid w:val="073C0CD6"/>
    <w:rsid w:val="077451F9"/>
    <w:rsid w:val="077C7F6A"/>
    <w:rsid w:val="07A1571D"/>
    <w:rsid w:val="07A52C6D"/>
    <w:rsid w:val="07A91BE8"/>
    <w:rsid w:val="07AA2AF2"/>
    <w:rsid w:val="07BA02B6"/>
    <w:rsid w:val="07BF4EA6"/>
    <w:rsid w:val="07C02605"/>
    <w:rsid w:val="07D27EA8"/>
    <w:rsid w:val="07DF4459"/>
    <w:rsid w:val="07FB7581"/>
    <w:rsid w:val="080F25EF"/>
    <w:rsid w:val="08453A4F"/>
    <w:rsid w:val="08572BB9"/>
    <w:rsid w:val="085B203D"/>
    <w:rsid w:val="087A7D24"/>
    <w:rsid w:val="08896684"/>
    <w:rsid w:val="088E3395"/>
    <w:rsid w:val="08933CC4"/>
    <w:rsid w:val="08A55595"/>
    <w:rsid w:val="08B45D66"/>
    <w:rsid w:val="08DF3D86"/>
    <w:rsid w:val="08DF474E"/>
    <w:rsid w:val="08F9649B"/>
    <w:rsid w:val="090205F3"/>
    <w:rsid w:val="094366EC"/>
    <w:rsid w:val="094A2D56"/>
    <w:rsid w:val="09502F56"/>
    <w:rsid w:val="09680E93"/>
    <w:rsid w:val="096D0E14"/>
    <w:rsid w:val="09765351"/>
    <w:rsid w:val="098135C9"/>
    <w:rsid w:val="09C1692D"/>
    <w:rsid w:val="09C36EDE"/>
    <w:rsid w:val="09C42984"/>
    <w:rsid w:val="09D27BE5"/>
    <w:rsid w:val="09E12A3C"/>
    <w:rsid w:val="09F3649C"/>
    <w:rsid w:val="09F83A84"/>
    <w:rsid w:val="0A122DE7"/>
    <w:rsid w:val="0A42584C"/>
    <w:rsid w:val="0A46583A"/>
    <w:rsid w:val="0A4B7E76"/>
    <w:rsid w:val="0A4C64D2"/>
    <w:rsid w:val="0A4C6F14"/>
    <w:rsid w:val="0A694CE4"/>
    <w:rsid w:val="0A9703E7"/>
    <w:rsid w:val="0A9A2193"/>
    <w:rsid w:val="0ABB49A2"/>
    <w:rsid w:val="0AD12D78"/>
    <w:rsid w:val="0AE21A95"/>
    <w:rsid w:val="0B2D1126"/>
    <w:rsid w:val="0B404839"/>
    <w:rsid w:val="0B5639AD"/>
    <w:rsid w:val="0B6831E5"/>
    <w:rsid w:val="0B855B1B"/>
    <w:rsid w:val="0B88768E"/>
    <w:rsid w:val="0B920249"/>
    <w:rsid w:val="0B945FF3"/>
    <w:rsid w:val="0B9C12A2"/>
    <w:rsid w:val="0B9F7FF7"/>
    <w:rsid w:val="0BA53A2D"/>
    <w:rsid w:val="0BDE7A1C"/>
    <w:rsid w:val="0BE100D9"/>
    <w:rsid w:val="0BF5738A"/>
    <w:rsid w:val="0C072B9C"/>
    <w:rsid w:val="0C1206E1"/>
    <w:rsid w:val="0C2161C3"/>
    <w:rsid w:val="0C4707FF"/>
    <w:rsid w:val="0C8A7DF1"/>
    <w:rsid w:val="0C985D86"/>
    <w:rsid w:val="0CA42502"/>
    <w:rsid w:val="0CAA290C"/>
    <w:rsid w:val="0CD67C16"/>
    <w:rsid w:val="0D015A9B"/>
    <w:rsid w:val="0D16638E"/>
    <w:rsid w:val="0D284D2F"/>
    <w:rsid w:val="0D3B603D"/>
    <w:rsid w:val="0D6556F4"/>
    <w:rsid w:val="0D757842"/>
    <w:rsid w:val="0DAD4E1B"/>
    <w:rsid w:val="0DAD66FB"/>
    <w:rsid w:val="0DD429F7"/>
    <w:rsid w:val="0DDC125D"/>
    <w:rsid w:val="0DED24F0"/>
    <w:rsid w:val="0DEE4240"/>
    <w:rsid w:val="0E033729"/>
    <w:rsid w:val="0E071E8B"/>
    <w:rsid w:val="0E0D7668"/>
    <w:rsid w:val="0E146855"/>
    <w:rsid w:val="0E2126D9"/>
    <w:rsid w:val="0E283FB3"/>
    <w:rsid w:val="0E2B75C9"/>
    <w:rsid w:val="0E36335D"/>
    <w:rsid w:val="0E3A0F99"/>
    <w:rsid w:val="0E3C3018"/>
    <w:rsid w:val="0E43752E"/>
    <w:rsid w:val="0E553C2E"/>
    <w:rsid w:val="0E6C50EA"/>
    <w:rsid w:val="0E83660A"/>
    <w:rsid w:val="0E9B56BB"/>
    <w:rsid w:val="0EAF0D19"/>
    <w:rsid w:val="0F0E3698"/>
    <w:rsid w:val="0F0F7410"/>
    <w:rsid w:val="0F1121FC"/>
    <w:rsid w:val="0F12129A"/>
    <w:rsid w:val="0F6A1C33"/>
    <w:rsid w:val="0F736CB4"/>
    <w:rsid w:val="0F7C000D"/>
    <w:rsid w:val="0F873B4A"/>
    <w:rsid w:val="0F9C5147"/>
    <w:rsid w:val="0FA61347"/>
    <w:rsid w:val="0FC0634A"/>
    <w:rsid w:val="0FD75BE1"/>
    <w:rsid w:val="0FD93D71"/>
    <w:rsid w:val="0FD956AC"/>
    <w:rsid w:val="1028597F"/>
    <w:rsid w:val="10335ED3"/>
    <w:rsid w:val="105242B4"/>
    <w:rsid w:val="10765998"/>
    <w:rsid w:val="107D7D1E"/>
    <w:rsid w:val="10876659"/>
    <w:rsid w:val="108856CC"/>
    <w:rsid w:val="10A34B4B"/>
    <w:rsid w:val="10AD283F"/>
    <w:rsid w:val="10B65B14"/>
    <w:rsid w:val="10B72500"/>
    <w:rsid w:val="10BB15FD"/>
    <w:rsid w:val="10C4382B"/>
    <w:rsid w:val="10D821AF"/>
    <w:rsid w:val="10F1501F"/>
    <w:rsid w:val="10FD4954"/>
    <w:rsid w:val="110B1594"/>
    <w:rsid w:val="11232D90"/>
    <w:rsid w:val="112C7DF0"/>
    <w:rsid w:val="11685F36"/>
    <w:rsid w:val="1168783A"/>
    <w:rsid w:val="117A7B61"/>
    <w:rsid w:val="117D4B05"/>
    <w:rsid w:val="11AF325F"/>
    <w:rsid w:val="11E905CC"/>
    <w:rsid w:val="11EE625F"/>
    <w:rsid w:val="11F12DFD"/>
    <w:rsid w:val="11FE03C4"/>
    <w:rsid w:val="120C04A0"/>
    <w:rsid w:val="1212349F"/>
    <w:rsid w:val="1216504A"/>
    <w:rsid w:val="123B0EF5"/>
    <w:rsid w:val="12446943"/>
    <w:rsid w:val="12633048"/>
    <w:rsid w:val="12666FD3"/>
    <w:rsid w:val="12837BF7"/>
    <w:rsid w:val="128B6A65"/>
    <w:rsid w:val="128D03E2"/>
    <w:rsid w:val="129675E6"/>
    <w:rsid w:val="12B32B77"/>
    <w:rsid w:val="12BC6158"/>
    <w:rsid w:val="12C55D71"/>
    <w:rsid w:val="12C94CFF"/>
    <w:rsid w:val="130442A1"/>
    <w:rsid w:val="131436AB"/>
    <w:rsid w:val="131667A9"/>
    <w:rsid w:val="131A6A04"/>
    <w:rsid w:val="13514306"/>
    <w:rsid w:val="135A366C"/>
    <w:rsid w:val="136234C0"/>
    <w:rsid w:val="13765D8D"/>
    <w:rsid w:val="13824D44"/>
    <w:rsid w:val="13B2334D"/>
    <w:rsid w:val="13E112C4"/>
    <w:rsid w:val="13E63122"/>
    <w:rsid w:val="14464D13"/>
    <w:rsid w:val="147232CA"/>
    <w:rsid w:val="1482775B"/>
    <w:rsid w:val="14835F2F"/>
    <w:rsid w:val="148D505F"/>
    <w:rsid w:val="149E0C60"/>
    <w:rsid w:val="14A44051"/>
    <w:rsid w:val="14AD3953"/>
    <w:rsid w:val="14B17671"/>
    <w:rsid w:val="14B52807"/>
    <w:rsid w:val="14D902A4"/>
    <w:rsid w:val="14ED768B"/>
    <w:rsid w:val="154170B6"/>
    <w:rsid w:val="15455A37"/>
    <w:rsid w:val="15485AF9"/>
    <w:rsid w:val="155614CC"/>
    <w:rsid w:val="15653784"/>
    <w:rsid w:val="159936A2"/>
    <w:rsid w:val="15A77BD3"/>
    <w:rsid w:val="15A87E7A"/>
    <w:rsid w:val="15AC7766"/>
    <w:rsid w:val="15E40888"/>
    <w:rsid w:val="15FD7FC2"/>
    <w:rsid w:val="1609105D"/>
    <w:rsid w:val="16591300"/>
    <w:rsid w:val="165C22F1"/>
    <w:rsid w:val="16726C02"/>
    <w:rsid w:val="16824929"/>
    <w:rsid w:val="16846935"/>
    <w:rsid w:val="16B04812"/>
    <w:rsid w:val="16B41B7E"/>
    <w:rsid w:val="16C66C22"/>
    <w:rsid w:val="16CF7BB0"/>
    <w:rsid w:val="16E61420"/>
    <w:rsid w:val="16F93033"/>
    <w:rsid w:val="16FE7FF8"/>
    <w:rsid w:val="170F26A3"/>
    <w:rsid w:val="1715758D"/>
    <w:rsid w:val="17315F09"/>
    <w:rsid w:val="176D19A9"/>
    <w:rsid w:val="1793051A"/>
    <w:rsid w:val="179A69BC"/>
    <w:rsid w:val="17B51F36"/>
    <w:rsid w:val="17C36FE9"/>
    <w:rsid w:val="17DA1E3E"/>
    <w:rsid w:val="17F66765"/>
    <w:rsid w:val="17F82287"/>
    <w:rsid w:val="182F10F1"/>
    <w:rsid w:val="18322D77"/>
    <w:rsid w:val="18425A6B"/>
    <w:rsid w:val="1850414F"/>
    <w:rsid w:val="1858007C"/>
    <w:rsid w:val="18746A55"/>
    <w:rsid w:val="187C3D68"/>
    <w:rsid w:val="18A24C56"/>
    <w:rsid w:val="18EA7EE8"/>
    <w:rsid w:val="190D2C12"/>
    <w:rsid w:val="191D7DDA"/>
    <w:rsid w:val="194A29AB"/>
    <w:rsid w:val="195C5947"/>
    <w:rsid w:val="198D5B01"/>
    <w:rsid w:val="19916259"/>
    <w:rsid w:val="19A6486F"/>
    <w:rsid w:val="19B32973"/>
    <w:rsid w:val="19C07C84"/>
    <w:rsid w:val="19C25022"/>
    <w:rsid w:val="19CB729B"/>
    <w:rsid w:val="19E66603"/>
    <w:rsid w:val="19EF6C30"/>
    <w:rsid w:val="19FB6F0F"/>
    <w:rsid w:val="1A140467"/>
    <w:rsid w:val="1A1F0E4F"/>
    <w:rsid w:val="1A3F55D3"/>
    <w:rsid w:val="1A516B2E"/>
    <w:rsid w:val="1A622AE9"/>
    <w:rsid w:val="1A686421"/>
    <w:rsid w:val="1A6D7AA3"/>
    <w:rsid w:val="1A9C02DE"/>
    <w:rsid w:val="1ABD6907"/>
    <w:rsid w:val="1ADA4D76"/>
    <w:rsid w:val="1AE931D7"/>
    <w:rsid w:val="1B001394"/>
    <w:rsid w:val="1B2028BA"/>
    <w:rsid w:val="1B3274A2"/>
    <w:rsid w:val="1B4D1049"/>
    <w:rsid w:val="1B7A20B5"/>
    <w:rsid w:val="1B7E7CEF"/>
    <w:rsid w:val="1B9A4612"/>
    <w:rsid w:val="1BA40AAC"/>
    <w:rsid w:val="1BA64C58"/>
    <w:rsid w:val="1BA65613"/>
    <w:rsid w:val="1BAE6CB4"/>
    <w:rsid w:val="1BB43819"/>
    <w:rsid w:val="1BD17F21"/>
    <w:rsid w:val="1BE0460E"/>
    <w:rsid w:val="1BE614F8"/>
    <w:rsid w:val="1C0C71B1"/>
    <w:rsid w:val="1C161ABB"/>
    <w:rsid w:val="1C24124A"/>
    <w:rsid w:val="1C2420E9"/>
    <w:rsid w:val="1C297828"/>
    <w:rsid w:val="1C387FA6"/>
    <w:rsid w:val="1C5D515C"/>
    <w:rsid w:val="1C715266"/>
    <w:rsid w:val="1C747E42"/>
    <w:rsid w:val="1C7D00AF"/>
    <w:rsid w:val="1CB24499"/>
    <w:rsid w:val="1CD04565"/>
    <w:rsid w:val="1CDF025A"/>
    <w:rsid w:val="1CF2328E"/>
    <w:rsid w:val="1CF705F2"/>
    <w:rsid w:val="1D3441F3"/>
    <w:rsid w:val="1D44260C"/>
    <w:rsid w:val="1D445EF1"/>
    <w:rsid w:val="1D540512"/>
    <w:rsid w:val="1D731B1F"/>
    <w:rsid w:val="1D8D2573"/>
    <w:rsid w:val="1D951428"/>
    <w:rsid w:val="1DA3402A"/>
    <w:rsid w:val="1DD43CFE"/>
    <w:rsid w:val="1DDF7C04"/>
    <w:rsid w:val="1E0A7720"/>
    <w:rsid w:val="1E170E52"/>
    <w:rsid w:val="1E1F5D96"/>
    <w:rsid w:val="1E3E4C49"/>
    <w:rsid w:val="1E4E40FB"/>
    <w:rsid w:val="1E4F15EF"/>
    <w:rsid w:val="1E53513E"/>
    <w:rsid w:val="1E706DB3"/>
    <w:rsid w:val="1E7B061E"/>
    <w:rsid w:val="1EA96F39"/>
    <w:rsid w:val="1ED1023E"/>
    <w:rsid w:val="1ED33FB6"/>
    <w:rsid w:val="1EDC72CF"/>
    <w:rsid w:val="1EDC742B"/>
    <w:rsid w:val="1EE2244B"/>
    <w:rsid w:val="1EE30362"/>
    <w:rsid w:val="1EEB7FC7"/>
    <w:rsid w:val="1F0C50AF"/>
    <w:rsid w:val="1F0E4C53"/>
    <w:rsid w:val="1F310FDE"/>
    <w:rsid w:val="1F3B76DF"/>
    <w:rsid w:val="1F462BBD"/>
    <w:rsid w:val="1F5F584A"/>
    <w:rsid w:val="1FA22B72"/>
    <w:rsid w:val="1FA6737F"/>
    <w:rsid w:val="20125624"/>
    <w:rsid w:val="203902BE"/>
    <w:rsid w:val="203C4E63"/>
    <w:rsid w:val="20482300"/>
    <w:rsid w:val="20592BE1"/>
    <w:rsid w:val="205E04E8"/>
    <w:rsid w:val="20781E39"/>
    <w:rsid w:val="20BD68C3"/>
    <w:rsid w:val="20C53DD2"/>
    <w:rsid w:val="20E02398"/>
    <w:rsid w:val="21121FF2"/>
    <w:rsid w:val="21126DA5"/>
    <w:rsid w:val="217A2E0F"/>
    <w:rsid w:val="21811739"/>
    <w:rsid w:val="218518AB"/>
    <w:rsid w:val="21C10E49"/>
    <w:rsid w:val="21D7200F"/>
    <w:rsid w:val="21E23628"/>
    <w:rsid w:val="21EB7268"/>
    <w:rsid w:val="21EF0664"/>
    <w:rsid w:val="21F029E2"/>
    <w:rsid w:val="21F20BF7"/>
    <w:rsid w:val="21FD363C"/>
    <w:rsid w:val="220804A8"/>
    <w:rsid w:val="22320182"/>
    <w:rsid w:val="22344675"/>
    <w:rsid w:val="226B2757"/>
    <w:rsid w:val="22752583"/>
    <w:rsid w:val="22880EA5"/>
    <w:rsid w:val="229E6DD2"/>
    <w:rsid w:val="229F5B76"/>
    <w:rsid w:val="22A73024"/>
    <w:rsid w:val="22BB3B10"/>
    <w:rsid w:val="22BF62A8"/>
    <w:rsid w:val="22EF5FC4"/>
    <w:rsid w:val="22F1429A"/>
    <w:rsid w:val="22F47EEF"/>
    <w:rsid w:val="22F84BB9"/>
    <w:rsid w:val="22F9034B"/>
    <w:rsid w:val="22F94CF9"/>
    <w:rsid w:val="231A58DC"/>
    <w:rsid w:val="232E010A"/>
    <w:rsid w:val="23303358"/>
    <w:rsid w:val="23513EED"/>
    <w:rsid w:val="238426C7"/>
    <w:rsid w:val="23DD283E"/>
    <w:rsid w:val="23DE6D1A"/>
    <w:rsid w:val="241B3072"/>
    <w:rsid w:val="24213093"/>
    <w:rsid w:val="244D663D"/>
    <w:rsid w:val="245B2DEE"/>
    <w:rsid w:val="247022A7"/>
    <w:rsid w:val="24771F35"/>
    <w:rsid w:val="247A6993"/>
    <w:rsid w:val="247D71A7"/>
    <w:rsid w:val="24A96B1D"/>
    <w:rsid w:val="24B13BAC"/>
    <w:rsid w:val="24B403E6"/>
    <w:rsid w:val="24C2566F"/>
    <w:rsid w:val="24C40D93"/>
    <w:rsid w:val="24D64800"/>
    <w:rsid w:val="24E47ADD"/>
    <w:rsid w:val="24E744EC"/>
    <w:rsid w:val="25052E0F"/>
    <w:rsid w:val="25281DE7"/>
    <w:rsid w:val="25543D35"/>
    <w:rsid w:val="2557194F"/>
    <w:rsid w:val="255B26F6"/>
    <w:rsid w:val="255F0F03"/>
    <w:rsid w:val="2584618A"/>
    <w:rsid w:val="258E7ACA"/>
    <w:rsid w:val="259C009E"/>
    <w:rsid w:val="259D1937"/>
    <w:rsid w:val="25EE6204"/>
    <w:rsid w:val="25F211C5"/>
    <w:rsid w:val="25F81110"/>
    <w:rsid w:val="260B4207"/>
    <w:rsid w:val="26307C7A"/>
    <w:rsid w:val="26377520"/>
    <w:rsid w:val="265949C5"/>
    <w:rsid w:val="26951178"/>
    <w:rsid w:val="26A55390"/>
    <w:rsid w:val="26A64D3D"/>
    <w:rsid w:val="26AE7280"/>
    <w:rsid w:val="26D64957"/>
    <w:rsid w:val="26F11533"/>
    <w:rsid w:val="26F37C34"/>
    <w:rsid w:val="26FB62CD"/>
    <w:rsid w:val="27075F11"/>
    <w:rsid w:val="27286E69"/>
    <w:rsid w:val="276A6719"/>
    <w:rsid w:val="277D6AE1"/>
    <w:rsid w:val="27E92A9C"/>
    <w:rsid w:val="27ED7391"/>
    <w:rsid w:val="27FA3BC2"/>
    <w:rsid w:val="28184F95"/>
    <w:rsid w:val="28194D89"/>
    <w:rsid w:val="28214BB3"/>
    <w:rsid w:val="283E5ACA"/>
    <w:rsid w:val="2847172A"/>
    <w:rsid w:val="2849353B"/>
    <w:rsid w:val="28612632"/>
    <w:rsid w:val="28706D19"/>
    <w:rsid w:val="2878467C"/>
    <w:rsid w:val="288B3B53"/>
    <w:rsid w:val="289538E0"/>
    <w:rsid w:val="28AC590D"/>
    <w:rsid w:val="28C80903"/>
    <w:rsid w:val="28EB1F3C"/>
    <w:rsid w:val="290D59A2"/>
    <w:rsid w:val="29297FAE"/>
    <w:rsid w:val="292A0397"/>
    <w:rsid w:val="29312DCB"/>
    <w:rsid w:val="293E0BC6"/>
    <w:rsid w:val="293F5DBB"/>
    <w:rsid w:val="2940436B"/>
    <w:rsid w:val="29580844"/>
    <w:rsid w:val="295E68FF"/>
    <w:rsid w:val="297168F1"/>
    <w:rsid w:val="299C31FE"/>
    <w:rsid w:val="29A02166"/>
    <w:rsid w:val="29A8408B"/>
    <w:rsid w:val="29BD4E21"/>
    <w:rsid w:val="29C015DB"/>
    <w:rsid w:val="29D81A29"/>
    <w:rsid w:val="29DF5F05"/>
    <w:rsid w:val="29F66E3C"/>
    <w:rsid w:val="29FF2434"/>
    <w:rsid w:val="2A036979"/>
    <w:rsid w:val="2A225374"/>
    <w:rsid w:val="2A335BEB"/>
    <w:rsid w:val="2A353D77"/>
    <w:rsid w:val="2A37595F"/>
    <w:rsid w:val="2A396C59"/>
    <w:rsid w:val="2A41271B"/>
    <w:rsid w:val="2A4346E5"/>
    <w:rsid w:val="2A58589C"/>
    <w:rsid w:val="2A915435"/>
    <w:rsid w:val="2A937209"/>
    <w:rsid w:val="2AAB16C0"/>
    <w:rsid w:val="2AAE58D7"/>
    <w:rsid w:val="2ABF4948"/>
    <w:rsid w:val="2AC670C5"/>
    <w:rsid w:val="2AE337D3"/>
    <w:rsid w:val="2AE80DE9"/>
    <w:rsid w:val="2B261911"/>
    <w:rsid w:val="2B2D3A0D"/>
    <w:rsid w:val="2B2E3E69"/>
    <w:rsid w:val="2B34219F"/>
    <w:rsid w:val="2B582053"/>
    <w:rsid w:val="2B5B54D5"/>
    <w:rsid w:val="2B614F7D"/>
    <w:rsid w:val="2B7B4C02"/>
    <w:rsid w:val="2B964CE9"/>
    <w:rsid w:val="2B9B296C"/>
    <w:rsid w:val="2B9C3BC7"/>
    <w:rsid w:val="2B9C5E84"/>
    <w:rsid w:val="2BA016C4"/>
    <w:rsid w:val="2BAE6981"/>
    <w:rsid w:val="2BBD7444"/>
    <w:rsid w:val="2BDD303C"/>
    <w:rsid w:val="2BF26637"/>
    <w:rsid w:val="2C040A80"/>
    <w:rsid w:val="2C0568AE"/>
    <w:rsid w:val="2C271FF6"/>
    <w:rsid w:val="2C277145"/>
    <w:rsid w:val="2C2A1E20"/>
    <w:rsid w:val="2C5A1105"/>
    <w:rsid w:val="2C5D6F47"/>
    <w:rsid w:val="2C810784"/>
    <w:rsid w:val="2C895305"/>
    <w:rsid w:val="2CA02613"/>
    <w:rsid w:val="2CC2315E"/>
    <w:rsid w:val="2CC91B3B"/>
    <w:rsid w:val="2CCE0A73"/>
    <w:rsid w:val="2CD25500"/>
    <w:rsid w:val="2CE31C71"/>
    <w:rsid w:val="2D0465C5"/>
    <w:rsid w:val="2D054903"/>
    <w:rsid w:val="2D0B0DBF"/>
    <w:rsid w:val="2D19172E"/>
    <w:rsid w:val="2D527BCC"/>
    <w:rsid w:val="2D667EA8"/>
    <w:rsid w:val="2D855015"/>
    <w:rsid w:val="2D8B36B2"/>
    <w:rsid w:val="2D996375"/>
    <w:rsid w:val="2D9E2EE5"/>
    <w:rsid w:val="2DA261DD"/>
    <w:rsid w:val="2DAC1DFB"/>
    <w:rsid w:val="2DF01A0C"/>
    <w:rsid w:val="2DF16018"/>
    <w:rsid w:val="2DFB04A0"/>
    <w:rsid w:val="2DFD41CF"/>
    <w:rsid w:val="2E0A3A43"/>
    <w:rsid w:val="2E114AFB"/>
    <w:rsid w:val="2E2608BA"/>
    <w:rsid w:val="2E2E17B0"/>
    <w:rsid w:val="2E364AA6"/>
    <w:rsid w:val="2E426DE3"/>
    <w:rsid w:val="2E76495E"/>
    <w:rsid w:val="2E8A5886"/>
    <w:rsid w:val="2E8B665B"/>
    <w:rsid w:val="2E954D0E"/>
    <w:rsid w:val="2ECA5886"/>
    <w:rsid w:val="2EE3501E"/>
    <w:rsid w:val="2EFE3E42"/>
    <w:rsid w:val="2F0F0A9F"/>
    <w:rsid w:val="2F122C10"/>
    <w:rsid w:val="2F285C58"/>
    <w:rsid w:val="2F2D26FC"/>
    <w:rsid w:val="2F3D4B94"/>
    <w:rsid w:val="2F5702B4"/>
    <w:rsid w:val="2F920605"/>
    <w:rsid w:val="2FC105A1"/>
    <w:rsid w:val="2FC878A4"/>
    <w:rsid w:val="2FEA56D4"/>
    <w:rsid w:val="2FF739E0"/>
    <w:rsid w:val="30330DD3"/>
    <w:rsid w:val="307355F9"/>
    <w:rsid w:val="307F5033"/>
    <w:rsid w:val="308570DA"/>
    <w:rsid w:val="308B7105"/>
    <w:rsid w:val="30D24913"/>
    <w:rsid w:val="30DE53B6"/>
    <w:rsid w:val="30EE446C"/>
    <w:rsid w:val="31182129"/>
    <w:rsid w:val="311F752F"/>
    <w:rsid w:val="31256885"/>
    <w:rsid w:val="31302F30"/>
    <w:rsid w:val="313C4BC4"/>
    <w:rsid w:val="31A83080"/>
    <w:rsid w:val="31AC4FBA"/>
    <w:rsid w:val="31BF24C9"/>
    <w:rsid w:val="31E56082"/>
    <w:rsid w:val="31E75151"/>
    <w:rsid w:val="32011228"/>
    <w:rsid w:val="32012140"/>
    <w:rsid w:val="321B5F48"/>
    <w:rsid w:val="321C7D61"/>
    <w:rsid w:val="32221055"/>
    <w:rsid w:val="324A2389"/>
    <w:rsid w:val="327216E3"/>
    <w:rsid w:val="327626B1"/>
    <w:rsid w:val="327E2EBD"/>
    <w:rsid w:val="32805DAB"/>
    <w:rsid w:val="328B6984"/>
    <w:rsid w:val="32B529F8"/>
    <w:rsid w:val="32C30015"/>
    <w:rsid w:val="32D63637"/>
    <w:rsid w:val="32ED2288"/>
    <w:rsid w:val="32F347CF"/>
    <w:rsid w:val="32F36F59"/>
    <w:rsid w:val="33265EB1"/>
    <w:rsid w:val="333F5C66"/>
    <w:rsid w:val="33404A5B"/>
    <w:rsid w:val="334528CA"/>
    <w:rsid w:val="334D2131"/>
    <w:rsid w:val="335260A3"/>
    <w:rsid w:val="335614CF"/>
    <w:rsid w:val="3356516E"/>
    <w:rsid w:val="33592C3F"/>
    <w:rsid w:val="335D0B51"/>
    <w:rsid w:val="33877982"/>
    <w:rsid w:val="33AA3C11"/>
    <w:rsid w:val="33E4723E"/>
    <w:rsid w:val="33E65B1A"/>
    <w:rsid w:val="34202A3C"/>
    <w:rsid w:val="343273CD"/>
    <w:rsid w:val="34341731"/>
    <w:rsid w:val="34692F9B"/>
    <w:rsid w:val="34750972"/>
    <w:rsid w:val="34807019"/>
    <w:rsid w:val="348379F8"/>
    <w:rsid w:val="348C429C"/>
    <w:rsid w:val="348F0527"/>
    <w:rsid w:val="349F233E"/>
    <w:rsid w:val="34A252DA"/>
    <w:rsid w:val="34C30EA0"/>
    <w:rsid w:val="34C44C99"/>
    <w:rsid w:val="34CC4988"/>
    <w:rsid w:val="34ED5805"/>
    <w:rsid w:val="34F8431E"/>
    <w:rsid w:val="34FD2319"/>
    <w:rsid w:val="350A4A92"/>
    <w:rsid w:val="35375ED8"/>
    <w:rsid w:val="35470E02"/>
    <w:rsid w:val="354A3431"/>
    <w:rsid w:val="35785F22"/>
    <w:rsid w:val="35816CA5"/>
    <w:rsid w:val="358856A2"/>
    <w:rsid w:val="35901AB7"/>
    <w:rsid w:val="35A3072E"/>
    <w:rsid w:val="35C90566"/>
    <w:rsid w:val="35CB6416"/>
    <w:rsid w:val="35EA38E5"/>
    <w:rsid w:val="35F23AD2"/>
    <w:rsid w:val="36154BBE"/>
    <w:rsid w:val="36176A26"/>
    <w:rsid w:val="362416AD"/>
    <w:rsid w:val="36297652"/>
    <w:rsid w:val="363E7F03"/>
    <w:rsid w:val="36407D2B"/>
    <w:rsid w:val="3644167F"/>
    <w:rsid w:val="364C0B4A"/>
    <w:rsid w:val="36670355"/>
    <w:rsid w:val="3676199F"/>
    <w:rsid w:val="367E6AA5"/>
    <w:rsid w:val="368362E0"/>
    <w:rsid w:val="368A544A"/>
    <w:rsid w:val="36D32EE9"/>
    <w:rsid w:val="36DF55CD"/>
    <w:rsid w:val="36F81BFD"/>
    <w:rsid w:val="373F6695"/>
    <w:rsid w:val="374134DA"/>
    <w:rsid w:val="37475721"/>
    <w:rsid w:val="3748158D"/>
    <w:rsid w:val="37566810"/>
    <w:rsid w:val="37715970"/>
    <w:rsid w:val="378022C0"/>
    <w:rsid w:val="37840664"/>
    <w:rsid w:val="37840E40"/>
    <w:rsid w:val="37B27395"/>
    <w:rsid w:val="37C50CCC"/>
    <w:rsid w:val="37DD231E"/>
    <w:rsid w:val="37E52760"/>
    <w:rsid w:val="37E820AD"/>
    <w:rsid w:val="37F65A4B"/>
    <w:rsid w:val="38060621"/>
    <w:rsid w:val="38080D1C"/>
    <w:rsid w:val="3853215B"/>
    <w:rsid w:val="385505E5"/>
    <w:rsid w:val="38701C5D"/>
    <w:rsid w:val="387542AF"/>
    <w:rsid w:val="388008B3"/>
    <w:rsid w:val="388C65B4"/>
    <w:rsid w:val="3893559E"/>
    <w:rsid w:val="38B90269"/>
    <w:rsid w:val="38EC7CF6"/>
    <w:rsid w:val="38F302DE"/>
    <w:rsid w:val="38FB618B"/>
    <w:rsid w:val="38FD6DCA"/>
    <w:rsid w:val="39142FB1"/>
    <w:rsid w:val="39423DBA"/>
    <w:rsid w:val="394F7C70"/>
    <w:rsid w:val="39620592"/>
    <w:rsid w:val="396228D8"/>
    <w:rsid w:val="396E2E01"/>
    <w:rsid w:val="39945689"/>
    <w:rsid w:val="399834E3"/>
    <w:rsid w:val="39A13205"/>
    <w:rsid w:val="39A84565"/>
    <w:rsid w:val="39AA41B7"/>
    <w:rsid w:val="39AA42D6"/>
    <w:rsid w:val="39BF7586"/>
    <w:rsid w:val="39C36698"/>
    <w:rsid w:val="39CA51D3"/>
    <w:rsid w:val="39ED08CF"/>
    <w:rsid w:val="39F07CBA"/>
    <w:rsid w:val="39F63B7A"/>
    <w:rsid w:val="3A0D63F8"/>
    <w:rsid w:val="3A3C2633"/>
    <w:rsid w:val="3A3E252A"/>
    <w:rsid w:val="3A543DA5"/>
    <w:rsid w:val="3A661D2A"/>
    <w:rsid w:val="3A6B5D97"/>
    <w:rsid w:val="3AAA34E9"/>
    <w:rsid w:val="3AB23513"/>
    <w:rsid w:val="3AB761C2"/>
    <w:rsid w:val="3AFF5582"/>
    <w:rsid w:val="3B236AE5"/>
    <w:rsid w:val="3B455DE4"/>
    <w:rsid w:val="3B576C6C"/>
    <w:rsid w:val="3B62551E"/>
    <w:rsid w:val="3B716D99"/>
    <w:rsid w:val="3B941E92"/>
    <w:rsid w:val="3B9A6B59"/>
    <w:rsid w:val="3BA12030"/>
    <w:rsid w:val="3BA725FA"/>
    <w:rsid w:val="3BA83C9F"/>
    <w:rsid w:val="3BB72A36"/>
    <w:rsid w:val="3BC15248"/>
    <w:rsid w:val="3BC44241"/>
    <w:rsid w:val="3BCE4BBE"/>
    <w:rsid w:val="3BCF6BF1"/>
    <w:rsid w:val="3C10220A"/>
    <w:rsid w:val="3C131855"/>
    <w:rsid w:val="3C1732DC"/>
    <w:rsid w:val="3C3D2D6B"/>
    <w:rsid w:val="3C432DB6"/>
    <w:rsid w:val="3C44649B"/>
    <w:rsid w:val="3C5E6B93"/>
    <w:rsid w:val="3C94187F"/>
    <w:rsid w:val="3CBB29B3"/>
    <w:rsid w:val="3CC023A6"/>
    <w:rsid w:val="3CDC6043"/>
    <w:rsid w:val="3CFB49AC"/>
    <w:rsid w:val="3D3E0D3C"/>
    <w:rsid w:val="3D3F560A"/>
    <w:rsid w:val="3D43648E"/>
    <w:rsid w:val="3D443931"/>
    <w:rsid w:val="3D6764E5"/>
    <w:rsid w:val="3D9406C6"/>
    <w:rsid w:val="3D953137"/>
    <w:rsid w:val="3DA41E2F"/>
    <w:rsid w:val="3DC267B0"/>
    <w:rsid w:val="3DDF7E2A"/>
    <w:rsid w:val="3E032ABD"/>
    <w:rsid w:val="3E047890"/>
    <w:rsid w:val="3E0B0FA8"/>
    <w:rsid w:val="3E0D29C8"/>
    <w:rsid w:val="3E0E7D66"/>
    <w:rsid w:val="3E22782A"/>
    <w:rsid w:val="3E255611"/>
    <w:rsid w:val="3E43040A"/>
    <w:rsid w:val="3E9230EE"/>
    <w:rsid w:val="3E943212"/>
    <w:rsid w:val="3E9A1FA2"/>
    <w:rsid w:val="3E9E1A93"/>
    <w:rsid w:val="3E9F1D36"/>
    <w:rsid w:val="3EBC5573"/>
    <w:rsid w:val="3EE55913"/>
    <w:rsid w:val="3EEB0DB4"/>
    <w:rsid w:val="3EEC1F3C"/>
    <w:rsid w:val="3EEC6CA2"/>
    <w:rsid w:val="3EF814B4"/>
    <w:rsid w:val="3F1A2BCD"/>
    <w:rsid w:val="3F3F0626"/>
    <w:rsid w:val="3F6761C2"/>
    <w:rsid w:val="3F6B33EE"/>
    <w:rsid w:val="3F9619DE"/>
    <w:rsid w:val="3FA75717"/>
    <w:rsid w:val="3FB67737"/>
    <w:rsid w:val="3FBF4E9D"/>
    <w:rsid w:val="3FD10967"/>
    <w:rsid w:val="3FD555D0"/>
    <w:rsid w:val="3FDD7B1B"/>
    <w:rsid w:val="3FFD27EA"/>
    <w:rsid w:val="4012098A"/>
    <w:rsid w:val="40170C70"/>
    <w:rsid w:val="401A15ED"/>
    <w:rsid w:val="401F3597"/>
    <w:rsid w:val="402C74CE"/>
    <w:rsid w:val="40362758"/>
    <w:rsid w:val="4037219F"/>
    <w:rsid w:val="40384937"/>
    <w:rsid w:val="404D4C9A"/>
    <w:rsid w:val="40520D87"/>
    <w:rsid w:val="40760B19"/>
    <w:rsid w:val="408E3D49"/>
    <w:rsid w:val="40A415D2"/>
    <w:rsid w:val="410615E7"/>
    <w:rsid w:val="41124699"/>
    <w:rsid w:val="41225622"/>
    <w:rsid w:val="412E2DD3"/>
    <w:rsid w:val="41366AE1"/>
    <w:rsid w:val="413F4FF5"/>
    <w:rsid w:val="41425723"/>
    <w:rsid w:val="414A70EA"/>
    <w:rsid w:val="41556C22"/>
    <w:rsid w:val="416F161A"/>
    <w:rsid w:val="417B3F50"/>
    <w:rsid w:val="41886A2A"/>
    <w:rsid w:val="41947FB3"/>
    <w:rsid w:val="419B3797"/>
    <w:rsid w:val="41C44063"/>
    <w:rsid w:val="41DE284D"/>
    <w:rsid w:val="41F97734"/>
    <w:rsid w:val="41FB36A0"/>
    <w:rsid w:val="42025DE2"/>
    <w:rsid w:val="42291FBB"/>
    <w:rsid w:val="423E334E"/>
    <w:rsid w:val="423F17DF"/>
    <w:rsid w:val="42400097"/>
    <w:rsid w:val="428C50F8"/>
    <w:rsid w:val="429247FF"/>
    <w:rsid w:val="429A4C67"/>
    <w:rsid w:val="42B45012"/>
    <w:rsid w:val="42C70D59"/>
    <w:rsid w:val="42CD2946"/>
    <w:rsid w:val="42DF08CC"/>
    <w:rsid w:val="43176673"/>
    <w:rsid w:val="43251F69"/>
    <w:rsid w:val="43370708"/>
    <w:rsid w:val="43444D4D"/>
    <w:rsid w:val="43715C63"/>
    <w:rsid w:val="439A3218"/>
    <w:rsid w:val="43A368C1"/>
    <w:rsid w:val="43B65AD0"/>
    <w:rsid w:val="43D17831"/>
    <w:rsid w:val="43DC4293"/>
    <w:rsid w:val="43DE0D30"/>
    <w:rsid w:val="43DF3EBA"/>
    <w:rsid w:val="44056110"/>
    <w:rsid w:val="440A4F55"/>
    <w:rsid w:val="44114AB5"/>
    <w:rsid w:val="441D4202"/>
    <w:rsid w:val="44236FA5"/>
    <w:rsid w:val="44352FC8"/>
    <w:rsid w:val="444B65C3"/>
    <w:rsid w:val="449F6696"/>
    <w:rsid w:val="44D37CF1"/>
    <w:rsid w:val="45266276"/>
    <w:rsid w:val="453F3065"/>
    <w:rsid w:val="454315E6"/>
    <w:rsid w:val="454D06BF"/>
    <w:rsid w:val="454D076B"/>
    <w:rsid w:val="458D0AB3"/>
    <w:rsid w:val="459453A0"/>
    <w:rsid w:val="45946113"/>
    <w:rsid w:val="45C24641"/>
    <w:rsid w:val="45C56D29"/>
    <w:rsid w:val="45CB478E"/>
    <w:rsid w:val="45D54C7C"/>
    <w:rsid w:val="45DD6E08"/>
    <w:rsid w:val="45EE4868"/>
    <w:rsid w:val="45F50C66"/>
    <w:rsid w:val="46046CE7"/>
    <w:rsid w:val="460A0228"/>
    <w:rsid w:val="460D2420"/>
    <w:rsid w:val="462F1A6E"/>
    <w:rsid w:val="46331996"/>
    <w:rsid w:val="464260A5"/>
    <w:rsid w:val="4648249F"/>
    <w:rsid w:val="464B426C"/>
    <w:rsid w:val="465E2A06"/>
    <w:rsid w:val="46724741"/>
    <w:rsid w:val="46862B6D"/>
    <w:rsid w:val="468F56AB"/>
    <w:rsid w:val="469C2B5F"/>
    <w:rsid w:val="46A52667"/>
    <w:rsid w:val="46AB2654"/>
    <w:rsid w:val="46D0054F"/>
    <w:rsid w:val="46D00713"/>
    <w:rsid w:val="46DC2AE6"/>
    <w:rsid w:val="46FB5084"/>
    <w:rsid w:val="4708107D"/>
    <w:rsid w:val="470C32B1"/>
    <w:rsid w:val="47273729"/>
    <w:rsid w:val="47357A6E"/>
    <w:rsid w:val="4743767B"/>
    <w:rsid w:val="47467726"/>
    <w:rsid w:val="47472209"/>
    <w:rsid w:val="47583F97"/>
    <w:rsid w:val="47680E90"/>
    <w:rsid w:val="476F7A5C"/>
    <w:rsid w:val="479D19EA"/>
    <w:rsid w:val="47A877C9"/>
    <w:rsid w:val="47B24801"/>
    <w:rsid w:val="47BC567F"/>
    <w:rsid w:val="47CA38F8"/>
    <w:rsid w:val="47DB78B4"/>
    <w:rsid w:val="47F97AC9"/>
    <w:rsid w:val="480F211E"/>
    <w:rsid w:val="483B6EB1"/>
    <w:rsid w:val="483E6094"/>
    <w:rsid w:val="484A692B"/>
    <w:rsid w:val="488256DC"/>
    <w:rsid w:val="48904217"/>
    <w:rsid w:val="48C1042A"/>
    <w:rsid w:val="48DF3161"/>
    <w:rsid w:val="495A5150"/>
    <w:rsid w:val="4961028C"/>
    <w:rsid w:val="497C7BB7"/>
    <w:rsid w:val="49870256"/>
    <w:rsid w:val="49A61D4F"/>
    <w:rsid w:val="49A83E07"/>
    <w:rsid w:val="49C12A7C"/>
    <w:rsid w:val="49CB243D"/>
    <w:rsid w:val="49EA6E56"/>
    <w:rsid w:val="49EB7CD2"/>
    <w:rsid w:val="49ED509C"/>
    <w:rsid w:val="49F04D46"/>
    <w:rsid w:val="49F92273"/>
    <w:rsid w:val="4A02381D"/>
    <w:rsid w:val="4A0C75BA"/>
    <w:rsid w:val="4A101B76"/>
    <w:rsid w:val="4A166124"/>
    <w:rsid w:val="4A1A680E"/>
    <w:rsid w:val="4A2F26B5"/>
    <w:rsid w:val="4A322A7B"/>
    <w:rsid w:val="4A671A86"/>
    <w:rsid w:val="4A7C28E0"/>
    <w:rsid w:val="4A804742"/>
    <w:rsid w:val="4A842484"/>
    <w:rsid w:val="4A877C61"/>
    <w:rsid w:val="4A8D07A0"/>
    <w:rsid w:val="4A931FC2"/>
    <w:rsid w:val="4A9C1863"/>
    <w:rsid w:val="4AAB09CB"/>
    <w:rsid w:val="4AD34882"/>
    <w:rsid w:val="4AD938B1"/>
    <w:rsid w:val="4AE341BF"/>
    <w:rsid w:val="4AFA5BA7"/>
    <w:rsid w:val="4B1D6283"/>
    <w:rsid w:val="4B307E59"/>
    <w:rsid w:val="4B3612A5"/>
    <w:rsid w:val="4B3911FB"/>
    <w:rsid w:val="4B4B4D50"/>
    <w:rsid w:val="4B7A73E4"/>
    <w:rsid w:val="4B86753E"/>
    <w:rsid w:val="4B90799F"/>
    <w:rsid w:val="4BA53C1B"/>
    <w:rsid w:val="4BDF347A"/>
    <w:rsid w:val="4BE11E76"/>
    <w:rsid w:val="4C02219B"/>
    <w:rsid w:val="4C207508"/>
    <w:rsid w:val="4C300E67"/>
    <w:rsid w:val="4C3946C3"/>
    <w:rsid w:val="4C4A325A"/>
    <w:rsid w:val="4C581C45"/>
    <w:rsid w:val="4C75263B"/>
    <w:rsid w:val="4C891D60"/>
    <w:rsid w:val="4C934BC0"/>
    <w:rsid w:val="4CA17015"/>
    <w:rsid w:val="4CAA6765"/>
    <w:rsid w:val="4CAC60C3"/>
    <w:rsid w:val="4CB42157"/>
    <w:rsid w:val="4CBE5242"/>
    <w:rsid w:val="4CC335E8"/>
    <w:rsid w:val="4CCA7644"/>
    <w:rsid w:val="4CD54926"/>
    <w:rsid w:val="4CD60B5C"/>
    <w:rsid w:val="4CDF0532"/>
    <w:rsid w:val="4D1832B6"/>
    <w:rsid w:val="4D3C7046"/>
    <w:rsid w:val="4D4642C1"/>
    <w:rsid w:val="4D554464"/>
    <w:rsid w:val="4D732CDE"/>
    <w:rsid w:val="4D994BD8"/>
    <w:rsid w:val="4D9B50BA"/>
    <w:rsid w:val="4DB51455"/>
    <w:rsid w:val="4DC70853"/>
    <w:rsid w:val="4DD317A2"/>
    <w:rsid w:val="4DF812D9"/>
    <w:rsid w:val="4E087FAC"/>
    <w:rsid w:val="4E0C2538"/>
    <w:rsid w:val="4E201A58"/>
    <w:rsid w:val="4E2E4164"/>
    <w:rsid w:val="4E4A21B0"/>
    <w:rsid w:val="4E586D7B"/>
    <w:rsid w:val="4E883750"/>
    <w:rsid w:val="4EE77716"/>
    <w:rsid w:val="4EEB775D"/>
    <w:rsid w:val="4F135B85"/>
    <w:rsid w:val="4F1666AF"/>
    <w:rsid w:val="4F2222AD"/>
    <w:rsid w:val="4F376450"/>
    <w:rsid w:val="4F4F296F"/>
    <w:rsid w:val="4F535209"/>
    <w:rsid w:val="4F7B6AD7"/>
    <w:rsid w:val="4F7D3946"/>
    <w:rsid w:val="4F8B48DB"/>
    <w:rsid w:val="4F8F4C9C"/>
    <w:rsid w:val="4F944685"/>
    <w:rsid w:val="4F950B0E"/>
    <w:rsid w:val="4FA057AF"/>
    <w:rsid w:val="4FA722F4"/>
    <w:rsid w:val="4FB13B8D"/>
    <w:rsid w:val="4FCC10F4"/>
    <w:rsid w:val="4FD7787B"/>
    <w:rsid w:val="4FED50D3"/>
    <w:rsid w:val="4FF31631"/>
    <w:rsid w:val="50243DC2"/>
    <w:rsid w:val="503734DB"/>
    <w:rsid w:val="504A3CA9"/>
    <w:rsid w:val="50585A24"/>
    <w:rsid w:val="50A83AFC"/>
    <w:rsid w:val="50BD0C02"/>
    <w:rsid w:val="50E750E8"/>
    <w:rsid w:val="510A745C"/>
    <w:rsid w:val="51131A4D"/>
    <w:rsid w:val="51134562"/>
    <w:rsid w:val="513C37FC"/>
    <w:rsid w:val="515D549B"/>
    <w:rsid w:val="519D54AE"/>
    <w:rsid w:val="51D57A6A"/>
    <w:rsid w:val="51EF3044"/>
    <w:rsid w:val="51FD1211"/>
    <w:rsid w:val="523A78CD"/>
    <w:rsid w:val="526D1981"/>
    <w:rsid w:val="52796647"/>
    <w:rsid w:val="527A1DA4"/>
    <w:rsid w:val="52825965"/>
    <w:rsid w:val="52933BFB"/>
    <w:rsid w:val="52975115"/>
    <w:rsid w:val="52A42B85"/>
    <w:rsid w:val="52B0193D"/>
    <w:rsid w:val="52F95C14"/>
    <w:rsid w:val="5302488E"/>
    <w:rsid w:val="534043BC"/>
    <w:rsid w:val="53655099"/>
    <w:rsid w:val="53675599"/>
    <w:rsid w:val="536E6570"/>
    <w:rsid w:val="53DC0765"/>
    <w:rsid w:val="53E05610"/>
    <w:rsid w:val="541F321E"/>
    <w:rsid w:val="545E3D46"/>
    <w:rsid w:val="5463583A"/>
    <w:rsid w:val="54676C88"/>
    <w:rsid w:val="547501AA"/>
    <w:rsid w:val="549B4D68"/>
    <w:rsid w:val="54BC0A6D"/>
    <w:rsid w:val="54BC694F"/>
    <w:rsid w:val="54C82F16"/>
    <w:rsid w:val="54CA2679"/>
    <w:rsid w:val="54CE1930"/>
    <w:rsid w:val="54F843AD"/>
    <w:rsid w:val="54FF3F9A"/>
    <w:rsid w:val="551A4038"/>
    <w:rsid w:val="551A48EF"/>
    <w:rsid w:val="55284C55"/>
    <w:rsid w:val="55323265"/>
    <w:rsid w:val="553C17D1"/>
    <w:rsid w:val="556E4C3C"/>
    <w:rsid w:val="55757355"/>
    <w:rsid w:val="55AF2380"/>
    <w:rsid w:val="55CC320B"/>
    <w:rsid w:val="55D54A04"/>
    <w:rsid w:val="55D6790C"/>
    <w:rsid w:val="55F416EA"/>
    <w:rsid w:val="55F7664B"/>
    <w:rsid w:val="562356B7"/>
    <w:rsid w:val="562B5EAA"/>
    <w:rsid w:val="563A3D20"/>
    <w:rsid w:val="56560C76"/>
    <w:rsid w:val="565763D6"/>
    <w:rsid w:val="56666EE2"/>
    <w:rsid w:val="567F61F6"/>
    <w:rsid w:val="56874E26"/>
    <w:rsid w:val="56C952D0"/>
    <w:rsid w:val="56D455F1"/>
    <w:rsid w:val="56DE2CEF"/>
    <w:rsid w:val="56FE688C"/>
    <w:rsid w:val="56FF57CA"/>
    <w:rsid w:val="57013F6B"/>
    <w:rsid w:val="573B036F"/>
    <w:rsid w:val="575B52E7"/>
    <w:rsid w:val="575D6537"/>
    <w:rsid w:val="57623B4D"/>
    <w:rsid w:val="576D6E28"/>
    <w:rsid w:val="57725C07"/>
    <w:rsid w:val="57886CD0"/>
    <w:rsid w:val="578F5011"/>
    <w:rsid w:val="579775AF"/>
    <w:rsid w:val="579A1F5A"/>
    <w:rsid w:val="579E4313"/>
    <w:rsid w:val="57AC50F0"/>
    <w:rsid w:val="57AE108B"/>
    <w:rsid w:val="57CA16F3"/>
    <w:rsid w:val="57CD4D3F"/>
    <w:rsid w:val="57DD3E74"/>
    <w:rsid w:val="57EF1B24"/>
    <w:rsid w:val="580573A0"/>
    <w:rsid w:val="581F4981"/>
    <w:rsid w:val="581F4B46"/>
    <w:rsid w:val="58321C8B"/>
    <w:rsid w:val="583C31B4"/>
    <w:rsid w:val="584E53FC"/>
    <w:rsid w:val="586E320B"/>
    <w:rsid w:val="5875460E"/>
    <w:rsid w:val="5875579D"/>
    <w:rsid w:val="587B083D"/>
    <w:rsid w:val="5880529A"/>
    <w:rsid w:val="58825B29"/>
    <w:rsid w:val="588B0ADD"/>
    <w:rsid w:val="58D80708"/>
    <w:rsid w:val="58D97E3F"/>
    <w:rsid w:val="591D07C7"/>
    <w:rsid w:val="5949010D"/>
    <w:rsid w:val="59713B51"/>
    <w:rsid w:val="59832428"/>
    <w:rsid w:val="59AE02DE"/>
    <w:rsid w:val="59B94CAB"/>
    <w:rsid w:val="59D51DB5"/>
    <w:rsid w:val="5A0272B1"/>
    <w:rsid w:val="5A355549"/>
    <w:rsid w:val="5A37733F"/>
    <w:rsid w:val="5A382944"/>
    <w:rsid w:val="5A461456"/>
    <w:rsid w:val="5A5F48DF"/>
    <w:rsid w:val="5A6574B1"/>
    <w:rsid w:val="5A6811AC"/>
    <w:rsid w:val="5A6C4817"/>
    <w:rsid w:val="5A6D6C90"/>
    <w:rsid w:val="5A704A06"/>
    <w:rsid w:val="5A8D71CF"/>
    <w:rsid w:val="5A9A163A"/>
    <w:rsid w:val="5AE21CEC"/>
    <w:rsid w:val="5B307ABF"/>
    <w:rsid w:val="5B33191E"/>
    <w:rsid w:val="5B430127"/>
    <w:rsid w:val="5B8322E4"/>
    <w:rsid w:val="5B871DD5"/>
    <w:rsid w:val="5B9462A0"/>
    <w:rsid w:val="5BAE5416"/>
    <w:rsid w:val="5BCC1553"/>
    <w:rsid w:val="5BCC2B28"/>
    <w:rsid w:val="5BD32BB9"/>
    <w:rsid w:val="5BD449C3"/>
    <w:rsid w:val="5BF3649C"/>
    <w:rsid w:val="5C397C41"/>
    <w:rsid w:val="5C4131B7"/>
    <w:rsid w:val="5C4E46A0"/>
    <w:rsid w:val="5C5D2B35"/>
    <w:rsid w:val="5C8A54F9"/>
    <w:rsid w:val="5C9257B5"/>
    <w:rsid w:val="5CA263B9"/>
    <w:rsid w:val="5CCD0E3F"/>
    <w:rsid w:val="5CD11078"/>
    <w:rsid w:val="5CF16475"/>
    <w:rsid w:val="5D105DFA"/>
    <w:rsid w:val="5D226C62"/>
    <w:rsid w:val="5D641CA2"/>
    <w:rsid w:val="5D6D384D"/>
    <w:rsid w:val="5D866861"/>
    <w:rsid w:val="5DAD4F7F"/>
    <w:rsid w:val="5DE7013D"/>
    <w:rsid w:val="5DE73BC6"/>
    <w:rsid w:val="5DFA26DB"/>
    <w:rsid w:val="5DFC012C"/>
    <w:rsid w:val="5DFE5455"/>
    <w:rsid w:val="5E2F5EF2"/>
    <w:rsid w:val="5E3A6AB6"/>
    <w:rsid w:val="5E431827"/>
    <w:rsid w:val="5E4D42BC"/>
    <w:rsid w:val="5E632348"/>
    <w:rsid w:val="5E843DAA"/>
    <w:rsid w:val="5E9058E6"/>
    <w:rsid w:val="5E9A1340"/>
    <w:rsid w:val="5EB10F16"/>
    <w:rsid w:val="5ECC6ED2"/>
    <w:rsid w:val="5ED97AB4"/>
    <w:rsid w:val="5EE27322"/>
    <w:rsid w:val="5EFB027D"/>
    <w:rsid w:val="5EFC7373"/>
    <w:rsid w:val="5F1D188E"/>
    <w:rsid w:val="5F316516"/>
    <w:rsid w:val="5F325C09"/>
    <w:rsid w:val="5F3D2230"/>
    <w:rsid w:val="5F3E25A9"/>
    <w:rsid w:val="5F6707D4"/>
    <w:rsid w:val="5F9F5213"/>
    <w:rsid w:val="5FA735EE"/>
    <w:rsid w:val="5FBD7995"/>
    <w:rsid w:val="5FD2516D"/>
    <w:rsid w:val="5FD41360"/>
    <w:rsid w:val="5FEE499C"/>
    <w:rsid w:val="600C6F81"/>
    <w:rsid w:val="601E25DC"/>
    <w:rsid w:val="60213E7A"/>
    <w:rsid w:val="60287A7B"/>
    <w:rsid w:val="606026DD"/>
    <w:rsid w:val="607940A4"/>
    <w:rsid w:val="609267D4"/>
    <w:rsid w:val="609C38F3"/>
    <w:rsid w:val="609F5D58"/>
    <w:rsid w:val="60C677C2"/>
    <w:rsid w:val="60DC2E87"/>
    <w:rsid w:val="61010857"/>
    <w:rsid w:val="611015E4"/>
    <w:rsid w:val="617B5D2A"/>
    <w:rsid w:val="618B617C"/>
    <w:rsid w:val="61B04F6E"/>
    <w:rsid w:val="61BF0949"/>
    <w:rsid w:val="61C20AEC"/>
    <w:rsid w:val="61E82EA1"/>
    <w:rsid w:val="61EA3D5E"/>
    <w:rsid w:val="61F94C3C"/>
    <w:rsid w:val="62055DC3"/>
    <w:rsid w:val="6211064A"/>
    <w:rsid w:val="623A02B4"/>
    <w:rsid w:val="623B56C7"/>
    <w:rsid w:val="623F04BA"/>
    <w:rsid w:val="624A76B8"/>
    <w:rsid w:val="625E7607"/>
    <w:rsid w:val="626A672E"/>
    <w:rsid w:val="62A92A58"/>
    <w:rsid w:val="62B965EC"/>
    <w:rsid w:val="62C03E1E"/>
    <w:rsid w:val="62C52F94"/>
    <w:rsid w:val="62DD22DA"/>
    <w:rsid w:val="62E23D94"/>
    <w:rsid w:val="630346A8"/>
    <w:rsid w:val="630C7063"/>
    <w:rsid w:val="63152B80"/>
    <w:rsid w:val="6328082B"/>
    <w:rsid w:val="633635FA"/>
    <w:rsid w:val="63445254"/>
    <w:rsid w:val="63782C1A"/>
    <w:rsid w:val="63CF49F6"/>
    <w:rsid w:val="63D713EB"/>
    <w:rsid w:val="63E35A8D"/>
    <w:rsid w:val="63E91153"/>
    <w:rsid w:val="63F52B14"/>
    <w:rsid w:val="63F52BD2"/>
    <w:rsid w:val="63F90414"/>
    <w:rsid w:val="64034EC5"/>
    <w:rsid w:val="64191A38"/>
    <w:rsid w:val="643028DD"/>
    <w:rsid w:val="64370110"/>
    <w:rsid w:val="64422D1C"/>
    <w:rsid w:val="64432611"/>
    <w:rsid w:val="644D7933"/>
    <w:rsid w:val="64550596"/>
    <w:rsid w:val="64555F3E"/>
    <w:rsid w:val="64647979"/>
    <w:rsid w:val="64682077"/>
    <w:rsid w:val="646A1867"/>
    <w:rsid w:val="649A3992"/>
    <w:rsid w:val="649B4C85"/>
    <w:rsid w:val="64AA6E77"/>
    <w:rsid w:val="64B843B7"/>
    <w:rsid w:val="64D06952"/>
    <w:rsid w:val="650224CC"/>
    <w:rsid w:val="65033CDE"/>
    <w:rsid w:val="65047CF3"/>
    <w:rsid w:val="652C12F7"/>
    <w:rsid w:val="65372126"/>
    <w:rsid w:val="653A7EB8"/>
    <w:rsid w:val="654A27C5"/>
    <w:rsid w:val="654F5C62"/>
    <w:rsid w:val="65763765"/>
    <w:rsid w:val="657D2FEB"/>
    <w:rsid w:val="658738F6"/>
    <w:rsid w:val="658F4CEE"/>
    <w:rsid w:val="65CD5537"/>
    <w:rsid w:val="65D2670A"/>
    <w:rsid w:val="66044022"/>
    <w:rsid w:val="660529F2"/>
    <w:rsid w:val="66215E2C"/>
    <w:rsid w:val="6635067F"/>
    <w:rsid w:val="663D3D65"/>
    <w:rsid w:val="663E5786"/>
    <w:rsid w:val="664A365E"/>
    <w:rsid w:val="66590149"/>
    <w:rsid w:val="66611986"/>
    <w:rsid w:val="66DE5FA0"/>
    <w:rsid w:val="66DF5CAD"/>
    <w:rsid w:val="66F146C9"/>
    <w:rsid w:val="67212E7F"/>
    <w:rsid w:val="67351399"/>
    <w:rsid w:val="674C3F99"/>
    <w:rsid w:val="67577CF2"/>
    <w:rsid w:val="67893D52"/>
    <w:rsid w:val="67BE7857"/>
    <w:rsid w:val="67C57CC1"/>
    <w:rsid w:val="67C948BF"/>
    <w:rsid w:val="67D0452E"/>
    <w:rsid w:val="67EE0BF1"/>
    <w:rsid w:val="68011740"/>
    <w:rsid w:val="680E2F36"/>
    <w:rsid w:val="682254AB"/>
    <w:rsid w:val="682A263D"/>
    <w:rsid w:val="682E640B"/>
    <w:rsid w:val="683F7593"/>
    <w:rsid w:val="6842639B"/>
    <w:rsid w:val="685D4942"/>
    <w:rsid w:val="68632DFF"/>
    <w:rsid w:val="687059CE"/>
    <w:rsid w:val="687065DC"/>
    <w:rsid w:val="687410CD"/>
    <w:rsid w:val="68795C73"/>
    <w:rsid w:val="6886065E"/>
    <w:rsid w:val="68A13DAA"/>
    <w:rsid w:val="68AD0478"/>
    <w:rsid w:val="68B5103C"/>
    <w:rsid w:val="68D7726A"/>
    <w:rsid w:val="69092914"/>
    <w:rsid w:val="69291D5F"/>
    <w:rsid w:val="692D388F"/>
    <w:rsid w:val="693626DD"/>
    <w:rsid w:val="695D6291"/>
    <w:rsid w:val="699B363D"/>
    <w:rsid w:val="69B468BF"/>
    <w:rsid w:val="69C31BEF"/>
    <w:rsid w:val="69CD4DFE"/>
    <w:rsid w:val="69E71EB0"/>
    <w:rsid w:val="6A170D32"/>
    <w:rsid w:val="6A271505"/>
    <w:rsid w:val="6A3D70B5"/>
    <w:rsid w:val="6A3F4473"/>
    <w:rsid w:val="6A547123"/>
    <w:rsid w:val="6A6C2D8A"/>
    <w:rsid w:val="6A6F5B3C"/>
    <w:rsid w:val="6A902328"/>
    <w:rsid w:val="6A904D57"/>
    <w:rsid w:val="6A9260A0"/>
    <w:rsid w:val="6B000F7C"/>
    <w:rsid w:val="6B071EEC"/>
    <w:rsid w:val="6B0C2013"/>
    <w:rsid w:val="6B214651"/>
    <w:rsid w:val="6B3358AF"/>
    <w:rsid w:val="6B4814CB"/>
    <w:rsid w:val="6B730FCE"/>
    <w:rsid w:val="6B797260"/>
    <w:rsid w:val="6B983689"/>
    <w:rsid w:val="6BA70AB2"/>
    <w:rsid w:val="6BAD2A21"/>
    <w:rsid w:val="6BB81B36"/>
    <w:rsid w:val="6BC8789F"/>
    <w:rsid w:val="6BDA756E"/>
    <w:rsid w:val="6BE02E3B"/>
    <w:rsid w:val="6BEE0820"/>
    <w:rsid w:val="6C1170C8"/>
    <w:rsid w:val="6C156F89"/>
    <w:rsid w:val="6C255CDF"/>
    <w:rsid w:val="6C600F38"/>
    <w:rsid w:val="6C637984"/>
    <w:rsid w:val="6C6B79A8"/>
    <w:rsid w:val="6C7D20BE"/>
    <w:rsid w:val="6CB6469F"/>
    <w:rsid w:val="6CE10C19"/>
    <w:rsid w:val="6CEE4B95"/>
    <w:rsid w:val="6D047354"/>
    <w:rsid w:val="6D1A54F0"/>
    <w:rsid w:val="6D437A7E"/>
    <w:rsid w:val="6D703479"/>
    <w:rsid w:val="6D7257D6"/>
    <w:rsid w:val="6D7878A4"/>
    <w:rsid w:val="6D8D6DE8"/>
    <w:rsid w:val="6DA560EA"/>
    <w:rsid w:val="6DBA7B5D"/>
    <w:rsid w:val="6DE866D9"/>
    <w:rsid w:val="6DFD1A82"/>
    <w:rsid w:val="6E0819B1"/>
    <w:rsid w:val="6E0C6169"/>
    <w:rsid w:val="6E1C12EB"/>
    <w:rsid w:val="6E21682C"/>
    <w:rsid w:val="6E82284B"/>
    <w:rsid w:val="6E9932DC"/>
    <w:rsid w:val="6EA25B6B"/>
    <w:rsid w:val="6ED01BBE"/>
    <w:rsid w:val="6EDA624A"/>
    <w:rsid w:val="6EE94DB5"/>
    <w:rsid w:val="6F201354"/>
    <w:rsid w:val="6F35349E"/>
    <w:rsid w:val="6F4354D6"/>
    <w:rsid w:val="6F54412A"/>
    <w:rsid w:val="6FAC37EA"/>
    <w:rsid w:val="6FC00223"/>
    <w:rsid w:val="6FED626A"/>
    <w:rsid w:val="6FEF12D1"/>
    <w:rsid w:val="6FEF29EC"/>
    <w:rsid w:val="70003D1C"/>
    <w:rsid w:val="70004BD3"/>
    <w:rsid w:val="70017A54"/>
    <w:rsid w:val="700853C0"/>
    <w:rsid w:val="700C15F9"/>
    <w:rsid w:val="701B76ED"/>
    <w:rsid w:val="701D640C"/>
    <w:rsid w:val="701F5AB8"/>
    <w:rsid w:val="70277A76"/>
    <w:rsid w:val="702F613F"/>
    <w:rsid w:val="707E3A8B"/>
    <w:rsid w:val="709D5B77"/>
    <w:rsid w:val="70D1200B"/>
    <w:rsid w:val="70D50A94"/>
    <w:rsid w:val="70F83021"/>
    <w:rsid w:val="70FA499F"/>
    <w:rsid w:val="71100158"/>
    <w:rsid w:val="711B060F"/>
    <w:rsid w:val="712F0853"/>
    <w:rsid w:val="714F7A8C"/>
    <w:rsid w:val="716562BC"/>
    <w:rsid w:val="71AA2B3E"/>
    <w:rsid w:val="71B11502"/>
    <w:rsid w:val="71BD367F"/>
    <w:rsid w:val="71DC40A5"/>
    <w:rsid w:val="71EA4A14"/>
    <w:rsid w:val="71EF1C9F"/>
    <w:rsid w:val="72084E9A"/>
    <w:rsid w:val="720A602E"/>
    <w:rsid w:val="720D425E"/>
    <w:rsid w:val="72287C47"/>
    <w:rsid w:val="7243196D"/>
    <w:rsid w:val="72473C14"/>
    <w:rsid w:val="726C6080"/>
    <w:rsid w:val="728B49D0"/>
    <w:rsid w:val="72CB1E47"/>
    <w:rsid w:val="72DF0E67"/>
    <w:rsid w:val="730124F6"/>
    <w:rsid w:val="730F0F4D"/>
    <w:rsid w:val="73171E9E"/>
    <w:rsid w:val="731B00BA"/>
    <w:rsid w:val="73553725"/>
    <w:rsid w:val="735F0AE9"/>
    <w:rsid w:val="7390044C"/>
    <w:rsid w:val="73916E24"/>
    <w:rsid w:val="73A0093B"/>
    <w:rsid w:val="73AB6B7E"/>
    <w:rsid w:val="73BE521F"/>
    <w:rsid w:val="73CE5EA8"/>
    <w:rsid w:val="73D31750"/>
    <w:rsid w:val="740438D8"/>
    <w:rsid w:val="7412722A"/>
    <w:rsid w:val="74525630"/>
    <w:rsid w:val="748C0004"/>
    <w:rsid w:val="74962C31"/>
    <w:rsid w:val="74AA5C0D"/>
    <w:rsid w:val="74BB2697"/>
    <w:rsid w:val="74C36E18"/>
    <w:rsid w:val="74DF09FB"/>
    <w:rsid w:val="74E21D58"/>
    <w:rsid w:val="74E41BEE"/>
    <w:rsid w:val="750122CC"/>
    <w:rsid w:val="751232C5"/>
    <w:rsid w:val="7530098F"/>
    <w:rsid w:val="753152EE"/>
    <w:rsid w:val="757E5B9F"/>
    <w:rsid w:val="75883F4E"/>
    <w:rsid w:val="75CA466E"/>
    <w:rsid w:val="75E86FC4"/>
    <w:rsid w:val="75EE59E0"/>
    <w:rsid w:val="762322A2"/>
    <w:rsid w:val="762F0AE4"/>
    <w:rsid w:val="76396F44"/>
    <w:rsid w:val="765468FF"/>
    <w:rsid w:val="765B027E"/>
    <w:rsid w:val="768A155C"/>
    <w:rsid w:val="76A62A95"/>
    <w:rsid w:val="76AF1D88"/>
    <w:rsid w:val="76C05458"/>
    <w:rsid w:val="76C47033"/>
    <w:rsid w:val="76ED3601"/>
    <w:rsid w:val="77356731"/>
    <w:rsid w:val="774360C5"/>
    <w:rsid w:val="77445943"/>
    <w:rsid w:val="775E33DC"/>
    <w:rsid w:val="777F6AE2"/>
    <w:rsid w:val="779E0502"/>
    <w:rsid w:val="77B21E06"/>
    <w:rsid w:val="77DC72A2"/>
    <w:rsid w:val="77E553A8"/>
    <w:rsid w:val="77F325BE"/>
    <w:rsid w:val="77F5439F"/>
    <w:rsid w:val="78011469"/>
    <w:rsid w:val="782D7408"/>
    <w:rsid w:val="782E3942"/>
    <w:rsid w:val="78374F2B"/>
    <w:rsid w:val="7838753F"/>
    <w:rsid w:val="783F3821"/>
    <w:rsid w:val="78675B7A"/>
    <w:rsid w:val="786C7AE8"/>
    <w:rsid w:val="78827754"/>
    <w:rsid w:val="788B412F"/>
    <w:rsid w:val="788D7EA7"/>
    <w:rsid w:val="78AB72BD"/>
    <w:rsid w:val="78D957E0"/>
    <w:rsid w:val="78E20BC8"/>
    <w:rsid w:val="78EA0199"/>
    <w:rsid w:val="790829C3"/>
    <w:rsid w:val="793279E4"/>
    <w:rsid w:val="79471339"/>
    <w:rsid w:val="79711576"/>
    <w:rsid w:val="7984574E"/>
    <w:rsid w:val="79A0041C"/>
    <w:rsid w:val="79A11E5C"/>
    <w:rsid w:val="79AB1790"/>
    <w:rsid w:val="79BD54FA"/>
    <w:rsid w:val="79EA0FB6"/>
    <w:rsid w:val="79EA26CE"/>
    <w:rsid w:val="7A19430F"/>
    <w:rsid w:val="7A4E1B97"/>
    <w:rsid w:val="7A911ED0"/>
    <w:rsid w:val="7A99244D"/>
    <w:rsid w:val="7ACE20BD"/>
    <w:rsid w:val="7AE0471F"/>
    <w:rsid w:val="7AEC5D56"/>
    <w:rsid w:val="7B0B76CA"/>
    <w:rsid w:val="7B4C4049"/>
    <w:rsid w:val="7B4E4CB6"/>
    <w:rsid w:val="7B607AF4"/>
    <w:rsid w:val="7BAE449F"/>
    <w:rsid w:val="7BCD6327"/>
    <w:rsid w:val="7BD866A0"/>
    <w:rsid w:val="7BDD2EF3"/>
    <w:rsid w:val="7C034B8B"/>
    <w:rsid w:val="7C093CE8"/>
    <w:rsid w:val="7C184FB7"/>
    <w:rsid w:val="7C246D2E"/>
    <w:rsid w:val="7C3B47C2"/>
    <w:rsid w:val="7C442F72"/>
    <w:rsid w:val="7C6D36CA"/>
    <w:rsid w:val="7C725D31"/>
    <w:rsid w:val="7C9D7072"/>
    <w:rsid w:val="7CB53923"/>
    <w:rsid w:val="7CC50D2F"/>
    <w:rsid w:val="7D180F0D"/>
    <w:rsid w:val="7D2C1908"/>
    <w:rsid w:val="7D32101D"/>
    <w:rsid w:val="7D397F90"/>
    <w:rsid w:val="7D423956"/>
    <w:rsid w:val="7D541F1D"/>
    <w:rsid w:val="7D7326CC"/>
    <w:rsid w:val="7DA01CDD"/>
    <w:rsid w:val="7DA31B55"/>
    <w:rsid w:val="7DB84294"/>
    <w:rsid w:val="7DDD2456"/>
    <w:rsid w:val="7DE20C95"/>
    <w:rsid w:val="7DE87300"/>
    <w:rsid w:val="7DEF7492"/>
    <w:rsid w:val="7DFC4DFB"/>
    <w:rsid w:val="7E162A33"/>
    <w:rsid w:val="7E2F5E02"/>
    <w:rsid w:val="7E301A00"/>
    <w:rsid w:val="7E3A2BD6"/>
    <w:rsid w:val="7E476DBF"/>
    <w:rsid w:val="7E561C84"/>
    <w:rsid w:val="7E7471DD"/>
    <w:rsid w:val="7E7C7834"/>
    <w:rsid w:val="7E844E96"/>
    <w:rsid w:val="7EB4748B"/>
    <w:rsid w:val="7ECF2E7C"/>
    <w:rsid w:val="7EE0164A"/>
    <w:rsid w:val="7EF05721"/>
    <w:rsid w:val="7F201A75"/>
    <w:rsid w:val="7F2D77FE"/>
    <w:rsid w:val="7F423C75"/>
    <w:rsid w:val="7F536501"/>
    <w:rsid w:val="7F637BB3"/>
    <w:rsid w:val="7F695CCD"/>
    <w:rsid w:val="7F7676A4"/>
    <w:rsid w:val="7F807128"/>
    <w:rsid w:val="7F980D98"/>
    <w:rsid w:val="7F9C55B1"/>
    <w:rsid w:val="7FAF1655"/>
    <w:rsid w:val="7FBA5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3"/>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3">
    <w:name w:val="rpt_正文"/>
    <w:autoRedefine/>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4">
    <w:name w:val="List 3"/>
    <w:basedOn w:val="1"/>
    <w:next w:val="1"/>
    <w:qFormat/>
    <w:uiPriority w:val="0"/>
    <w:pPr>
      <w:adjustRightInd w:val="0"/>
      <w:jc w:val="center"/>
      <w:textAlignment w:val="baseline"/>
    </w:pPr>
    <w:rPr>
      <w:kern w:val="0"/>
    </w:rPr>
  </w:style>
  <w:style w:type="paragraph" w:styleId="5">
    <w:name w:val="toa heading"/>
    <w:basedOn w:val="1"/>
    <w:next w:val="1"/>
    <w:autoRedefine/>
    <w:qFormat/>
    <w:uiPriority w:val="0"/>
    <w:pPr>
      <w:spacing w:before="120"/>
    </w:pPr>
    <w:rPr>
      <w:rFonts w:ascii="Arial" w:hAnsi="Arial" w:cs="Arial"/>
    </w:rPr>
  </w:style>
  <w:style w:type="paragraph" w:styleId="6">
    <w:name w:val="annotation text"/>
    <w:basedOn w:val="1"/>
    <w:link w:val="49"/>
    <w:autoRedefine/>
    <w:qFormat/>
    <w:uiPriority w:val="0"/>
    <w:pPr>
      <w:jc w:val="left"/>
      <w:pPrChange w:id="0" w:author="L Leo" w:date="2024-08-29T17:25:00Z">
        <w:pPr>
          <w:widowControl w:val="0"/>
        </w:pPr>
      </w:pPrChange>
    </w:pPr>
    <w:rPr>
      <w:sz w:val="24"/>
      <w:szCs w:val="24"/>
      <w:rPrChange w:id="1" w:author="L Leo" w:date="2024-08-29T17:25:00Z">
        <w:rPr>
          <w:rFonts w:eastAsia="宋体"/>
          <w:kern w:val="2"/>
          <w:sz w:val="21"/>
          <w:szCs w:val="21"/>
          <w:lang w:val="en-US" w:eastAsia="zh-CN" w:bidi="ar-SA"/>
        </w:rPr>
      </w:rPrChange>
    </w:rPr>
  </w:style>
  <w:style w:type="paragraph" w:styleId="7">
    <w:name w:val="Salutation"/>
    <w:basedOn w:val="1"/>
    <w:next w:val="1"/>
    <w:unhideWhenUsed/>
    <w:qFormat/>
    <w:uiPriority w:val="99"/>
  </w:style>
  <w:style w:type="paragraph" w:styleId="8">
    <w:name w:val="Body Text"/>
    <w:basedOn w:val="1"/>
    <w:next w:val="1"/>
    <w:autoRedefine/>
    <w:qFormat/>
    <w:uiPriority w:val="0"/>
    <w:pPr>
      <w:spacing w:after="120"/>
    </w:pPr>
    <w:rPr>
      <w:kern w:val="0"/>
      <w:sz w:val="20"/>
      <w:szCs w:val="24"/>
    </w:rPr>
  </w:style>
  <w:style w:type="paragraph" w:styleId="9">
    <w:name w:val="Body Text Indent"/>
    <w:basedOn w:val="1"/>
    <w:next w:val="1"/>
    <w:autoRedefine/>
    <w:unhideWhenUsed/>
    <w:qFormat/>
    <w:uiPriority w:val="99"/>
    <w:pPr>
      <w:spacing w:after="120"/>
      <w:ind w:left="420" w:leftChars="200"/>
    </w:pPr>
  </w:style>
  <w:style w:type="paragraph" w:styleId="10">
    <w:name w:val="Plain Text"/>
    <w:basedOn w:val="1"/>
    <w:autoRedefine/>
    <w:qFormat/>
    <w:uiPriority w:val="0"/>
    <w:rPr>
      <w:rFonts w:ascii="宋体" w:hAnsi="Courier New"/>
      <w:kern w:val="16"/>
      <w:vertAlign w:val="superscript"/>
    </w:rPr>
  </w:style>
  <w:style w:type="paragraph" w:styleId="11">
    <w:name w:val="Body Text Indent 2"/>
    <w:basedOn w:val="1"/>
    <w:next w:val="12"/>
    <w:autoRedefine/>
    <w:qFormat/>
    <w:uiPriority w:val="99"/>
    <w:pPr>
      <w:spacing w:before="100" w:beforeAutospacing="1" w:after="120" w:line="480" w:lineRule="auto"/>
      <w:ind w:left="200" w:leftChars="200"/>
    </w:pPr>
  </w:style>
  <w:style w:type="paragraph" w:customStyle="1" w:styleId="12">
    <w:name w:val="简单回函地址"/>
    <w:basedOn w:val="1"/>
    <w:next w:val="13"/>
    <w:autoRedefine/>
    <w:qFormat/>
    <w:uiPriority w:val="0"/>
    <w:pPr>
      <w:widowControl/>
    </w:pPr>
    <w:rPr>
      <w:rFonts w:ascii="宋体" w:hAnsi="宋体" w:cs="宋体"/>
      <w:kern w:val="0"/>
      <w:szCs w:val="20"/>
    </w:rPr>
  </w:style>
  <w:style w:type="paragraph" w:customStyle="1" w:styleId="13">
    <w:name w:val="正文2"/>
    <w:basedOn w:val="9"/>
    <w:next w:val="1"/>
    <w:autoRedefine/>
    <w:qFormat/>
    <w:uiPriority w:val="0"/>
    <w:pPr>
      <w:widowControl/>
      <w:spacing w:line="312" w:lineRule="auto"/>
      <w:ind w:firstLine="200" w:firstLineChars="200"/>
    </w:pPr>
    <w:rPr>
      <w:sz w:val="24"/>
    </w:rPr>
  </w:style>
  <w:style w:type="paragraph" w:styleId="14">
    <w:name w:val="footer"/>
    <w:basedOn w:val="1"/>
    <w:autoRedefine/>
    <w:unhideWhenUsed/>
    <w:qFormat/>
    <w:uiPriority w:val="99"/>
    <w:pPr>
      <w:tabs>
        <w:tab w:val="center" w:pos="4153"/>
        <w:tab w:val="right" w:pos="8306"/>
      </w:tabs>
      <w:snapToGrid w:val="0"/>
      <w:jc w:val="left"/>
    </w:pPr>
    <w:rPr>
      <w:sz w:val="18"/>
      <w:szCs w:val="18"/>
    </w:rPr>
  </w:style>
  <w:style w:type="paragraph" w:styleId="15">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index heading"/>
    <w:basedOn w:val="1"/>
    <w:next w:val="17"/>
    <w:qFormat/>
    <w:uiPriority w:val="0"/>
    <w:rPr>
      <w:rFonts w:ascii="Arial" w:hAnsi="Arial" w:cs="Arial"/>
      <w:b/>
      <w:bCs/>
    </w:rPr>
  </w:style>
  <w:style w:type="paragraph" w:styleId="17">
    <w:name w:val="index 1"/>
    <w:basedOn w:val="1"/>
    <w:next w:val="1"/>
    <w:qFormat/>
    <w:uiPriority w:val="0"/>
    <w:pPr>
      <w:tabs>
        <w:tab w:val="left" w:pos="5580"/>
      </w:tabs>
      <w:spacing w:line="280" w:lineRule="exact"/>
    </w:pPr>
    <w:rPr>
      <w:rFonts w:ascii="宋体" w:hAnsi="宋体"/>
      <w:spacing w:val="10"/>
    </w:rPr>
  </w:style>
  <w:style w:type="paragraph" w:styleId="18">
    <w:name w:val="table of figures"/>
    <w:basedOn w:val="1"/>
    <w:next w:val="1"/>
    <w:autoRedefine/>
    <w:unhideWhenUsed/>
    <w:qFormat/>
    <w:uiPriority w:val="99"/>
    <w:pPr>
      <w:ind w:left="200" w:leftChars="200" w:hanging="200" w:hangingChars="200"/>
    </w:pPr>
  </w:style>
  <w:style w:type="paragraph" w:styleId="19">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50"/>
    <w:autoRedefine/>
    <w:qFormat/>
    <w:uiPriority w:val="0"/>
    <w:rPr>
      <w:b/>
      <w:bCs/>
    </w:rPr>
  </w:style>
  <w:style w:type="paragraph" w:styleId="21">
    <w:name w:val="Body Text First Indent 2"/>
    <w:basedOn w:val="9"/>
    <w:next w:val="1"/>
    <w:autoRedefine/>
    <w:unhideWhenUsed/>
    <w:qFormat/>
    <w:uiPriority w:val="99"/>
    <w:pPr>
      <w:widowControl/>
      <w:ind w:firstLine="420" w:firstLineChars="200"/>
      <w:jc w:val="left"/>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qFormat/>
    <w:uiPriority w:val="0"/>
    <w:rPr>
      <w:color w:val="000000"/>
      <w:u w:val="none"/>
    </w:rPr>
  </w:style>
  <w:style w:type="character" w:styleId="26">
    <w:name w:val="Emphasis"/>
    <w:basedOn w:val="24"/>
    <w:autoRedefine/>
    <w:qFormat/>
    <w:uiPriority w:val="0"/>
  </w:style>
  <w:style w:type="character" w:styleId="27">
    <w:name w:val="Hyperlink"/>
    <w:basedOn w:val="24"/>
    <w:autoRedefine/>
    <w:qFormat/>
    <w:uiPriority w:val="0"/>
    <w:rPr>
      <w:color w:val="0000FF"/>
      <w:u w:val="single"/>
    </w:rPr>
  </w:style>
  <w:style w:type="character" w:styleId="28">
    <w:name w:val="annotation reference"/>
    <w:basedOn w:val="24"/>
    <w:autoRedefine/>
    <w:qFormat/>
    <w:uiPriority w:val="0"/>
    <w:rPr>
      <w:sz w:val="21"/>
      <w:szCs w:val="21"/>
    </w:rPr>
  </w:style>
  <w:style w:type="paragraph" w:customStyle="1" w:styleId="29">
    <w:name w:val="表格内容"/>
    <w:basedOn w:val="1"/>
    <w:next w:val="2"/>
    <w:autoRedefine/>
    <w:qFormat/>
    <w:uiPriority w:val="0"/>
    <w:pPr>
      <w:jc w:val="center"/>
    </w:pPr>
    <w:rPr>
      <w:rFonts w:eastAsia="Times New Roman"/>
    </w:rPr>
  </w:style>
  <w:style w:type="paragraph" w:customStyle="1" w:styleId="30">
    <w:name w:val="表格"/>
    <w:basedOn w:val="1"/>
    <w:next w:val="1"/>
    <w:autoRedefine/>
    <w:qFormat/>
    <w:uiPriority w:val="0"/>
    <w:pPr>
      <w:jc w:val="center"/>
    </w:pPr>
  </w:style>
  <w:style w:type="paragraph" w:customStyle="1" w:styleId="31">
    <w:name w:val="表格文字"/>
    <w:basedOn w:val="1"/>
    <w:next w:val="1"/>
    <w:autoRedefine/>
    <w:qFormat/>
    <w:uiPriority w:val="99"/>
    <w:pPr>
      <w:jc w:val="center"/>
    </w:pPr>
    <w:rPr>
      <w:rFonts w:ascii="仿宋_GB2312" w:hAnsi="Arial Black" w:eastAsia="仿宋_GB2312"/>
      <w:kern w:val="44"/>
    </w:rPr>
  </w:style>
  <w:style w:type="paragraph" w:customStyle="1" w:styleId="32">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正文样式"/>
    <w:basedOn w:val="1"/>
    <w:autoRedefine/>
    <w:qFormat/>
    <w:uiPriority w:val="0"/>
    <w:pPr>
      <w:tabs>
        <w:tab w:val="left" w:pos="1440"/>
        <w:tab w:val="left" w:pos="4368"/>
      </w:tabs>
      <w:ind w:firstLine="493"/>
    </w:pPr>
    <w:rPr>
      <w:color w:val="FF0000"/>
      <w:szCs w:val="24"/>
    </w:rPr>
  </w:style>
  <w:style w:type="paragraph" w:customStyle="1" w:styleId="34">
    <w:name w:val="章节目录"/>
    <w:basedOn w:val="1"/>
    <w:autoRedefine/>
    <w:qFormat/>
    <w:uiPriority w:val="0"/>
    <w:pPr>
      <w:spacing w:line="360" w:lineRule="auto"/>
      <w:outlineLvl w:val="0"/>
    </w:pPr>
    <w:rPr>
      <w:b/>
      <w:sz w:val="28"/>
      <w:szCs w:val="28"/>
    </w:rPr>
  </w:style>
  <w:style w:type="paragraph" w:customStyle="1" w:styleId="35">
    <w:name w:val="Table Paragraph"/>
    <w:basedOn w:val="1"/>
    <w:autoRedefine/>
    <w:qFormat/>
    <w:uiPriority w:val="0"/>
  </w:style>
  <w:style w:type="paragraph" w:customStyle="1" w:styleId="36">
    <w:name w:val="表格首行"/>
    <w:basedOn w:val="1"/>
    <w:next w:val="1"/>
    <w:autoRedefine/>
    <w:qFormat/>
    <w:uiPriority w:val="0"/>
    <w:pPr>
      <w:jc w:val="center"/>
    </w:pPr>
    <w:rPr>
      <w:rFonts w:cs="宋体"/>
      <w:b/>
      <w:szCs w:val="20"/>
    </w:rPr>
  </w:style>
  <w:style w:type="paragraph" w:customStyle="1" w:styleId="3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正文-欣欣"/>
    <w:basedOn w:val="1"/>
    <w:next w:val="1"/>
    <w:autoRedefine/>
    <w:qFormat/>
    <w:uiPriority w:val="0"/>
    <w:pPr>
      <w:spacing w:line="360" w:lineRule="auto"/>
      <w:ind w:firstLine="480" w:firstLineChars="200"/>
    </w:pPr>
    <w:rPr>
      <w:bCs/>
      <w:sz w:val="24"/>
    </w:rPr>
  </w:style>
  <w:style w:type="paragraph" w:customStyle="1" w:styleId="39">
    <w:name w:val="rpt_表项"/>
    <w:basedOn w:val="1"/>
    <w:autoRedefine/>
    <w:qFormat/>
    <w:uiPriority w:val="0"/>
    <w:pPr>
      <w:spacing w:before="60" w:after="60"/>
      <w:jc w:val="center"/>
    </w:pPr>
    <w:rPr>
      <w:rFonts w:cs="宋体"/>
      <w:sz w:val="22"/>
      <w:szCs w:val="20"/>
    </w:rPr>
  </w:style>
  <w:style w:type="character" w:customStyle="1" w:styleId="40">
    <w:name w:val="font61"/>
    <w:basedOn w:val="24"/>
    <w:autoRedefine/>
    <w:qFormat/>
    <w:uiPriority w:val="0"/>
    <w:rPr>
      <w:rFonts w:hint="default" w:ascii="Times New Roman" w:hAnsi="Times New Roman" w:cs="Times New Roman"/>
      <w:color w:val="000000"/>
      <w:sz w:val="21"/>
      <w:szCs w:val="21"/>
      <w:u w:val="none"/>
      <w:vertAlign w:val="superscript"/>
    </w:rPr>
  </w:style>
  <w:style w:type="paragraph" w:customStyle="1" w:styleId="41">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42">
    <w:name w:val="Table Grid_0"/>
    <w:basedOn w:val="22"/>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列出段落1"/>
    <w:basedOn w:val="1"/>
    <w:autoRedefine/>
    <w:qFormat/>
    <w:uiPriority w:val="34"/>
    <w:pPr>
      <w:ind w:firstLine="420" w:firstLineChars="200"/>
    </w:pPr>
    <w:rPr>
      <w:szCs w:val="22"/>
    </w:rPr>
  </w:style>
  <w:style w:type="paragraph" w:customStyle="1" w:styleId="44">
    <w:name w:val="Default"/>
    <w:basedOn w:val="45"/>
    <w:next w:val="46"/>
    <w:autoRedefine/>
    <w:unhideWhenUsed/>
    <w:qFormat/>
    <w:uiPriority w:val="99"/>
    <w:pPr>
      <w:tabs>
        <w:tab w:val="left" w:pos="377"/>
      </w:tabs>
      <w:autoSpaceDE w:val="0"/>
      <w:autoSpaceDN w:val="0"/>
    </w:pPr>
    <w:rPr>
      <w:rFonts w:hint="eastAsia" w:hAnsi="宋体"/>
      <w:color w:val="000000"/>
      <w:sz w:val="24"/>
      <w:szCs w:val="24"/>
    </w:rPr>
  </w:style>
  <w:style w:type="paragraph" w:customStyle="1" w:styleId="45">
    <w:name w:val="纯文本1"/>
    <w:basedOn w:val="1"/>
    <w:autoRedefine/>
    <w:qFormat/>
    <w:uiPriority w:val="0"/>
    <w:pPr>
      <w:adjustRightInd w:val="0"/>
    </w:pPr>
    <w:rPr>
      <w:rFonts w:ascii="宋体" w:hAnsi="Courier New"/>
      <w:szCs w:val="20"/>
    </w:rPr>
  </w:style>
  <w:style w:type="paragraph" w:customStyle="1" w:styleId="46">
    <w:name w:val="样式1"/>
    <w:basedOn w:val="16"/>
    <w:next w:val="1"/>
    <w:qFormat/>
    <w:uiPriority w:val="0"/>
    <w:pPr>
      <w:autoSpaceDE w:val="0"/>
      <w:autoSpaceDN w:val="0"/>
      <w:adjustRightInd w:val="0"/>
      <w:spacing w:before="120"/>
      <w:ind w:firstLine="480"/>
    </w:pPr>
    <w:rPr>
      <w:rFonts w:eastAsia="黑体"/>
      <w:kern w:val="0"/>
    </w:rPr>
  </w:style>
  <w:style w:type="paragraph" w:customStyle="1" w:styleId="47">
    <w:name w:val="表（或图）标题 样式 宋体 五号 居中 SL CON"/>
    <w:basedOn w:val="1"/>
    <w:autoRedefine/>
    <w:qFormat/>
    <w:uiPriority w:val="0"/>
    <w:pPr>
      <w:widowControl/>
      <w:tabs>
        <w:tab w:val="left" w:pos="377"/>
      </w:tabs>
      <w:spacing w:before="100" w:beforeAutospacing="1" w:line="360" w:lineRule="auto"/>
      <w:jc w:val="center"/>
    </w:pPr>
    <w:rPr>
      <w:rFonts w:ascii="宋体" w:hAnsi="宋体" w:cs="宋体"/>
      <w:b/>
      <w:kern w:val="0"/>
      <w:szCs w:val="20"/>
    </w:rPr>
  </w:style>
  <w:style w:type="character" w:customStyle="1" w:styleId="48">
    <w:name w:val="font01"/>
    <w:basedOn w:val="24"/>
    <w:autoRedefine/>
    <w:qFormat/>
    <w:uiPriority w:val="0"/>
    <w:rPr>
      <w:rFonts w:hint="eastAsia" w:ascii="宋体" w:hAnsi="宋体" w:eastAsia="宋体" w:cs="宋体"/>
      <w:color w:val="000000"/>
      <w:sz w:val="24"/>
      <w:szCs w:val="24"/>
      <w:u w:val="none"/>
    </w:rPr>
  </w:style>
  <w:style w:type="character" w:customStyle="1" w:styleId="49">
    <w:name w:val="批注文字 字符"/>
    <w:basedOn w:val="24"/>
    <w:link w:val="6"/>
    <w:autoRedefine/>
    <w:qFormat/>
    <w:uiPriority w:val="0"/>
    <w:rPr>
      <w:kern w:val="2"/>
      <w:sz w:val="24"/>
      <w:szCs w:val="24"/>
    </w:rPr>
  </w:style>
  <w:style w:type="character" w:customStyle="1" w:styleId="50">
    <w:name w:val="批注主题 字符"/>
    <w:basedOn w:val="49"/>
    <w:link w:val="20"/>
    <w:autoRedefine/>
    <w:qFormat/>
    <w:uiPriority w:val="0"/>
    <w:rPr>
      <w:b/>
      <w:bCs/>
      <w:kern w:val="2"/>
      <w:sz w:val="21"/>
      <w:szCs w:val="21"/>
    </w:rPr>
  </w:style>
  <w:style w:type="paragraph" w:customStyle="1" w:styleId="51">
    <w:name w:val="修订1"/>
    <w:autoRedefine/>
    <w:hidden/>
    <w:semiHidden/>
    <w:qFormat/>
    <w:uiPriority w:val="99"/>
    <w:rPr>
      <w:rFonts w:ascii="Times New Roman" w:hAnsi="Times New Roman" w:eastAsia="宋体" w:cs="Times New Roman"/>
      <w:kern w:val="2"/>
      <w:sz w:val="21"/>
      <w:szCs w:val="21"/>
      <w:lang w:val="en-US" w:eastAsia="zh-CN" w:bidi="ar-SA"/>
    </w:rPr>
  </w:style>
  <w:style w:type="paragraph" w:customStyle="1" w:styleId="52">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3">
    <w:name w:val="1、L表内字"/>
    <w:basedOn w:val="1"/>
    <w:autoRedefine/>
    <w:qFormat/>
    <w:uiPriority w:val="0"/>
    <w:pPr>
      <w:adjustRightInd w:val="0"/>
      <w:snapToGrid w:val="0"/>
      <w:jc w:val="center"/>
    </w:pPr>
    <w:rPr>
      <w:color w:val="000000"/>
    </w:rPr>
  </w:style>
  <w:style w:type="character" w:customStyle="1" w:styleId="54">
    <w:name w:val="font31"/>
    <w:basedOn w:val="24"/>
    <w:qFormat/>
    <w:uiPriority w:val="0"/>
    <w:rPr>
      <w:rFonts w:hint="eastAsia" w:ascii="宋体" w:hAnsi="宋体" w:eastAsia="宋体" w:cs="宋体"/>
      <w:color w:val="000000"/>
      <w:sz w:val="21"/>
      <w:szCs w:val="21"/>
      <w:u w:val="none"/>
    </w:rPr>
  </w:style>
  <w:style w:type="character" w:customStyle="1" w:styleId="55">
    <w:name w:val="font21"/>
    <w:basedOn w:val="24"/>
    <w:qFormat/>
    <w:uiPriority w:val="0"/>
    <w:rPr>
      <w:rFonts w:hint="default" w:ascii="Times New Roman" w:hAnsi="Times New Roman" w:cs="Times New Roman"/>
      <w:color w:val="000000"/>
      <w:sz w:val="21"/>
      <w:szCs w:val="21"/>
      <w:u w:val="none"/>
    </w:rPr>
  </w:style>
  <w:style w:type="character" w:customStyle="1" w:styleId="56">
    <w:name w:val="font41"/>
    <w:basedOn w:val="24"/>
    <w:qFormat/>
    <w:uiPriority w:val="0"/>
    <w:rPr>
      <w:rFonts w:hint="default" w:ascii="Times New Roman" w:hAnsi="Times New Roman" w:cs="Times New Roman"/>
      <w:color w:val="000000"/>
      <w:sz w:val="21"/>
      <w:szCs w:val="21"/>
      <w:u w:val="none"/>
      <w:vertAlign w:val="superscript"/>
    </w:rPr>
  </w:style>
  <w:style w:type="paragraph" w:customStyle="1" w:styleId="57">
    <w:name w:val="表头"/>
    <w:basedOn w:val="1"/>
    <w:qFormat/>
    <w:uiPriority w:val="0"/>
    <w:pPr>
      <w:snapToGrid w:val="0"/>
      <w:jc w:val="center"/>
    </w:pPr>
    <w:rPr>
      <w:rFonts w:hint="eastAsia" w:eastAsia="黑体"/>
    </w:rPr>
  </w:style>
  <w:style w:type="paragraph" w:customStyle="1" w:styleId="58">
    <w:name w:val="Revision"/>
    <w:hidden/>
    <w:unhideWhenUsed/>
    <w:qFormat/>
    <w:uiPriority w:val="99"/>
    <w:rPr>
      <w:rFonts w:ascii="Times New Roman" w:hAnsi="Times New Roman" w:eastAsia="宋体" w:cs="Times New Roman"/>
      <w:kern w:val="2"/>
      <w:sz w:val="21"/>
      <w:szCs w:val="21"/>
      <w:lang w:val="en-US" w:eastAsia="zh-CN" w:bidi="ar-SA"/>
    </w:rPr>
  </w:style>
  <w:style w:type="character" w:customStyle="1" w:styleId="59">
    <w:name w:val="lishishuju"/>
    <w:basedOn w:val="24"/>
    <w:qFormat/>
    <w:uiPriority w:val="0"/>
    <w:rPr>
      <w:b/>
      <w:bCs/>
      <w:color w:val="000052"/>
      <w:sz w:val="19"/>
      <w:szCs w:val="19"/>
      <w:bdr w:val="single" w:color="E3E3E3" w:sz="4" w:space="0"/>
    </w:rPr>
  </w:style>
  <w:style w:type="character" w:customStyle="1" w:styleId="60">
    <w:name w:val="cur1"/>
    <w:basedOn w:val="24"/>
    <w:qFormat/>
    <w:uiPriority w:val="0"/>
    <w:rPr>
      <w:color w:val="FFFFFF"/>
      <w:shd w:val="clear" w:fill="2F6B98"/>
    </w:rPr>
  </w:style>
  <w:style w:type="character" w:customStyle="1" w:styleId="61">
    <w:name w:val="radio-btn"/>
    <w:basedOn w:val="24"/>
    <w:qFormat/>
    <w:uiPriority w:val="0"/>
    <w:rPr>
      <w:sz w:val="19"/>
      <w:szCs w:val="19"/>
    </w:rPr>
  </w:style>
  <w:style w:type="character" w:customStyle="1" w:styleId="62">
    <w:name w:val="radio-btn1"/>
    <w:basedOn w:val="24"/>
    <w:qFormat/>
    <w:uiPriority w:val="0"/>
    <w:rPr>
      <w:sz w:val="19"/>
      <w:szCs w:val="19"/>
    </w:rPr>
  </w:style>
  <w:style w:type="character" w:customStyle="1" w:styleId="63">
    <w:name w:val="radio-btn2"/>
    <w:basedOn w:val="24"/>
    <w:qFormat/>
    <w:uiPriority w:val="0"/>
    <w:rPr>
      <w:sz w:val="16"/>
      <w:szCs w:val="16"/>
    </w:rPr>
  </w:style>
  <w:style w:type="character" w:customStyle="1" w:styleId="64">
    <w:name w:val="znspantitle"/>
    <w:basedOn w:val="24"/>
    <w:qFormat/>
    <w:uiPriority w:val="0"/>
    <w:rPr>
      <w:b/>
      <w:bCs/>
      <w:color w:val="333333"/>
    </w:rPr>
  </w:style>
  <w:style w:type="character" w:customStyle="1" w:styleId="65">
    <w:name w:val="lable"/>
    <w:basedOn w:val="24"/>
    <w:qFormat/>
    <w:uiPriority w:val="0"/>
    <w:rPr>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tif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5.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4.bin"/><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57687</Words>
  <Characters>63893</Characters>
  <Lines>489</Lines>
  <Paragraphs>137</Paragraphs>
  <TotalTime>19</TotalTime>
  <ScaleCrop>false</ScaleCrop>
  <LinksUpToDate>false</LinksUpToDate>
  <CharactersWithSpaces>64157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2024-08-29T09:30:00Z</dcterms:created>
  <dc:creator>Administrator</dc:creator>
  <cp:lastModifiedBy>idiot</cp:lastModifiedBy>
  <dcterms:modified xsi:type="dcterms:W3CDTF">2024-09-04T06:46:20Z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E1AC1AEC8C5848E09C1147137B741103_13</vt:lpwstr>
  </property>
</Properties>
</file>